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794B6" w14:textId="77777777" w:rsidR="00A56C41" w:rsidRPr="00497554" w:rsidRDefault="00A56C41" w:rsidP="00A56C41">
      <w:pPr>
        <w:rPr>
          <w:rFonts w:cs="Calibri"/>
        </w:rPr>
      </w:pPr>
      <w:bookmarkStart w:id="0" w:name="_Toc219880974"/>
    </w:p>
    <w:p w14:paraId="51C6701A" w14:textId="35B1C1DA" w:rsidR="00B60939" w:rsidRPr="0098262F" w:rsidRDefault="00A056D6" w:rsidP="004A6040">
      <w:pPr>
        <w:pStyle w:val="1-MainHeading"/>
      </w:pPr>
      <w:r>
        <w:t>5.05</w:t>
      </w:r>
      <w:r w:rsidR="00163F66" w:rsidRPr="0098262F">
        <w:tab/>
      </w:r>
      <w:r w:rsidR="00502C90">
        <w:rPr>
          <w:bCs/>
        </w:rPr>
        <w:t>LONCASTUXIMAB TESIRINE</w:t>
      </w:r>
      <w:r w:rsidR="00502C90" w:rsidRPr="0098262F">
        <w:t>,</w:t>
      </w:r>
      <w:r w:rsidR="00502C90" w:rsidRPr="0098262F">
        <w:br/>
      </w:r>
      <w:r w:rsidR="007B1DC1">
        <w:t xml:space="preserve">Powder for I.V. infusion </w:t>
      </w:r>
      <w:r w:rsidR="00502C90">
        <w:t>10 mg</w:t>
      </w:r>
      <w:r w:rsidR="00502C90" w:rsidRPr="0098262F">
        <w:t>,</w:t>
      </w:r>
      <w:r w:rsidR="00502C90" w:rsidRPr="0098262F">
        <w:br/>
      </w:r>
      <w:r w:rsidR="00502C90" w:rsidRPr="00542C28">
        <w:t>Zynlonta</w:t>
      </w:r>
      <w:r w:rsidR="00502C90" w:rsidRPr="0098262F">
        <w:rPr>
          <w:vertAlign w:val="superscript"/>
        </w:rPr>
        <w:t>®</w:t>
      </w:r>
      <w:r w:rsidR="00502C90" w:rsidRPr="0098262F">
        <w:t>,</w:t>
      </w:r>
      <w:r w:rsidR="00502C90" w:rsidRPr="0098262F">
        <w:br/>
      </w:r>
      <w:r w:rsidR="00502C90" w:rsidRPr="00542C28">
        <w:t>Swedish Orphan Biovitrum Pty Ltd</w:t>
      </w:r>
      <w:r w:rsidR="00502C90" w:rsidRPr="0098262F">
        <w:t>.</w:t>
      </w:r>
      <w:bookmarkEnd w:id="0"/>
    </w:p>
    <w:p w14:paraId="11C00795" w14:textId="3DFB6D23" w:rsidR="00B50DB8" w:rsidRPr="0098262F" w:rsidRDefault="00B50DB8" w:rsidP="004A6040">
      <w:pPr>
        <w:pStyle w:val="2-SectionHeading"/>
      </w:pPr>
      <w:bookmarkStart w:id="1" w:name="_Toc219880976"/>
      <w:r w:rsidRPr="0098262F">
        <w:t xml:space="preserve">Purpose of </w:t>
      </w:r>
      <w:r w:rsidR="00CD7193" w:rsidRPr="0098262F">
        <w:t>s</w:t>
      </w:r>
      <w:r w:rsidR="00BB3A45" w:rsidRPr="0098262F">
        <w:t>ubmission</w:t>
      </w:r>
      <w:bookmarkEnd w:id="1"/>
    </w:p>
    <w:p w14:paraId="669A2BED" w14:textId="3774B8DB" w:rsidR="00502C90" w:rsidRPr="0098262F" w:rsidRDefault="00502C90" w:rsidP="00502C90">
      <w:pPr>
        <w:pStyle w:val="3-BodyText"/>
      </w:pPr>
      <w:r w:rsidRPr="0098262F">
        <w:t xml:space="preserve">The Category </w:t>
      </w:r>
      <w:r w:rsidR="00535B6B">
        <w:t>1</w:t>
      </w:r>
      <w:r>
        <w:t xml:space="preserve"> </w:t>
      </w:r>
      <w:r w:rsidRPr="0098262F">
        <w:t xml:space="preserve">submission requested </w:t>
      </w:r>
      <w:r w:rsidRPr="004E18E9">
        <w:t>Section 100</w:t>
      </w:r>
      <w:r>
        <w:t xml:space="preserve"> Efficient Funding of Chemotherapy,</w:t>
      </w:r>
      <w:r w:rsidRPr="004E18E9">
        <w:t xml:space="preserve"> Authority Required</w:t>
      </w:r>
      <w:r>
        <w:t xml:space="preserve"> (Streamlined) </w:t>
      </w:r>
      <w:r w:rsidRPr="004E18E9">
        <w:t xml:space="preserve">listing </w:t>
      </w:r>
      <w:r w:rsidRPr="0098262F">
        <w:t xml:space="preserve">for </w:t>
      </w:r>
      <w:r w:rsidRPr="00BD7788">
        <w:t xml:space="preserve">loncastuximab tesirine </w:t>
      </w:r>
      <w:r w:rsidRPr="0098262F">
        <w:t xml:space="preserve">for the treatment of </w:t>
      </w:r>
      <w:r w:rsidRPr="00BD7788">
        <w:t xml:space="preserve">adult patients with relapsed or refractory (R/R) diffuse large B-cell lymphoma (DLBCL) </w:t>
      </w:r>
      <w:r w:rsidR="006C7F74">
        <w:t xml:space="preserve">who have received two or more </w:t>
      </w:r>
      <w:r w:rsidR="0026063C">
        <w:t xml:space="preserve">prior </w:t>
      </w:r>
      <w:r w:rsidR="006C7F74">
        <w:t xml:space="preserve">lines of </w:t>
      </w:r>
      <w:r w:rsidRPr="00BD7788">
        <w:t>therapy.</w:t>
      </w:r>
      <w:r w:rsidRPr="0098262F">
        <w:rPr>
          <w:color w:val="0066FF"/>
        </w:rPr>
        <w:t xml:space="preserve"> </w:t>
      </w:r>
    </w:p>
    <w:p w14:paraId="439404E1" w14:textId="663B9A13" w:rsidR="00502C90" w:rsidRPr="0098262F" w:rsidRDefault="00502C90" w:rsidP="00502C90">
      <w:pPr>
        <w:pStyle w:val="3-BodyText"/>
      </w:pPr>
      <w:r w:rsidRPr="0098262F">
        <w:t xml:space="preserve">Listing was requested </w:t>
      </w:r>
      <w:proofErr w:type="gramStart"/>
      <w:r w:rsidRPr="0098262F">
        <w:t>on the basis of</w:t>
      </w:r>
      <w:proofErr w:type="gramEnd"/>
      <w:r w:rsidRPr="0098262F">
        <w:t xml:space="preserve"> a cost-effectiveness analysis versus </w:t>
      </w:r>
      <w:r>
        <w:t>r</w:t>
      </w:r>
      <w:r w:rsidRPr="00BD7788">
        <w:t>ituximab</w:t>
      </w:r>
      <w:r>
        <w:t xml:space="preserve"> in combination with </w:t>
      </w:r>
      <w:r w:rsidRPr="00BD7788">
        <w:t xml:space="preserve">ifosfamide, carboplatin, </w:t>
      </w:r>
      <w:r>
        <w:t xml:space="preserve">and </w:t>
      </w:r>
      <w:r w:rsidRPr="00BD7788">
        <w:t>etoposide</w:t>
      </w:r>
      <w:r>
        <w:t xml:space="preserve"> (R-ICE)</w:t>
      </w:r>
      <w:r w:rsidRPr="0098262F">
        <w:t>.</w:t>
      </w:r>
    </w:p>
    <w:p w14:paraId="208C0727" w14:textId="412099BC" w:rsidR="00502C90" w:rsidRDefault="00502C90" w:rsidP="00502C90">
      <w:pPr>
        <w:pStyle w:val="TableFigureHeading"/>
        <w:rPr>
          <w:rStyle w:val="CommentReference"/>
          <w:b/>
          <w:szCs w:val="24"/>
        </w:rPr>
      </w:pPr>
      <w:bookmarkStart w:id="2" w:name="_Ref219201533"/>
      <w:r w:rsidRPr="0098262F">
        <w:t xml:space="preserve">Table </w:t>
      </w:r>
      <w:r>
        <w:fldChar w:fldCharType="begin"/>
      </w:r>
      <w:r>
        <w:instrText>SEQ Table \* ARABIC</w:instrText>
      </w:r>
      <w:r>
        <w:fldChar w:fldCharType="separate"/>
      </w:r>
      <w:r w:rsidR="007D33FD">
        <w:rPr>
          <w:noProof/>
        </w:rPr>
        <w:t>1</w:t>
      </w:r>
      <w:r>
        <w:fldChar w:fldCharType="end"/>
      </w:r>
      <w:bookmarkEnd w:id="2"/>
      <w:r w:rsidRPr="0098262F">
        <w:t>:</w:t>
      </w:r>
      <w:r w:rsidRPr="0098262F">
        <w:rPr>
          <w:rStyle w:val="CommentReference"/>
          <w:b/>
          <w:szCs w:val="24"/>
        </w:rPr>
        <w:t xml:space="preserve">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8"/>
        <w:gridCol w:w="7488"/>
      </w:tblGrid>
      <w:tr w:rsidR="00502C90" w:rsidRPr="0098262F" w14:paraId="2B838BC0" w14:textId="77777777">
        <w:tc>
          <w:tcPr>
            <w:tcW w:w="1668" w:type="dxa"/>
            <w:vAlign w:val="center"/>
          </w:tcPr>
          <w:p w14:paraId="36FB2DB9" w14:textId="77777777" w:rsidR="00502C90" w:rsidRPr="0098262F" w:rsidRDefault="00502C90">
            <w:pPr>
              <w:pStyle w:val="In-tableHeading"/>
              <w:jc w:val="both"/>
              <w:rPr>
                <w:lang w:val="en-AU"/>
              </w:rPr>
            </w:pPr>
            <w:r w:rsidRPr="0098262F">
              <w:rPr>
                <w:lang w:val="en-AU"/>
              </w:rPr>
              <w:t>Component</w:t>
            </w:r>
          </w:p>
        </w:tc>
        <w:tc>
          <w:tcPr>
            <w:tcW w:w="7488" w:type="dxa"/>
            <w:vAlign w:val="center"/>
          </w:tcPr>
          <w:p w14:paraId="5D15E1C8" w14:textId="77777777" w:rsidR="00502C90" w:rsidRPr="0098262F" w:rsidRDefault="00502C90">
            <w:pPr>
              <w:pStyle w:val="In-tableHeading"/>
              <w:jc w:val="both"/>
              <w:rPr>
                <w:lang w:val="en-AU"/>
              </w:rPr>
            </w:pPr>
            <w:r w:rsidRPr="0098262F">
              <w:rPr>
                <w:lang w:val="en-AU"/>
              </w:rPr>
              <w:t>Description</w:t>
            </w:r>
          </w:p>
        </w:tc>
      </w:tr>
      <w:tr w:rsidR="00502C90" w:rsidRPr="0098262F" w14:paraId="0C9F9705" w14:textId="77777777">
        <w:tc>
          <w:tcPr>
            <w:tcW w:w="1668" w:type="dxa"/>
            <w:vAlign w:val="center"/>
          </w:tcPr>
          <w:p w14:paraId="70951346" w14:textId="77777777" w:rsidR="00502C90" w:rsidRPr="0098262F" w:rsidRDefault="00502C90">
            <w:pPr>
              <w:pStyle w:val="TableText0"/>
              <w:jc w:val="both"/>
            </w:pPr>
            <w:r w:rsidRPr="0098262F">
              <w:t>Population</w:t>
            </w:r>
          </w:p>
        </w:tc>
        <w:tc>
          <w:tcPr>
            <w:tcW w:w="7488" w:type="dxa"/>
            <w:vAlign w:val="center"/>
          </w:tcPr>
          <w:p w14:paraId="22114C0F" w14:textId="77777777" w:rsidR="00502C90" w:rsidRPr="0098262F" w:rsidRDefault="00502C90">
            <w:pPr>
              <w:pStyle w:val="TableText0"/>
              <w:jc w:val="both"/>
            </w:pPr>
            <w:r>
              <w:t>Adults with relapsed or refractory DLBCL who have received 2 or more prior lines of therapy</w:t>
            </w:r>
          </w:p>
        </w:tc>
      </w:tr>
      <w:tr w:rsidR="00502C90" w:rsidRPr="0098262F" w14:paraId="0A7D0422" w14:textId="77777777">
        <w:tc>
          <w:tcPr>
            <w:tcW w:w="1668" w:type="dxa"/>
            <w:vAlign w:val="center"/>
          </w:tcPr>
          <w:p w14:paraId="61715DCD" w14:textId="77777777" w:rsidR="00502C90" w:rsidRPr="0098262F" w:rsidRDefault="00502C90">
            <w:pPr>
              <w:pStyle w:val="TableText0"/>
              <w:jc w:val="both"/>
            </w:pPr>
            <w:r w:rsidRPr="0098262F">
              <w:t>Intervention</w:t>
            </w:r>
          </w:p>
        </w:tc>
        <w:tc>
          <w:tcPr>
            <w:tcW w:w="7488" w:type="dxa"/>
            <w:vAlign w:val="center"/>
          </w:tcPr>
          <w:p w14:paraId="55286A26" w14:textId="77777777" w:rsidR="00502C90" w:rsidRPr="0098262F" w:rsidRDefault="00502C90">
            <w:pPr>
              <w:pStyle w:val="TableText0"/>
              <w:jc w:val="both"/>
            </w:pPr>
            <w:r>
              <w:t>Loncastuximab tesirine</w:t>
            </w:r>
          </w:p>
        </w:tc>
      </w:tr>
      <w:tr w:rsidR="00502C90" w:rsidRPr="0098262F" w14:paraId="156A9E39" w14:textId="77777777">
        <w:tc>
          <w:tcPr>
            <w:tcW w:w="1668" w:type="dxa"/>
            <w:vAlign w:val="center"/>
          </w:tcPr>
          <w:p w14:paraId="79143509" w14:textId="77777777" w:rsidR="00502C90" w:rsidRPr="0098262F" w:rsidRDefault="00502C90">
            <w:pPr>
              <w:pStyle w:val="TableText0"/>
              <w:jc w:val="both"/>
            </w:pPr>
            <w:r w:rsidRPr="0098262F">
              <w:t>Comparator</w:t>
            </w:r>
          </w:p>
        </w:tc>
        <w:tc>
          <w:tcPr>
            <w:tcW w:w="7488" w:type="dxa"/>
            <w:vAlign w:val="center"/>
          </w:tcPr>
          <w:p w14:paraId="17438C50" w14:textId="77777777" w:rsidR="00502C90" w:rsidRPr="0098262F" w:rsidRDefault="00502C90">
            <w:pPr>
              <w:pStyle w:val="TableText0"/>
              <w:jc w:val="both"/>
            </w:pPr>
            <w:r>
              <w:t>R-ICE</w:t>
            </w:r>
          </w:p>
        </w:tc>
      </w:tr>
      <w:tr w:rsidR="00502C90" w:rsidRPr="0098262F" w14:paraId="20A56442" w14:textId="77777777">
        <w:tc>
          <w:tcPr>
            <w:tcW w:w="1668" w:type="dxa"/>
            <w:vAlign w:val="center"/>
          </w:tcPr>
          <w:p w14:paraId="3644BD49" w14:textId="77777777" w:rsidR="00502C90" w:rsidRPr="0098262F" w:rsidRDefault="00502C90">
            <w:pPr>
              <w:pStyle w:val="TableText0"/>
              <w:jc w:val="both"/>
            </w:pPr>
            <w:r w:rsidRPr="0098262F">
              <w:t>Outcomes</w:t>
            </w:r>
          </w:p>
        </w:tc>
        <w:tc>
          <w:tcPr>
            <w:tcW w:w="7488" w:type="dxa"/>
            <w:vAlign w:val="center"/>
          </w:tcPr>
          <w:p w14:paraId="061E656D" w14:textId="77777777" w:rsidR="00502C90" w:rsidRDefault="00502C90">
            <w:pPr>
              <w:pStyle w:val="TableText0"/>
              <w:jc w:val="both"/>
            </w:pPr>
            <w:r>
              <w:t>Overall response</w:t>
            </w:r>
          </w:p>
          <w:p w14:paraId="5725BA26" w14:textId="77777777" w:rsidR="00502C90" w:rsidRDefault="00502C90">
            <w:pPr>
              <w:pStyle w:val="TableText0"/>
              <w:jc w:val="both"/>
            </w:pPr>
            <w:r>
              <w:t>Overall survival</w:t>
            </w:r>
          </w:p>
          <w:p w14:paraId="5D631C72" w14:textId="77777777" w:rsidR="00502C90" w:rsidRDefault="00502C90">
            <w:pPr>
              <w:pStyle w:val="TableText0"/>
              <w:jc w:val="both"/>
            </w:pPr>
            <w:r>
              <w:t>Progression-free survival</w:t>
            </w:r>
          </w:p>
          <w:p w14:paraId="3E4716AF" w14:textId="77777777" w:rsidR="00502C90" w:rsidRDefault="00502C90">
            <w:pPr>
              <w:pStyle w:val="TableText0"/>
              <w:jc w:val="both"/>
            </w:pPr>
            <w:r>
              <w:t xml:space="preserve">Duration of response </w:t>
            </w:r>
          </w:p>
          <w:p w14:paraId="483E062C" w14:textId="77777777" w:rsidR="00502C90" w:rsidRDefault="00502C90">
            <w:pPr>
              <w:pStyle w:val="TableText0"/>
              <w:jc w:val="both"/>
            </w:pPr>
            <w:r>
              <w:t>Relapse-free survival</w:t>
            </w:r>
          </w:p>
          <w:p w14:paraId="0E7FB495" w14:textId="77777777" w:rsidR="00502C90" w:rsidRDefault="00502C90">
            <w:pPr>
              <w:pStyle w:val="TableText0"/>
              <w:jc w:val="both"/>
            </w:pPr>
            <w:r>
              <w:t>HRQoL</w:t>
            </w:r>
          </w:p>
          <w:p w14:paraId="543F6F80" w14:textId="77777777" w:rsidR="00502C90" w:rsidRPr="0098262F" w:rsidRDefault="00502C90">
            <w:pPr>
              <w:pStyle w:val="TableText0"/>
              <w:jc w:val="both"/>
            </w:pPr>
            <w:r>
              <w:t>Adverse events</w:t>
            </w:r>
          </w:p>
        </w:tc>
      </w:tr>
      <w:tr w:rsidR="00502C90" w:rsidRPr="0098262F" w14:paraId="0DF2446F" w14:textId="77777777">
        <w:tc>
          <w:tcPr>
            <w:tcW w:w="1668" w:type="dxa"/>
            <w:vAlign w:val="center"/>
          </w:tcPr>
          <w:p w14:paraId="0403FAE4" w14:textId="77777777" w:rsidR="00502C90" w:rsidRPr="0098262F" w:rsidRDefault="00502C90">
            <w:pPr>
              <w:pStyle w:val="TableText0"/>
              <w:jc w:val="both"/>
            </w:pPr>
            <w:r w:rsidRPr="0098262F">
              <w:t>Clinical claim</w:t>
            </w:r>
          </w:p>
        </w:tc>
        <w:tc>
          <w:tcPr>
            <w:tcW w:w="7488" w:type="dxa"/>
            <w:vAlign w:val="center"/>
          </w:tcPr>
          <w:p w14:paraId="27BCB82C" w14:textId="77777777" w:rsidR="00502C90" w:rsidRPr="0098262F" w:rsidRDefault="00502C90">
            <w:pPr>
              <w:pStyle w:val="TableText0"/>
              <w:jc w:val="both"/>
            </w:pPr>
            <w:r w:rsidRPr="00D01482">
              <w:t xml:space="preserve">In adults with </w:t>
            </w:r>
            <w:r>
              <w:t>relapsed or refractory</w:t>
            </w:r>
            <w:r w:rsidRPr="00D01482">
              <w:t xml:space="preserve"> DLBCL who have had at least 2 or more prior systemic therapies, loncastuximab tesirine is superior to mixed chemoimmunotherapy in terms of effectiveness and superior in terms of safety</w:t>
            </w:r>
            <w:r>
              <w:t xml:space="preserve">. </w:t>
            </w:r>
          </w:p>
        </w:tc>
      </w:tr>
    </w:tbl>
    <w:p w14:paraId="2237FEA3" w14:textId="77777777" w:rsidR="00502C90" w:rsidRDefault="00502C90" w:rsidP="00502C90">
      <w:pPr>
        <w:pStyle w:val="FooterTableFigure"/>
      </w:pPr>
      <w:r w:rsidRPr="0098262F">
        <w:t>Source: Table</w:t>
      </w:r>
      <w:r>
        <w:t xml:space="preserve"> 1-1, p17 of the </w:t>
      </w:r>
      <w:r w:rsidRPr="0098262F">
        <w:t>submission.</w:t>
      </w:r>
    </w:p>
    <w:p w14:paraId="5930826A" w14:textId="77777777" w:rsidR="00502C90" w:rsidRDefault="00502C90" w:rsidP="00502C90">
      <w:pPr>
        <w:pStyle w:val="FooterTableFigure"/>
      </w:pPr>
      <w:r>
        <w:t>DLBCL=diffuse large B-cell lymphoma; HRQoL=health-related quality of life; R-ICE=Rituximab-</w:t>
      </w:r>
      <w:r w:rsidRPr="007C636D">
        <w:t>ifosfamide, carboplatin, etoposide</w:t>
      </w:r>
    </w:p>
    <w:p w14:paraId="6B4AB6C2" w14:textId="7F01D731" w:rsidR="005C25FF" w:rsidRPr="0098262F" w:rsidRDefault="005C25FF" w:rsidP="004A6040">
      <w:pPr>
        <w:pStyle w:val="2-SectionHeading"/>
      </w:pPr>
      <w:bookmarkStart w:id="3" w:name="_Toc219880977"/>
      <w:r w:rsidRPr="0098262F">
        <w:t>Background</w:t>
      </w:r>
      <w:bookmarkEnd w:id="3"/>
    </w:p>
    <w:p w14:paraId="2C521D6D" w14:textId="78CF03EE" w:rsidR="005C25FF" w:rsidRPr="0098262F" w:rsidRDefault="005C25FF" w:rsidP="004A6040">
      <w:pPr>
        <w:pStyle w:val="4-SubsectionHeading"/>
      </w:pPr>
      <w:bookmarkStart w:id="4" w:name="_Toc22897638"/>
      <w:bookmarkStart w:id="5" w:name="_Toc219880978"/>
      <w:r w:rsidRPr="0098262F">
        <w:t>Registration status</w:t>
      </w:r>
      <w:bookmarkEnd w:id="4"/>
      <w:bookmarkEnd w:id="5"/>
    </w:p>
    <w:p w14:paraId="4040DEE9" w14:textId="00395914" w:rsidR="005D50B0" w:rsidRPr="005D50B0" w:rsidRDefault="00502C90" w:rsidP="004B207B">
      <w:pPr>
        <w:pStyle w:val="3-BodyText"/>
        <w:rPr>
          <w:i/>
          <w:iCs/>
        </w:rPr>
      </w:pPr>
      <w:r w:rsidRPr="0098262F">
        <w:t>The submission was made under the TGA/PBAC Parallel Process</w:t>
      </w:r>
      <w:r>
        <w:t xml:space="preserve">. </w:t>
      </w:r>
      <w:r w:rsidRPr="00C757F1">
        <w:t>An application for loncastuximab tesirine was submitted to the TGA on 28 February 2025</w:t>
      </w:r>
      <w:r w:rsidRPr="006C4820">
        <w:t xml:space="preserve">. At the time of evaluation for PBAC consideration, the clinical evaluation reports (round 1 and 2) were available. </w:t>
      </w:r>
      <w:r w:rsidR="00BF5B20">
        <w:t>At the time of PBAC consideration</w:t>
      </w:r>
      <w:r w:rsidR="00673DB1">
        <w:t xml:space="preserve">, the TGA Delegate’s Overview was available. The Delegate stated that they </w:t>
      </w:r>
      <w:r w:rsidR="001C096E">
        <w:t xml:space="preserve">proposed to provisionally approve </w:t>
      </w:r>
      <w:r w:rsidR="006724BC">
        <w:t xml:space="preserve">registration for the indication: </w:t>
      </w:r>
    </w:p>
    <w:p w14:paraId="3D954538" w14:textId="77777777" w:rsidR="00A16CE5" w:rsidRDefault="005D50B0" w:rsidP="002A3163">
      <w:pPr>
        <w:pStyle w:val="3-BodyText"/>
        <w:numPr>
          <w:ilvl w:val="0"/>
          <w:numId w:val="12"/>
        </w:numPr>
      </w:pPr>
      <w:r>
        <w:t>L</w:t>
      </w:r>
      <w:r w:rsidR="001A0C25">
        <w:t>oncastuximab tesirine is provisionally approved for the treatment of adult</w:t>
      </w:r>
      <w:r w:rsidR="004B207B">
        <w:t xml:space="preserve"> </w:t>
      </w:r>
      <w:r w:rsidR="00604851" w:rsidRPr="004B207B">
        <w:t xml:space="preserve">patients with relapsed or refractory diffuse large B-cell lymphoma after two or more lines of systemic therapy. </w:t>
      </w:r>
    </w:p>
    <w:p w14:paraId="064F7A54" w14:textId="30E4336A" w:rsidR="00A16CE5" w:rsidRDefault="005D50B0" w:rsidP="00A16CE5">
      <w:pPr>
        <w:pStyle w:val="3-BodyText"/>
        <w:numPr>
          <w:ilvl w:val="0"/>
          <w:numId w:val="0"/>
        </w:numPr>
        <w:ind w:left="1440"/>
      </w:pPr>
      <w:proofErr w:type="spellStart"/>
      <w:r>
        <w:lastRenderedPageBreak/>
        <w:t>Loncastuximab</w:t>
      </w:r>
      <w:proofErr w:type="spellEnd"/>
      <w:r>
        <w:t xml:space="preserve"> </w:t>
      </w:r>
      <w:proofErr w:type="spellStart"/>
      <w:r>
        <w:t>tesirine</w:t>
      </w:r>
      <w:proofErr w:type="spellEnd"/>
      <w:r>
        <w:t xml:space="preserve"> </w:t>
      </w:r>
      <w:r w:rsidR="00604851" w:rsidRPr="004B207B">
        <w:t xml:space="preserve">is not indicated for patients with primary central nervous system lymphoma. </w:t>
      </w:r>
    </w:p>
    <w:p w14:paraId="3F77C16A" w14:textId="5590A50D" w:rsidR="005F4E4F" w:rsidRPr="005D50B0" w:rsidRDefault="00604851" w:rsidP="005F4E4F">
      <w:pPr>
        <w:pStyle w:val="3-BodyText"/>
        <w:numPr>
          <w:ilvl w:val="0"/>
          <w:numId w:val="0"/>
        </w:numPr>
        <w:ind w:left="1440"/>
      </w:pPr>
      <w:r w:rsidRPr="004B207B">
        <w:t>The decision to approve this indication has been granted on the results from an open-label, uncontrolled Phase 2 study based on the overall response rate. Continued approval of this indication depends on verification and description of benefit in confirmatory trials.</w:t>
      </w:r>
    </w:p>
    <w:p w14:paraId="477AE8DB" w14:textId="76EB200D" w:rsidR="001E5513" w:rsidRDefault="00D7014E" w:rsidP="00502C90">
      <w:pPr>
        <w:pStyle w:val="3-BodyText"/>
      </w:pPr>
      <w:r>
        <w:t xml:space="preserve">The Delegate </w:t>
      </w:r>
      <w:r w:rsidR="007661A6">
        <w:t xml:space="preserve">stated that </w:t>
      </w:r>
      <w:r w:rsidR="00FA14AE">
        <w:t xml:space="preserve">the sponsor must conduct studies as described in the clinical study plan and that </w:t>
      </w:r>
      <w:r w:rsidR="007661A6">
        <w:t>study reports for ADCT-402-311 (LOTIS-5) should be submitted to the TGA for evaluation</w:t>
      </w:r>
      <w:r w:rsidR="00FA14AE">
        <w:t>.</w:t>
      </w:r>
      <w:r w:rsidR="00951268">
        <w:t xml:space="preserve"> LOT</w:t>
      </w:r>
      <w:r w:rsidR="00766C85">
        <w:t>IS-5 is the confirmatory study proposed by the sponsor.</w:t>
      </w:r>
      <w:r w:rsidR="008A194B">
        <w:t xml:space="preserve"> It is a phase 3 randomised study of loncastuximab tesirine combined with rituximab versus rituximab, gemc</w:t>
      </w:r>
      <w:r w:rsidR="00CC11AA">
        <w:t>itabine and oxaliplatin (R-</w:t>
      </w:r>
      <w:proofErr w:type="spellStart"/>
      <w:r w:rsidR="00CC11AA">
        <w:t>GemOx</w:t>
      </w:r>
      <w:proofErr w:type="spellEnd"/>
      <w:r w:rsidR="00CC11AA">
        <w:t xml:space="preserve">). </w:t>
      </w:r>
      <w:r w:rsidR="009D6255" w:rsidRPr="00F112A7">
        <w:t>Patients in LOTIS-5 needed to have R/R DLBCL following at least one prior systemic therapy (patients in LOTIS-2 had received at least two prior systemic therapies).</w:t>
      </w:r>
      <w:r w:rsidR="00975BE7">
        <w:t xml:space="preserve"> </w:t>
      </w:r>
      <w:r w:rsidR="001C41F7">
        <w:t xml:space="preserve">Table 12 of the Delegates Overview </w:t>
      </w:r>
      <w:r w:rsidR="00E12E50">
        <w:t xml:space="preserve">notes the estimated date for trial completion </w:t>
      </w:r>
      <w:r w:rsidR="00F777D2">
        <w:t xml:space="preserve">to be Q2 2026. </w:t>
      </w:r>
    </w:p>
    <w:p w14:paraId="189E4592" w14:textId="0AB11B8F" w:rsidR="00502C90" w:rsidRPr="006C4820" w:rsidRDefault="00502C90" w:rsidP="00502C90">
      <w:pPr>
        <w:pStyle w:val="3-BodyText"/>
      </w:pPr>
      <w:r w:rsidRPr="006C4820">
        <w:t xml:space="preserve">Loncastuximab tesirine was approved in the US, the UK and in Europe for the treatment of adult patients with R/R DLBCL and high-grade B-cell lymphoma (HGBL) after 2 or more lines of systemic therapy. The US Food and Drug Administration (FDA) continued approval for this indication may be contingent upon verification and description of clinical benefit in a confirmatory trial(s), while the European Medicines Agency (EMA) required the sponsor to provide further data on its long-term safety and on its safety and effectiveness in patients with B-cell lymphoma when used in combination with another cancer medicine. </w:t>
      </w:r>
    </w:p>
    <w:p w14:paraId="6C04DBB8" w14:textId="101424CE" w:rsidR="004C0CAE" w:rsidRPr="004C0CAE" w:rsidRDefault="004C0CAE" w:rsidP="004C0CAE">
      <w:pPr>
        <w:pStyle w:val="3-BodyText"/>
        <w:numPr>
          <w:ilvl w:val="0"/>
          <w:numId w:val="0"/>
        </w:numPr>
        <w:ind w:left="720"/>
        <w:rPr>
          <w:i/>
          <w:iCs/>
        </w:rPr>
      </w:pPr>
      <w:bookmarkStart w:id="6" w:name="_Hlk76375324"/>
      <w:r w:rsidRPr="004C0CAE">
        <w:rPr>
          <w:i/>
          <w:iCs/>
        </w:rPr>
        <w:t>For more detail on PBAC’s view, see section 7 PBAC outcome.</w:t>
      </w:r>
      <w:bookmarkEnd w:id="6"/>
    </w:p>
    <w:p w14:paraId="44B27798" w14:textId="77777777" w:rsidR="00502C90" w:rsidRDefault="00502C90" w:rsidP="00502C90">
      <w:pPr>
        <w:pStyle w:val="2-SectionHeading"/>
      </w:pPr>
      <w:bookmarkStart w:id="7" w:name="_Toc107902078"/>
      <w:bookmarkStart w:id="8" w:name="_Toc219124945"/>
      <w:bookmarkStart w:id="9" w:name="_Toc219880979"/>
      <w:bookmarkEnd w:id="7"/>
      <w:r w:rsidRPr="0098262F">
        <w:t>Requested listing</w:t>
      </w:r>
      <w:bookmarkEnd w:id="8"/>
      <w:bookmarkEnd w:id="9"/>
    </w:p>
    <w:p w14:paraId="2CC0144A" w14:textId="21691E8B" w:rsidR="0081556A" w:rsidRPr="000A2CB6" w:rsidRDefault="0080787C" w:rsidP="002A3163">
      <w:pPr>
        <w:pStyle w:val="3-BodyText"/>
      </w:pPr>
      <w:r w:rsidRPr="00F91542">
        <w:rPr>
          <w:rFonts w:cstheme="minorHAnsi"/>
          <w:iCs/>
        </w:rPr>
        <w:t>Suggestions and additions proposed by the Secretariat are added in italics and suggested deletions are crossed out with strikethrough</w:t>
      </w:r>
      <w:r>
        <w:rPr>
          <w:rFonts w:cstheme="minorHAnsi"/>
          <w:iCs/>
        </w:rPr>
        <w:t>.</w:t>
      </w:r>
    </w:p>
    <w:p w14:paraId="3771FF3A" w14:textId="77777777" w:rsidR="000A2CB6" w:rsidRPr="001C31D6" w:rsidRDefault="000A2CB6" w:rsidP="000035AF">
      <w:pPr>
        <w:pStyle w:val="Heading2"/>
        <w:keepNext/>
        <w:rPr>
          <w:i w:val="0"/>
          <w:sz w:val="24"/>
        </w:rPr>
      </w:pPr>
      <w:r w:rsidRPr="001C31D6">
        <w:rPr>
          <w:i w:val="0"/>
          <w:sz w:val="24"/>
        </w:rPr>
        <w:lastRenderedPageBreak/>
        <w:t>Initial (induction) treatment phase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Initial (induction) treatment phase"/>
      </w:tblPr>
      <w:tblGrid>
        <w:gridCol w:w="562"/>
        <w:gridCol w:w="708"/>
        <w:gridCol w:w="1133"/>
        <w:gridCol w:w="2056"/>
        <w:gridCol w:w="2056"/>
        <w:gridCol w:w="1416"/>
        <w:gridCol w:w="1086"/>
      </w:tblGrid>
      <w:tr w:rsidR="00257346" w:rsidRPr="001E7A47" w14:paraId="2EBB115D" w14:textId="77777777" w:rsidTr="00257346">
        <w:trPr>
          <w:cantSplit/>
          <w:trHeight w:val="20"/>
        </w:trPr>
        <w:tc>
          <w:tcPr>
            <w:tcW w:w="1333" w:type="pct"/>
            <w:gridSpan w:val="3"/>
            <w:vAlign w:val="center"/>
          </w:tcPr>
          <w:p w14:paraId="2B5937CD" w14:textId="77777777" w:rsidR="00257346" w:rsidRPr="001E7A47" w:rsidRDefault="00257346" w:rsidP="000035AF">
            <w:pPr>
              <w:keepNext/>
              <w:rPr>
                <w:rFonts w:ascii="Arial Narrow" w:hAnsi="Arial Narrow"/>
                <w:b/>
                <w:bCs/>
                <w:sz w:val="20"/>
                <w:szCs w:val="20"/>
              </w:rPr>
            </w:pPr>
            <w:r w:rsidRPr="001E7A47">
              <w:rPr>
                <w:rFonts w:ascii="Arial Narrow" w:hAnsi="Arial Narrow"/>
                <w:b/>
                <w:bCs/>
                <w:sz w:val="20"/>
                <w:szCs w:val="20"/>
              </w:rPr>
              <w:t>MEDICINAL PRODUCT</w:t>
            </w:r>
          </w:p>
          <w:p w14:paraId="18BE8440" w14:textId="77777777" w:rsidR="00257346" w:rsidRPr="001E7A47" w:rsidRDefault="00257346" w:rsidP="000035AF">
            <w:pPr>
              <w:keepNext/>
              <w:rPr>
                <w:rFonts w:ascii="Arial Narrow" w:hAnsi="Arial Narrow"/>
                <w:b/>
                <w:sz w:val="20"/>
                <w:szCs w:val="20"/>
              </w:rPr>
            </w:pPr>
            <w:r w:rsidRPr="001E7A47">
              <w:rPr>
                <w:rFonts w:ascii="Arial Narrow" w:hAnsi="Arial Narrow"/>
                <w:b/>
                <w:sz w:val="20"/>
                <w:szCs w:val="20"/>
              </w:rPr>
              <w:t>Form</w:t>
            </w:r>
          </w:p>
        </w:tc>
        <w:tc>
          <w:tcPr>
            <w:tcW w:w="1140" w:type="pct"/>
            <w:vAlign w:val="center"/>
          </w:tcPr>
          <w:p w14:paraId="4E789892" w14:textId="02331225" w:rsidR="00257346" w:rsidRPr="001E7A47" w:rsidRDefault="00257346" w:rsidP="000035AF">
            <w:pPr>
              <w:keepNext/>
              <w:jc w:val="center"/>
              <w:rPr>
                <w:rFonts w:ascii="Arial Narrow" w:hAnsi="Arial Narrow"/>
                <w:b/>
                <w:sz w:val="20"/>
                <w:szCs w:val="20"/>
              </w:rPr>
            </w:pPr>
            <w:r>
              <w:rPr>
                <w:rFonts w:ascii="Arial Narrow" w:hAnsi="Arial Narrow"/>
                <w:b/>
                <w:sz w:val="20"/>
                <w:szCs w:val="20"/>
              </w:rPr>
              <w:t>Dispensed Price Max. Amount</w:t>
            </w:r>
          </w:p>
        </w:tc>
        <w:tc>
          <w:tcPr>
            <w:tcW w:w="1140" w:type="pct"/>
            <w:vAlign w:val="center"/>
          </w:tcPr>
          <w:p w14:paraId="5FE43762" w14:textId="3285046D" w:rsidR="00257346" w:rsidRPr="001E7A47" w:rsidRDefault="00257346" w:rsidP="000035AF">
            <w:pPr>
              <w:keepNext/>
              <w:jc w:val="center"/>
              <w:rPr>
                <w:rFonts w:ascii="Arial Narrow" w:hAnsi="Arial Narrow"/>
                <w:b/>
                <w:sz w:val="20"/>
                <w:szCs w:val="20"/>
              </w:rPr>
            </w:pPr>
            <w:r w:rsidRPr="001E7A47">
              <w:rPr>
                <w:rFonts w:ascii="Arial Narrow" w:hAnsi="Arial Narrow"/>
                <w:b/>
                <w:sz w:val="20"/>
                <w:szCs w:val="20"/>
              </w:rPr>
              <w:t>PBS item code</w:t>
            </w:r>
          </w:p>
        </w:tc>
        <w:tc>
          <w:tcPr>
            <w:tcW w:w="785" w:type="pct"/>
            <w:vAlign w:val="center"/>
          </w:tcPr>
          <w:p w14:paraId="512D83EA" w14:textId="77777777" w:rsidR="00257346" w:rsidRPr="001E7A47" w:rsidRDefault="00257346" w:rsidP="000035AF">
            <w:pPr>
              <w:keepNext/>
              <w:jc w:val="center"/>
              <w:rPr>
                <w:rFonts w:ascii="Arial Narrow" w:hAnsi="Arial Narrow"/>
                <w:b/>
                <w:sz w:val="20"/>
                <w:szCs w:val="20"/>
              </w:rPr>
            </w:pPr>
            <w:r w:rsidRPr="001E7A47">
              <w:rPr>
                <w:rFonts w:ascii="Arial Narrow" w:hAnsi="Arial Narrow"/>
                <w:b/>
                <w:sz w:val="20"/>
                <w:szCs w:val="20"/>
              </w:rPr>
              <w:t>Max. Amount</w:t>
            </w:r>
          </w:p>
        </w:tc>
        <w:tc>
          <w:tcPr>
            <w:tcW w:w="601" w:type="pct"/>
            <w:vAlign w:val="center"/>
          </w:tcPr>
          <w:p w14:paraId="5A2A95A0" w14:textId="77777777" w:rsidR="00257346" w:rsidRPr="001E7A47" w:rsidRDefault="00257346" w:rsidP="000035AF">
            <w:pPr>
              <w:keepNext/>
              <w:jc w:val="center"/>
              <w:rPr>
                <w:rFonts w:ascii="Arial Narrow" w:hAnsi="Arial Narrow"/>
                <w:b/>
                <w:sz w:val="20"/>
                <w:szCs w:val="20"/>
              </w:rPr>
            </w:pPr>
            <w:r w:rsidRPr="001E7A47">
              <w:rPr>
                <w:rFonts w:ascii="Arial Narrow" w:hAnsi="Arial Narrow"/>
                <w:b/>
                <w:sz w:val="20"/>
                <w:szCs w:val="20"/>
              </w:rPr>
              <w:t>№.of Rpts</w:t>
            </w:r>
          </w:p>
        </w:tc>
      </w:tr>
      <w:tr w:rsidR="00257346" w:rsidRPr="001E7A47" w14:paraId="529D2F36" w14:textId="77777777" w:rsidTr="00B16BC6">
        <w:trPr>
          <w:cantSplit/>
          <w:trHeight w:val="20"/>
        </w:trPr>
        <w:tc>
          <w:tcPr>
            <w:tcW w:w="1333" w:type="pct"/>
            <w:gridSpan w:val="3"/>
            <w:vAlign w:val="center"/>
          </w:tcPr>
          <w:p w14:paraId="5995E863" w14:textId="77777777" w:rsidR="00257346" w:rsidRPr="001E7A47" w:rsidRDefault="00257346" w:rsidP="000035AF">
            <w:pPr>
              <w:keepNext/>
              <w:rPr>
                <w:rFonts w:ascii="Arial Narrow" w:hAnsi="Arial Narrow"/>
                <w:sz w:val="20"/>
                <w:szCs w:val="20"/>
              </w:rPr>
            </w:pPr>
            <w:r w:rsidRPr="001E7A47">
              <w:rPr>
                <w:rFonts w:ascii="Arial Narrow" w:hAnsi="Arial Narrow"/>
                <w:sz w:val="20"/>
                <w:szCs w:val="20"/>
              </w:rPr>
              <w:t>LONCASTXIMAB TESIRINE</w:t>
            </w:r>
            <w:r w:rsidRPr="001E7A47">
              <w:rPr>
                <w:rFonts w:ascii="Arial Narrow" w:hAnsi="Arial Narrow"/>
                <w:sz w:val="20"/>
                <w:szCs w:val="20"/>
              </w:rPr>
              <w:br/>
            </w:r>
            <w:r w:rsidRPr="001E7A47">
              <w:rPr>
                <w:rFonts w:ascii="Arial Narrow" w:hAnsi="Arial Narrow" w:cs="Arial Narrow"/>
                <w:sz w:val="20"/>
                <w:szCs w:val="20"/>
              </w:rPr>
              <w:t>Injection</w:t>
            </w:r>
          </w:p>
        </w:tc>
        <w:tc>
          <w:tcPr>
            <w:tcW w:w="1140" w:type="pct"/>
            <w:vAlign w:val="center"/>
          </w:tcPr>
          <w:p w14:paraId="415AFF9D" w14:textId="4FB139A1" w:rsidR="00B16BC6" w:rsidRPr="00B16BC6" w:rsidRDefault="00B16BC6" w:rsidP="000035AF">
            <w:pPr>
              <w:pStyle w:val="TableText0"/>
              <w:jc w:val="center"/>
              <w:rPr>
                <w:rFonts w:eastAsia="Times New Roman" w:cs="Arial"/>
                <w:bCs w:val="0"/>
                <w:szCs w:val="20"/>
              </w:rPr>
            </w:pPr>
            <w:r w:rsidRPr="00B16BC6">
              <w:rPr>
                <w:rFonts w:eastAsia="Times New Roman" w:cs="Arial"/>
                <w:bCs w:val="0"/>
                <w:szCs w:val="20"/>
              </w:rPr>
              <w:t>$</w:t>
            </w:r>
            <w:r w:rsidR="005822E1" w:rsidRPr="005822E1">
              <w:rPr>
                <w:rFonts w:eastAsia="Times New Roman" w:cs="Arial"/>
                <w:bCs w:val="0"/>
                <w:sz w:val="2"/>
                <w:szCs w:val="20"/>
                <w:highlight w:val="black"/>
              </w:rPr>
              <w:t>redacted content</w:t>
            </w:r>
            <w:r w:rsidRPr="00B16BC6">
              <w:rPr>
                <w:rFonts w:eastAsia="Times New Roman" w:cs="Arial"/>
                <w:bCs w:val="0"/>
                <w:szCs w:val="20"/>
              </w:rPr>
              <w:t xml:space="preserve"> private</w:t>
            </w:r>
          </w:p>
          <w:p w14:paraId="75F8F6FE" w14:textId="656EB4B8" w:rsidR="00257346" w:rsidRPr="001E7A47" w:rsidRDefault="00B16BC6" w:rsidP="000035AF">
            <w:pPr>
              <w:keepNext/>
              <w:jc w:val="center"/>
              <w:rPr>
                <w:rFonts w:ascii="Arial Narrow" w:hAnsi="Arial Narrow"/>
                <w:sz w:val="20"/>
                <w:szCs w:val="20"/>
              </w:rPr>
            </w:pPr>
            <w:r w:rsidRPr="00B16BC6">
              <w:rPr>
                <w:rFonts w:ascii="Arial Narrow" w:hAnsi="Arial Narrow"/>
                <w:sz w:val="20"/>
                <w:szCs w:val="20"/>
              </w:rPr>
              <w:t>$</w:t>
            </w:r>
            <w:r w:rsidR="005822E1" w:rsidRPr="005822E1">
              <w:rPr>
                <w:rFonts w:ascii="Arial Narrow" w:hAnsi="Arial Narrow"/>
                <w:sz w:val="2"/>
                <w:szCs w:val="20"/>
                <w:highlight w:val="black"/>
              </w:rPr>
              <w:t>redacted content</w:t>
            </w:r>
            <w:r w:rsidRPr="00B16BC6">
              <w:rPr>
                <w:rFonts w:ascii="Arial Narrow" w:hAnsi="Arial Narrow"/>
                <w:sz w:val="20"/>
                <w:szCs w:val="20"/>
              </w:rPr>
              <w:t xml:space="preserve"> public</w:t>
            </w:r>
          </w:p>
        </w:tc>
        <w:tc>
          <w:tcPr>
            <w:tcW w:w="1140" w:type="pct"/>
            <w:vAlign w:val="center"/>
          </w:tcPr>
          <w:p w14:paraId="6701025E" w14:textId="1C0A7511" w:rsidR="00257346" w:rsidRPr="001E7A47" w:rsidRDefault="00257346" w:rsidP="000035AF">
            <w:pPr>
              <w:keepNext/>
              <w:jc w:val="center"/>
              <w:rPr>
                <w:rFonts w:ascii="Arial Narrow" w:hAnsi="Arial Narrow"/>
                <w:sz w:val="20"/>
                <w:szCs w:val="20"/>
              </w:rPr>
            </w:pPr>
            <w:r w:rsidRPr="001E7A47">
              <w:rPr>
                <w:rFonts w:ascii="Arial Narrow" w:hAnsi="Arial Narrow"/>
                <w:sz w:val="20"/>
                <w:szCs w:val="20"/>
              </w:rPr>
              <w:t>NEW (Public)</w:t>
            </w:r>
            <w:r w:rsidRPr="001E7A47">
              <w:rPr>
                <w:rFonts w:ascii="Arial Narrow" w:hAnsi="Arial Narrow"/>
                <w:sz w:val="20"/>
                <w:szCs w:val="20"/>
              </w:rPr>
              <w:br/>
              <w:t>NEW (Private)</w:t>
            </w:r>
          </w:p>
        </w:tc>
        <w:tc>
          <w:tcPr>
            <w:tcW w:w="785" w:type="pct"/>
            <w:vAlign w:val="center"/>
          </w:tcPr>
          <w:p w14:paraId="2CC4B946" w14:textId="77777777" w:rsidR="00257346" w:rsidRPr="001E7A47" w:rsidRDefault="00257346" w:rsidP="000035AF">
            <w:pPr>
              <w:keepNext/>
              <w:jc w:val="center"/>
              <w:rPr>
                <w:rFonts w:ascii="Arial Narrow" w:hAnsi="Arial Narrow"/>
                <w:sz w:val="20"/>
                <w:szCs w:val="20"/>
              </w:rPr>
            </w:pPr>
            <w:r w:rsidRPr="001E7A47">
              <w:rPr>
                <w:rFonts w:ascii="Arial Narrow" w:hAnsi="Arial Narrow"/>
                <w:sz w:val="20"/>
                <w:szCs w:val="20"/>
              </w:rPr>
              <w:t>20 mg</w:t>
            </w:r>
          </w:p>
        </w:tc>
        <w:tc>
          <w:tcPr>
            <w:tcW w:w="601" w:type="pct"/>
            <w:vAlign w:val="center"/>
          </w:tcPr>
          <w:p w14:paraId="12048634" w14:textId="77777777" w:rsidR="00257346" w:rsidRPr="001E7A47" w:rsidRDefault="00257346" w:rsidP="000035AF">
            <w:pPr>
              <w:keepNext/>
              <w:jc w:val="center"/>
              <w:rPr>
                <w:rFonts w:ascii="Arial Narrow" w:hAnsi="Arial Narrow"/>
                <w:sz w:val="20"/>
                <w:szCs w:val="20"/>
              </w:rPr>
            </w:pPr>
            <w:r w:rsidRPr="001E7A47">
              <w:rPr>
                <w:rFonts w:ascii="Arial Narrow" w:hAnsi="Arial Narrow"/>
                <w:strike/>
                <w:sz w:val="20"/>
                <w:szCs w:val="20"/>
              </w:rPr>
              <w:t>2</w:t>
            </w:r>
            <w:r w:rsidRPr="001E7A47">
              <w:rPr>
                <w:rFonts w:ascii="Arial Narrow" w:hAnsi="Arial Narrow"/>
                <w:sz w:val="20"/>
                <w:szCs w:val="20"/>
              </w:rPr>
              <w:t xml:space="preserve"> </w:t>
            </w:r>
            <w:r w:rsidRPr="001E7A47">
              <w:rPr>
                <w:rFonts w:ascii="Arial Narrow" w:hAnsi="Arial Narrow"/>
                <w:i/>
                <w:iCs/>
                <w:sz w:val="20"/>
                <w:szCs w:val="20"/>
              </w:rPr>
              <w:t>1</w:t>
            </w:r>
          </w:p>
        </w:tc>
      </w:tr>
      <w:tr w:rsidR="000A2CB6" w:rsidRPr="001E7A47" w14:paraId="0B938087" w14:textId="77777777">
        <w:trPr>
          <w:cantSplit/>
          <w:trHeight w:val="20"/>
        </w:trPr>
        <w:tc>
          <w:tcPr>
            <w:tcW w:w="5000" w:type="pct"/>
            <w:gridSpan w:val="7"/>
            <w:vAlign w:val="center"/>
          </w:tcPr>
          <w:p w14:paraId="73291EE7" w14:textId="77777777" w:rsidR="000A2CB6" w:rsidRPr="001E7A47" w:rsidRDefault="000A2CB6" w:rsidP="000035AF">
            <w:pPr>
              <w:keepNext/>
              <w:rPr>
                <w:rFonts w:ascii="Arial Narrow" w:hAnsi="Arial Narrow"/>
                <w:b/>
                <w:sz w:val="20"/>
                <w:szCs w:val="20"/>
              </w:rPr>
            </w:pPr>
            <w:r w:rsidRPr="001E7A47">
              <w:rPr>
                <w:rFonts w:ascii="Arial Narrow" w:hAnsi="Arial Narrow"/>
                <w:b/>
                <w:sz w:val="20"/>
                <w:szCs w:val="20"/>
              </w:rPr>
              <w:t xml:space="preserve">Available brands </w:t>
            </w:r>
          </w:p>
        </w:tc>
      </w:tr>
      <w:tr w:rsidR="000A2CB6" w:rsidRPr="001E7A47" w14:paraId="78CB685C" w14:textId="77777777">
        <w:trPr>
          <w:cantSplit/>
          <w:trHeight w:val="20"/>
        </w:trPr>
        <w:tc>
          <w:tcPr>
            <w:tcW w:w="5000" w:type="pct"/>
            <w:gridSpan w:val="7"/>
            <w:vAlign w:val="center"/>
          </w:tcPr>
          <w:p w14:paraId="34B67138" w14:textId="77777777" w:rsidR="000A2CB6" w:rsidRPr="001E7A47" w:rsidRDefault="000A2CB6" w:rsidP="000035AF">
            <w:pPr>
              <w:keepNext/>
              <w:rPr>
                <w:rFonts w:ascii="Arial Narrow" w:hAnsi="Arial Narrow"/>
                <w:sz w:val="20"/>
                <w:szCs w:val="20"/>
              </w:rPr>
            </w:pPr>
            <w:r w:rsidRPr="001E7A47">
              <w:rPr>
                <w:rFonts w:ascii="Arial Narrow" w:hAnsi="Arial Narrow"/>
                <w:sz w:val="20"/>
                <w:szCs w:val="20"/>
              </w:rPr>
              <w:t>Zynlonta</w:t>
            </w:r>
          </w:p>
          <w:p w14:paraId="56223155" w14:textId="77777777" w:rsidR="000A2CB6" w:rsidRPr="001E7A47" w:rsidRDefault="000A2CB6" w:rsidP="000035AF">
            <w:pPr>
              <w:keepNext/>
              <w:rPr>
                <w:rFonts w:ascii="Arial Narrow" w:hAnsi="Arial Narrow"/>
                <w:sz w:val="20"/>
                <w:szCs w:val="20"/>
              </w:rPr>
            </w:pPr>
            <w:r w:rsidRPr="001E7A47">
              <w:rPr>
                <w:rFonts w:ascii="Arial Narrow" w:hAnsi="Arial Narrow"/>
                <w:sz w:val="20"/>
                <w:szCs w:val="20"/>
              </w:rPr>
              <w:t>loncastuximab tesirine 10 mg/2 mL, 2mL vial</w:t>
            </w:r>
          </w:p>
        </w:tc>
      </w:tr>
      <w:tr w:rsidR="000A2CB6" w:rsidRPr="001E7A47" w14:paraId="097A5591" w14:textId="77777777">
        <w:trPr>
          <w:cantSplit/>
          <w:trHeight w:val="20"/>
        </w:trPr>
        <w:tc>
          <w:tcPr>
            <w:tcW w:w="5000" w:type="pct"/>
            <w:gridSpan w:val="7"/>
            <w:vAlign w:val="center"/>
          </w:tcPr>
          <w:p w14:paraId="2E6F9380" w14:textId="77777777" w:rsidR="000A2CB6" w:rsidRPr="001E7A47" w:rsidRDefault="000A2CB6" w:rsidP="000035AF">
            <w:pPr>
              <w:keepNext/>
              <w:rPr>
                <w:rFonts w:ascii="Arial Narrow" w:hAnsi="Arial Narrow"/>
                <w:sz w:val="20"/>
                <w:szCs w:val="20"/>
              </w:rPr>
            </w:pPr>
            <w:r w:rsidRPr="001E7A47">
              <w:rPr>
                <w:rFonts w:ascii="Arial Narrow" w:hAnsi="Arial Narrow"/>
                <w:b/>
                <w:sz w:val="20"/>
                <w:szCs w:val="20"/>
              </w:rPr>
              <w:t>Restriction Summary 16467 / Treatment of Concept: 16405</w:t>
            </w:r>
          </w:p>
        </w:tc>
      </w:tr>
      <w:tr w:rsidR="000A2CB6" w:rsidRPr="001E7A47" w14:paraId="16B69A8D"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Merge w:val="restart"/>
          </w:tcPr>
          <w:p w14:paraId="35315AC4" w14:textId="77777777" w:rsidR="000A2CB6" w:rsidRPr="001E7A47" w:rsidRDefault="000A2CB6" w:rsidP="000035AF">
            <w:pPr>
              <w:keepNext/>
              <w:jc w:val="center"/>
              <w:rPr>
                <w:rFonts w:ascii="Arial Narrow" w:hAnsi="Arial Narrow"/>
                <w:b/>
                <w:sz w:val="20"/>
                <w:szCs w:val="20"/>
              </w:rPr>
            </w:pPr>
            <w:r w:rsidRPr="001E7A47">
              <w:rPr>
                <w:rFonts w:ascii="Arial Narrow" w:hAnsi="Arial Narrow"/>
                <w:b/>
                <w:sz w:val="20"/>
                <w:szCs w:val="20"/>
              </w:rPr>
              <w:t xml:space="preserve">Concept ID </w:t>
            </w:r>
            <w:r w:rsidRPr="001E7A47">
              <w:rPr>
                <w:rFonts w:ascii="Arial Narrow" w:hAnsi="Arial Narrow"/>
                <w:sz w:val="20"/>
                <w:szCs w:val="20"/>
              </w:rPr>
              <w:t>(for internal Dept. use)</w:t>
            </w:r>
          </w:p>
        </w:tc>
        <w:tc>
          <w:tcPr>
            <w:tcW w:w="4296" w:type="pct"/>
            <w:gridSpan w:val="5"/>
          </w:tcPr>
          <w:p w14:paraId="4173E8CB" w14:textId="77777777" w:rsidR="000A2CB6" w:rsidRPr="001E7A47" w:rsidRDefault="000A2CB6" w:rsidP="000035AF">
            <w:pPr>
              <w:keepNext/>
              <w:rPr>
                <w:rFonts w:ascii="Arial Narrow" w:hAnsi="Arial Narrow"/>
                <w:sz w:val="20"/>
                <w:szCs w:val="20"/>
              </w:rPr>
            </w:pPr>
            <w:r w:rsidRPr="001E7A47">
              <w:rPr>
                <w:rFonts w:ascii="Arial Narrow" w:hAnsi="Arial Narrow"/>
                <w:b/>
                <w:sz w:val="20"/>
                <w:szCs w:val="20"/>
              </w:rPr>
              <w:t xml:space="preserve">Category / Program: </w:t>
            </w:r>
            <w:r w:rsidRPr="001E7A47">
              <w:rPr>
                <w:rFonts w:ascii="Arial Narrow" w:hAnsi="Arial Narrow"/>
                <w:sz w:val="20"/>
                <w:szCs w:val="20"/>
              </w:rPr>
              <w:t>Section 100 – Efficient Funding of Chemotherapy Public/Private hospitals</w:t>
            </w:r>
          </w:p>
        </w:tc>
      </w:tr>
      <w:tr w:rsidR="000A2CB6" w:rsidRPr="001E7A47" w14:paraId="5B8F62C2"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Merge/>
          </w:tcPr>
          <w:p w14:paraId="7653CECA" w14:textId="77777777" w:rsidR="000A2CB6" w:rsidRPr="001E7A47" w:rsidRDefault="000A2CB6" w:rsidP="000035AF">
            <w:pPr>
              <w:keepNext/>
              <w:rPr>
                <w:rFonts w:ascii="Arial Narrow" w:hAnsi="Arial Narrow"/>
                <w:sz w:val="20"/>
                <w:szCs w:val="20"/>
              </w:rPr>
            </w:pPr>
          </w:p>
        </w:tc>
        <w:tc>
          <w:tcPr>
            <w:tcW w:w="4296" w:type="pct"/>
            <w:gridSpan w:val="5"/>
          </w:tcPr>
          <w:p w14:paraId="083104BC" w14:textId="77777777" w:rsidR="000A2CB6" w:rsidRPr="001E7A47" w:rsidRDefault="000A2CB6" w:rsidP="000035AF">
            <w:pPr>
              <w:keepNext/>
              <w:rPr>
                <w:rFonts w:ascii="Arial Narrow" w:hAnsi="Arial Narrow"/>
                <w:b/>
                <w:sz w:val="20"/>
                <w:szCs w:val="20"/>
              </w:rPr>
            </w:pPr>
            <w:r w:rsidRPr="001E7A47">
              <w:rPr>
                <w:rFonts w:ascii="Arial Narrow" w:hAnsi="Arial Narrow"/>
                <w:b/>
                <w:sz w:val="20"/>
                <w:szCs w:val="20"/>
              </w:rPr>
              <w:t xml:space="preserve">Prescriber type: </w:t>
            </w:r>
            <w:r w:rsidRPr="001E7A47">
              <w:rPr>
                <w:rFonts w:ascii="Arial Narrow" w:hAnsi="Arial Narrow"/>
                <w:sz w:val="20"/>
                <w:szCs w:val="20"/>
              </w:rPr>
              <w:fldChar w:fldCharType="begin">
                <w:ffData>
                  <w:name w:val=""/>
                  <w:enabled/>
                  <w:calcOnExit w:val="0"/>
                  <w:checkBox>
                    <w:sizeAuto/>
                    <w:default w:val="1"/>
                  </w:checkBox>
                </w:ffData>
              </w:fldChar>
            </w:r>
            <w:r w:rsidRPr="001E7A47">
              <w:rPr>
                <w:rFonts w:ascii="Arial Narrow" w:hAnsi="Arial Narrow"/>
                <w:sz w:val="20"/>
                <w:szCs w:val="20"/>
              </w:rPr>
              <w:instrText xml:space="preserve"> FORMCHECKBOX </w:instrText>
            </w:r>
            <w:r w:rsidRPr="001E7A47">
              <w:rPr>
                <w:rFonts w:ascii="Arial Narrow" w:hAnsi="Arial Narrow"/>
                <w:sz w:val="20"/>
                <w:szCs w:val="20"/>
              </w:rPr>
            </w:r>
            <w:r w:rsidRPr="001E7A47">
              <w:rPr>
                <w:rFonts w:ascii="Arial Narrow" w:hAnsi="Arial Narrow"/>
                <w:sz w:val="20"/>
                <w:szCs w:val="20"/>
              </w:rPr>
              <w:fldChar w:fldCharType="separate"/>
            </w:r>
            <w:r w:rsidRPr="001E7A47">
              <w:rPr>
                <w:rFonts w:ascii="Arial Narrow" w:hAnsi="Arial Narrow"/>
                <w:sz w:val="20"/>
                <w:szCs w:val="20"/>
              </w:rPr>
              <w:fldChar w:fldCharType="end"/>
            </w:r>
            <w:r w:rsidRPr="001E7A47">
              <w:rPr>
                <w:rFonts w:ascii="Arial Narrow" w:hAnsi="Arial Narrow"/>
                <w:sz w:val="20"/>
                <w:szCs w:val="20"/>
              </w:rPr>
              <w:t xml:space="preserve">Medical Practitioners </w:t>
            </w:r>
            <w:r w:rsidRPr="001E7A47">
              <w:rPr>
                <w:rFonts w:ascii="Arial Narrow" w:hAnsi="Arial Narrow"/>
                <w:strike/>
                <w:sz w:val="20"/>
                <w:szCs w:val="20"/>
              </w:rPr>
              <w:fldChar w:fldCharType="begin">
                <w:ffData>
                  <w:name w:val=""/>
                  <w:enabled/>
                  <w:calcOnExit w:val="0"/>
                  <w:checkBox>
                    <w:sizeAuto/>
                    <w:default w:val="1"/>
                  </w:checkBox>
                </w:ffData>
              </w:fldChar>
            </w:r>
            <w:r w:rsidRPr="001E7A47">
              <w:rPr>
                <w:rFonts w:ascii="Arial Narrow" w:hAnsi="Arial Narrow"/>
                <w:strike/>
                <w:sz w:val="20"/>
                <w:szCs w:val="20"/>
              </w:rPr>
              <w:instrText xml:space="preserve"> FORMCHECKBOX </w:instrText>
            </w:r>
            <w:r w:rsidRPr="001E7A47">
              <w:rPr>
                <w:rFonts w:ascii="Arial Narrow" w:hAnsi="Arial Narrow"/>
                <w:strike/>
                <w:sz w:val="20"/>
                <w:szCs w:val="20"/>
              </w:rPr>
            </w:r>
            <w:r w:rsidRPr="001E7A47">
              <w:rPr>
                <w:rFonts w:ascii="Arial Narrow" w:hAnsi="Arial Narrow"/>
                <w:strike/>
                <w:sz w:val="20"/>
                <w:szCs w:val="20"/>
              </w:rPr>
              <w:fldChar w:fldCharType="separate"/>
            </w:r>
            <w:r w:rsidRPr="001E7A47">
              <w:rPr>
                <w:rFonts w:ascii="Arial Narrow" w:hAnsi="Arial Narrow"/>
                <w:strike/>
                <w:sz w:val="20"/>
                <w:szCs w:val="20"/>
              </w:rPr>
              <w:fldChar w:fldCharType="end"/>
            </w:r>
            <w:r w:rsidRPr="001E7A47">
              <w:rPr>
                <w:rFonts w:ascii="Arial Narrow" w:hAnsi="Arial Narrow"/>
                <w:strike/>
                <w:sz w:val="20"/>
                <w:szCs w:val="20"/>
              </w:rPr>
              <w:t>Optometrists</w:t>
            </w:r>
          </w:p>
        </w:tc>
      </w:tr>
      <w:tr w:rsidR="000A2CB6" w:rsidRPr="001E7A47" w14:paraId="013D3706"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Merge/>
          </w:tcPr>
          <w:p w14:paraId="26CC8ABD" w14:textId="77777777" w:rsidR="000A2CB6" w:rsidRPr="001E7A47" w:rsidRDefault="000A2CB6" w:rsidP="000035AF">
            <w:pPr>
              <w:keepNext/>
              <w:rPr>
                <w:rFonts w:ascii="Arial Narrow" w:hAnsi="Arial Narrow"/>
                <w:sz w:val="20"/>
                <w:szCs w:val="20"/>
              </w:rPr>
            </w:pPr>
          </w:p>
        </w:tc>
        <w:tc>
          <w:tcPr>
            <w:tcW w:w="4296" w:type="pct"/>
            <w:gridSpan w:val="5"/>
          </w:tcPr>
          <w:p w14:paraId="0FF33B78" w14:textId="77777777" w:rsidR="000A2CB6" w:rsidRPr="001E7A47" w:rsidRDefault="000A2CB6" w:rsidP="000035AF">
            <w:pPr>
              <w:keepNext/>
              <w:rPr>
                <w:rFonts w:ascii="Arial Narrow" w:eastAsia="Calibri" w:hAnsi="Arial Narrow"/>
                <w:sz w:val="20"/>
                <w:szCs w:val="20"/>
              </w:rPr>
            </w:pPr>
            <w:r w:rsidRPr="001E7A47">
              <w:rPr>
                <w:rFonts w:ascii="Arial Narrow" w:hAnsi="Arial Narrow"/>
                <w:b/>
                <w:sz w:val="20"/>
                <w:szCs w:val="20"/>
              </w:rPr>
              <w:t xml:space="preserve">Restriction type: </w:t>
            </w:r>
            <w:r w:rsidRPr="001E7A47">
              <w:rPr>
                <w:rFonts w:ascii="Arial Narrow" w:eastAsia="Calibri" w:hAnsi="Arial Narrow"/>
                <w:sz w:val="20"/>
                <w:szCs w:val="20"/>
              </w:rPr>
              <w:fldChar w:fldCharType="begin">
                <w:ffData>
                  <w:name w:val="Check3"/>
                  <w:enabled/>
                  <w:calcOnExit w:val="0"/>
                  <w:checkBox>
                    <w:sizeAuto/>
                    <w:default w:val="1"/>
                  </w:checkBox>
                </w:ffData>
              </w:fldChar>
            </w:r>
            <w:r w:rsidRPr="001E7A47">
              <w:rPr>
                <w:rFonts w:ascii="Arial Narrow" w:eastAsia="Calibri" w:hAnsi="Arial Narrow"/>
                <w:sz w:val="20"/>
                <w:szCs w:val="20"/>
              </w:rPr>
              <w:instrText xml:space="preserve"> FORMCHECKBOX </w:instrText>
            </w:r>
            <w:r w:rsidRPr="001E7A47">
              <w:rPr>
                <w:rFonts w:ascii="Arial Narrow" w:eastAsia="Calibri" w:hAnsi="Arial Narrow"/>
                <w:sz w:val="20"/>
                <w:szCs w:val="20"/>
              </w:rPr>
            </w:r>
            <w:r w:rsidRPr="001E7A47">
              <w:rPr>
                <w:rFonts w:ascii="Arial Narrow" w:eastAsia="Calibri" w:hAnsi="Arial Narrow"/>
                <w:sz w:val="20"/>
                <w:szCs w:val="20"/>
              </w:rPr>
              <w:fldChar w:fldCharType="separate"/>
            </w:r>
            <w:r w:rsidRPr="001E7A47">
              <w:rPr>
                <w:rFonts w:ascii="Arial Narrow" w:eastAsia="Calibri" w:hAnsi="Arial Narrow"/>
                <w:sz w:val="20"/>
                <w:szCs w:val="20"/>
              </w:rPr>
              <w:fldChar w:fldCharType="end"/>
            </w:r>
            <w:r w:rsidRPr="001E7A47">
              <w:rPr>
                <w:rFonts w:ascii="Arial Narrow" w:eastAsia="Calibri" w:hAnsi="Arial Narrow"/>
                <w:sz w:val="20"/>
                <w:szCs w:val="20"/>
              </w:rPr>
              <w:t xml:space="preserve">Authority Required (telephone/online PBS Authorities system) </w:t>
            </w:r>
          </w:p>
        </w:tc>
      </w:tr>
      <w:tr w:rsidR="000A2CB6" w:rsidRPr="001E7A47" w14:paraId="56847B6B" w14:textId="77777777" w:rsidTr="00257346">
        <w:tblPrEx>
          <w:tblCellMar>
            <w:top w:w="15" w:type="dxa"/>
            <w:bottom w:w="15" w:type="dxa"/>
          </w:tblCellMar>
          <w:tblLook w:val="04A0" w:firstRow="1" w:lastRow="0" w:firstColumn="1" w:lastColumn="0" w:noHBand="0" w:noVBand="1"/>
        </w:tblPrEx>
        <w:trPr>
          <w:trHeight w:val="20"/>
        </w:trPr>
        <w:tc>
          <w:tcPr>
            <w:tcW w:w="312" w:type="pct"/>
            <w:vMerge w:val="restart"/>
            <w:textDirection w:val="btLr"/>
            <w:vAlign w:val="center"/>
          </w:tcPr>
          <w:p w14:paraId="24749F26" w14:textId="77777777" w:rsidR="000A2CB6" w:rsidRPr="001E7A47" w:rsidRDefault="000A2CB6" w:rsidP="000035AF">
            <w:pPr>
              <w:keepNext/>
              <w:keepLines/>
              <w:ind w:right="113"/>
              <w:jc w:val="center"/>
              <w:rPr>
                <w:rFonts w:ascii="Arial Narrow" w:hAnsi="Arial Narrow"/>
                <w:sz w:val="18"/>
                <w:szCs w:val="18"/>
              </w:rPr>
            </w:pPr>
            <w:r w:rsidRPr="001E7A47">
              <w:rPr>
                <w:rFonts w:ascii="Arial Narrow" w:hAnsi="Arial Narrow"/>
                <w:sz w:val="18"/>
                <w:szCs w:val="18"/>
              </w:rPr>
              <w:t>Prescribing rule level</w:t>
            </w:r>
          </w:p>
        </w:tc>
        <w:tc>
          <w:tcPr>
            <w:tcW w:w="393" w:type="pct"/>
            <w:vAlign w:val="center"/>
          </w:tcPr>
          <w:p w14:paraId="290A309A" w14:textId="52CD81B6" w:rsidR="000A2CB6" w:rsidRPr="001E7A47" w:rsidRDefault="000A2CB6" w:rsidP="000035AF">
            <w:pPr>
              <w:keepNext/>
              <w:keepLines/>
              <w:ind w:hanging="35"/>
              <w:jc w:val="center"/>
              <w:rPr>
                <w:rFonts w:ascii="Arial Narrow" w:hAnsi="Arial Narrow"/>
                <w:i/>
                <w:iCs/>
                <w:sz w:val="20"/>
                <w:szCs w:val="20"/>
              </w:rPr>
            </w:pPr>
          </w:p>
        </w:tc>
        <w:tc>
          <w:tcPr>
            <w:tcW w:w="4296" w:type="pct"/>
            <w:gridSpan w:val="5"/>
            <w:vAlign w:val="center"/>
          </w:tcPr>
          <w:p w14:paraId="06F740FA" w14:textId="77777777" w:rsidR="000A2CB6" w:rsidRPr="001E7A47" w:rsidRDefault="000A2CB6" w:rsidP="000035AF">
            <w:pPr>
              <w:keepNext/>
              <w:keepLines/>
              <w:rPr>
                <w:rFonts w:ascii="Arial Narrow" w:hAnsi="Arial Narrow"/>
                <w:i/>
                <w:iCs/>
                <w:sz w:val="20"/>
                <w:szCs w:val="20"/>
              </w:rPr>
            </w:pPr>
            <w:r w:rsidRPr="001E7A47">
              <w:rPr>
                <w:rFonts w:ascii="Arial Narrow" w:hAnsi="Arial Narrow"/>
                <w:b/>
                <w:bCs/>
                <w:i/>
                <w:iCs/>
                <w:sz w:val="20"/>
                <w:szCs w:val="20"/>
              </w:rPr>
              <w:t xml:space="preserve">Administrative Advice: </w:t>
            </w:r>
            <w:r w:rsidRPr="001E7A47">
              <w:rPr>
                <w:rFonts w:ascii="Arial Narrow" w:hAnsi="Arial Narrow"/>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0A2CB6" w:rsidRPr="001E7A47" w14:paraId="3A671B82" w14:textId="77777777" w:rsidTr="00257346">
        <w:tblPrEx>
          <w:tblCellMar>
            <w:top w:w="15" w:type="dxa"/>
            <w:bottom w:w="15" w:type="dxa"/>
          </w:tblCellMar>
          <w:tblLook w:val="04A0" w:firstRow="1" w:lastRow="0" w:firstColumn="1" w:lastColumn="0" w:noHBand="0" w:noVBand="1"/>
        </w:tblPrEx>
        <w:trPr>
          <w:trHeight w:val="20"/>
        </w:trPr>
        <w:tc>
          <w:tcPr>
            <w:tcW w:w="312" w:type="pct"/>
            <w:vMerge/>
            <w:vAlign w:val="center"/>
          </w:tcPr>
          <w:p w14:paraId="337F89BB" w14:textId="77777777" w:rsidR="000A2CB6" w:rsidRPr="001E7A47" w:rsidRDefault="000A2CB6" w:rsidP="000035AF">
            <w:pPr>
              <w:keepNext/>
              <w:keepLines/>
              <w:jc w:val="center"/>
              <w:rPr>
                <w:rFonts w:ascii="Arial Narrow" w:hAnsi="Arial Narrow"/>
                <w:sz w:val="20"/>
                <w:szCs w:val="20"/>
              </w:rPr>
            </w:pPr>
          </w:p>
        </w:tc>
        <w:tc>
          <w:tcPr>
            <w:tcW w:w="393" w:type="pct"/>
            <w:vAlign w:val="center"/>
          </w:tcPr>
          <w:p w14:paraId="3ED3A29A" w14:textId="6010A3F2" w:rsidR="000A2CB6" w:rsidRPr="001E7A47" w:rsidRDefault="000A2CB6" w:rsidP="000035AF">
            <w:pPr>
              <w:keepNext/>
              <w:keepLines/>
              <w:ind w:hanging="35"/>
              <w:jc w:val="center"/>
              <w:rPr>
                <w:rFonts w:ascii="Arial Narrow" w:hAnsi="Arial Narrow"/>
                <w:sz w:val="20"/>
                <w:szCs w:val="20"/>
              </w:rPr>
            </w:pPr>
          </w:p>
        </w:tc>
        <w:tc>
          <w:tcPr>
            <w:tcW w:w="4296" w:type="pct"/>
            <w:gridSpan w:val="5"/>
            <w:vAlign w:val="center"/>
          </w:tcPr>
          <w:p w14:paraId="5811B55A" w14:textId="77777777" w:rsidR="000A2CB6" w:rsidRPr="001E7A47" w:rsidRDefault="000A2CB6" w:rsidP="000035AF">
            <w:pPr>
              <w:keepNext/>
              <w:keepLines/>
              <w:rPr>
                <w:rFonts w:ascii="Arial Narrow" w:hAnsi="Arial Narrow"/>
                <w:b/>
                <w:bCs/>
                <w:sz w:val="20"/>
                <w:szCs w:val="20"/>
              </w:rPr>
            </w:pPr>
            <w:r w:rsidRPr="001E7A47">
              <w:rPr>
                <w:rFonts w:ascii="Arial Narrow" w:hAnsi="Arial Narrow"/>
                <w:b/>
                <w:bCs/>
                <w:sz w:val="20"/>
                <w:szCs w:val="20"/>
              </w:rPr>
              <w:t xml:space="preserve">Administrative Advice: </w:t>
            </w:r>
            <w:r w:rsidRPr="001E7A47">
              <w:rPr>
                <w:rFonts w:ascii="Arial Narrow" w:hAnsi="Arial Narrow"/>
                <w:bCs/>
                <w:sz w:val="20"/>
                <w:szCs w:val="20"/>
              </w:rPr>
              <w:t>No increase in the maximum number of repeats may be authorised.</w:t>
            </w:r>
          </w:p>
        </w:tc>
      </w:tr>
      <w:tr w:rsidR="000A2CB6" w:rsidRPr="001E7A47" w14:paraId="35E33B1A" w14:textId="77777777" w:rsidTr="00257346">
        <w:tblPrEx>
          <w:tblCellMar>
            <w:top w:w="15" w:type="dxa"/>
            <w:bottom w:w="15" w:type="dxa"/>
          </w:tblCellMar>
          <w:tblLook w:val="04A0" w:firstRow="1" w:lastRow="0" w:firstColumn="1" w:lastColumn="0" w:noHBand="0" w:noVBand="1"/>
        </w:tblPrEx>
        <w:trPr>
          <w:trHeight w:val="20"/>
        </w:trPr>
        <w:tc>
          <w:tcPr>
            <w:tcW w:w="312" w:type="pct"/>
            <w:vMerge/>
            <w:vAlign w:val="center"/>
          </w:tcPr>
          <w:p w14:paraId="20970D97" w14:textId="77777777" w:rsidR="000A2CB6" w:rsidRPr="001E7A47" w:rsidRDefault="000A2CB6" w:rsidP="000035AF">
            <w:pPr>
              <w:keepNext/>
              <w:keepLines/>
              <w:jc w:val="center"/>
              <w:rPr>
                <w:rFonts w:ascii="Arial Narrow" w:hAnsi="Arial Narrow"/>
                <w:sz w:val="20"/>
                <w:szCs w:val="20"/>
              </w:rPr>
            </w:pPr>
          </w:p>
        </w:tc>
        <w:tc>
          <w:tcPr>
            <w:tcW w:w="393" w:type="pct"/>
            <w:vAlign w:val="center"/>
          </w:tcPr>
          <w:p w14:paraId="5DF118A5" w14:textId="05CC8495" w:rsidR="000A2CB6" w:rsidRPr="001E7A47" w:rsidRDefault="000A2CB6" w:rsidP="000035AF">
            <w:pPr>
              <w:keepNext/>
              <w:keepLines/>
              <w:ind w:hanging="35"/>
              <w:jc w:val="center"/>
              <w:rPr>
                <w:rFonts w:ascii="Arial Narrow" w:hAnsi="Arial Narrow"/>
                <w:sz w:val="20"/>
                <w:szCs w:val="20"/>
              </w:rPr>
            </w:pPr>
            <w:r w:rsidRPr="001E7A47">
              <w:rPr>
                <w:rFonts w:ascii="Arial Narrow" w:hAnsi="Arial Narrow"/>
                <w:sz w:val="20"/>
                <w:szCs w:val="20"/>
              </w:rPr>
              <w:t xml:space="preserve"> </w:t>
            </w:r>
          </w:p>
        </w:tc>
        <w:tc>
          <w:tcPr>
            <w:tcW w:w="4296" w:type="pct"/>
            <w:gridSpan w:val="5"/>
            <w:vAlign w:val="center"/>
          </w:tcPr>
          <w:p w14:paraId="054B5407" w14:textId="77777777" w:rsidR="000A2CB6" w:rsidRPr="001E7A47" w:rsidRDefault="000A2CB6" w:rsidP="000035AF">
            <w:pPr>
              <w:keepNext/>
              <w:keepLines/>
              <w:rPr>
                <w:rFonts w:ascii="Arial Narrow" w:hAnsi="Arial Narrow"/>
                <w:b/>
                <w:bCs/>
                <w:sz w:val="20"/>
                <w:szCs w:val="20"/>
              </w:rPr>
            </w:pPr>
            <w:r w:rsidRPr="001E7A47">
              <w:rPr>
                <w:rFonts w:ascii="Arial Narrow" w:hAnsi="Arial Narrow"/>
                <w:b/>
                <w:bCs/>
                <w:sz w:val="20"/>
                <w:szCs w:val="20"/>
              </w:rPr>
              <w:t>Administrative Advice:</w:t>
            </w:r>
            <w:r w:rsidRPr="001E7A47">
              <w:t xml:space="preserve"> </w:t>
            </w:r>
            <w:r w:rsidRPr="001E7A47">
              <w:rPr>
                <w:rFonts w:ascii="Arial Narrow" w:hAnsi="Arial Narrow"/>
                <w:sz w:val="20"/>
                <w:szCs w:val="20"/>
              </w:rPr>
              <w:t>Increased maximum amounts can be requested where a patient’s weight is greater than 135kg</w:t>
            </w:r>
          </w:p>
        </w:tc>
      </w:tr>
      <w:tr w:rsidR="000A2CB6" w:rsidRPr="001E7A47" w14:paraId="34672F92"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Merge w:val="restart"/>
            <w:vAlign w:val="center"/>
          </w:tcPr>
          <w:p w14:paraId="695F34E0" w14:textId="77777777" w:rsidR="000A2CB6" w:rsidRPr="001E7A47" w:rsidRDefault="000A2CB6">
            <w:pPr>
              <w:keepLines/>
              <w:jc w:val="center"/>
              <w:rPr>
                <w:rFonts w:ascii="Arial Narrow" w:hAnsi="Arial Narrow"/>
                <w:sz w:val="20"/>
                <w:szCs w:val="20"/>
              </w:rPr>
            </w:pPr>
          </w:p>
        </w:tc>
        <w:tc>
          <w:tcPr>
            <w:tcW w:w="4296" w:type="pct"/>
            <w:gridSpan w:val="5"/>
            <w:vAlign w:val="center"/>
          </w:tcPr>
          <w:p w14:paraId="047C6CD1" w14:textId="77777777" w:rsidR="000A2CB6" w:rsidRPr="001E7A47" w:rsidRDefault="000A2CB6">
            <w:pPr>
              <w:keepLines/>
              <w:rPr>
                <w:rFonts w:ascii="Arial Narrow" w:hAnsi="Arial Narrow"/>
                <w:bCs/>
                <w:sz w:val="20"/>
                <w:szCs w:val="20"/>
              </w:rPr>
            </w:pPr>
            <w:r w:rsidRPr="001E7A47">
              <w:rPr>
                <w:rFonts w:ascii="Arial Narrow" w:hAnsi="Arial Narrow"/>
                <w:b/>
                <w:bCs/>
                <w:sz w:val="20"/>
                <w:szCs w:val="20"/>
              </w:rPr>
              <w:t xml:space="preserve">Episodicity: </w:t>
            </w:r>
            <w:r w:rsidRPr="001E7A47">
              <w:rPr>
                <w:rFonts w:ascii="Arial Narrow" w:hAnsi="Arial Narrow"/>
                <w:bCs/>
                <w:sz w:val="20"/>
                <w:szCs w:val="20"/>
              </w:rPr>
              <w:t xml:space="preserve">[blank] </w:t>
            </w:r>
          </w:p>
        </w:tc>
      </w:tr>
      <w:tr w:rsidR="000A2CB6" w:rsidRPr="001E7A47" w14:paraId="323C6A6E"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Merge/>
            <w:vAlign w:val="center"/>
          </w:tcPr>
          <w:p w14:paraId="7598BCDE" w14:textId="77777777" w:rsidR="000A2CB6" w:rsidRPr="001E7A47" w:rsidRDefault="000A2CB6">
            <w:pPr>
              <w:keepLines/>
              <w:jc w:val="center"/>
              <w:rPr>
                <w:rFonts w:ascii="Arial Narrow" w:hAnsi="Arial Narrow"/>
                <w:sz w:val="20"/>
                <w:szCs w:val="20"/>
              </w:rPr>
            </w:pPr>
          </w:p>
        </w:tc>
        <w:tc>
          <w:tcPr>
            <w:tcW w:w="4296" w:type="pct"/>
            <w:gridSpan w:val="5"/>
            <w:vAlign w:val="center"/>
          </w:tcPr>
          <w:p w14:paraId="7F927FC3" w14:textId="77777777" w:rsidR="000A2CB6" w:rsidRPr="001E7A47" w:rsidRDefault="000A2CB6">
            <w:pPr>
              <w:keepLines/>
              <w:rPr>
                <w:rFonts w:ascii="Arial Narrow" w:hAnsi="Arial Narrow"/>
                <w:b/>
                <w:bCs/>
                <w:sz w:val="20"/>
                <w:szCs w:val="20"/>
              </w:rPr>
            </w:pPr>
            <w:r w:rsidRPr="001E7A47">
              <w:rPr>
                <w:rFonts w:ascii="Arial Narrow" w:hAnsi="Arial Narrow"/>
                <w:b/>
                <w:bCs/>
                <w:sz w:val="20"/>
                <w:szCs w:val="20"/>
              </w:rPr>
              <w:t xml:space="preserve">Severity: </w:t>
            </w:r>
            <w:r w:rsidRPr="001E7A47">
              <w:rPr>
                <w:rFonts w:ascii="Arial Narrow" w:hAnsi="Arial Narrow"/>
                <w:bCs/>
                <w:sz w:val="20"/>
                <w:szCs w:val="20"/>
              </w:rPr>
              <w:t xml:space="preserve">Relapsed or refractory </w:t>
            </w:r>
          </w:p>
        </w:tc>
      </w:tr>
      <w:tr w:rsidR="000A2CB6" w:rsidRPr="001E7A47" w14:paraId="41D730A3"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Merge/>
            <w:vAlign w:val="center"/>
          </w:tcPr>
          <w:p w14:paraId="52CBCAE9" w14:textId="77777777" w:rsidR="000A2CB6" w:rsidRPr="001E7A47" w:rsidRDefault="000A2CB6">
            <w:pPr>
              <w:keepLines/>
              <w:jc w:val="center"/>
              <w:rPr>
                <w:rFonts w:ascii="Arial Narrow" w:hAnsi="Arial Narrow"/>
                <w:sz w:val="20"/>
                <w:szCs w:val="20"/>
              </w:rPr>
            </w:pPr>
          </w:p>
        </w:tc>
        <w:tc>
          <w:tcPr>
            <w:tcW w:w="4296" w:type="pct"/>
            <w:gridSpan w:val="5"/>
            <w:vAlign w:val="center"/>
          </w:tcPr>
          <w:p w14:paraId="6F343B63" w14:textId="77777777" w:rsidR="000A2CB6" w:rsidRPr="001E7A47" w:rsidRDefault="000A2CB6">
            <w:pPr>
              <w:keepLines/>
              <w:rPr>
                <w:rFonts w:ascii="Arial Narrow" w:hAnsi="Arial Narrow"/>
                <w:b/>
                <w:bCs/>
                <w:sz w:val="20"/>
                <w:szCs w:val="20"/>
              </w:rPr>
            </w:pPr>
            <w:r w:rsidRPr="001E7A47">
              <w:rPr>
                <w:rFonts w:ascii="Arial Narrow" w:hAnsi="Arial Narrow"/>
                <w:b/>
                <w:bCs/>
                <w:sz w:val="20"/>
                <w:szCs w:val="20"/>
              </w:rPr>
              <w:t xml:space="preserve">Condition: </w:t>
            </w:r>
            <w:r w:rsidRPr="001E7A47">
              <w:rPr>
                <w:rFonts w:ascii="Arial Narrow" w:hAnsi="Arial Narrow"/>
                <w:bCs/>
                <w:sz w:val="20"/>
                <w:szCs w:val="20"/>
              </w:rPr>
              <w:t>Diffuse large B-cell lymphoma (DLBCL)</w:t>
            </w:r>
          </w:p>
        </w:tc>
      </w:tr>
      <w:tr w:rsidR="000A2CB6" w:rsidRPr="001E7A47" w14:paraId="3A74BFC6"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hideMark/>
          </w:tcPr>
          <w:p w14:paraId="7771B7CD" w14:textId="1206F756" w:rsidR="000A2CB6" w:rsidRPr="001E7A47" w:rsidRDefault="000A2CB6">
            <w:pPr>
              <w:keepLines/>
              <w:jc w:val="center"/>
              <w:rPr>
                <w:rFonts w:ascii="Arial Narrow" w:hAnsi="Arial Narrow"/>
                <w:sz w:val="20"/>
                <w:szCs w:val="20"/>
              </w:rPr>
            </w:pPr>
          </w:p>
        </w:tc>
        <w:tc>
          <w:tcPr>
            <w:tcW w:w="4296" w:type="pct"/>
            <w:gridSpan w:val="5"/>
            <w:vAlign w:val="center"/>
            <w:hideMark/>
          </w:tcPr>
          <w:p w14:paraId="60A52476" w14:textId="77777777" w:rsidR="000A2CB6" w:rsidRPr="001E7A47" w:rsidRDefault="000A2CB6">
            <w:pPr>
              <w:keepLines/>
              <w:rPr>
                <w:rFonts w:ascii="Arial Narrow" w:hAnsi="Arial Narrow"/>
                <w:sz w:val="20"/>
                <w:szCs w:val="20"/>
              </w:rPr>
            </w:pPr>
            <w:r w:rsidRPr="001E7A47">
              <w:rPr>
                <w:rFonts w:ascii="Arial Narrow" w:hAnsi="Arial Narrow"/>
                <w:b/>
                <w:bCs/>
                <w:sz w:val="20"/>
                <w:szCs w:val="20"/>
              </w:rPr>
              <w:t>Indication:</w:t>
            </w:r>
            <w:r w:rsidRPr="001E7A47">
              <w:rPr>
                <w:rFonts w:ascii="Arial Narrow" w:hAnsi="Arial Narrow"/>
                <w:sz w:val="20"/>
                <w:szCs w:val="20"/>
              </w:rPr>
              <w:t xml:space="preserve"> Relapsed or refractory diffuse large B-cell lymphoma (DLBCL)</w:t>
            </w:r>
          </w:p>
        </w:tc>
      </w:tr>
      <w:tr w:rsidR="000A2CB6" w:rsidRPr="001E7A47" w14:paraId="41935208"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hideMark/>
          </w:tcPr>
          <w:p w14:paraId="2BEDE0E7" w14:textId="77777777" w:rsidR="000A2CB6" w:rsidRPr="001E7A47" w:rsidRDefault="000A2CB6">
            <w:pPr>
              <w:jc w:val="center"/>
              <w:rPr>
                <w:rFonts w:ascii="Arial Narrow" w:hAnsi="Arial Narrow"/>
                <w:sz w:val="20"/>
                <w:szCs w:val="20"/>
              </w:rPr>
            </w:pPr>
          </w:p>
        </w:tc>
        <w:tc>
          <w:tcPr>
            <w:tcW w:w="4296" w:type="pct"/>
            <w:gridSpan w:val="5"/>
            <w:vAlign w:val="center"/>
            <w:hideMark/>
          </w:tcPr>
          <w:p w14:paraId="5FD9CCD1" w14:textId="77777777" w:rsidR="000A2CB6" w:rsidRPr="001E7A47" w:rsidRDefault="000A2CB6">
            <w:pPr>
              <w:rPr>
                <w:rFonts w:ascii="Arial Narrow" w:hAnsi="Arial Narrow"/>
                <w:sz w:val="20"/>
                <w:szCs w:val="20"/>
              </w:rPr>
            </w:pPr>
            <w:r w:rsidRPr="001E7A47">
              <w:rPr>
                <w:rFonts w:ascii="Arial Narrow" w:hAnsi="Arial Narrow"/>
                <w:b/>
                <w:bCs/>
                <w:sz w:val="20"/>
                <w:szCs w:val="20"/>
              </w:rPr>
              <w:t>Treatment Phase:</w:t>
            </w:r>
            <w:r w:rsidRPr="001E7A47">
              <w:rPr>
                <w:rFonts w:ascii="Arial Narrow" w:hAnsi="Arial Narrow"/>
                <w:sz w:val="20"/>
                <w:szCs w:val="20"/>
              </w:rPr>
              <w:t xml:space="preserve"> </w:t>
            </w:r>
            <w:r w:rsidRPr="001E7A47">
              <w:rPr>
                <w:rFonts w:ascii="Arial Narrow" w:hAnsi="Arial Narrow"/>
                <w:strike/>
                <w:sz w:val="20"/>
                <w:szCs w:val="20"/>
              </w:rPr>
              <w:t>Initial</w:t>
            </w:r>
            <w:r w:rsidRPr="001E7A47">
              <w:rPr>
                <w:rFonts w:ascii="Arial Narrow" w:hAnsi="Arial Narrow"/>
                <w:sz w:val="20"/>
                <w:szCs w:val="20"/>
              </w:rPr>
              <w:t xml:space="preserve"> </w:t>
            </w:r>
            <w:r w:rsidRPr="001E7A47">
              <w:rPr>
                <w:rFonts w:ascii="Arial Narrow" w:hAnsi="Arial Narrow"/>
                <w:i/>
                <w:iCs/>
                <w:sz w:val="20"/>
                <w:szCs w:val="20"/>
              </w:rPr>
              <w:t>Induction treatment</w:t>
            </w:r>
          </w:p>
        </w:tc>
      </w:tr>
      <w:tr w:rsidR="000A2CB6" w:rsidRPr="001E7A47" w14:paraId="4881AE35"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4BBECA28" w14:textId="77777777" w:rsidR="000A2CB6" w:rsidRPr="001E7A47" w:rsidRDefault="000A2CB6">
            <w:pPr>
              <w:jc w:val="center"/>
              <w:rPr>
                <w:rFonts w:ascii="Arial Narrow" w:hAnsi="Arial Narrow"/>
                <w:sz w:val="20"/>
                <w:szCs w:val="20"/>
              </w:rPr>
            </w:pPr>
          </w:p>
        </w:tc>
        <w:tc>
          <w:tcPr>
            <w:tcW w:w="4296" w:type="pct"/>
            <w:gridSpan w:val="5"/>
            <w:vAlign w:val="center"/>
          </w:tcPr>
          <w:p w14:paraId="715E44C8" w14:textId="77777777" w:rsidR="000A2CB6" w:rsidRPr="001E7A47" w:rsidRDefault="000A2CB6">
            <w:pPr>
              <w:rPr>
                <w:rFonts w:ascii="Arial Narrow" w:hAnsi="Arial Narrow"/>
                <w:b/>
                <w:bCs/>
                <w:sz w:val="20"/>
                <w:szCs w:val="20"/>
              </w:rPr>
            </w:pPr>
            <w:r w:rsidRPr="001E7A47">
              <w:rPr>
                <w:rFonts w:ascii="Arial Narrow" w:hAnsi="Arial Narrow"/>
                <w:b/>
                <w:bCs/>
                <w:strike/>
                <w:sz w:val="20"/>
                <w:szCs w:val="20"/>
              </w:rPr>
              <w:t>Treatment criteria:</w:t>
            </w:r>
          </w:p>
        </w:tc>
      </w:tr>
      <w:tr w:rsidR="000A2CB6" w:rsidRPr="001E7A47" w14:paraId="02B98971"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32050358" w14:textId="304B625A" w:rsidR="000A2CB6" w:rsidRPr="001E7A47" w:rsidRDefault="000A2CB6">
            <w:pPr>
              <w:jc w:val="center"/>
              <w:rPr>
                <w:rFonts w:ascii="Arial Narrow" w:hAnsi="Arial Narrow"/>
                <w:sz w:val="20"/>
                <w:szCs w:val="20"/>
              </w:rPr>
            </w:pPr>
          </w:p>
        </w:tc>
        <w:tc>
          <w:tcPr>
            <w:tcW w:w="4296" w:type="pct"/>
            <w:gridSpan w:val="5"/>
            <w:vAlign w:val="center"/>
            <w:hideMark/>
          </w:tcPr>
          <w:p w14:paraId="055E0384" w14:textId="77777777" w:rsidR="000A2CB6" w:rsidRPr="001E7A47" w:rsidRDefault="000A2CB6">
            <w:pPr>
              <w:rPr>
                <w:rFonts w:ascii="Arial Narrow" w:hAnsi="Arial Narrow"/>
                <w:sz w:val="20"/>
                <w:szCs w:val="20"/>
              </w:rPr>
            </w:pPr>
            <w:r w:rsidRPr="001E7A47">
              <w:rPr>
                <w:rFonts w:ascii="Arial Narrow" w:hAnsi="Arial Narrow"/>
                <w:b/>
                <w:bCs/>
                <w:sz w:val="20"/>
                <w:szCs w:val="20"/>
              </w:rPr>
              <w:t xml:space="preserve">Clinical criteria: </w:t>
            </w:r>
          </w:p>
        </w:tc>
      </w:tr>
      <w:tr w:rsidR="000A2CB6" w:rsidRPr="001E7A47" w14:paraId="2B17866C"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22DA6727" w14:textId="5708F4CE" w:rsidR="000A2CB6" w:rsidRPr="001E7A47" w:rsidRDefault="000A2CB6">
            <w:pPr>
              <w:jc w:val="center"/>
              <w:rPr>
                <w:rFonts w:ascii="Arial Narrow" w:hAnsi="Arial Narrow"/>
                <w:sz w:val="20"/>
                <w:szCs w:val="20"/>
              </w:rPr>
            </w:pPr>
          </w:p>
        </w:tc>
        <w:tc>
          <w:tcPr>
            <w:tcW w:w="4296" w:type="pct"/>
            <w:gridSpan w:val="5"/>
            <w:vAlign w:val="center"/>
            <w:hideMark/>
          </w:tcPr>
          <w:p w14:paraId="2FB4185D" w14:textId="77777777" w:rsidR="000A2CB6" w:rsidRPr="001E7A47" w:rsidRDefault="000A2CB6">
            <w:pPr>
              <w:rPr>
                <w:rFonts w:ascii="Arial Narrow" w:hAnsi="Arial Narrow"/>
                <w:sz w:val="20"/>
                <w:szCs w:val="20"/>
              </w:rPr>
            </w:pPr>
            <w:r w:rsidRPr="001E7A47">
              <w:rPr>
                <w:rFonts w:ascii="Arial Narrow" w:hAnsi="Arial Narrow" w:cs="Arial Narrow"/>
                <w:iCs/>
                <w:sz w:val="20"/>
                <w:szCs w:val="20"/>
              </w:rPr>
              <w:t xml:space="preserve">The condition must have relapsed, or be refractory to, at least two prior systemic therapies </w:t>
            </w:r>
          </w:p>
        </w:tc>
      </w:tr>
      <w:tr w:rsidR="000A2CB6" w:rsidRPr="001E7A47" w14:paraId="34DBD0B4"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hideMark/>
          </w:tcPr>
          <w:p w14:paraId="408CA085" w14:textId="77777777" w:rsidR="000A2CB6" w:rsidRPr="001E7A47" w:rsidRDefault="000A2CB6">
            <w:pPr>
              <w:jc w:val="center"/>
              <w:rPr>
                <w:rFonts w:ascii="Arial Narrow" w:hAnsi="Arial Narrow"/>
                <w:sz w:val="20"/>
                <w:szCs w:val="20"/>
              </w:rPr>
            </w:pPr>
          </w:p>
        </w:tc>
        <w:tc>
          <w:tcPr>
            <w:tcW w:w="4296" w:type="pct"/>
            <w:gridSpan w:val="5"/>
            <w:vAlign w:val="center"/>
            <w:hideMark/>
          </w:tcPr>
          <w:p w14:paraId="6DF6EC80" w14:textId="77777777" w:rsidR="000A2CB6" w:rsidRPr="001E7A47" w:rsidRDefault="000A2CB6">
            <w:pPr>
              <w:rPr>
                <w:rFonts w:ascii="Arial Narrow" w:hAnsi="Arial Narrow"/>
                <w:sz w:val="20"/>
                <w:szCs w:val="20"/>
              </w:rPr>
            </w:pPr>
            <w:r w:rsidRPr="001E7A47">
              <w:rPr>
                <w:rFonts w:ascii="Arial Narrow" w:hAnsi="Arial Narrow"/>
                <w:b/>
                <w:bCs/>
                <w:sz w:val="20"/>
                <w:szCs w:val="20"/>
              </w:rPr>
              <w:t>AND</w:t>
            </w:r>
          </w:p>
        </w:tc>
      </w:tr>
      <w:tr w:rsidR="000A2CB6" w:rsidRPr="001E7A47" w14:paraId="17C0BAE9"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6FE259F0" w14:textId="1D794A3A" w:rsidR="000A2CB6" w:rsidRPr="001E7A47" w:rsidRDefault="000A2CB6">
            <w:pPr>
              <w:jc w:val="center"/>
              <w:rPr>
                <w:rFonts w:ascii="Arial Narrow" w:hAnsi="Arial Narrow"/>
                <w:sz w:val="20"/>
                <w:szCs w:val="20"/>
              </w:rPr>
            </w:pPr>
          </w:p>
        </w:tc>
        <w:tc>
          <w:tcPr>
            <w:tcW w:w="4296" w:type="pct"/>
            <w:gridSpan w:val="5"/>
            <w:vAlign w:val="center"/>
            <w:hideMark/>
          </w:tcPr>
          <w:p w14:paraId="59A13024" w14:textId="77777777" w:rsidR="000A2CB6" w:rsidRPr="001E7A47" w:rsidRDefault="000A2CB6">
            <w:pPr>
              <w:rPr>
                <w:rFonts w:ascii="Arial Narrow" w:hAnsi="Arial Narrow"/>
                <w:sz w:val="20"/>
                <w:szCs w:val="20"/>
              </w:rPr>
            </w:pPr>
            <w:r w:rsidRPr="001E7A47">
              <w:rPr>
                <w:rFonts w:ascii="Arial Narrow" w:hAnsi="Arial Narrow"/>
                <w:b/>
                <w:bCs/>
                <w:sz w:val="20"/>
                <w:szCs w:val="20"/>
              </w:rPr>
              <w:t>Clinical criteria:</w:t>
            </w:r>
          </w:p>
        </w:tc>
      </w:tr>
      <w:tr w:rsidR="000A2CB6" w:rsidRPr="001E7A47" w14:paraId="14FB5EA3"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57CF2A5A" w14:textId="51215E86" w:rsidR="000A2CB6" w:rsidRPr="001E7A47" w:rsidRDefault="000A2CB6">
            <w:pPr>
              <w:jc w:val="center"/>
              <w:rPr>
                <w:rFonts w:ascii="Arial Narrow" w:hAnsi="Arial Narrow"/>
                <w:sz w:val="20"/>
                <w:szCs w:val="20"/>
              </w:rPr>
            </w:pPr>
          </w:p>
        </w:tc>
        <w:tc>
          <w:tcPr>
            <w:tcW w:w="4296" w:type="pct"/>
            <w:gridSpan w:val="5"/>
            <w:vAlign w:val="center"/>
          </w:tcPr>
          <w:p w14:paraId="419890E4" w14:textId="77777777" w:rsidR="000A2CB6" w:rsidRPr="001E7A47" w:rsidRDefault="000A2CB6">
            <w:pPr>
              <w:rPr>
                <w:rFonts w:ascii="Arial Narrow" w:hAnsi="Arial Narrow"/>
                <w:sz w:val="20"/>
                <w:szCs w:val="20"/>
              </w:rPr>
            </w:pPr>
            <w:r w:rsidRPr="001E7A47">
              <w:rPr>
                <w:rFonts w:ascii="Arial Narrow" w:hAnsi="Arial Narrow"/>
                <w:sz w:val="20"/>
                <w:szCs w:val="20"/>
              </w:rPr>
              <w:t>Patient must have previously received treatment with chimeric antigen receptor</w:t>
            </w:r>
            <w:r w:rsidRPr="001E7A47">
              <w:rPr>
                <w:rFonts w:ascii="Arial Narrow" w:hAnsi="Arial Narrow"/>
                <w:i/>
                <w:iCs/>
                <w:sz w:val="20"/>
                <w:szCs w:val="20"/>
              </w:rPr>
              <w:t>-</w:t>
            </w:r>
            <w:r w:rsidRPr="001E7A47">
              <w:rPr>
                <w:rFonts w:ascii="Arial Narrow" w:hAnsi="Arial Narrow"/>
                <w:sz w:val="20"/>
                <w:szCs w:val="20"/>
              </w:rPr>
              <w:t>T (CAR</w:t>
            </w:r>
            <w:r w:rsidRPr="001E7A47">
              <w:rPr>
                <w:rFonts w:ascii="Arial Narrow" w:hAnsi="Arial Narrow"/>
                <w:i/>
                <w:iCs/>
                <w:sz w:val="20"/>
                <w:szCs w:val="20"/>
              </w:rPr>
              <w:t>-</w:t>
            </w:r>
            <w:r w:rsidRPr="001E7A47">
              <w:rPr>
                <w:rFonts w:ascii="Arial Narrow" w:hAnsi="Arial Narrow"/>
                <w:sz w:val="20"/>
                <w:szCs w:val="20"/>
              </w:rPr>
              <w:t>T) cell therapy for this condition; or</w:t>
            </w:r>
          </w:p>
        </w:tc>
      </w:tr>
      <w:tr w:rsidR="000A2CB6" w:rsidRPr="001E7A47" w14:paraId="1CD225E9"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0A6A4499" w14:textId="08341127" w:rsidR="000A2CB6" w:rsidRPr="001E7A47" w:rsidRDefault="000A2CB6">
            <w:pPr>
              <w:jc w:val="center"/>
              <w:rPr>
                <w:rFonts w:ascii="Arial Narrow" w:hAnsi="Arial Narrow"/>
                <w:sz w:val="20"/>
                <w:szCs w:val="20"/>
              </w:rPr>
            </w:pPr>
          </w:p>
        </w:tc>
        <w:tc>
          <w:tcPr>
            <w:tcW w:w="4296" w:type="pct"/>
            <w:gridSpan w:val="5"/>
            <w:vAlign w:val="center"/>
          </w:tcPr>
          <w:p w14:paraId="29D64998" w14:textId="77777777" w:rsidR="000A2CB6" w:rsidRPr="001E7A47" w:rsidRDefault="000A2CB6">
            <w:pPr>
              <w:rPr>
                <w:rFonts w:ascii="Arial Narrow" w:hAnsi="Arial Narrow"/>
                <w:sz w:val="20"/>
                <w:szCs w:val="20"/>
              </w:rPr>
            </w:pPr>
            <w:r w:rsidRPr="001E7A47">
              <w:rPr>
                <w:rFonts w:ascii="Arial Narrow" w:hAnsi="Arial Narrow"/>
                <w:sz w:val="20"/>
                <w:szCs w:val="20"/>
              </w:rPr>
              <w:t>Patient must currently be unable to receive treatment with CAR</w:t>
            </w:r>
            <w:r w:rsidRPr="001E7A47">
              <w:rPr>
                <w:rFonts w:ascii="Arial Narrow" w:hAnsi="Arial Narrow"/>
                <w:i/>
                <w:iCs/>
                <w:sz w:val="20"/>
                <w:szCs w:val="20"/>
              </w:rPr>
              <w:t>-</w:t>
            </w:r>
            <w:r w:rsidRPr="001E7A47">
              <w:rPr>
                <w:rFonts w:ascii="Arial Narrow" w:hAnsi="Arial Narrow"/>
                <w:sz w:val="20"/>
                <w:szCs w:val="20"/>
              </w:rPr>
              <w:t xml:space="preserve">T cell therapy for this condition </w:t>
            </w:r>
          </w:p>
        </w:tc>
      </w:tr>
      <w:tr w:rsidR="000A2CB6" w:rsidRPr="001E7A47" w14:paraId="1FC8117D"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45051F61" w14:textId="77777777" w:rsidR="000A2CB6" w:rsidRPr="001E7A47" w:rsidRDefault="000A2CB6">
            <w:pPr>
              <w:jc w:val="center"/>
              <w:rPr>
                <w:rFonts w:ascii="Arial Narrow" w:hAnsi="Arial Narrow"/>
                <w:sz w:val="20"/>
                <w:szCs w:val="20"/>
              </w:rPr>
            </w:pPr>
          </w:p>
        </w:tc>
        <w:tc>
          <w:tcPr>
            <w:tcW w:w="4296" w:type="pct"/>
            <w:gridSpan w:val="5"/>
            <w:vAlign w:val="center"/>
            <w:hideMark/>
          </w:tcPr>
          <w:p w14:paraId="7091ADDE" w14:textId="77777777" w:rsidR="000A2CB6" w:rsidRPr="001E7A47" w:rsidRDefault="000A2CB6">
            <w:pPr>
              <w:rPr>
                <w:rFonts w:ascii="Arial Narrow" w:hAnsi="Arial Narrow"/>
                <w:sz w:val="20"/>
                <w:szCs w:val="20"/>
              </w:rPr>
            </w:pPr>
            <w:r w:rsidRPr="001E7A47">
              <w:rPr>
                <w:rFonts w:ascii="Arial Narrow" w:hAnsi="Arial Narrow"/>
                <w:b/>
                <w:bCs/>
                <w:sz w:val="20"/>
                <w:szCs w:val="20"/>
              </w:rPr>
              <w:t>AND</w:t>
            </w:r>
          </w:p>
        </w:tc>
      </w:tr>
      <w:tr w:rsidR="000A2CB6" w:rsidRPr="001E7A47" w14:paraId="5B73432E"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5953BB5B" w14:textId="5082A9CF" w:rsidR="000A2CB6" w:rsidRPr="001E7A47" w:rsidRDefault="000A2CB6">
            <w:pPr>
              <w:jc w:val="center"/>
              <w:rPr>
                <w:rFonts w:ascii="Arial Narrow" w:hAnsi="Arial Narrow"/>
                <w:sz w:val="20"/>
                <w:szCs w:val="20"/>
              </w:rPr>
            </w:pPr>
          </w:p>
        </w:tc>
        <w:tc>
          <w:tcPr>
            <w:tcW w:w="4296" w:type="pct"/>
            <w:gridSpan w:val="5"/>
            <w:vAlign w:val="center"/>
            <w:hideMark/>
          </w:tcPr>
          <w:p w14:paraId="7C476ED1" w14:textId="77777777" w:rsidR="000A2CB6" w:rsidRPr="001E7A47" w:rsidRDefault="000A2CB6">
            <w:pPr>
              <w:rPr>
                <w:rFonts w:ascii="Arial Narrow" w:hAnsi="Arial Narrow"/>
                <w:sz w:val="20"/>
                <w:szCs w:val="20"/>
              </w:rPr>
            </w:pPr>
            <w:r w:rsidRPr="001E7A47">
              <w:rPr>
                <w:rFonts w:ascii="Arial Narrow" w:hAnsi="Arial Narrow"/>
                <w:b/>
                <w:bCs/>
                <w:sz w:val="20"/>
                <w:szCs w:val="20"/>
              </w:rPr>
              <w:t>Clinical criteria:</w:t>
            </w:r>
          </w:p>
        </w:tc>
      </w:tr>
      <w:tr w:rsidR="000A2CB6" w:rsidRPr="001E7A47" w14:paraId="439428C1"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6FE53445" w14:textId="7D047F2A" w:rsidR="000A2CB6" w:rsidRPr="001E7A47" w:rsidRDefault="000A2CB6">
            <w:pPr>
              <w:jc w:val="center"/>
              <w:rPr>
                <w:rFonts w:ascii="Arial Narrow" w:hAnsi="Arial Narrow"/>
                <w:sz w:val="20"/>
                <w:szCs w:val="20"/>
              </w:rPr>
            </w:pPr>
          </w:p>
        </w:tc>
        <w:tc>
          <w:tcPr>
            <w:tcW w:w="4296" w:type="pct"/>
            <w:gridSpan w:val="5"/>
            <w:vAlign w:val="center"/>
          </w:tcPr>
          <w:p w14:paraId="47131EDF" w14:textId="77777777" w:rsidR="000A2CB6" w:rsidRPr="001E7A47" w:rsidRDefault="000A2CB6">
            <w:pPr>
              <w:rPr>
                <w:rFonts w:ascii="Arial Narrow" w:hAnsi="Arial Narrow"/>
                <w:sz w:val="20"/>
                <w:szCs w:val="20"/>
              </w:rPr>
            </w:pPr>
            <w:r w:rsidRPr="001E7A47">
              <w:rPr>
                <w:rFonts w:ascii="Arial Narrow" w:hAnsi="Arial Narrow"/>
                <w:sz w:val="20"/>
                <w:szCs w:val="20"/>
              </w:rPr>
              <w:t>Patient must not be eligible for stem cell transplantation</w:t>
            </w:r>
          </w:p>
        </w:tc>
      </w:tr>
      <w:tr w:rsidR="000A2CB6" w:rsidRPr="001E7A47" w14:paraId="16E19C2F"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25EC427D" w14:textId="77777777" w:rsidR="000A2CB6" w:rsidRPr="001E7A47" w:rsidRDefault="000A2CB6">
            <w:pPr>
              <w:jc w:val="center"/>
              <w:rPr>
                <w:rFonts w:ascii="Arial Narrow" w:hAnsi="Arial Narrow"/>
                <w:sz w:val="20"/>
                <w:szCs w:val="20"/>
              </w:rPr>
            </w:pPr>
          </w:p>
        </w:tc>
        <w:tc>
          <w:tcPr>
            <w:tcW w:w="4296" w:type="pct"/>
            <w:gridSpan w:val="5"/>
            <w:vAlign w:val="center"/>
          </w:tcPr>
          <w:p w14:paraId="73BF8F19" w14:textId="77777777" w:rsidR="000A2CB6" w:rsidRPr="001E7A47" w:rsidRDefault="000A2CB6">
            <w:pPr>
              <w:rPr>
                <w:rFonts w:ascii="Arial Narrow" w:hAnsi="Arial Narrow"/>
                <w:b/>
                <w:bCs/>
                <w:i/>
                <w:iCs/>
                <w:sz w:val="20"/>
                <w:szCs w:val="20"/>
              </w:rPr>
            </w:pPr>
            <w:r w:rsidRPr="001E7A47">
              <w:rPr>
                <w:rFonts w:ascii="Arial Narrow" w:hAnsi="Arial Narrow"/>
                <w:b/>
                <w:bCs/>
                <w:i/>
                <w:iCs/>
                <w:sz w:val="20"/>
                <w:szCs w:val="20"/>
              </w:rPr>
              <w:t>AND</w:t>
            </w:r>
          </w:p>
        </w:tc>
      </w:tr>
      <w:tr w:rsidR="000A2CB6" w:rsidRPr="001E7A47" w14:paraId="2D195336"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68317257" w14:textId="77777777" w:rsidR="000A2CB6" w:rsidRPr="001E7A47" w:rsidRDefault="000A2CB6">
            <w:pPr>
              <w:jc w:val="center"/>
              <w:rPr>
                <w:rFonts w:ascii="Arial Narrow" w:hAnsi="Arial Narrow"/>
                <w:sz w:val="20"/>
                <w:szCs w:val="20"/>
              </w:rPr>
            </w:pPr>
          </w:p>
        </w:tc>
        <w:tc>
          <w:tcPr>
            <w:tcW w:w="4296" w:type="pct"/>
            <w:gridSpan w:val="5"/>
            <w:vAlign w:val="center"/>
          </w:tcPr>
          <w:p w14:paraId="4BFC6772" w14:textId="77777777" w:rsidR="000A2CB6" w:rsidRPr="001E7A47" w:rsidRDefault="000A2CB6">
            <w:pPr>
              <w:rPr>
                <w:rFonts w:ascii="Arial Narrow" w:hAnsi="Arial Narrow"/>
                <w:b/>
                <w:bCs/>
                <w:i/>
                <w:iCs/>
                <w:sz w:val="20"/>
                <w:szCs w:val="20"/>
              </w:rPr>
            </w:pPr>
            <w:r w:rsidRPr="001E7A47">
              <w:rPr>
                <w:rFonts w:ascii="Arial Narrow" w:hAnsi="Arial Narrow"/>
                <w:b/>
                <w:bCs/>
                <w:i/>
                <w:iCs/>
                <w:sz w:val="20"/>
                <w:szCs w:val="20"/>
              </w:rPr>
              <w:t>Clinical criteria:</w:t>
            </w:r>
          </w:p>
        </w:tc>
      </w:tr>
      <w:tr w:rsidR="000A2CB6" w:rsidRPr="001E7A47" w14:paraId="3FBC53CF"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3F9A0D71" w14:textId="77777777" w:rsidR="000A2CB6" w:rsidRPr="001E7A47" w:rsidRDefault="000A2CB6">
            <w:pPr>
              <w:jc w:val="center"/>
              <w:rPr>
                <w:rFonts w:ascii="Arial Narrow" w:hAnsi="Arial Narrow"/>
                <w:sz w:val="20"/>
                <w:szCs w:val="20"/>
              </w:rPr>
            </w:pPr>
          </w:p>
        </w:tc>
        <w:tc>
          <w:tcPr>
            <w:tcW w:w="4296" w:type="pct"/>
            <w:gridSpan w:val="5"/>
            <w:vAlign w:val="center"/>
          </w:tcPr>
          <w:p w14:paraId="14028531" w14:textId="77777777" w:rsidR="000A2CB6" w:rsidRPr="001E7A47" w:rsidRDefault="000A2CB6">
            <w:pPr>
              <w:rPr>
                <w:rFonts w:ascii="Arial Narrow" w:hAnsi="Arial Narrow"/>
                <w:i/>
                <w:iCs/>
                <w:sz w:val="20"/>
                <w:szCs w:val="20"/>
              </w:rPr>
            </w:pPr>
            <w:r w:rsidRPr="001E7A47">
              <w:rPr>
                <w:rFonts w:ascii="Arial Narrow" w:hAnsi="Arial Narrow"/>
                <w:i/>
                <w:iCs/>
                <w:sz w:val="20"/>
                <w:szCs w:val="20"/>
              </w:rPr>
              <w:t>Patient must have previously received treatment with bi-specific T-cell engager for this condition; or</w:t>
            </w:r>
          </w:p>
        </w:tc>
      </w:tr>
      <w:tr w:rsidR="000A2CB6" w:rsidRPr="001E7A47" w14:paraId="2AC81A13"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36E81014" w14:textId="77777777" w:rsidR="000A2CB6" w:rsidRPr="001E7A47" w:rsidRDefault="000A2CB6">
            <w:pPr>
              <w:jc w:val="center"/>
              <w:rPr>
                <w:rFonts w:ascii="Arial Narrow" w:hAnsi="Arial Narrow"/>
                <w:sz w:val="20"/>
                <w:szCs w:val="20"/>
              </w:rPr>
            </w:pPr>
          </w:p>
        </w:tc>
        <w:tc>
          <w:tcPr>
            <w:tcW w:w="4296" w:type="pct"/>
            <w:gridSpan w:val="5"/>
            <w:vAlign w:val="center"/>
          </w:tcPr>
          <w:p w14:paraId="7FBDADF9" w14:textId="77777777" w:rsidR="000A2CB6" w:rsidRPr="001E7A47" w:rsidRDefault="000A2CB6">
            <w:pPr>
              <w:rPr>
                <w:rFonts w:ascii="Arial Narrow" w:hAnsi="Arial Narrow"/>
                <w:i/>
                <w:iCs/>
                <w:sz w:val="20"/>
                <w:szCs w:val="20"/>
              </w:rPr>
            </w:pPr>
            <w:r w:rsidRPr="001E7A47">
              <w:rPr>
                <w:rFonts w:ascii="Arial Narrow" w:hAnsi="Arial Narrow"/>
                <w:i/>
                <w:iCs/>
                <w:sz w:val="20"/>
                <w:szCs w:val="20"/>
              </w:rPr>
              <w:t>Patient must be unable to receive treatment with bi-specific T-cell engager for this condition</w:t>
            </w:r>
          </w:p>
        </w:tc>
      </w:tr>
      <w:tr w:rsidR="000A2CB6" w:rsidRPr="001E7A47" w14:paraId="0F32539F"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599D250A" w14:textId="77777777" w:rsidR="000A2CB6" w:rsidRPr="001E7A47" w:rsidRDefault="000A2CB6">
            <w:pPr>
              <w:jc w:val="center"/>
              <w:rPr>
                <w:rFonts w:ascii="Arial Narrow" w:hAnsi="Arial Narrow"/>
                <w:sz w:val="20"/>
                <w:szCs w:val="20"/>
              </w:rPr>
            </w:pPr>
          </w:p>
        </w:tc>
        <w:tc>
          <w:tcPr>
            <w:tcW w:w="4296" w:type="pct"/>
            <w:gridSpan w:val="5"/>
            <w:vAlign w:val="center"/>
          </w:tcPr>
          <w:p w14:paraId="7CA2DE2D" w14:textId="77777777" w:rsidR="000A2CB6" w:rsidRPr="001E7A47" w:rsidRDefault="000A2CB6">
            <w:pPr>
              <w:rPr>
                <w:rFonts w:ascii="Arial Narrow" w:hAnsi="Arial Narrow"/>
                <w:b/>
                <w:bCs/>
                <w:sz w:val="20"/>
                <w:szCs w:val="20"/>
              </w:rPr>
            </w:pPr>
            <w:r w:rsidRPr="001E7A47">
              <w:rPr>
                <w:rFonts w:ascii="Arial Narrow" w:hAnsi="Arial Narrow"/>
                <w:b/>
                <w:bCs/>
                <w:sz w:val="20"/>
                <w:szCs w:val="20"/>
              </w:rPr>
              <w:t>AND</w:t>
            </w:r>
          </w:p>
        </w:tc>
      </w:tr>
      <w:tr w:rsidR="000A2CB6" w:rsidRPr="001E7A47" w14:paraId="01D5F66C"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18BEA433" w14:textId="440BD7A3" w:rsidR="000A2CB6" w:rsidRPr="001E7A47" w:rsidRDefault="000A2CB6">
            <w:pPr>
              <w:jc w:val="center"/>
              <w:rPr>
                <w:rFonts w:ascii="Arial Narrow" w:hAnsi="Arial Narrow"/>
                <w:sz w:val="20"/>
                <w:szCs w:val="20"/>
              </w:rPr>
            </w:pPr>
          </w:p>
        </w:tc>
        <w:tc>
          <w:tcPr>
            <w:tcW w:w="4296" w:type="pct"/>
            <w:gridSpan w:val="5"/>
            <w:vAlign w:val="center"/>
          </w:tcPr>
          <w:p w14:paraId="64ADFD29" w14:textId="77777777" w:rsidR="000A2CB6" w:rsidRPr="001E7A47" w:rsidRDefault="000A2CB6">
            <w:pPr>
              <w:rPr>
                <w:rFonts w:ascii="Arial Narrow" w:hAnsi="Arial Narrow"/>
                <w:b/>
                <w:bCs/>
                <w:sz w:val="20"/>
                <w:szCs w:val="20"/>
              </w:rPr>
            </w:pPr>
            <w:r w:rsidRPr="001E7A47">
              <w:rPr>
                <w:rFonts w:ascii="Arial Narrow" w:hAnsi="Arial Narrow"/>
                <w:b/>
                <w:bCs/>
                <w:sz w:val="20"/>
                <w:szCs w:val="20"/>
              </w:rPr>
              <w:t>Clinical criteria:</w:t>
            </w:r>
          </w:p>
        </w:tc>
      </w:tr>
      <w:tr w:rsidR="000A2CB6" w:rsidRPr="001E7A47" w14:paraId="52C72102"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085B4FA0" w14:textId="750E8B5D" w:rsidR="000A2CB6" w:rsidRPr="001E7A47" w:rsidRDefault="000A2CB6">
            <w:pPr>
              <w:jc w:val="center"/>
              <w:rPr>
                <w:rFonts w:ascii="Arial Narrow" w:hAnsi="Arial Narrow"/>
                <w:sz w:val="20"/>
                <w:szCs w:val="20"/>
              </w:rPr>
            </w:pPr>
          </w:p>
        </w:tc>
        <w:tc>
          <w:tcPr>
            <w:tcW w:w="4296" w:type="pct"/>
            <w:gridSpan w:val="5"/>
            <w:vAlign w:val="center"/>
          </w:tcPr>
          <w:p w14:paraId="320A5E0F" w14:textId="77777777" w:rsidR="000A2CB6" w:rsidRPr="001E7A47" w:rsidRDefault="000A2CB6">
            <w:pPr>
              <w:rPr>
                <w:rFonts w:ascii="Arial Narrow" w:hAnsi="Arial Narrow"/>
                <w:sz w:val="20"/>
                <w:szCs w:val="20"/>
              </w:rPr>
            </w:pPr>
            <w:r w:rsidRPr="001E7A47">
              <w:rPr>
                <w:rFonts w:ascii="Arial Narrow" w:hAnsi="Arial Narrow"/>
                <w:sz w:val="20"/>
                <w:szCs w:val="20"/>
              </w:rPr>
              <w:t>Patient must have a WHO performance status of no higher than 2</w:t>
            </w:r>
          </w:p>
        </w:tc>
      </w:tr>
      <w:tr w:rsidR="000A2CB6" w:rsidRPr="001E7A47" w14:paraId="48736946"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3C4A23D4" w14:textId="77777777" w:rsidR="000A2CB6" w:rsidRPr="001E7A47" w:rsidRDefault="000A2CB6">
            <w:pPr>
              <w:jc w:val="center"/>
              <w:rPr>
                <w:rFonts w:ascii="Arial Narrow" w:hAnsi="Arial Narrow"/>
                <w:strike/>
                <w:sz w:val="20"/>
                <w:szCs w:val="20"/>
              </w:rPr>
            </w:pPr>
          </w:p>
        </w:tc>
        <w:tc>
          <w:tcPr>
            <w:tcW w:w="4296" w:type="pct"/>
            <w:gridSpan w:val="5"/>
            <w:vAlign w:val="center"/>
          </w:tcPr>
          <w:p w14:paraId="034D52F0" w14:textId="77777777" w:rsidR="000A2CB6" w:rsidRPr="001E7A47" w:rsidRDefault="000A2CB6">
            <w:pPr>
              <w:rPr>
                <w:rFonts w:ascii="Arial Narrow" w:hAnsi="Arial Narrow"/>
                <w:b/>
                <w:bCs/>
                <w:strike/>
                <w:sz w:val="20"/>
                <w:szCs w:val="20"/>
              </w:rPr>
            </w:pPr>
            <w:r w:rsidRPr="001E7A47">
              <w:rPr>
                <w:rFonts w:ascii="Arial Narrow" w:hAnsi="Arial Narrow"/>
                <w:b/>
                <w:bCs/>
                <w:strike/>
                <w:sz w:val="20"/>
                <w:szCs w:val="20"/>
              </w:rPr>
              <w:t>AND</w:t>
            </w:r>
          </w:p>
        </w:tc>
      </w:tr>
      <w:tr w:rsidR="000A2CB6" w:rsidRPr="001E7A47" w14:paraId="21D42C66"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0E9A8318" w14:textId="35A33865" w:rsidR="000A2CB6" w:rsidRPr="001E7A47" w:rsidRDefault="000A2CB6">
            <w:pPr>
              <w:jc w:val="center"/>
              <w:rPr>
                <w:rFonts w:ascii="Arial Narrow" w:hAnsi="Arial Narrow"/>
                <w:strike/>
                <w:sz w:val="20"/>
                <w:szCs w:val="20"/>
              </w:rPr>
            </w:pPr>
          </w:p>
        </w:tc>
        <w:tc>
          <w:tcPr>
            <w:tcW w:w="4296" w:type="pct"/>
            <w:gridSpan w:val="5"/>
            <w:vAlign w:val="center"/>
          </w:tcPr>
          <w:p w14:paraId="58A3DFF9" w14:textId="77777777" w:rsidR="000A2CB6" w:rsidRPr="001E7A47" w:rsidRDefault="000A2CB6">
            <w:pPr>
              <w:rPr>
                <w:rFonts w:ascii="Arial Narrow" w:hAnsi="Arial Narrow"/>
                <w:b/>
                <w:bCs/>
                <w:strike/>
                <w:sz w:val="20"/>
                <w:szCs w:val="20"/>
              </w:rPr>
            </w:pPr>
            <w:r w:rsidRPr="001E7A47">
              <w:rPr>
                <w:rFonts w:ascii="Arial Narrow" w:hAnsi="Arial Narrow"/>
                <w:b/>
                <w:bCs/>
                <w:strike/>
                <w:sz w:val="20"/>
                <w:szCs w:val="20"/>
              </w:rPr>
              <w:t>Clinical criteria:</w:t>
            </w:r>
          </w:p>
        </w:tc>
      </w:tr>
      <w:tr w:rsidR="000A2CB6" w:rsidRPr="001E7A47" w14:paraId="00C5BBA8"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63B80FD5" w14:textId="7DD2A85E" w:rsidR="000A2CB6" w:rsidRPr="001E7A47" w:rsidRDefault="000A2CB6">
            <w:pPr>
              <w:jc w:val="center"/>
              <w:rPr>
                <w:rFonts w:ascii="Arial Narrow" w:hAnsi="Arial Narrow"/>
                <w:strike/>
                <w:sz w:val="20"/>
                <w:szCs w:val="20"/>
              </w:rPr>
            </w:pPr>
          </w:p>
        </w:tc>
        <w:tc>
          <w:tcPr>
            <w:tcW w:w="4296" w:type="pct"/>
            <w:gridSpan w:val="5"/>
            <w:vAlign w:val="center"/>
          </w:tcPr>
          <w:p w14:paraId="274442DC" w14:textId="77777777" w:rsidR="000A2CB6" w:rsidRPr="001E7A47" w:rsidRDefault="000A2CB6">
            <w:pPr>
              <w:rPr>
                <w:rFonts w:ascii="Arial Narrow" w:hAnsi="Arial Narrow"/>
                <w:strike/>
                <w:sz w:val="20"/>
                <w:szCs w:val="20"/>
              </w:rPr>
            </w:pPr>
            <w:r w:rsidRPr="001E7A47">
              <w:rPr>
                <w:rFonts w:ascii="Arial Narrow" w:hAnsi="Arial Narrow"/>
                <w:strike/>
                <w:sz w:val="20"/>
                <w:szCs w:val="20"/>
              </w:rPr>
              <w:t>The treatment must be discontinued in patients who experience disease progression while on treatment</w:t>
            </w:r>
          </w:p>
        </w:tc>
      </w:tr>
      <w:tr w:rsidR="000A2CB6" w:rsidRPr="001E7A47" w14:paraId="694E09C6"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hideMark/>
          </w:tcPr>
          <w:p w14:paraId="3CBCC551" w14:textId="00B51D31" w:rsidR="000A2CB6" w:rsidRPr="001E7A47" w:rsidRDefault="000A2CB6">
            <w:pPr>
              <w:jc w:val="center"/>
              <w:rPr>
                <w:rFonts w:ascii="Arial Narrow" w:hAnsi="Arial Narrow"/>
                <w:sz w:val="20"/>
                <w:szCs w:val="20"/>
              </w:rPr>
            </w:pPr>
          </w:p>
        </w:tc>
        <w:tc>
          <w:tcPr>
            <w:tcW w:w="4296" w:type="pct"/>
            <w:gridSpan w:val="5"/>
            <w:vAlign w:val="center"/>
            <w:hideMark/>
          </w:tcPr>
          <w:p w14:paraId="30EA917D" w14:textId="77777777" w:rsidR="000A2CB6" w:rsidRPr="001E7A47" w:rsidRDefault="000A2CB6">
            <w:pPr>
              <w:rPr>
                <w:rFonts w:ascii="Arial Narrow" w:hAnsi="Arial Narrow"/>
                <w:b/>
                <w:bCs/>
                <w:sz w:val="20"/>
                <w:szCs w:val="20"/>
              </w:rPr>
            </w:pPr>
            <w:r w:rsidRPr="001E7A47">
              <w:rPr>
                <w:rFonts w:ascii="Arial Narrow" w:hAnsi="Arial Narrow"/>
                <w:b/>
                <w:bCs/>
                <w:sz w:val="20"/>
                <w:szCs w:val="20"/>
              </w:rPr>
              <w:t xml:space="preserve">Prescribing Instructions: </w:t>
            </w:r>
          </w:p>
          <w:p w14:paraId="31DC3E47" w14:textId="77777777" w:rsidR="000A2CB6" w:rsidRPr="001E7A47" w:rsidRDefault="000A2CB6">
            <w:pPr>
              <w:rPr>
                <w:rFonts w:ascii="Arial Narrow" w:hAnsi="Arial Narrow"/>
                <w:bCs/>
                <w:sz w:val="20"/>
                <w:szCs w:val="20"/>
              </w:rPr>
            </w:pPr>
            <w:r w:rsidRPr="001E7A47">
              <w:rPr>
                <w:rFonts w:ascii="Arial Narrow" w:hAnsi="Arial Narrow"/>
                <w:bCs/>
                <w:sz w:val="20"/>
                <w:szCs w:val="20"/>
              </w:rPr>
              <w:t xml:space="preserve">Prior systemic therapy may include autologous stem cell transplant. </w:t>
            </w:r>
          </w:p>
        </w:tc>
      </w:tr>
      <w:tr w:rsidR="000A2CB6" w:rsidRPr="001E7A47" w14:paraId="11435016" w14:textId="77777777" w:rsidTr="00257346">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71D9E4EA" w14:textId="3F2D825E" w:rsidR="000A2CB6" w:rsidRPr="001E7A47" w:rsidRDefault="000A2CB6">
            <w:pPr>
              <w:jc w:val="center"/>
              <w:rPr>
                <w:rFonts w:ascii="Arial Narrow" w:hAnsi="Arial Narrow"/>
                <w:sz w:val="20"/>
                <w:szCs w:val="20"/>
              </w:rPr>
            </w:pPr>
          </w:p>
        </w:tc>
        <w:tc>
          <w:tcPr>
            <w:tcW w:w="4296" w:type="pct"/>
            <w:gridSpan w:val="5"/>
            <w:vAlign w:val="center"/>
          </w:tcPr>
          <w:p w14:paraId="4F2FEC1A" w14:textId="77777777" w:rsidR="000A2CB6" w:rsidRPr="001E7A47" w:rsidRDefault="000A2CB6">
            <w:pPr>
              <w:rPr>
                <w:rFonts w:ascii="Arial Narrow" w:hAnsi="Arial Narrow"/>
                <w:b/>
                <w:bCs/>
                <w:sz w:val="20"/>
                <w:szCs w:val="20"/>
              </w:rPr>
            </w:pPr>
            <w:r w:rsidRPr="001E7A47">
              <w:rPr>
                <w:rFonts w:ascii="Arial Narrow" w:hAnsi="Arial Narrow"/>
                <w:b/>
                <w:bCs/>
                <w:sz w:val="20"/>
                <w:szCs w:val="20"/>
              </w:rPr>
              <w:t xml:space="preserve">Prescribing Instructions: </w:t>
            </w:r>
          </w:p>
          <w:p w14:paraId="7C818E76" w14:textId="77777777" w:rsidR="000A2CB6" w:rsidRPr="001E7A47" w:rsidRDefault="000A2CB6">
            <w:pPr>
              <w:rPr>
                <w:rFonts w:ascii="Arial Narrow" w:hAnsi="Arial Narrow"/>
                <w:b/>
                <w:bCs/>
                <w:sz w:val="20"/>
                <w:szCs w:val="20"/>
              </w:rPr>
            </w:pPr>
            <w:r w:rsidRPr="001E7A47">
              <w:rPr>
                <w:rFonts w:ascii="Arial Narrow" w:hAnsi="Arial Narrow"/>
                <w:bCs/>
                <w:sz w:val="20"/>
                <w:szCs w:val="20"/>
              </w:rPr>
              <w:t>Definition of patients unable to receive treatment with CAR-T cell therapy for this condition include geographical, psychosocial, clinical ineligibility or urgency.</w:t>
            </w:r>
          </w:p>
        </w:tc>
      </w:tr>
    </w:tbl>
    <w:p w14:paraId="42869FAD" w14:textId="679B9395" w:rsidR="000A2CB6" w:rsidRPr="001C31D6" w:rsidRDefault="000A2CB6" w:rsidP="000A2CB6">
      <w:pPr>
        <w:pStyle w:val="Heading2"/>
        <w:rPr>
          <w:i w:val="0"/>
          <w:sz w:val="24"/>
        </w:rPr>
      </w:pPr>
      <w:r w:rsidRPr="001C31D6">
        <w:rPr>
          <w:i w:val="0"/>
          <w:sz w:val="24"/>
        </w:rPr>
        <w:lastRenderedPageBreak/>
        <w:t>Continuing treatment phase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Continuing treatment phase"/>
      </w:tblPr>
      <w:tblGrid>
        <w:gridCol w:w="563"/>
        <w:gridCol w:w="709"/>
        <w:gridCol w:w="1134"/>
        <w:gridCol w:w="2128"/>
        <w:gridCol w:w="2128"/>
        <w:gridCol w:w="1275"/>
        <w:gridCol w:w="1080"/>
      </w:tblGrid>
      <w:tr w:rsidR="00121593" w:rsidRPr="001E7A47" w14:paraId="3EA01CEA" w14:textId="77777777" w:rsidTr="00121593">
        <w:trPr>
          <w:cantSplit/>
          <w:trHeight w:val="20"/>
        </w:trPr>
        <w:tc>
          <w:tcPr>
            <w:tcW w:w="1334" w:type="pct"/>
            <w:gridSpan w:val="3"/>
            <w:vAlign w:val="center"/>
          </w:tcPr>
          <w:p w14:paraId="41A8868A" w14:textId="77777777" w:rsidR="00121593" w:rsidRPr="001E7A47" w:rsidRDefault="00121593">
            <w:pPr>
              <w:keepNext/>
              <w:rPr>
                <w:rFonts w:ascii="Arial Narrow" w:hAnsi="Arial Narrow"/>
                <w:b/>
                <w:bCs/>
                <w:sz w:val="20"/>
                <w:szCs w:val="20"/>
              </w:rPr>
            </w:pPr>
            <w:r w:rsidRPr="001E7A47">
              <w:rPr>
                <w:rFonts w:ascii="Arial Narrow" w:hAnsi="Arial Narrow"/>
                <w:b/>
                <w:bCs/>
                <w:sz w:val="20"/>
                <w:szCs w:val="20"/>
              </w:rPr>
              <w:t>MEDICINAL PRODUCT</w:t>
            </w:r>
          </w:p>
          <w:p w14:paraId="793E3C0A" w14:textId="77777777" w:rsidR="00121593" w:rsidRPr="001E7A47" w:rsidRDefault="00121593">
            <w:pPr>
              <w:keepNext/>
              <w:rPr>
                <w:rFonts w:ascii="Arial Narrow" w:hAnsi="Arial Narrow"/>
                <w:b/>
                <w:sz w:val="20"/>
                <w:szCs w:val="20"/>
              </w:rPr>
            </w:pPr>
            <w:r w:rsidRPr="001E7A47">
              <w:rPr>
                <w:rFonts w:ascii="Arial Narrow" w:hAnsi="Arial Narrow"/>
                <w:b/>
                <w:sz w:val="20"/>
                <w:szCs w:val="20"/>
              </w:rPr>
              <w:t>Form</w:t>
            </w:r>
          </w:p>
        </w:tc>
        <w:tc>
          <w:tcPr>
            <w:tcW w:w="1180" w:type="pct"/>
            <w:vAlign w:val="center"/>
          </w:tcPr>
          <w:p w14:paraId="4F110595" w14:textId="0AC5FF93" w:rsidR="00121593" w:rsidRPr="001E7A47" w:rsidRDefault="00121593">
            <w:pPr>
              <w:keepNext/>
              <w:jc w:val="center"/>
              <w:rPr>
                <w:rFonts w:ascii="Arial Narrow" w:hAnsi="Arial Narrow"/>
                <w:b/>
                <w:sz w:val="20"/>
                <w:szCs w:val="20"/>
              </w:rPr>
            </w:pPr>
            <w:r>
              <w:rPr>
                <w:rFonts w:ascii="Arial Narrow" w:hAnsi="Arial Narrow"/>
                <w:b/>
                <w:sz w:val="20"/>
                <w:szCs w:val="20"/>
              </w:rPr>
              <w:t>Dispensed Price Max. Amount</w:t>
            </w:r>
          </w:p>
        </w:tc>
        <w:tc>
          <w:tcPr>
            <w:tcW w:w="1180" w:type="pct"/>
            <w:vAlign w:val="center"/>
          </w:tcPr>
          <w:p w14:paraId="639238A7" w14:textId="15951A79" w:rsidR="00121593" w:rsidRPr="001E7A47" w:rsidRDefault="00121593">
            <w:pPr>
              <w:keepNext/>
              <w:jc w:val="center"/>
              <w:rPr>
                <w:rFonts w:ascii="Arial Narrow" w:hAnsi="Arial Narrow"/>
                <w:b/>
                <w:sz w:val="20"/>
                <w:szCs w:val="20"/>
              </w:rPr>
            </w:pPr>
            <w:r w:rsidRPr="001E7A47">
              <w:rPr>
                <w:rFonts w:ascii="Arial Narrow" w:hAnsi="Arial Narrow"/>
                <w:b/>
                <w:sz w:val="20"/>
                <w:szCs w:val="20"/>
              </w:rPr>
              <w:t>PBS item code</w:t>
            </w:r>
          </w:p>
        </w:tc>
        <w:tc>
          <w:tcPr>
            <w:tcW w:w="707" w:type="pct"/>
            <w:vAlign w:val="center"/>
          </w:tcPr>
          <w:p w14:paraId="7B944398" w14:textId="77777777" w:rsidR="00121593" w:rsidRPr="001E7A47" w:rsidRDefault="00121593">
            <w:pPr>
              <w:keepNext/>
              <w:jc w:val="center"/>
              <w:rPr>
                <w:rFonts w:ascii="Arial Narrow" w:hAnsi="Arial Narrow"/>
                <w:b/>
                <w:sz w:val="20"/>
                <w:szCs w:val="20"/>
              </w:rPr>
            </w:pPr>
            <w:r w:rsidRPr="001E7A47">
              <w:rPr>
                <w:rFonts w:ascii="Arial Narrow" w:hAnsi="Arial Narrow"/>
                <w:b/>
                <w:sz w:val="20"/>
                <w:szCs w:val="20"/>
              </w:rPr>
              <w:t>Max. Amount</w:t>
            </w:r>
          </w:p>
        </w:tc>
        <w:tc>
          <w:tcPr>
            <w:tcW w:w="599" w:type="pct"/>
            <w:vAlign w:val="center"/>
          </w:tcPr>
          <w:p w14:paraId="01F211C3" w14:textId="77777777" w:rsidR="00121593" w:rsidRPr="001E7A47" w:rsidRDefault="00121593">
            <w:pPr>
              <w:keepNext/>
              <w:jc w:val="center"/>
              <w:rPr>
                <w:rFonts w:ascii="Arial Narrow" w:hAnsi="Arial Narrow"/>
                <w:b/>
                <w:sz w:val="20"/>
                <w:szCs w:val="20"/>
              </w:rPr>
            </w:pPr>
            <w:r w:rsidRPr="001E7A47">
              <w:rPr>
                <w:rFonts w:ascii="Arial Narrow" w:hAnsi="Arial Narrow"/>
                <w:b/>
                <w:sz w:val="20"/>
                <w:szCs w:val="20"/>
              </w:rPr>
              <w:t>№.of Rpts</w:t>
            </w:r>
          </w:p>
        </w:tc>
      </w:tr>
      <w:tr w:rsidR="00121593" w:rsidRPr="001E7A47" w14:paraId="37E99AE7" w14:textId="77777777" w:rsidTr="00121593">
        <w:trPr>
          <w:cantSplit/>
          <w:trHeight w:val="20"/>
        </w:trPr>
        <w:tc>
          <w:tcPr>
            <w:tcW w:w="1334" w:type="pct"/>
            <w:gridSpan w:val="3"/>
            <w:vAlign w:val="center"/>
          </w:tcPr>
          <w:p w14:paraId="1F8203E5" w14:textId="77777777" w:rsidR="00121593" w:rsidRPr="001E7A47" w:rsidRDefault="00121593">
            <w:pPr>
              <w:keepNext/>
              <w:rPr>
                <w:rFonts w:ascii="Arial Narrow" w:hAnsi="Arial Narrow"/>
                <w:sz w:val="20"/>
                <w:szCs w:val="20"/>
              </w:rPr>
            </w:pPr>
            <w:r w:rsidRPr="001E7A47">
              <w:rPr>
                <w:rFonts w:ascii="Arial Narrow" w:hAnsi="Arial Narrow"/>
                <w:sz w:val="20"/>
                <w:szCs w:val="20"/>
              </w:rPr>
              <w:t>LONCASTXIMAB TESIRINE</w:t>
            </w:r>
            <w:r w:rsidRPr="001E7A47">
              <w:rPr>
                <w:rFonts w:ascii="Arial Narrow" w:hAnsi="Arial Narrow"/>
                <w:sz w:val="20"/>
                <w:szCs w:val="20"/>
              </w:rPr>
              <w:br/>
            </w:r>
            <w:r w:rsidRPr="001E7A47">
              <w:rPr>
                <w:rFonts w:ascii="Arial Narrow" w:hAnsi="Arial Narrow" w:cs="Arial Narrow"/>
                <w:sz w:val="20"/>
                <w:szCs w:val="20"/>
              </w:rPr>
              <w:t>Injection</w:t>
            </w:r>
          </w:p>
        </w:tc>
        <w:tc>
          <w:tcPr>
            <w:tcW w:w="1180" w:type="pct"/>
            <w:vAlign w:val="center"/>
          </w:tcPr>
          <w:p w14:paraId="4C670A23" w14:textId="2739F262" w:rsidR="00D2040D" w:rsidRPr="00D2040D" w:rsidRDefault="00D2040D" w:rsidP="00D2040D">
            <w:pPr>
              <w:keepNext/>
              <w:jc w:val="center"/>
              <w:rPr>
                <w:rFonts w:ascii="Arial Narrow" w:hAnsi="Arial Narrow"/>
                <w:sz w:val="20"/>
                <w:szCs w:val="20"/>
              </w:rPr>
            </w:pPr>
            <w:r w:rsidRPr="00D2040D">
              <w:rPr>
                <w:rFonts w:ascii="Arial Narrow" w:hAnsi="Arial Narrow"/>
                <w:sz w:val="20"/>
                <w:szCs w:val="20"/>
              </w:rPr>
              <w:t>$</w:t>
            </w:r>
            <w:r w:rsidR="005822E1" w:rsidRPr="005822E1">
              <w:rPr>
                <w:rFonts w:ascii="Arial Narrow" w:hAnsi="Arial Narrow"/>
                <w:sz w:val="2"/>
                <w:szCs w:val="20"/>
                <w:highlight w:val="black"/>
              </w:rPr>
              <w:t>redacted content</w:t>
            </w:r>
            <w:r w:rsidRPr="00D2040D">
              <w:rPr>
                <w:rFonts w:ascii="Arial Narrow" w:hAnsi="Arial Narrow"/>
                <w:sz w:val="20"/>
                <w:szCs w:val="20"/>
              </w:rPr>
              <w:t xml:space="preserve"> public</w:t>
            </w:r>
          </w:p>
          <w:p w14:paraId="1E13194A" w14:textId="271D0718" w:rsidR="00121593" w:rsidRPr="001E7A47" w:rsidRDefault="00D2040D" w:rsidP="00D2040D">
            <w:pPr>
              <w:keepNext/>
              <w:jc w:val="center"/>
              <w:rPr>
                <w:rFonts w:ascii="Arial Narrow" w:hAnsi="Arial Narrow"/>
                <w:sz w:val="20"/>
                <w:szCs w:val="20"/>
              </w:rPr>
            </w:pPr>
            <w:r w:rsidRPr="00D2040D">
              <w:rPr>
                <w:rFonts w:ascii="Arial Narrow" w:hAnsi="Arial Narrow"/>
                <w:sz w:val="20"/>
                <w:szCs w:val="20"/>
              </w:rPr>
              <w:t>$</w:t>
            </w:r>
            <w:r w:rsidR="005822E1" w:rsidRPr="005822E1">
              <w:rPr>
                <w:rFonts w:ascii="Arial Narrow" w:hAnsi="Arial Narrow"/>
                <w:sz w:val="2"/>
                <w:szCs w:val="20"/>
                <w:highlight w:val="black"/>
              </w:rPr>
              <w:t>redacted content</w:t>
            </w:r>
            <w:r w:rsidRPr="00D2040D">
              <w:rPr>
                <w:rFonts w:ascii="Arial Narrow" w:hAnsi="Arial Narrow"/>
                <w:sz w:val="20"/>
                <w:szCs w:val="20"/>
              </w:rPr>
              <w:t xml:space="preserve"> private</w:t>
            </w:r>
          </w:p>
        </w:tc>
        <w:tc>
          <w:tcPr>
            <w:tcW w:w="1180" w:type="pct"/>
            <w:vAlign w:val="center"/>
          </w:tcPr>
          <w:p w14:paraId="59DC2C3A" w14:textId="453BE8CA" w:rsidR="00121593" w:rsidRPr="001E7A47" w:rsidRDefault="00121593">
            <w:pPr>
              <w:keepNext/>
              <w:jc w:val="center"/>
              <w:rPr>
                <w:rFonts w:ascii="Arial Narrow" w:hAnsi="Arial Narrow"/>
                <w:sz w:val="20"/>
                <w:szCs w:val="20"/>
              </w:rPr>
            </w:pPr>
            <w:r w:rsidRPr="001E7A47">
              <w:rPr>
                <w:rFonts w:ascii="Arial Narrow" w:hAnsi="Arial Narrow"/>
                <w:sz w:val="20"/>
                <w:szCs w:val="20"/>
              </w:rPr>
              <w:t>NEW (Public)</w:t>
            </w:r>
            <w:r w:rsidRPr="001E7A47">
              <w:rPr>
                <w:rFonts w:ascii="Arial Narrow" w:hAnsi="Arial Narrow"/>
                <w:sz w:val="20"/>
                <w:szCs w:val="20"/>
              </w:rPr>
              <w:br/>
              <w:t>NEW (Private)</w:t>
            </w:r>
          </w:p>
        </w:tc>
        <w:tc>
          <w:tcPr>
            <w:tcW w:w="707" w:type="pct"/>
            <w:vAlign w:val="center"/>
          </w:tcPr>
          <w:p w14:paraId="6E998436" w14:textId="77777777" w:rsidR="00121593" w:rsidRPr="001E7A47" w:rsidRDefault="00121593">
            <w:pPr>
              <w:keepNext/>
              <w:jc w:val="center"/>
              <w:rPr>
                <w:rFonts w:ascii="Arial Narrow" w:hAnsi="Arial Narrow"/>
                <w:sz w:val="20"/>
                <w:szCs w:val="20"/>
              </w:rPr>
            </w:pPr>
            <w:r w:rsidRPr="001E7A47">
              <w:rPr>
                <w:rFonts w:ascii="Arial Narrow" w:hAnsi="Arial Narrow"/>
                <w:sz w:val="20"/>
                <w:szCs w:val="20"/>
              </w:rPr>
              <w:t>10 mg</w:t>
            </w:r>
          </w:p>
        </w:tc>
        <w:tc>
          <w:tcPr>
            <w:tcW w:w="599" w:type="pct"/>
            <w:vAlign w:val="center"/>
          </w:tcPr>
          <w:p w14:paraId="1271EEFA" w14:textId="77777777" w:rsidR="00121593" w:rsidRPr="001E7A47" w:rsidRDefault="00121593">
            <w:pPr>
              <w:keepNext/>
              <w:jc w:val="center"/>
              <w:rPr>
                <w:rFonts w:ascii="Arial Narrow" w:hAnsi="Arial Narrow"/>
                <w:sz w:val="20"/>
                <w:szCs w:val="20"/>
              </w:rPr>
            </w:pPr>
            <w:r w:rsidRPr="001E7A47">
              <w:rPr>
                <w:rFonts w:ascii="Arial Narrow" w:hAnsi="Arial Narrow"/>
                <w:sz w:val="20"/>
                <w:szCs w:val="20"/>
              </w:rPr>
              <w:t>3</w:t>
            </w:r>
          </w:p>
        </w:tc>
      </w:tr>
      <w:tr w:rsidR="000A2CB6" w:rsidRPr="001E7A47" w14:paraId="4881BC6B" w14:textId="77777777">
        <w:trPr>
          <w:cantSplit/>
          <w:trHeight w:val="20"/>
        </w:trPr>
        <w:tc>
          <w:tcPr>
            <w:tcW w:w="5000" w:type="pct"/>
            <w:gridSpan w:val="7"/>
            <w:vAlign w:val="center"/>
          </w:tcPr>
          <w:p w14:paraId="17E85E98" w14:textId="77777777" w:rsidR="000A2CB6" w:rsidRPr="001E7A47" w:rsidRDefault="000A2CB6">
            <w:pPr>
              <w:keepNext/>
              <w:rPr>
                <w:rFonts w:ascii="Arial Narrow" w:hAnsi="Arial Narrow"/>
                <w:b/>
                <w:sz w:val="20"/>
                <w:szCs w:val="20"/>
              </w:rPr>
            </w:pPr>
            <w:r w:rsidRPr="001E7A47">
              <w:rPr>
                <w:rFonts w:ascii="Arial Narrow" w:hAnsi="Arial Narrow"/>
                <w:b/>
                <w:sz w:val="20"/>
                <w:szCs w:val="20"/>
              </w:rPr>
              <w:t xml:space="preserve">Available brands </w:t>
            </w:r>
          </w:p>
        </w:tc>
      </w:tr>
      <w:tr w:rsidR="000A2CB6" w:rsidRPr="001E7A47" w14:paraId="15425A1A" w14:textId="77777777">
        <w:trPr>
          <w:cantSplit/>
          <w:trHeight w:val="20"/>
        </w:trPr>
        <w:tc>
          <w:tcPr>
            <w:tcW w:w="5000" w:type="pct"/>
            <w:gridSpan w:val="7"/>
            <w:vAlign w:val="center"/>
          </w:tcPr>
          <w:p w14:paraId="34262E7D" w14:textId="77777777" w:rsidR="000A2CB6" w:rsidRPr="001E7A47" w:rsidRDefault="000A2CB6">
            <w:pPr>
              <w:keepNext/>
              <w:rPr>
                <w:rFonts w:ascii="Arial Narrow" w:hAnsi="Arial Narrow"/>
                <w:sz w:val="20"/>
                <w:szCs w:val="20"/>
              </w:rPr>
            </w:pPr>
            <w:r w:rsidRPr="001E7A47">
              <w:rPr>
                <w:rFonts w:ascii="Arial Narrow" w:hAnsi="Arial Narrow"/>
                <w:sz w:val="20"/>
                <w:szCs w:val="20"/>
              </w:rPr>
              <w:t>Zynlonta</w:t>
            </w:r>
          </w:p>
          <w:p w14:paraId="37D22E2E" w14:textId="77777777" w:rsidR="000A2CB6" w:rsidRPr="001E7A47" w:rsidRDefault="000A2CB6">
            <w:pPr>
              <w:keepNext/>
              <w:rPr>
                <w:rFonts w:ascii="Arial Narrow" w:hAnsi="Arial Narrow"/>
                <w:sz w:val="20"/>
                <w:szCs w:val="20"/>
              </w:rPr>
            </w:pPr>
            <w:r w:rsidRPr="001E7A47">
              <w:rPr>
                <w:rFonts w:ascii="Arial Narrow" w:hAnsi="Arial Narrow"/>
                <w:sz w:val="20"/>
                <w:szCs w:val="20"/>
              </w:rPr>
              <w:t>loncastuximab tesirine 10 mg/2 mL, 2mL vial</w:t>
            </w:r>
          </w:p>
        </w:tc>
      </w:tr>
      <w:tr w:rsidR="000A2CB6" w:rsidRPr="001E7A47" w14:paraId="3E29252D" w14:textId="77777777">
        <w:trPr>
          <w:cantSplit/>
          <w:trHeight w:val="20"/>
        </w:trPr>
        <w:tc>
          <w:tcPr>
            <w:tcW w:w="5000" w:type="pct"/>
            <w:gridSpan w:val="7"/>
            <w:vAlign w:val="center"/>
          </w:tcPr>
          <w:p w14:paraId="2D87648C" w14:textId="77777777" w:rsidR="000A2CB6" w:rsidRPr="001E7A47" w:rsidRDefault="000A2CB6">
            <w:pPr>
              <w:keepNext/>
              <w:rPr>
                <w:rFonts w:ascii="Arial Narrow" w:hAnsi="Arial Narrow"/>
                <w:sz w:val="20"/>
                <w:szCs w:val="20"/>
              </w:rPr>
            </w:pPr>
            <w:r w:rsidRPr="001E7A47">
              <w:rPr>
                <w:rFonts w:ascii="Arial Narrow" w:hAnsi="Arial Narrow"/>
                <w:b/>
                <w:sz w:val="20"/>
                <w:szCs w:val="20"/>
              </w:rPr>
              <w:t>Restriction Summary New / Treatment of Concept: New</w:t>
            </w:r>
          </w:p>
        </w:tc>
      </w:tr>
      <w:tr w:rsidR="000A2CB6" w:rsidRPr="001E7A47" w14:paraId="094D2592"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4B8412C7" w14:textId="77777777" w:rsidR="000A2CB6" w:rsidRPr="001E7A47" w:rsidRDefault="000A2CB6">
            <w:pPr>
              <w:keepNext/>
              <w:jc w:val="center"/>
              <w:rPr>
                <w:rFonts w:ascii="Arial Narrow" w:hAnsi="Arial Narrow"/>
                <w:b/>
                <w:sz w:val="20"/>
                <w:szCs w:val="20"/>
              </w:rPr>
            </w:pPr>
            <w:r w:rsidRPr="001E7A47">
              <w:rPr>
                <w:rFonts w:ascii="Arial Narrow" w:hAnsi="Arial Narrow"/>
                <w:b/>
                <w:sz w:val="20"/>
                <w:szCs w:val="20"/>
              </w:rPr>
              <w:t xml:space="preserve">Concept ID </w:t>
            </w:r>
            <w:r w:rsidRPr="001E7A47">
              <w:rPr>
                <w:rFonts w:ascii="Arial Narrow" w:hAnsi="Arial Narrow"/>
                <w:sz w:val="20"/>
                <w:szCs w:val="20"/>
              </w:rPr>
              <w:t>(for internal Dept. use)</w:t>
            </w:r>
          </w:p>
        </w:tc>
        <w:tc>
          <w:tcPr>
            <w:tcW w:w="4295" w:type="pct"/>
            <w:gridSpan w:val="5"/>
          </w:tcPr>
          <w:p w14:paraId="24D1378F" w14:textId="77777777" w:rsidR="000A2CB6" w:rsidRPr="001E7A47" w:rsidRDefault="000A2CB6">
            <w:pPr>
              <w:keepNext/>
              <w:rPr>
                <w:rFonts w:ascii="Arial Narrow" w:hAnsi="Arial Narrow"/>
                <w:sz w:val="20"/>
                <w:szCs w:val="20"/>
              </w:rPr>
            </w:pPr>
            <w:r w:rsidRPr="001E7A47">
              <w:rPr>
                <w:rFonts w:ascii="Arial Narrow" w:hAnsi="Arial Narrow"/>
                <w:b/>
                <w:sz w:val="20"/>
                <w:szCs w:val="20"/>
              </w:rPr>
              <w:t xml:space="preserve">Category / Program: </w:t>
            </w:r>
            <w:r w:rsidRPr="001E7A47">
              <w:rPr>
                <w:rFonts w:ascii="Arial Narrow" w:hAnsi="Arial Narrow"/>
                <w:sz w:val="20"/>
                <w:szCs w:val="20"/>
              </w:rPr>
              <w:t>Section 100 – Efficient Funding of Chemotherapy Public/Private hospitals</w:t>
            </w:r>
          </w:p>
        </w:tc>
      </w:tr>
      <w:tr w:rsidR="000A2CB6" w:rsidRPr="001E7A47" w14:paraId="5F192A8A"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6FA7037D" w14:textId="77777777" w:rsidR="000A2CB6" w:rsidRPr="001E7A47" w:rsidRDefault="000A2CB6">
            <w:pPr>
              <w:keepNext/>
              <w:rPr>
                <w:rFonts w:ascii="Arial Narrow" w:hAnsi="Arial Narrow"/>
                <w:sz w:val="20"/>
                <w:szCs w:val="20"/>
              </w:rPr>
            </w:pPr>
          </w:p>
        </w:tc>
        <w:tc>
          <w:tcPr>
            <w:tcW w:w="4295" w:type="pct"/>
            <w:gridSpan w:val="5"/>
          </w:tcPr>
          <w:p w14:paraId="753DCE1D" w14:textId="77777777" w:rsidR="000A2CB6" w:rsidRPr="001E7A47" w:rsidRDefault="000A2CB6">
            <w:pPr>
              <w:keepNext/>
              <w:rPr>
                <w:rFonts w:ascii="Arial Narrow" w:hAnsi="Arial Narrow"/>
                <w:b/>
                <w:sz w:val="20"/>
                <w:szCs w:val="20"/>
              </w:rPr>
            </w:pPr>
            <w:r w:rsidRPr="001E7A47">
              <w:rPr>
                <w:rFonts w:ascii="Arial Narrow" w:hAnsi="Arial Narrow"/>
                <w:b/>
                <w:sz w:val="20"/>
                <w:szCs w:val="20"/>
              </w:rPr>
              <w:t xml:space="preserve">Prescriber type: </w:t>
            </w:r>
            <w:r w:rsidRPr="001E7A47">
              <w:rPr>
                <w:rFonts w:ascii="Arial Narrow" w:hAnsi="Arial Narrow"/>
                <w:sz w:val="20"/>
                <w:szCs w:val="20"/>
              </w:rPr>
              <w:fldChar w:fldCharType="begin">
                <w:ffData>
                  <w:name w:val=""/>
                  <w:enabled/>
                  <w:calcOnExit w:val="0"/>
                  <w:checkBox>
                    <w:sizeAuto/>
                    <w:default w:val="1"/>
                  </w:checkBox>
                </w:ffData>
              </w:fldChar>
            </w:r>
            <w:r w:rsidRPr="001E7A47">
              <w:rPr>
                <w:rFonts w:ascii="Arial Narrow" w:hAnsi="Arial Narrow"/>
                <w:sz w:val="20"/>
                <w:szCs w:val="20"/>
              </w:rPr>
              <w:instrText xml:space="preserve"> FORMCHECKBOX </w:instrText>
            </w:r>
            <w:r w:rsidRPr="001E7A47">
              <w:rPr>
                <w:rFonts w:ascii="Arial Narrow" w:hAnsi="Arial Narrow"/>
                <w:sz w:val="20"/>
                <w:szCs w:val="20"/>
              </w:rPr>
            </w:r>
            <w:r w:rsidRPr="001E7A47">
              <w:rPr>
                <w:rFonts w:ascii="Arial Narrow" w:hAnsi="Arial Narrow"/>
                <w:sz w:val="20"/>
                <w:szCs w:val="20"/>
              </w:rPr>
              <w:fldChar w:fldCharType="separate"/>
            </w:r>
            <w:r w:rsidRPr="001E7A47">
              <w:rPr>
                <w:rFonts w:ascii="Arial Narrow" w:hAnsi="Arial Narrow"/>
                <w:sz w:val="20"/>
                <w:szCs w:val="20"/>
              </w:rPr>
              <w:fldChar w:fldCharType="end"/>
            </w:r>
            <w:r w:rsidRPr="001E7A47">
              <w:rPr>
                <w:rFonts w:ascii="Arial Narrow" w:hAnsi="Arial Narrow"/>
                <w:sz w:val="20"/>
                <w:szCs w:val="20"/>
              </w:rPr>
              <w:t xml:space="preserve">Medical Practitioners </w:t>
            </w:r>
          </w:p>
        </w:tc>
      </w:tr>
      <w:tr w:rsidR="000A2CB6" w:rsidRPr="001E7A47" w14:paraId="758AABD3"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6381E1A6" w14:textId="77777777" w:rsidR="000A2CB6" w:rsidRPr="001E7A47" w:rsidRDefault="000A2CB6">
            <w:pPr>
              <w:rPr>
                <w:rFonts w:ascii="Arial Narrow" w:hAnsi="Arial Narrow"/>
                <w:sz w:val="20"/>
                <w:szCs w:val="20"/>
              </w:rPr>
            </w:pPr>
          </w:p>
        </w:tc>
        <w:tc>
          <w:tcPr>
            <w:tcW w:w="4295" w:type="pct"/>
            <w:gridSpan w:val="5"/>
          </w:tcPr>
          <w:p w14:paraId="08BA7E44" w14:textId="77777777" w:rsidR="000A2CB6" w:rsidRPr="001E7A47" w:rsidRDefault="000A2CB6">
            <w:pPr>
              <w:rPr>
                <w:rFonts w:ascii="Arial Narrow" w:eastAsia="Calibri" w:hAnsi="Arial Narrow"/>
                <w:sz w:val="20"/>
                <w:szCs w:val="20"/>
              </w:rPr>
            </w:pPr>
            <w:r w:rsidRPr="001E7A47">
              <w:rPr>
                <w:rFonts w:ascii="Arial Narrow" w:hAnsi="Arial Narrow"/>
                <w:b/>
                <w:sz w:val="20"/>
                <w:szCs w:val="20"/>
              </w:rPr>
              <w:t xml:space="preserve">Restriction type: </w:t>
            </w:r>
            <w:r w:rsidRPr="001E7A47">
              <w:rPr>
                <w:rFonts w:ascii="Arial Narrow" w:eastAsia="Calibri" w:hAnsi="Arial Narrow"/>
                <w:sz w:val="20"/>
                <w:szCs w:val="20"/>
              </w:rPr>
              <w:fldChar w:fldCharType="begin">
                <w:ffData>
                  <w:name w:val="Check3"/>
                  <w:enabled/>
                  <w:calcOnExit w:val="0"/>
                  <w:checkBox>
                    <w:sizeAuto/>
                    <w:default w:val="1"/>
                  </w:checkBox>
                </w:ffData>
              </w:fldChar>
            </w:r>
            <w:r w:rsidRPr="001E7A47">
              <w:rPr>
                <w:rFonts w:ascii="Arial Narrow" w:eastAsia="Calibri" w:hAnsi="Arial Narrow"/>
                <w:sz w:val="20"/>
                <w:szCs w:val="20"/>
              </w:rPr>
              <w:instrText xml:space="preserve"> FORMCHECKBOX </w:instrText>
            </w:r>
            <w:r w:rsidRPr="001E7A47">
              <w:rPr>
                <w:rFonts w:ascii="Arial Narrow" w:eastAsia="Calibri" w:hAnsi="Arial Narrow"/>
                <w:sz w:val="20"/>
                <w:szCs w:val="20"/>
              </w:rPr>
            </w:r>
            <w:r w:rsidRPr="001E7A47">
              <w:rPr>
                <w:rFonts w:ascii="Arial Narrow" w:eastAsia="Calibri" w:hAnsi="Arial Narrow"/>
                <w:sz w:val="20"/>
                <w:szCs w:val="20"/>
              </w:rPr>
              <w:fldChar w:fldCharType="separate"/>
            </w:r>
            <w:r w:rsidRPr="001E7A47">
              <w:rPr>
                <w:rFonts w:ascii="Arial Narrow" w:eastAsia="Calibri" w:hAnsi="Arial Narrow"/>
                <w:sz w:val="20"/>
                <w:szCs w:val="20"/>
              </w:rPr>
              <w:fldChar w:fldCharType="end"/>
            </w:r>
            <w:r w:rsidRPr="001E7A47">
              <w:rPr>
                <w:rFonts w:ascii="Arial Narrow" w:eastAsia="Calibri" w:hAnsi="Arial Narrow"/>
                <w:sz w:val="20"/>
                <w:szCs w:val="20"/>
              </w:rPr>
              <w:t xml:space="preserve">Authority Required (STREAMLINED) </w:t>
            </w:r>
          </w:p>
        </w:tc>
      </w:tr>
      <w:tr w:rsidR="000A2CB6" w:rsidRPr="001E7A47" w14:paraId="1F94425F" w14:textId="77777777">
        <w:tblPrEx>
          <w:tblCellMar>
            <w:top w:w="15" w:type="dxa"/>
            <w:bottom w:w="15" w:type="dxa"/>
          </w:tblCellMar>
          <w:tblLook w:val="04A0" w:firstRow="1" w:lastRow="0" w:firstColumn="1" w:lastColumn="0" w:noHBand="0" w:noVBand="1"/>
        </w:tblPrEx>
        <w:trPr>
          <w:trHeight w:val="218"/>
        </w:trPr>
        <w:tc>
          <w:tcPr>
            <w:tcW w:w="312" w:type="pct"/>
            <w:vMerge w:val="restart"/>
            <w:textDirection w:val="btLr"/>
            <w:vAlign w:val="center"/>
          </w:tcPr>
          <w:p w14:paraId="63EEB589" w14:textId="77777777" w:rsidR="000A2CB6" w:rsidRPr="001E7A47" w:rsidRDefault="000A2CB6">
            <w:pPr>
              <w:keepLines/>
              <w:ind w:right="113"/>
              <w:jc w:val="center"/>
              <w:rPr>
                <w:rFonts w:ascii="Arial Narrow" w:hAnsi="Arial Narrow"/>
                <w:sz w:val="18"/>
                <w:szCs w:val="18"/>
              </w:rPr>
            </w:pPr>
            <w:r w:rsidRPr="001E7A47">
              <w:rPr>
                <w:rFonts w:ascii="Arial Narrow" w:hAnsi="Arial Narrow"/>
                <w:sz w:val="18"/>
                <w:szCs w:val="18"/>
              </w:rPr>
              <w:t>PR rule level</w:t>
            </w:r>
          </w:p>
        </w:tc>
        <w:tc>
          <w:tcPr>
            <w:tcW w:w="393" w:type="pct"/>
            <w:vAlign w:val="center"/>
          </w:tcPr>
          <w:p w14:paraId="57B73A96" w14:textId="4D6ACC4B" w:rsidR="000A2CB6" w:rsidRPr="001E7A47" w:rsidRDefault="000A2CB6">
            <w:pPr>
              <w:keepLines/>
              <w:ind w:hanging="35"/>
              <w:jc w:val="center"/>
              <w:rPr>
                <w:rFonts w:ascii="Arial Narrow" w:hAnsi="Arial Narrow"/>
                <w:i/>
                <w:iCs/>
                <w:sz w:val="20"/>
                <w:szCs w:val="20"/>
              </w:rPr>
            </w:pPr>
          </w:p>
        </w:tc>
        <w:tc>
          <w:tcPr>
            <w:tcW w:w="4295" w:type="pct"/>
            <w:gridSpan w:val="5"/>
            <w:vAlign w:val="center"/>
          </w:tcPr>
          <w:p w14:paraId="2B4F62F6" w14:textId="77777777" w:rsidR="000A2CB6" w:rsidRPr="001E7A47" w:rsidRDefault="000A2CB6">
            <w:pPr>
              <w:keepLines/>
              <w:rPr>
                <w:rFonts w:ascii="Arial Narrow" w:hAnsi="Arial Narrow"/>
                <w:i/>
                <w:iCs/>
                <w:sz w:val="20"/>
                <w:szCs w:val="20"/>
              </w:rPr>
            </w:pPr>
            <w:r w:rsidRPr="001E7A47">
              <w:rPr>
                <w:rFonts w:ascii="Arial Narrow" w:hAnsi="Arial Narrow"/>
                <w:b/>
                <w:bCs/>
                <w:sz w:val="20"/>
                <w:szCs w:val="20"/>
              </w:rPr>
              <w:t xml:space="preserve">Administrative Advice: </w:t>
            </w:r>
            <w:r w:rsidRPr="001E7A47">
              <w:rPr>
                <w:rFonts w:ascii="Arial Narrow" w:hAnsi="Arial Narrow"/>
                <w:bCs/>
                <w:sz w:val="20"/>
                <w:szCs w:val="20"/>
              </w:rPr>
              <w:t>No increase in the maximum number of repeats may be authorised.</w:t>
            </w:r>
          </w:p>
        </w:tc>
      </w:tr>
      <w:tr w:rsidR="000A2CB6" w:rsidRPr="001E7A47" w14:paraId="2DD05B0F" w14:textId="77777777">
        <w:tblPrEx>
          <w:tblCellMar>
            <w:top w:w="15" w:type="dxa"/>
            <w:bottom w:w="15" w:type="dxa"/>
          </w:tblCellMar>
          <w:tblLook w:val="04A0" w:firstRow="1" w:lastRow="0" w:firstColumn="1" w:lastColumn="0" w:noHBand="0" w:noVBand="1"/>
        </w:tblPrEx>
        <w:trPr>
          <w:trHeight w:val="574"/>
        </w:trPr>
        <w:tc>
          <w:tcPr>
            <w:tcW w:w="312" w:type="pct"/>
            <w:vMerge/>
            <w:vAlign w:val="center"/>
          </w:tcPr>
          <w:p w14:paraId="15C30989" w14:textId="77777777" w:rsidR="000A2CB6" w:rsidRPr="001E7A47" w:rsidRDefault="000A2CB6">
            <w:pPr>
              <w:keepLines/>
              <w:jc w:val="center"/>
              <w:rPr>
                <w:rFonts w:ascii="Arial Narrow" w:hAnsi="Arial Narrow"/>
                <w:sz w:val="20"/>
                <w:szCs w:val="20"/>
              </w:rPr>
            </w:pPr>
          </w:p>
        </w:tc>
        <w:tc>
          <w:tcPr>
            <w:tcW w:w="393" w:type="pct"/>
            <w:vAlign w:val="center"/>
          </w:tcPr>
          <w:p w14:paraId="76518A22" w14:textId="2FAB75C5" w:rsidR="000A2CB6" w:rsidRPr="001E7A47" w:rsidRDefault="000A2CB6">
            <w:pPr>
              <w:keepLines/>
              <w:ind w:hanging="35"/>
              <w:jc w:val="center"/>
              <w:rPr>
                <w:rFonts w:ascii="Arial Narrow" w:hAnsi="Arial Narrow"/>
                <w:sz w:val="20"/>
                <w:szCs w:val="20"/>
              </w:rPr>
            </w:pPr>
          </w:p>
        </w:tc>
        <w:tc>
          <w:tcPr>
            <w:tcW w:w="4295" w:type="pct"/>
            <w:gridSpan w:val="5"/>
            <w:vAlign w:val="center"/>
          </w:tcPr>
          <w:p w14:paraId="312D317D" w14:textId="77777777" w:rsidR="000A2CB6" w:rsidRPr="001E7A47" w:rsidRDefault="000A2CB6">
            <w:pPr>
              <w:keepLines/>
              <w:rPr>
                <w:rFonts w:ascii="Arial Narrow" w:hAnsi="Arial Narrow"/>
                <w:b/>
                <w:bCs/>
                <w:sz w:val="20"/>
                <w:szCs w:val="20"/>
              </w:rPr>
            </w:pPr>
            <w:r w:rsidRPr="001E7A47">
              <w:rPr>
                <w:rFonts w:ascii="Arial Narrow" w:hAnsi="Arial Narrow"/>
                <w:b/>
                <w:bCs/>
                <w:sz w:val="20"/>
                <w:szCs w:val="20"/>
              </w:rPr>
              <w:t>Administrative Advice:</w:t>
            </w:r>
            <w:r w:rsidRPr="001E7A47">
              <w:t xml:space="preserve"> </w:t>
            </w:r>
            <w:r w:rsidRPr="001E7A47">
              <w:rPr>
                <w:rFonts w:ascii="Arial Narrow" w:hAnsi="Arial Narrow"/>
                <w:sz w:val="20"/>
                <w:szCs w:val="20"/>
              </w:rPr>
              <w:t>Increased maximum amounts can be requested where a patient’s weight is greater than 135kg</w:t>
            </w:r>
          </w:p>
        </w:tc>
      </w:tr>
      <w:tr w:rsidR="000A2CB6" w:rsidRPr="001E7A47" w14:paraId="46231362"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2D420F57" w14:textId="4BDA73D9" w:rsidR="000A2CB6" w:rsidRPr="001E7A47" w:rsidRDefault="000A2CB6">
            <w:pPr>
              <w:keepLines/>
              <w:jc w:val="center"/>
              <w:rPr>
                <w:rFonts w:ascii="Arial Narrow" w:hAnsi="Arial Narrow"/>
                <w:sz w:val="20"/>
                <w:szCs w:val="20"/>
              </w:rPr>
            </w:pPr>
          </w:p>
        </w:tc>
        <w:tc>
          <w:tcPr>
            <w:tcW w:w="4295" w:type="pct"/>
            <w:gridSpan w:val="5"/>
            <w:vAlign w:val="center"/>
            <w:hideMark/>
          </w:tcPr>
          <w:p w14:paraId="5A533B9E" w14:textId="77777777" w:rsidR="000A2CB6" w:rsidRPr="001E7A47" w:rsidRDefault="000A2CB6">
            <w:pPr>
              <w:keepLines/>
              <w:rPr>
                <w:rFonts w:ascii="Arial Narrow" w:hAnsi="Arial Narrow"/>
                <w:sz w:val="20"/>
                <w:szCs w:val="20"/>
              </w:rPr>
            </w:pPr>
            <w:r w:rsidRPr="001E7A47">
              <w:rPr>
                <w:rFonts w:ascii="Arial Narrow" w:hAnsi="Arial Narrow"/>
                <w:b/>
                <w:bCs/>
                <w:sz w:val="20"/>
                <w:szCs w:val="20"/>
              </w:rPr>
              <w:t>Indication:</w:t>
            </w:r>
            <w:r w:rsidRPr="001E7A47">
              <w:rPr>
                <w:rFonts w:ascii="Arial Narrow" w:hAnsi="Arial Narrow"/>
                <w:sz w:val="20"/>
                <w:szCs w:val="20"/>
              </w:rPr>
              <w:t xml:space="preserve"> Relapsed or refractory diffuse large B-cell lymphoma (DLBCL)</w:t>
            </w:r>
          </w:p>
        </w:tc>
      </w:tr>
      <w:tr w:rsidR="000A2CB6" w:rsidRPr="001E7A47" w14:paraId="587891AB"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4AAB8186" w14:textId="77777777" w:rsidR="000A2CB6" w:rsidRPr="001E7A47" w:rsidRDefault="000A2CB6">
            <w:pPr>
              <w:jc w:val="center"/>
              <w:rPr>
                <w:rFonts w:ascii="Arial Narrow" w:hAnsi="Arial Narrow"/>
                <w:sz w:val="20"/>
                <w:szCs w:val="20"/>
              </w:rPr>
            </w:pPr>
          </w:p>
        </w:tc>
        <w:tc>
          <w:tcPr>
            <w:tcW w:w="4295" w:type="pct"/>
            <w:gridSpan w:val="5"/>
            <w:vAlign w:val="center"/>
            <w:hideMark/>
          </w:tcPr>
          <w:p w14:paraId="3094D33D" w14:textId="77777777" w:rsidR="000A2CB6" w:rsidRPr="001E7A47" w:rsidRDefault="000A2CB6">
            <w:pPr>
              <w:rPr>
                <w:rFonts w:ascii="Arial Narrow" w:hAnsi="Arial Narrow"/>
                <w:sz w:val="20"/>
                <w:szCs w:val="20"/>
              </w:rPr>
            </w:pPr>
            <w:r w:rsidRPr="001E7A47">
              <w:rPr>
                <w:rFonts w:ascii="Arial Narrow" w:hAnsi="Arial Narrow"/>
                <w:b/>
                <w:bCs/>
                <w:sz w:val="20"/>
                <w:szCs w:val="20"/>
              </w:rPr>
              <w:t>Treatment Phase:</w:t>
            </w:r>
            <w:r w:rsidRPr="001E7A47">
              <w:rPr>
                <w:rFonts w:ascii="Arial Narrow" w:hAnsi="Arial Narrow"/>
                <w:sz w:val="20"/>
                <w:szCs w:val="20"/>
              </w:rPr>
              <w:t xml:space="preserve"> Continuing </w:t>
            </w:r>
            <w:r w:rsidRPr="001E7A47">
              <w:rPr>
                <w:rFonts w:ascii="Arial Narrow" w:hAnsi="Arial Narrow"/>
                <w:i/>
                <w:iCs/>
                <w:sz w:val="20"/>
                <w:szCs w:val="20"/>
              </w:rPr>
              <w:t>treatment</w:t>
            </w:r>
          </w:p>
        </w:tc>
      </w:tr>
      <w:tr w:rsidR="000A2CB6" w:rsidRPr="001E7A47" w14:paraId="7D87A048"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479240A" w14:textId="77777777" w:rsidR="000A2CB6" w:rsidRPr="001E7A47" w:rsidRDefault="000A2CB6">
            <w:pPr>
              <w:jc w:val="center"/>
              <w:rPr>
                <w:rFonts w:ascii="Arial Narrow" w:hAnsi="Arial Narrow"/>
                <w:strike/>
                <w:sz w:val="20"/>
                <w:szCs w:val="20"/>
              </w:rPr>
            </w:pPr>
          </w:p>
        </w:tc>
        <w:tc>
          <w:tcPr>
            <w:tcW w:w="4295" w:type="pct"/>
            <w:gridSpan w:val="5"/>
            <w:vAlign w:val="center"/>
            <w:hideMark/>
          </w:tcPr>
          <w:p w14:paraId="56686215" w14:textId="77777777" w:rsidR="000A2CB6" w:rsidRPr="001E7A47" w:rsidRDefault="000A2CB6">
            <w:pPr>
              <w:rPr>
                <w:rFonts w:ascii="Arial Narrow" w:hAnsi="Arial Narrow"/>
                <w:b/>
                <w:bCs/>
                <w:strike/>
                <w:sz w:val="20"/>
                <w:szCs w:val="20"/>
              </w:rPr>
            </w:pPr>
            <w:r w:rsidRPr="001E7A47">
              <w:rPr>
                <w:rFonts w:ascii="Arial Narrow" w:hAnsi="Arial Narrow" w:cs="Arial Narrow"/>
                <w:b/>
                <w:bCs/>
                <w:iCs/>
                <w:strike/>
                <w:sz w:val="20"/>
                <w:szCs w:val="20"/>
              </w:rPr>
              <w:t>Population Criteria:</w:t>
            </w:r>
            <w:r w:rsidRPr="001E7A47">
              <w:rPr>
                <w:rFonts w:ascii="Arial Narrow" w:hAnsi="Arial Narrow"/>
                <w:b/>
                <w:bCs/>
                <w:strike/>
                <w:sz w:val="20"/>
                <w:szCs w:val="20"/>
              </w:rPr>
              <w:t xml:space="preserve"> </w:t>
            </w:r>
          </w:p>
        </w:tc>
      </w:tr>
      <w:tr w:rsidR="000A2CB6" w:rsidRPr="001E7A47" w14:paraId="03C45D45"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71CF67F" w14:textId="77777777" w:rsidR="000A2CB6" w:rsidRPr="001E7A47" w:rsidRDefault="000A2CB6">
            <w:pPr>
              <w:jc w:val="center"/>
              <w:rPr>
                <w:rFonts w:ascii="Arial Narrow" w:hAnsi="Arial Narrow"/>
                <w:strike/>
                <w:sz w:val="20"/>
                <w:szCs w:val="20"/>
              </w:rPr>
            </w:pPr>
          </w:p>
        </w:tc>
        <w:tc>
          <w:tcPr>
            <w:tcW w:w="4295" w:type="pct"/>
            <w:gridSpan w:val="5"/>
            <w:vAlign w:val="center"/>
            <w:hideMark/>
          </w:tcPr>
          <w:p w14:paraId="0D294839" w14:textId="77777777" w:rsidR="000A2CB6" w:rsidRPr="001E7A47" w:rsidRDefault="000A2CB6">
            <w:pPr>
              <w:rPr>
                <w:rFonts w:ascii="Arial Narrow" w:hAnsi="Arial Narrow"/>
                <w:strike/>
                <w:sz w:val="20"/>
                <w:szCs w:val="20"/>
              </w:rPr>
            </w:pPr>
            <w:r w:rsidRPr="001E7A47">
              <w:rPr>
                <w:rFonts w:ascii="Arial Narrow" w:hAnsi="Arial Narrow" w:cs="Arial Narrow"/>
                <w:iCs/>
                <w:strike/>
                <w:sz w:val="20"/>
                <w:szCs w:val="20"/>
              </w:rPr>
              <w:t>Adults only who have received a diagnosis of DLBCL, including high-grade B-cell lymphoma (HGBCL)</w:t>
            </w:r>
          </w:p>
        </w:tc>
      </w:tr>
      <w:tr w:rsidR="000A2CB6" w:rsidRPr="001E7A47" w14:paraId="3D1BAA64"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F3ADA23" w14:textId="77777777" w:rsidR="000A2CB6" w:rsidRPr="001E7A47" w:rsidRDefault="000A2CB6">
            <w:pPr>
              <w:jc w:val="center"/>
              <w:rPr>
                <w:rFonts w:ascii="Arial Narrow" w:hAnsi="Arial Narrow"/>
                <w:sz w:val="20"/>
                <w:szCs w:val="20"/>
              </w:rPr>
            </w:pPr>
          </w:p>
        </w:tc>
        <w:tc>
          <w:tcPr>
            <w:tcW w:w="4295" w:type="pct"/>
            <w:gridSpan w:val="5"/>
            <w:vAlign w:val="center"/>
          </w:tcPr>
          <w:p w14:paraId="2FCF41CA" w14:textId="77777777" w:rsidR="000A2CB6" w:rsidRPr="001E7A47" w:rsidRDefault="000A2CB6">
            <w:pPr>
              <w:rPr>
                <w:rFonts w:ascii="Arial Narrow" w:hAnsi="Arial Narrow"/>
                <w:b/>
                <w:bCs/>
                <w:strike/>
                <w:sz w:val="20"/>
                <w:szCs w:val="20"/>
              </w:rPr>
            </w:pPr>
            <w:r w:rsidRPr="001E7A47">
              <w:rPr>
                <w:rFonts w:ascii="Arial Narrow" w:hAnsi="Arial Narrow"/>
                <w:b/>
                <w:bCs/>
                <w:strike/>
                <w:sz w:val="20"/>
                <w:szCs w:val="20"/>
              </w:rPr>
              <w:t>Treatment Criteria:</w:t>
            </w:r>
          </w:p>
        </w:tc>
      </w:tr>
      <w:tr w:rsidR="000A2CB6" w:rsidRPr="001E7A47" w14:paraId="70CCE074"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9648728" w14:textId="07944225" w:rsidR="000A2CB6" w:rsidRPr="001E7A47" w:rsidRDefault="000A2CB6">
            <w:pPr>
              <w:jc w:val="center"/>
              <w:rPr>
                <w:rFonts w:ascii="Arial Narrow" w:hAnsi="Arial Narrow"/>
                <w:sz w:val="20"/>
                <w:szCs w:val="20"/>
              </w:rPr>
            </w:pPr>
          </w:p>
        </w:tc>
        <w:tc>
          <w:tcPr>
            <w:tcW w:w="4295" w:type="pct"/>
            <w:gridSpan w:val="5"/>
            <w:vAlign w:val="center"/>
            <w:hideMark/>
          </w:tcPr>
          <w:p w14:paraId="50A1F8A6" w14:textId="77777777" w:rsidR="000A2CB6" w:rsidRPr="001E7A47" w:rsidRDefault="000A2CB6">
            <w:pPr>
              <w:rPr>
                <w:rFonts w:ascii="Arial Narrow" w:hAnsi="Arial Narrow"/>
                <w:sz w:val="20"/>
                <w:szCs w:val="20"/>
              </w:rPr>
            </w:pPr>
            <w:r w:rsidRPr="001E7A47">
              <w:rPr>
                <w:rFonts w:ascii="Arial Narrow" w:hAnsi="Arial Narrow"/>
                <w:b/>
                <w:bCs/>
                <w:sz w:val="20"/>
                <w:szCs w:val="20"/>
              </w:rPr>
              <w:t>Clinical criteria:</w:t>
            </w:r>
          </w:p>
        </w:tc>
      </w:tr>
      <w:tr w:rsidR="000A2CB6" w:rsidRPr="001E7A47" w14:paraId="74CBF4FE"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ECBAE69" w14:textId="02422F0C" w:rsidR="000A2CB6" w:rsidRPr="001E7A47" w:rsidRDefault="000A2CB6">
            <w:pPr>
              <w:jc w:val="center"/>
              <w:rPr>
                <w:rFonts w:ascii="Arial Narrow" w:hAnsi="Arial Narrow" w:cs="Arial Narrow"/>
                <w:iCs/>
                <w:sz w:val="20"/>
                <w:szCs w:val="20"/>
              </w:rPr>
            </w:pPr>
          </w:p>
        </w:tc>
        <w:tc>
          <w:tcPr>
            <w:tcW w:w="4295" w:type="pct"/>
            <w:gridSpan w:val="5"/>
          </w:tcPr>
          <w:p w14:paraId="66EEDE1D" w14:textId="77777777" w:rsidR="000A2CB6" w:rsidRPr="001E7A47" w:rsidRDefault="000A2CB6">
            <w:pPr>
              <w:rPr>
                <w:rFonts w:ascii="Arial Narrow" w:hAnsi="Arial Narrow" w:cs="Arial Narrow"/>
                <w:iCs/>
                <w:sz w:val="20"/>
                <w:szCs w:val="20"/>
              </w:rPr>
            </w:pPr>
            <w:r w:rsidRPr="001E7A47">
              <w:rPr>
                <w:rFonts w:ascii="Arial Narrow" w:hAnsi="Arial Narrow" w:cs="Arial Narrow"/>
                <w:iCs/>
                <w:sz w:val="20"/>
                <w:szCs w:val="20"/>
              </w:rPr>
              <w:t>Patient must have previously received PBS-subsidised treatment with this drug for this condition</w:t>
            </w:r>
          </w:p>
        </w:tc>
      </w:tr>
      <w:tr w:rsidR="000A2CB6" w:rsidRPr="001E7A47" w14:paraId="223322EF"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F82BB25" w14:textId="77777777" w:rsidR="000A2CB6" w:rsidRPr="001E7A47" w:rsidRDefault="000A2CB6">
            <w:pPr>
              <w:jc w:val="center"/>
              <w:rPr>
                <w:rFonts w:ascii="Arial Narrow" w:hAnsi="Arial Narrow" w:cs="Arial Narrow"/>
                <w:iCs/>
                <w:sz w:val="20"/>
                <w:szCs w:val="20"/>
              </w:rPr>
            </w:pPr>
          </w:p>
        </w:tc>
        <w:tc>
          <w:tcPr>
            <w:tcW w:w="4295" w:type="pct"/>
            <w:gridSpan w:val="5"/>
          </w:tcPr>
          <w:p w14:paraId="6552527B" w14:textId="77777777" w:rsidR="000A2CB6" w:rsidRPr="001E7A47" w:rsidRDefault="000A2CB6">
            <w:pPr>
              <w:rPr>
                <w:rFonts w:ascii="Arial Narrow" w:hAnsi="Arial Narrow" w:cs="Arial Narrow"/>
                <w:b/>
                <w:bCs/>
                <w:iCs/>
                <w:sz w:val="20"/>
                <w:szCs w:val="20"/>
              </w:rPr>
            </w:pPr>
            <w:r w:rsidRPr="001E7A47">
              <w:rPr>
                <w:rFonts w:ascii="Arial Narrow" w:hAnsi="Arial Narrow" w:cs="Arial Narrow"/>
                <w:b/>
                <w:bCs/>
                <w:iCs/>
                <w:sz w:val="20"/>
                <w:szCs w:val="20"/>
              </w:rPr>
              <w:t>AND</w:t>
            </w:r>
          </w:p>
        </w:tc>
      </w:tr>
      <w:tr w:rsidR="000A2CB6" w:rsidRPr="001E7A47" w14:paraId="465FE4A0"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ECFF408" w14:textId="3C80E87D" w:rsidR="000A2CB6" w:rsidRPr="001E7A47" w:rsidRDefault="000A2CB6">
            <w:pPr>
              <w:jc w:val="center"/>
              <w:rPr>
                <w:rFonts w:ascii="Arial Narrow" w:hAnsi="Arial Narrow" w:cs="Arial Narrow"/>
                <w:iCs/>
                <w:sz w:val="20"/>
                <w:szCs w:val="20"/>
              </w:rPr>
            </w:pPr>
          </w:p>
        </w:tc>
        <w:tc>
          <w:tcPr>
            <w:tcW w:w="4295" w:type="pct"/>
            <w:gridSpan w:val="5"/>
          </w:tcPr>
          <w:p w14:paraId="2AD19C24" w14:textId="77777777" w:rsidR="000A2CB6" w:rsidRPr="001E7A47" w:rsidRDefault="000A2CB6">
            <w:pPr>
              <w:rPr>
                <w:rFonts w:ascii="Arial Narrow" w:hAnsi="Arial Narrow" w:cs="Arial Narrow"/>
                <w:b/>
                <w:bCs/>
                <w:iCs/>
                <w:sz w:val="20"/>
                <w:szCs w:val="20"/>
              </w:rPr>
            </w:pPr>
            <w:r w:rsidRPr="001E7A47">
              <w:rPr>
                <w:rFonts w:ascii="Arial Narrow" w:hAnsi="Arial Narrow"/>
                <w:b/>
                <w:bCs/>
                <w:sz w:val="20"/>
                <w:szCs w:val="20"/>
              </w:rPr>
              <w:t>Clinical criteria:</w:t>
            </w:r>
          </w:p>
        </w:tc>
      </w:tr>
      <w:tr w:rsidR="000A2CB6" w:rsidRPr="001E7A47" w14:paraId="343B1929"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7D295E7" w14:textId="5DB53BEE" w:rsidR="000A2CB6" w:rsidRPr="001E7A47" w:rsidRDefault="000A2CB6">
            <w:pPr>
              <w:jc w:val="center"/>
              <w:rPr>
                <w:rFonts w:ascii="Arial Narrow" w:hAnsi="Arial Narrow" w:cs="Arial Narrow"/>
                <w:iCs/>
                <w:sz w:val="20"/>
                <w:szCs w:val="20"/>
              </w:rPr>
            </w:pPr>
          </w:p>
        </w:tc>
        <w:tc>
          <w:tcPr>
            <w:tcW w:w="4295" w:type="pct"/>
            <w:gridSpan w:val="5"/>
          </w:tcPr>
          <w:p w14:paraId="14CDBF93" w14:textId="77777777" w:rsidR="000A2CB6" w:rsidRPr="001E7A47" w:rsidRDefault="000A2CB6">
            <w:pPr>
              <w:rPr>
                <w:rFonts w:ascii="Arial Narrow" w:hAnsi="Arial Narrow" w:cs="Arial Narrow"/>
                <w:iCs/>
                <w:sz w:val="20"/>
                <w:szCs w:val="20"/>
              </w:rPr>
            </w:pPr>
            <w:r w:rsidRPr="001E7A47">
              <w:rPr>
                <w:rFonts w:ascii="Arial Narrow" w:hAnsi="Arial Narrow" w:cs="Arial Narrow"/>
                <w:iCs/>
                <w:sz w:val="20"/>
                <w:szCs w:val="20"/>
              </w:rPr>
              <w:t>The treatment must be discontinued in patients who experience disease progression while on treatment.</w:t>
            </w:r>
          </w:p>
        </w:tc>
      </w:tr>
    </w:tbl>
    <w:p w14:paraId="5A40FA8E" w14:textId="77777777" w:rsidR="000A2CB6" w:rsidRPr="001E7A47" w:rsidRDefault="000A2CB6" w:rsidP="000A2CB6">
      <w:pPr>
        <w:rPr>
          <w:rFonts w:asciiTheme="minorHAnsi" w:hAnsiTheme="minorHAnsi" w:cstheme="minorHAnsi"/>
        </w:rPr>
      </w:pPr>
    </w:p>
    <w:p w14:paraId="09D9106D" w14:textId="41C19325" w:rsidR="000A2CB6" w:rsidRPr="001C31D6" w:rsidRDefault="000A2CB6" w:rsidP="000035AF">
      <w:pPr>
        <w:pStyle w:val="Heading2"/>
        <w:keepNext/>
        <w:rPr>
          <w:i w:val="0"/>
          <w:sz w:val="24"/>
        </w:rPr>
      </w:pPr>
      <w:r w:rsidRPr="001C31D6">
        <w:rPr>
          <w:i w:val="0"/>
          <w:sz w:val="24"/>
        </w:rPr>
        <w:lastRenderedPageBreak/>
        <w:t>Grandfather treatment phase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Grandfather treatment phase"/>
      </w:tblPr>
      <w:tblGrid>
        <w:gridCol w:w="562"/>
        <w:gridCol w:w="709"/>
        <w:gridCol w:w="1134"/>
        <w:gridCol w:w="1984"/>
        <w:gridCol w:w="1986"/>
        <w:gridCol w:w="1275"/>
        <w:gridCol w:w="1367"/>
      </w:tblGrid>
      <w:tr w:rsidR="00EE53B8" w:rsidRPr="001E7A47" w14:paraId="4BCAD9AA" w14:textId="77777777" w:rsidTr="00EE53B8">
        <w:trPr>
          <w:cantSplit/>
          <w:trHeight w:val="20"/>
        </w:trPr>
        <w:tc>
          <w:tcPr>
            <w:tcW w:w="1334" w:type="pct"/>
            <w:gridSpan w:val="3"/>
            <w:vAlign w:val="center"/>
          </w:tcPr>
          <w:p w14:paraId="6757DC38" w14:textId="77777777" w:rsidR="00EE53B8" w:rsidRPr="001E7A47" w:rsidRDefault="00EE53B8" w:rsidP="000035AF">
            <w:pPr>
              <w:keepNext/>
              <w:rPr>
                <w:rFonts w:ascii="Arial Narrow" w:hAnsi="Arial Narrow"/>
                <w:b/>
                <w:bCs/>
                <w:sz w:val="20"/>
                <w:szCs w:val="20"/>
              </w:rPr>
            </w:pPr>
            <w:r w:rsidRPr="001E7A47">
              <w:rPr>
                <w:rFonts w:ascii="Arial Narrow" w:hAnsi="Arial Narrow"/>
                <w:b/>
                <w:bCs/>
                <w:sz w:val="20"/>
                <w:szCs w:val="20"/>
              </w:rPr>
              <w:t>MEDICINAL PRODUCT</w:t>
            </w:r>
          </w:p>
          <w:p w14:paraId="30A83A25" w14:textId="77777777" w:rsidR="00EE53B8" w:rsidRPr="001E7A47" w:rsidRDefault="00EE53B8" w:rsidP="000035AF">
            <w:pPr>
              <w:keepNext/>
              <w:rPr>
                <w:rFonts w:ascii="Arial Narrow" w:hAnsi="Arial Narrow"/>
                <w:b/>
                <w:sz w:val="20"/>
                <w:szCs w:val="20"/>
              </w:rPr>
            </w:pPr>
            <w:r w:rsidRPr="001E7A47">
              <w:rPr>
                <w:rFonts w:ascii="Arial Narrow" w:hAnsi="Arial Narrow"/>
                <w:b/>
                <w:sz w:val="20"/>
                <w:szCs w:val="20"/>
              </w:rPr>
              <w:t>Form</w:t>
            </w:r>
          </w:p>
        </w:tc>
        <w:tc>
          <w:tcPr>
            <w:tcW w:w="1100" w:type="pct"/>
            <w:vAlign w:val="center"/>
          </w:tcPr>
          <w:p w14:paraId="28793CF2" w14:textId="3E554099" w:rsidR="00EE53B8" w:rsidRPr="001E7A47" w:rsidRDefault="00EE53B8" w:rsidP="000035AF">
            <w:pPr>
              <w:keepNext/>
              <w:jc w:val="center"/>
              <w:rPr>
                <w:rFonts w:ascii="Arial Narrow" w:hAnsi="Arial Narrow"/>
                <w:b/>
                <w:sz w:val="20"/>
                <w:szCs w:val="20"/>
              </w:rPr>
            </w:pPr>
            <w:r>
              <w:rPr>
                <w:rFonts w:ascii="Arial Narrow" w:hAnsi="Arial Narrow"/>
                <w:b/>
                <w:sz w:val="20"/>
                <w:szCs w:val="20"/>
              </w:rPr>
              <w:t>Dispensed Price Max. Amount</w:t>
            </w:r>
          </w:p>
        </w:tc>
        <w:tc>
          <w:tcPr>
            <w:tcW w:w="1101" w:type="pct"/>
            <w:vAlign w:val="center"/>
          </w:tcPr>
          <w:p w14:paraId="40CB6333" w14:textId="3A0F610F" w:rsidR="00EE53B8" w:rsidRPr="001E7A47" w:rsidRDefault="00EE53B8" w:rsidP="000035AF">
            <w:pPr>
              <w:keepNext/>
              <w:jc w:val="center"/>
              <w:rPr>
                <w:rFonts w:ascii="Arial Narrow" w:hAnsi="Arial Narrow"/>
                <w:b/>
                <w:sz w:val="20"/>
                <w:szCs w:val="20"/>
              </w:rPr>
            </w:pPr>
            <w:r w:rsidRPr="001E7A47">
              <w:rPr>
                <w:rFonts w:ascii="Arial Narrow" w:hAnsi="Arial Narrow"/>
                <w:b/>
                <w:sz w:val="20"/>
                <w:szCs w:val="20"/>
              </w:rPr>
              <w:t>PBS item code</w:t>
            </w:r>
          </w:p>
        </w:tc>
        <w:tc>
          <w:tcPr>
            <w:tcW w:w="707" w:type="pct"/>
            <w:vAlign w:val="center"/>
          </w:tcPr>
          <w:p w14:paraId="55A9797D" w14:textId="77777777" w:rsidR="00EE53B8" w:rsidRPr="001E7A47" w:rsidRDefault="00EE53B8" w:rsidP="000035AF">
            <w:pPr>
              <w:keepNext/>
              <w:jc w:val="center"/>
              <w:rPr>
                <w:rFonts w:ascii="Arial Narrow" w:hAnsi="Arial Narrow"/>
                <w:b/>
                <w:sz w:val="20"/>
                <w:szCs w:val="20"/>
              </w:rPr>
            </w:pPr>
            <w:r w:rsidRPr="001E7A47">
              <w:rPr>
                <w:rFonts w:ascii="Arial Narrow" w:hAnsi="Arial Narrow"/>
                <w:b/>
                <w:sz w:val="20"/>
                <w:szCs w:val="20"/>
              </w:rPr>
              <w:t>Max. Amount</w:t>
            </w:r>
          </w:p>
        </w:tc>
        <w:tc>
          <w:tcPr>
            <w:tcW w:w="758" w:type="pct"/>
            <w:vAlign w:val="center"/>
          </w:tcPr>
          <w:p w14:paraId="61A681B5" w14:textId="77777777" w:rsidR="00EE53B8" w:rsidRPr="001E7A47" w:rsidRDefault="00EE53B8" w:rsidP="000035AF">
            <w:pPr>
              <w:keepNext/>
              <w:jc w:val="center"/>
              <w:rPr>
                <w:rFonts w:ascii="Arial Narrow" w:hAnsi="Arial Narrow"/>
                <w:b/>
                <w:sz w:val="20"/>
                <w:szCs w:val="20"/>
              </w:rPr>
            </w:pPr>
            <w:r w:rsidRPr="001E7A47">
              <w:rPr>
                <w:rFonts w:ascii="Arial Narrow" w:hAnsi="Arial Narrow"/>
                <w:b/>
                <w:sz w:val="20"/>
                <w:szCs w:val="20"/>
              </w:rPr>
              <w:t>№.of Rpts</w:t>
            </w:r>
          </w:p>
        </w:tc>
      </w:tr>
      <w:tr w:rsidR="00EE53B8" w:rsidRPr="001E7A47" w14:paraId="096CF6E4" w14:textId="77777777" w:rsidTr="00EE53B8">
        <w:trPr>
          <w:cantSplit/>
          <w:trHeight w:val="20"/>
        </w:trPr>
        <w:tc>
          <w:tcPr>
            <w:tcW w:w="1334" w:type="pct"/>
            <w:gridSpan w:val="3"/>
            <w:vAlign w:val="center"/>
          </w:tcPr>
          <w:p w14:paraId="400D3197" w14:textId="77777777" w:rsidR="00EE53B8" w:rsidRPr="001E7A47" w:rsidRDefault="00EE53B8" w:rsidP="000035AF">
            <w:pPr>
              <w:keepNext/>
              <w:rPr>
                <w:rFonts w:ascii="Arial Narrow" w:hAnsi="Arial Narrow"/>
                <w:sz w:val="20"/>
                <w:szCs w:val="20"/>
              </w:rPr>
            </w:pPr>
            <w:r w:rsidRPr="001E7A47">
              <w:rPr>
                <w:rFonts w:ascii="Arial Narrow" w:hAnsi="Arial Narrow"/>
                <w:sz w:val="20"/>
                <w:szCs w:val="20"/>
              </w:rPr>
              <w:t>LONCASTXIMAB TESIRINE</w:t>
            </w:r>
            <w:r w:rsidRPr="001E7A47">
              <w:rPr>
                <w:rFonts w:ascii="Arial Narrow" w:hAnsi="Arial Narrow"/>
                <w:sz w:val="20"/>
                <w:szCs w:val="20"/>
              </w:rPr>
              <w:br/>
            </w:r>
            <w:r w:rsidRPr="001E7A47">
              <w:rPr>
                <w:rFonts w:ascii="Arial Narrow" w:hAnsi="Arial Narrow" w:cs="Arial Narrow"/>
                <w:sz w:val="20"/>
                <w:szCs w:val="20"/>
              </w:rPr>
              <w:t>Injection</w:t>
            </w:r>
          </w:p>
        </w:tc>
        <w:tc>
          <w:tcPr>
            <w:tcW w:w="1100" w:type="pct"/>
            <w:vAlign w:val="center"/>
          </w:tcPr>
          <w:p w14:paraId="24DDC9BD" w14:textId="3BD54174" w:rsidR="004A77B0" w:rsidRPr="00D2040D" w:rsidRDefault="004A77B0" w:rsidP="000035AF">
            <w:pPr>
              <w:keepNext/>
              <w:jc w:val="center"/>
              <w:rPr>
                <w:rFonts w:ascii="Arial Narrow" w:hAnsi="Arial Narrow"/>
                <w:sz w:val="20"/>
                <w:szCs w:val="20"/>
              </w:rPr>
            </w:pPr>
            <w:r w:rsidRPr="00D2040D">
              <w:rPr>
                <w:rFonts w:ascii="Arial Narrow" w:hAnsi="Arial Narrow"/>
                <w:sz w:val="20"/>
                <w:szCs w:val="20"/>
              </w:rPr>
              <w:t>$</w:t>
            </w:r>
            <w:r w:rsidR="005822E1" w:rsidRPr="005822E1">
              <w:rPr>
                <w:rFonts w:ascii="Arial Narrow" w:hAnsi="Arial Narrow"/>
                <w:sz w:val="2"/>
                <w:szCs w:val="20"/>
                <w:highlight w:val="black"/>
              </w:rPr>
              <w:t>redacted content</w:t>
            </w:r>
            <w:r w:rsidRPr="00D2040D">
              <w:rPr>
                <w:rFonts w:ascii="Arial Narrow" w:hAnsi="Arial Narrow"/>
                <w:sz w:val="20"/>
                <w:szCs w:val="20"/>
              </w:rPr>
              <w:t xml:space="preserve"> public</w:t>
            </w:r>
          </w:p>
          <w:p w14:paraId="259AF1F6" w14:textId="5A23C076" w:rsidR="00EE53B8" w:rsidRPr="001E7A47" w:rsidRDefault="004A77B0" w:rsidP="000035AF">
            <w:pPr>
              <w:keepNext/>
              <w:jc w:val="center"/>
              <w:rPr>
                <w:rFonts w:ascii="Arial Narrow" w:hAnsi="Arial Narrow"/>
                <w:sz w:val="20"/>
                <w:szCs w:val="20"/>
              </w:rPr>
            </w:pPr>
            <w:r w:rsidRPr="00D2040D">
              <w:rPr>
                <w:rFonts w:ascii="Arial Narrow" w:hAnsi="Arial Narrow"/>
                <w:sz w:val="20"/>
                <w:szCs w:val="20"/>
              </w:rPr>
              <w:t>$</w:t>
            </w:r>
            <w:r w:rsidR="005822E1" w:rsidRPr="005822E1">
              <w:rPr>
                <w:rFonts w:ascii="Arial Narrow" w:hAnsi="Arial Narrow"/>
                <w:sz w:val="2"/>
                <w:szCs w:val="20"/>
                <w:highlight w:val="black"/>
              </w:rPr>
              <w:t>redacted content</w:t>
            </w:r>
            <w:r w:rsidRPr="00D2040D">
              <w:rPr>
                <w:rFonts w:ascii="Arial Narrow" w:hAnsi="Arial Narrow"/>
                <w:sz w:val="20"/>
                <w:szCs w:val="20"/>
              </w:rPr>
              <w:t xml:space="preserve"> private</w:t>
            </w:r>
          </w:p>
        </w:tc>
        <w:tc>
          <w:tcPr>
            <w:tcW w:w="1101" w:type="pct"/>
            <w:vAlign w:val="center"/>
          </w:tcPr>
          <w:p w14:paraId="553437BC" w14:textId="47B36AD5" w:rsidR="00EE53B8" w:rsidRPr="001E7A47" w:rsidRDefault="00EE53B8" w:rsidP="000035AF">
            <w:pPr>
              <w:keepNext/>
              <w:jc w:val="center"/>
              <w:rPr>
                <w:rFonts w:ascii="Arial Narrow" w:hAnsi="Arial Narrow"/>
                <w:sz w:val="20"/>
                <w:szCs w:val="20"/>
              </w:rPr>
            </w:pPr>
            <w:r w:rsidRPr="001E7A47">
              <w:rPr>
                <w:rFonts w:ascii="Arial Narrow" w:hAnsi="Arial Narrow"/>
                <w:sz w:val="20"/>
                <w:szCs w:val="20"/>
              </w:rPr>
              <w:t>NEW (Public)</w:t>
            </w:r>
            <w:r w:rsidRPr="001E7A47">
              <w:rPr>
                <w:rFonts w:ascii="Arial Narrow" w:hAnsi="Arial Narrow"/>
                <w:sz w:val="20"/>
                <w:szCs w:val="20"/>
              </w:rPr>
              <w:br/>
              <w:t>NEW (Private)</w:t>
            </w:r>
          </w:p>
        </w:tc>
        <w:tc>
          <w:tcPr>
            <w:tcW w:w="707" w:type="pct"/>
            <w:vAlign w:val="center"/>
          </w:tcPr>
          <w:p w14:paraId="4F4B04E2" w14:textId="77777777" w:rsidR="00EE53B8" w:rsidRPr="001E7A47" w:rsidRDefault="00EE53B8" w:rsidP="000035AF">
            <w:pPr>
              <w:keepNext/>
              <w:jc w:val="center"/>
              <w:rPr>
                <w:rFonts w:ascii="Arial Narrow" w:hAnsi="Arial Narrow"/>
                <w:sz w:val="20"/>
                <w:szCs w:val="20"/>
              </w:rPr>
            </w:pPr>
            <w:r w:rsidRPr="001E7A47">
              <w:rPr>
                <w:rFonts w:ascii="Arial Narrow" w:hAnsi="Arial Narrow"/>
                <w:sz w:val="20"/>
                <w:szCs w:val="20"/>
              </w:rPr>
              <w:t>10 mg</w:t>
            </w:r>
          </w:p>
        </w:tc>
        <w:tc>
          <w:tcPr>
            <w:tcW w:w="758" w:type="pct"/>
            <w:vAlign w:val="center"/>
          </w:tcPr>
          <w:p w14:paraId="0C0726ED" w14:textId="77777777" w:rsidR="00EE53B8" w:rsidRPr="001E7A47" w:rsidRDefault="00EE53B8" w:rsidP="000035AF">
            <w:pPr>
              <w:keepNext/>
              <w:jc w:val="center"/>
              <w:rPr>
                <w:rFonts w:ascii="Arial Narrow" w:hAnsi="Arial Narrow"/>
                <w:sz w:val="20"/>
                <w:szCs w:val="20"/>
              </w:rPr>
            </w:pPr>
            <w:r w:rsidRPr="001E7A47">
              <w:rPr>
                <w:rFonts w:ascii="Arial Narrow" w:hAnsi="Arial Narrow"/>
                <w:sz w:val="20"/>
                <w:szCs w:val="20"/>
              </w:rPr>
              <w:t>3</w:t>
            </w:r>
          </w:p>
        </w:tc>
      </w:tr>
      <w:tr w:rsidR="000A2CB6" w:rsidRPr="001E7A47" w14:paraId="534F61B9" w14:textId="77777777">
        <w:trPr>
          <w:cantSplit/>
          <w:trHeight w:val="20"/>
        </w:trPr>
        <w:tc>
          <w:tcPr>
            <w:tcW w:w="5000" w:type="pct"/>
            <w:gridSpan w:val="7"/>
            <w:vAlign w:val="center"/>
          </w:tcPr>
          <w:p w14:paraId="3448436C" w14:textId="77777777" w:rsidR="000A2CB6" w:rsidRPr="001E7A47" w:rsidRDefault="000A2CB6" w:rsidP="000035AF">
            <w:pPr>
              <w:keepNext/>
              <w:rPr>
                <w:rFonts w:ascii="Arial Narrow" w:hAnsi="Arial Narrow"/>
                <w:b/>
                <w:sz w:val="20"/>
                <w:szCs w:val="20"/>
              </w:rPr>
            </w:pPr>
            <w:r w:rsidRPr="001E7A47">
              <w:rPr>
                <w:rFonts w:ascii="Arial Narrow" w:hAnsi="Arial Narrow"/>
                <w:b/>
                <w:sz w:val="20"/>
                <w:szCs w:val="20"/>
              </w:rPr>
              <w:t xml:space="preserve">Available brands </w:t>
            </w:r>
          </w:p>
        </w:tc>
      </w:tr>
      <w:tr w:rsidR="000A2CB6" w:rsidRPr="001E7A47" w14:paraId="5600D86E" w14:textId="77777777">
        <w:trPr>
          <w:cantSplit/>
          <w:trHeight w:val="20"/>
        </w:trPr>
        <w:tc>
          <w:tcPr>
            <w:tcW w:w="5000" w:type="pct"/>
            <w:gridSpan w:val="7"/>
            <w:vAlign w:val="center"/>
          </w:tcPr>
          <w:p w14:paraId="2764C7BB" w14:textId="77777777" w:rsidR="000A2CB6" w:rsidRPr="001E7A47" w:rsidRDefault="000A2CB6" w:rsidP="000035AF">
            <w:pPr>
              <w:keepNext/>
              <w:rPr>
                <w:rFonts w:ascii="Arial Narrow" w:hAnsi="Arial Narrow"/>
                <w:sz w:val="20"/>
                <w:szCs w:val="20"/>
              </w:rPr>
            </w:pPr>
            <w:r w:rsidRPr="001E7A47">
              <w:rPr>
                <w:rFonts w:ascii="Arial Narrow" w:hAnsi="Arial Narrow"/>
                <w:sz w:val="20"/>
                <w:szCs w:val="20"/>
              </w:rPr>
              <w:t>Zynlonta</w:t>
            </w:r>
          </w:p>
          <w:p w14:paraId="604F1C62" w14:textId="77777777" w:rsidR="000A2CB6" w:rsidRPr="001E7A47" w:rsidRDefault="000A2CB6" w:rsidP="000035AF">
            <w:pPr>
              <w:keepNext/>
              <w:rPr>
                <w:rFonts w:ascii="Arial Narrow" w:hAnsi="Arial Narrow"/>
                <w:sz w:val="20"/>
                <w:szCs w:val="20"/>
              </w:rPr>
            </w:pPr>
            <w:r w:rsidRPr="001E7A47">
              <w:rPr>
                <w:rFonts w:ascii="Arial Narrow" w:hAnsi="Arial Narrow"/>
                <w:sz w:val="20"/>
                <w:szCs w:val="20"/>
              </w:rPr>
              <w:t>loncastuximab tesirine 10 mg/2 mL, 2mL vial</w:t>
            </w:r>
          </w:p>
        </w:tc>
      </w:tr>
      <w:tr w:rsidR="000A2CB6" w:rsidRPr="001E7A47" w14:paraId="21199A8A" w14:textId="77777777">
        <w:trPr>
          <w:cantSplit/>
          <w:trHeight w:val="20"/>
        </w:trPr>
        <w:tc>
          <w:tcPr>
            <w:tcW w:w="5000" w:type="pct"/>
            <w:gridSpan w:val="7"/>
            <w:vAlign w:val="center"/>
          </w:tcPr>
          <w:p w14:paraId="797BE553" w14:textId="77777777" w:rsidR="000A2CB6" w:rsidRPr="001E7A47" w:rsidRDefault="000A2CB6" w:rsidP="000035AF">
            <w:pPr>
              <w:keepNext/>
              <w:rPr>
                <w:rFonts w:ascii="Arial Narrow" w:hAnsi="Arial Narrow"/>
                <w:sz w:val="20"/>
                <w:szCs w:val="20"/>
              </w:rPr>
            </w:pPr>
            <w:r w:rsidRPr="001E7A47">
              <w:rPr>
                <w:rFonts w:ascii="Arial Narrow" w:hAnsi="Arial Narrow"/>
                <w:b/>
                <w:sz w:val="20"/>
                <w:szCs w:val="20"/>
              </w:rPr>
              <w:t>Restriction Summary 16467 / Treatment of Concept: 16405</w:t>
            </w:r>
          </w:p>
        </w:tc>
      </w:tr>
      <w:tr w:rsidR="000A2CB6" w:rsidRPr="001E7A47" w14:paraId="179CF814"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6E4A5D7F" w14:textId="77777777" w:rsidR="000A2CB6" w:rsidRPr="001E7A47" w:rsidRDefault="000A2CB6" w:rsidP="000035AF">
            <w:pPr>
              <w:keepNext/>
              <w:jc w:val="center"/>
              <w:rPr>
                <w:rFonts w:ascii="Arial Narrow" w:hAnsi="Arial Narrow"/>
                <w:b/>
                <w:sz w:val="20"/>
                <w:szCs w:val="20"/>
              </w:rPr>
            </w:pPr>
            <w:r w:rsidRPr="001E7A47">
              <w:rPr>
                <w:rFonts w:ascii="Arial Narrow" w:hAnsi="Arial Narrow"/>
                <w:b/>
                <w:sz w:val="20"/>
                <w:szCs w:val="20"/>
              </w:rPr>
              <w:t xml:space="preserve">Concept ID </w:t>
            </w:r>
            <w:r w:rsidRPr="001E7A47">
              <w:rPr>
                <w:rFonts w:ascii="Arial Narrow" w:hAnsi="Arial Narrow"/>
                <w:sz w:val="20"/>
                <w:szCs w:val="20"/>
              </w:rPr>
              <w:t>(for internal Dept. use)</w:t>
            </w:r>
          </w:p>
        </w:tc>
        <w:tc>
          <w:tcPr>
            <w:tcW w:w="4295" w:type="pct"/>
            <w:gridSpan w:val="5"/>
          </w:tcPr>
          <w:p w14:paraId="35F1C846" w14:textId="77777777" w:rsidR="000A2CB6" w:rsidRPr="001E7A47" w:rsidRDefault="000A2CB6" w:rsidP="000035AF">
            <w:pPr>
              <w:keepNext/>
              <w:rPr>
                <w:rFonts w:ascii="Arial Narrow" w:hAnsi="Arial Narrow"/>
                <w:sz w:val="20"/>
                <w:szCs w:val="20"/>
              </w:rPr>
            </w:pPr>
            <w:r w:rsidRPr="001E7A47">
              <w:rPr>
                <w:rFonts w:ascii="Arial Narrow" w:hAnsi="Arial Narrow"/>
                <w:b/>
                <w:sz w:val="20"/>
                <w:szCs w:val="20"/>
              </w:rPr>
              <w:t xml:space="preserve">Category / Program: </w:t>
            </w:r>
            <w:r w:rsidRPr="001E7A47">
              <w:rPr>
                <w:rFonts w:ascii="Arial Narrow" w:hAnsi="Arial Narrow"/>
                <w:sz w:val="20"/>
                <w:szCs w:val="20"/>
              </w:rPr>
              <w:t>Section 100 – Efficient Funding of Chemotherapy Public/Private hospitals</w:t>
            </w:r>
          </w:p>
        </w:tc>
      </w:tr>
      <w:tr w:rsidR="000A2CB6" w:rsidRPr="001E7A47" w14:paraId="58ED0C8E"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7BE5D826" w14:textId="77777777" w:rsidR="000A2CB6" w:rsidRPr="001E7A47" w:rsidRDefault="000A2CB6" w:rsidP="000035AF">
            <w:pPr>
              <w:keepNext/>
              <w:rPr>
                <w:rFonts w:ascii="Arial Narrow" w:hAnsi="Arial Narrow"/>
                <w:sz w:val="20"/>
                <w:szCs w:val="20"/>
              </w:rPr>
            </w:pPr>
          </w:p>
        </w:tc>
        <w:tc>
          <w:tcPr>
            <w:tcW w:w="4295" w:type="pct"/>
            <w:gridSpan w:val="5"/>
          </w:tcPr>
          <w:p w14:paraId="3BA2358C" w14:textId="77777777" w:rsidR="000A2CB6" w:rsidRPr="001E7A47" w:rsidRDefault="000A2CB6" w:rsidP="000035AF">
            <w:pPr>
              <w:keepNext/>
              <w:rPr>
                <w:rFonts w:ascii="Arial Narrow" w:hAnsi="Arial Narrow"/>
                <w:b/>
                <w:sz w:val="20"/>
                <w:szCs w:val="20"/>
              </w:rPr>
            </w:pPr>
            <w:r w:rsidRPr="001E7A47">
              <w:rPr>
                <w:rFonts w:ascii="Arial Narrow" w:hAnsi="Arial Narrow"/>
                <w:b/>
                <w:sz w:val="20"/>
                <w:szCs w:val="20"/>
              </w:rPr>
              <w:t xml:space="preserve">Prescriber type: </w:t>
            </w:r>
            <w:r w:rsidRPr="001E7A47">
              <w:rPr>
                <w:rFonts w:ascii="Arial Narrow" w:hAnsi="Arial Narrow"/>
                <w:sz w:val="20"/>
                <w:szCs w:val="20"/>
              </w:rPr>
              <w:fldChar w:fldCharType="begin">
                <w:ffData>
                  <w:name w:val=""/>
                  <w:enabled/>
                  <w:calcOnExit w:val="0"/>
                  <w:checkBox>
                    <w:sizeAuto/>
                    <w:default w:val="1"/>
                  </w:checkBox>
                </w:ffData>
              </w:fldChar>
            </w:r>
            <w:r w:rsidRPr="001E7A47">
              <w:rPr>
                <w:rFonts w:ascii="Arial Narrow" w:hAnsi="Arial Narrow"/>
                <w:sz w:val="20"/>
                <w:szCs w:val="20"/>
              </w:rPr>
              <w:instrText xml:space="preserve"> FORMCHECKBOX </w:instrText>
            </w:r>
            <w:r w:rsidRPr="001E7A47">
              <w:rPr>
                <w:rFonts w:ascii="Arial Narrow" w:hAnsi="Arial Narrow"/>
                <w:sz w:val="20"/>
                <w:szCs w:val="20"/>
              </w:rPr>
            </w:r>
            <w:r w:rsidRPr="001E7A47">
              <w:rPr>
                <w:rFonts w:ascii="Arial Narrow" w:hAnsi="Arial Narrow"/>
                <w:sz w:val="20"/>
                <w:szCs w:val="20"/>
              </w:rPr>
              <w:fldChar w:fldCharType="separate"/>
            </w:r>
            <w:r w:rsidRPr="001E7A47">
              <w:rPr>
                <w:rFonts w:ascii="Arial Narrow" w:hAnsi="Arial Narrow"/>
                <w:sz w:val="20"/>
                <w:szCs w:val="20"/>
              </w:rPr>
              <w:fldChar w:fldCharType="end"/>
            </w:r>
            <w:r w:rsidRPr="001E7A47">
              <w:rPr>
                <w:rFonts w:ascii="Arial Narrow" w:hAnsi="Arial Narrow"/>
                <w:sz w:val="20"/>
                <w:szCs w:val="20"/>
              </w:rPr>
              <w:t xml:space="preserve">Medical Practitioners </w:t>
            </w:r>
          </w:p>
        </w:tc>
      </w:tr>
      <w:tr w:rsidR="000A2CB6" w:rsidRPr="001E7A47" w14:paraId="7FED475B"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1907957B" w14:textId="77777777" w:rsidR="000A2CB6" w:rsidRPr="001E7A47" w:rsidRDefault="000A2CB6" w:rsidP="000035AF">
            <w:pPr>
              <w:keepNext/>
              <w:rPr>
                <w:rFonts w:ascii="Arial Narrow" w:hAnsi="Arial Narrow"/>
                <w:sz w:val="20"/>
                <w:szCs w:val="20"/>
              </w:rPr>
            </w:pPr>
          </w:p>
        </w:tc>
        <w:tc>
          <w:tcPr>
            <w:tcW w:w="4295" w:type="pct"/>
            <w:gridSpan w:val="5"/>
          </w:tcPr>
          <w:p w14:paraId="52FE46C1" w14:textId="77777777" w:rsidR="000A2CB6" w:rsidRPr="001E7A47" w:rsidRDefault="000A2CB6" w:rsidP="000035AF">
            <w:pPr>
              <w:keepNext/>
              <w:rPr>
                <w:rFonts w:ascii="Arial Narrow" w:eastAsia="Calibri" w:hAnsi="Arial Narrow"/>
                <w:sz w:val="20"/>
                <w:szCs w:val="20"/>
              </w:rPr>
            </w:pPr>
            <w:r w:rsidRPr="001E7A47">
              <w:rPr>
                <w:rFonts w:ascii="Arial Narrow" w:hAnsi="Arial Narrow"/>
                <w:b/>
                <w:sz w:val="20"/>
                <w:szCs w:val="20"/>
              </w:rPr>
              <w:t xml:space="preserve">Restriction type: </w:t>
            </w:r>
            <w:r w:rsidRPr="001E7A47">
              <w:rPr>
                <w:rFonts w:ascii="Arial Narrow" w:eastAsia="Calibri" w:hAnsi="Arial Narrow"/>
                <w:sz w:val="20"/>
                <w:szCs w:val="20"/>
              </w:rPr>
              <w:fldChar w:fldCharType="begin">
                <w:ffData>
                  <w:name w:val="Check3"/>
                  <w:enabled/>
                  <w:calcOnExit w:val="0"/>
                  <w:checkBox>
                    <w:sizeAuto/>
                    <w:default w:val="1"/>
                  </w:checkBox>
                </w:ffData>
              </w:fldChar>
            </w:r>
            <w:r w:rsidRPr="001E7A47">
              <w:rPr>
                <w:rFonts w:ascii="Arial Narrow" w:eastAsia="Calibri" w:hAnsi="Arial Narrow"/>
                <w:sz w:val="20"/>
                <w:szCs w:val="20"/>
              </w:rPr>
              <w:instrText xml:space="preserve"> FORMCHECKBOX </w:instrText>
            </w:r>
            <w:r w:rsidRPr="001E7A47">
              <w:rPr>
                <w:rFonts w:ascii="Arial Narrow" w:eastAsia="Calibri" w:hAnsi="Arial Narrow"/>
                <w:sz w:val="20"/>
                <w:szCs w:val="20"/>
              </w:rPr>
            </w:r>
            <w:r w:rsidRPr="001E7A47">
              <w:rPr>
                <w:rFonts w:ascii="Arial Narrow" w:eastAsia="Calibri" w:hAnsi="Arial Narrow"/>
                <w:sz w:val="20"/>
                <w:szCs w:val="20"/>
              </w:rPr>
              <w:fldChar w:fldCharType="separate"/>
            </w:r>
            <w:r w:rsidRPr="001E7A47">
              <w:rPr>
                <w:rFonts w:ascii="Arial Narrow" w:eastAsia="Calibri" w:hAnsi="Arial Narrow"/>
                <w:sz w:val="20"/>
                <w:szCs w:val="20"/>
              </w:rPr>
              <w:fldChar w:fldCharType="end"/>
            </w:r>
            <w:r w:rsidRPr="001E7A47">
              <w:rPr>
                <w:rFonts w:ascii="Arial Narrow" w:eastAsia="Calibri" w:hAnsi="Arial Narrow"/>
                <w:sz w:val="20"/>
                <w:szCs w:val="20"/>
              </w:rPr>
              <w:t xml:space="preserve">Authority Required </w:t>
            </w:r>
            <w:r w:rsidRPr="001E7A47">
              <w:rPr>
                <w:rFonts w:ascii="Arial Narrow" w:eastAsia="Calibri" w:hAnsi="Arial Narrow"/>
                <w:strike/>
                <w:sz w:val="20"/>
                <w:szCs w:val="20"/>
              </w:rPr>
              <w:t>(STREAMLINED)</w:t>
            </w:r>
            <w:r w:rsidRPr="001E7A47">
              <w:rPr>
                <w:rFonts w:ascii="Arial Narrow" w:eastAsia="Calibri" w:hAnsi="Arial Narrow"/>
                <w:sz w:val="20"/>
                <w:szCs w:val="20"/>
              </w:rPr>
              <w:t xml:space="preserve"> </w:t>
            </w:r>
            <w:r w:rsidRPr="001E7A47">
              <w:rPr>
                <w:rFonts w:ascii="Arial Narrow" w:eastAsia="Calibri" w:hAnsi="Arial Narrow"/>
                <w:i/>
                <w:iCs/>
                <w:sz w:val="20"/>
                <w:szCs w:val="20"/>
              </w:rPr>
              <w:t>(telephone/online PBS Authorities system)</w:t>
            </w:r>
            <w:r w:rsidRPr="001E7A47">
              <w:rPr>
                <w:rFonts w:ascii="Arial Narrow" w:eastAsia="Calibri" w:hAnsi="Arial Narrow"/>
                <w:sz w:val="20"/>
                <w:szCs w:val="20"/>
              </w:rPr>
              <w:t xml:space="preserve"> </w:t>
            </w:r>
          </w:p>
        </w:tc>
      </w:tr>
      <w:tr w:rsidR="000A2CB6" w:rsidRPr="001E7A47" w14:paraId="7C63335C" w14:textId="77777777">
        <w:tblPrEx>
          <w:tblCellMar>
            <w:top w:w="15" w:type="dxa"/>
            <w:bottom w:w="15" w:type="dxa"/>
          </w:tblCellMar>
          <w:tblLook w:val="04A0" w:firstRow="1" w:lastRow="0" w:firstColumn="1" w:lastColumn="0" w:noHBand="0" w:noVBand="1"/>
        </w:tblPrEx>
        <w:trPr>
          <w:trHeight w:val="20"/>
        </w:trPr>
        <w:tc>
          <w:tcPr>
            <w:tcW w:w="312" w:type="pct"/>
            <w:vMerge w:val="restart"/>
            <w:textDirection w:val="btLr"/>
            <w:vAlign w:val="center"/>
          </w:tcPr>
          <w:p w14:paraId="4CD767D1" w14:textId="77777777" w:rsidR="000A2CB6" w:rsidRPr="001E7A47" w:rsidRDefault="000A2CB6" w:rsidP="000035AF">
            <w:pPr>
              <w:keepNext/>
              <w:keepLines/>
              <w:ind w:right="113"/>
              <w:jc w:val="center"/>
              <w:rPr>
                <w:rFonts w:ascii="Arial Narrow" w:hAnsi="Arial Narrow"/>
                <w:sz w:val="18"/>
                <w:szCs w:val="18"/>
              </w:rPr>
            </w:pPr>
            <w:r w:rsidRPr="001E7A47">
              <w:rPr>
                <w:rFonts w:ascii="Arial Narrow" w:hAnsi="Arial Narrow"/>
                <w:sz w:val="18"/>
                <w:szCs w:val="18"/>
              </w:rPr>
              <w:t>Prescribing rule level</w:t>
            </w:r>
          </w:p>
        </w:tc>
        <w:tc>
          <w:tcPr>
            <w:tcW w:w="393" w:type="pct"/>
            <w:vAlign w:val="center"/>
          </w:tcPr>
          <w:p w14:paraId="7EB69D35" w14:textId="35B15512" w:rsidR="000A2CB6" w:rsidRPr="001E7A47" w:rsidRDefault="000A2CB6" w:rsidP="000035AF">
            <w:pPr>
              <w:keepNext/>
              <w:keepLines/>
              <w:ind w:hanging="35"/>
              <w:jc w:val="center"/>
              <w:rPr>
                <w:rFonts w:ascii="Arial Narrow" w:hAnsi="Arial Narrow"/>
                <w:i/>
                <w:iCs/>
                <w:sz w:val="20"/>
                <w:szCs w:val="20"/>
              </w:rPr>
            </w:pPr>
          </w:p>
        </w:tc>
        <w:tc>
          <w:tcPr>
            <w:tcW w:w="4295" w:type="pct"/>
            <w:gridSpan w:val="5"/>
            <w:vAlign w:val="center"/>
          </w:tcPr>
          <w:p w14:paraId="3EB9E3C1" w14:textId="77777777" w:rsidR="000A2CB6" w:rsidRPr="001E7A47" w:rsidRDefault="000A2CB6" w:rsidP="000035AF">
            <w:pPr>
              <w:keepNext/>
              <w:keepLines/>
              <w:rPr>
                <w:rFonts w:ascii="Arial Narrow" w:hAnsi="Arial Narrow"/>
                <w:i/>
                <w:iCs/>
                <w:sz w:val="20"/>
                <w:szCs w:val="20"/>
              </w:rPr>
            </w:pPr>
            <w:r w:rsidRPr="001E7A47">
              <w:rPr>
                <w:rFonts w:ascii="Arial Narrow" w:hAnsi="Arial Narrow"/>
                <w:b/>
                <w:bCs/>
                <w:i/>
                <w:iCs/>
                <w:sz w:val="20"/>
                <w:szCs w:val="20"/>
              </w:rPr>
              <w:t xml:space="preserve">Administrative Advice: </w:t>
            </w:r>
            <w:r w:rsidRPr="001E7A47">
              <w:rPr>
                <w:rFonts w:ascii="Arial Narrow" w:hAnsi="Arial Narrow"/>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0A2CB6" w:rsidRPr="001E7A47" w14:paraId="1F806274" w14:textId="77777777">
        <w:tblPrEx>
          <w:tblCellMar>
            <w:top w:w="15" w:type="dxa"/>
            <w:bottom w:w="15" w:type="dxa"/>
          </w:tblCellMar>
          <w:tblLook w:val="04A0" w:firstRow="1" w:lastRow="0" w:firstColumn="1" w:lastColumn="0" w:noHBand="0" w:noVBand="1"/>
        </w:tblPrEx>
        <w:trPr>
          <w:trHeight w:val="20"/>
        </w:trPr>
        <w:tc>
          <w:tcPr>
            <w:tcW w:w="312" w:type="pct"/>
            <w:vMerge/>
            <w:vAlign w:val="center"/>
          </w:tcPr>
          <w:p w14:paraId="04B63EDF" w14:textId="77777777" w:rsidR="000A2CB6" w:rsidRPr="001E7A47" w:rsidRDefault="000A2CB6" w:rsidP="000035AF">
            <w:pPr>
              <w:keepNext/>
              <w:keepLines/>
              <w:jc w:val="center"/>
              <w:rPr>
                <w:rFonts w:ascii="Arial Narrow" w:hAnsi="Arial Narrow"/>
                <w:sz w:val="20"/>
                <w:szCs w:val="20"/>
              </w:rPr>
            </w:pPr>
          </w:p>
        </w:tc>
        <w:tc>
          <w:tcPr>
            <w:tcW w:w="393" w:type="pct"/>
            <w:vAlign w:val="center"/>
          </w:tcPr>
          <w:p w14:paraId="5E969A98" w14:textId="6F196D9A" w:rsidR="000A2CB6" w:rsidRPr="001E7A47" w:rsidRDefault="000A2CB6" w:rsidP="000035AF">
            <w:pPr>
              <w:keepNext/>
              <w:keepLines/>
              <w:ind w:hanging="35"/>
              <w:jc w:val="center"/>
              <w:rPr>
                <w:rFonts w:ascii="Arial Narrow" w:hAnsi="Arial Narrow"/>
                <w:sz w:val="20"/>
                <w:szCs w:val="20"/>
              </w:rPr>
            </w:pPr>
          </w:p>
        </w:tc>
        <w:tc>
          <w:tcPr>
            <w:tcW w:w="4295" w:type="pct"/>
            <w:gridSpan w:val="5"/>
            <w:vAlign w:val="center"/>
          </w:tcPr>
          <w:p w14:paraId="52B5B227" w14:textId="77777777" w:rsidR="000A2CB6" w:rsidRPr="001E7A47" w:rsidRDefault="000A2CB6" w:rsidP="000035AF">
            <w:pPr>
              <w:keepNext/>
              <w:keepLines/>
              <w:rPr>
                <w:rFonts w:ascii="Arial Narrow" w:hAnsi="Arial Narrow"/>
                <w:b/>
                <w:bCs/>
                <w:sz w:val="20"/>
                <w:szCs w:val="20"/>
              </w:rPr>
            </w:pPr>
            <w:r w:rsidRPr="001E7A47">
              <w:rPr>
                <w:rFonts w:ascii="Arial Narrow" w:hAnsi="Arial Narrow"/>
                <w:b/>
                <w:bCs/>
                <w:sz w:val="20"/>
                <w:szCs w:val="20"/>
              </w:rPr>
              <w:t xml:space="preserve">Administrative Advice: </w:t>
            </w:r>
            <w:r w:rsidRPr="001E7A47">
              <w:rPr>
                <w:rFonts w:ascii="Arial Narrow" w:hAnsi="Arial Narrow"/>
                <w:bCs/>
                <w:sz w:val="20"/>
                <w:szCs w:val="20"/>
              </w:rPr>
              <w:t>No increase in the maximum number of repeats may be authorised.</w:t>
            </w:r>
          </w:p>
        </w:tc>
      </w:tr>
      <w:tr w:rsidR="000A2CB6" w:rsidRPr="001E7A47" w14:paraId="686C9410" w14:textId="77777777">
        <w:tblPrEx>
          <w:tblCellMar>
            <w:top w:w="15" w:type="dxa"/>
            <w:bottom w:w="15" w:type="dxa"/>
          </w:tblCellMar>
          <w:tblLook w:val="04A0" w:firstRow="1" w:lastRow="0" w:firstColumn="1" w:lastColumn="0" w:noHBand="0" w:noVBand="1"/>
        </w:tblPrEx>
        <w:trPr>
          <w:trHeight w:val="20"/>
        </w:trPr>
        <w:tc>
          <w:tcPr>
            <w:tcW w:w="312" w:type="pct"/>
            <w:vMerge/>
            <w:vAlign w:val="center"/>
          </w:tcPr>
          <w:p w14:paraId="1B4DBF47" w14:textId="77777777" w:rsidR="000A2CB6" w:rsidRPr="001E7A47" w:rsidRDefault="000A2CB6" w:rsidP="000035AF">
            <w:pPr>
              <w:keepNext/>
              <w:keepLines/>
              <w:jc w:val="center"/>
              <w:rPr>
                <w:rFonts w:ascii="Arial Narrow" w:hAnsi="Arial Narrow"/>
                <w:sz w:val="20"/>
                <w:szCs w:val="20"/>
              </w:rPr>
            </w:pPr>
          </w:p>
        </w:tc>
        <w:tc>
          <w:tcPr>
            <w:tcW w:w="393" w:type="pct"/>
            <w:vAlign w:val="center"/>
          </w:tcPr>
          <w:p w14:paraId="10AFD70B" w14:textId="3D8E9386" w:rsidR="000A2CB6" w:rsidRPr="001E7A47" w:rsidRDefault="000A2CB6" w:rsidP="000035AF">
            <w:pPr>
              <w:keepNext/>
              <w:keepLines/>
              <w:ind w:hanging="35"/>
              <w:jc w:val="center"/>
              <w:rPr>
                <w:rFonts w:ascii="Arial Narrow" w:hAnsi="Arial Narrow"/>
                <w:sz w:val="20"/>
                <w:szCs w:val="20"/>
              </w:rPr>
            </w:pPr>
          </w:p>
        </w:tc>
        <w:tc>
          <w:tcPr>
            <w:tcW w:w="4295" w:type="pct"/>
            <w:gridSpan w:val="5"/>
            <w:vAlign w:val="center"/>
          </w:tcPr>
          <w:p w14:paraId="44D98914" w14:textId="77777777" w:rsidR="000A2CB6" w:rsidRPr="001E7A47" w:rsidRDefault="000A2CB6" w:rsidP="000035AF">
            <w:pPr>
              <w:keepNext/>
              <w:keepLines/>
              <w:rPr>
                <w:rFonts w:ascii="Arial Narrow" w:hAnsi="Arial Narrow"/>
                <w:b/>
                <w:bCs/>
                <w:sz w:val="20"/>
                <w:szCs w:val="20"/>
              </w:rPr>
            </w:pPr>
            <w:r w:rsidRPr="001E7A47">
              <w:rPr>
                <w:rFonts w:ascii="Arial Narrow" w:hAnsi="Arial Narrow"/>
                <w:b/>
                <w:bCs/>
                <w:sz w:val="20"/>
                <w:szCs w:val="20"/>
              </w:rPr>
              <w:t>Administrative Advice:</w:t>
            </w:r>
            <w:r w:rsidRPr="001E7A47">
              <w:t xml:space="preserve"> </w:t>
            </w:r>
            <w:r w:rsidRPr="001E7A47">
              <w:rPr>
                <w:rFonts w:ascii="Arial Narrow" w:hAnsi="Arial Narrow"/>
                <w:sz w:val="20"/>
                <w:szCs w:val="20"/>
              </w:rPr>
              <w:t>Increased maximum amounts can be requested where a patient’s weight is greater than 135kg</w:t>
            </w:r>
          </w:p>
        </w:tc>
      </w:tr>
      <w:tr w:rsidR="000A2CB6" w:rsidRPr="001E7A47" w14:paraId="16206EF6"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val="restart"/>
            <w:vAlign w:val="center"/>
          </w:tcPr>
          <w:p w14:paraId="287914D0" w14:textId="77777777" w:rsidR="000A2CB6" w:rsidRPr="001E7A47" w:rsidRDefault="000A2CB6" w:rsidP="000035AF">
            <w:pPr>
              <w:keepNext/>
              <w:keepLines/>
              <w:jc w:val="center"/>
              <w:rPr>
                <w:rFonts w:ascii="Arial Narrow" w:hAnsi="Arial Narrow"/>
                <w:sz w:val="20"/>
                <w:szCs w:val="20"/>
              </w:rPr>
            </w:pPr>
          </w:p>
        </w:tc>
        <w:tc>
          <w:tcPr>
            <w:tcW w:w="4295" w:type="pct"/>
            <w:gridSpan w:val="5"/>
            <w:vAlign w:val="center"/>
          </w:tcPr>
          <w:p w14:paraId="482031B9" w14:textId="77777777" w:rsidR="000A2CB6" w:rsidRPr="001E7A47" w:rsidRDefault="000A2CB6" w:rsidP="000035AF">
            <w:pPr>
              <w:keepNext/>
              <w:keepLines/>
              <w:rPr>
                <w:rFonts w:ascii="Arial Narrow" w:hAnsi="Arial Narrow"/>
                <w:bCs/>
                <w:sz w:val="20"/>
                <w:szCs w:val="20"/>
              </w:rPr>
            </w:pPr>
            <w:r w:rsidRPr="001E7A47">
              <w:rPr>
                <w:rFonts w:ascii="Arial Narrow" w:hAnsi="Arial Narrow"/>
                <w:b/>
                <w:bCs/>
                <w:sz w:val="20"/>
                <w:szCs w:val="20"/>
              </w:rPr>
              <w:t xml:space="preserve">Episodicity: </w:t>
            </w:r>
            <w:r w:rsidRPr="001E7A47">
              <w:rPr>
                <w:rFonts w:ascii="Arial Narrow" w:hAnsi="Arial Narrow"/>
                <w:bCs/>
                <w:sz w:val="20"/>
                <w:szCs w:val="20"/>
              </w:rPr>
              <w:t xml:space="preserve">[blank] </w:t>
            </w:r>
          </w:p>
        </w:tc>
      </w:tr>
      <w:tr w:rsidR="000A2CB6" w:rsidRPr="001E7A47" w14:paraId="5A0ED42F"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754D844B" w14:textId="77777777" w:rsidR="000A2CB6" w:rsidRPr="001E7A47" w:rsidRDefault="000A2CB6" w:rsidP="000035AF">
            <w:pPr>
              <w:keepNext/>
              <w:keepLines/>
              <w:jc w:val="center"/>
              <w:rPr>
                <w:rFonts w:ascii="Arial Narrow" w:hAnsi="Arial Narrow"/>
                <w:sz w:val="20"/>
                <w:szCs w:val="20"/>
              </w:rPr>
            </w:pPr>
          </w:p>
        </w:tc>
        <w:tc>
          <w:tcPr>
            <w:tcW w:w="4295" w:type="pct"/>
            <w:gridSpan w:val="5"/>
            <w:vAlign w:val="center"/>
          </w:tcPr>
          <w:p w14:paraId="39D9228A" w14:textId="77777777" w:rsidR="000A2CB6" w:rsidRPr="001E7A47" w:rsidRDefault="000A2CB6" w:rsidP="000035AF">
            <w:pPr>
              <w:keepNext/>
              <w:keepLines/>
              <w:rPr>
                <w:rFonts w:ascii="Arial Narrow" w:hAnsi="Arial Narrow"/>
                <w:b/>
                <w:bCs/>
                <w:sz w:val="20"/>
                <w:szCs w:val="20"/>
              </w:rPr>
            </w:pPr>
            <w:r w:rsidRPr="001E7A47">
              <w:rPr>
                <w:rFonts w:ascii="Arial Narrow" w:hAnsi="Arial Narrow"/>
                <w:b/>
                <w:bCs/>
                <w:sz w:val="20"/>
                <w:szCs w:val="20"/>
              </w:rPr>
              <w:t xml:space="preserve">Severity: </w:t>
            </w:r>
            <w:r w:rsidRPr="001E7A47">
              <w:rPr>
                <w:rFonts w:ascii="Arial Narrow" w:hAnsi="Arial Narrow"/>
                <w:bCs/>
                <w:sz w:val="20"/>
                <w:szCs w:val="20"/>
              </w:rPr>
              <w:t xml:space="preserve">Relapsed or refractory </w:t>
            </w:r>
          </w:p>
        </w:tc>
      </w:tr>
      <w:tr w:rsidR="000A2CB6" w:rsidRPr="001E7A47" w14:paraId="46638828"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05EEF6EE" w14:textId="77777777" w:rsidR="000A2CB6" w:rsidRPr="001E7A47" w:rsidRDefault="000A2CB6" w:rsidP="000035AF">
            <w:pPr>
              <w:keepNext/>
              <w:keepLines/>
              <w:jc w:val="center"/>
              <w:rPr>
                <w:rFonts w:ascii="Arial Narrow" w:hAnsi="Arial Narrow"/>
                <w:sz w:val="20"/>
                <w:szCs w:val="20"/>
              </w:rPr>
            </w:pPr>
          </w:p>
        </w:tc>
        <w:tc>
          <w:tcPr>
            <w:tcW w:w="4295" w:type="pct"/>
            <w:gridSpan w:val="5"/>
            <w:vAlign w:val="center"/>
          </w:tcPr>
          <w:p w14:paraId="3B83B27F" w14:textId="77777777" w:rsidR="000A2CB6" w:rsidRPr="001E7A47" w:rsidRDefault="000A2CB6" w:rsidP="000035AF">
            <w:pPr>
              <w:keepNext/>
              <w:keepLines/>
              <w:rPr>
                <w:rFonts w:ascii="Arial Narrow" w:hAnsi="Arial Narrow"/>
                <w:b/>
                <w:bCs/>
                <w:sz w:val="20"/>
                <w:szCs w:val="20"/>
              </w:rPr>
            </w:pPr>
            <w:r w:rsidRPr="001E7A47">
              <w:rPr>
                <w:rFonts w:ascii="Arial Narrow" w:hAnsi="Arial Narrow"/>
                <w:b/>
                <w:bCs/>
                <w:sz w:val="20"/>
                <w:szCs w:val="20"/>
              </w:rPr>
              <w:t xml:space="preserve">Condition: </w:t>
            </w:r>
            <w:r w:rsidRPr="001E7A47">
              <w:rPr>
                <w:rFonts w:ascii="Arial Narrow" w:hAnsi="Arial Narrow"/>
                <w:bCs/>
                <w:sz w:val="20"/>
                <w:szCs w:val="20"/>
              </w:rPr>
              <w:t>Diffuse large B-cell lymphoma (DLBCL)</w:t>
            </w:r>
          </w:p>
        </w:tc>
      </w:tr>
      <w:tr w:rsidR="000A2CB6" w:rsidRPr="001E7A47" w14:paraId="6A544D4A"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736B2E16" w14:textId="21BE48C8" w:rsidR="000A2CB6" w:rsidRPr="001E7A47" w:rsidRDefault="000A2CB6" w:rsidP="000035AF">
            <w:pPr>
              <w:keepNext/>
              <w:keepLines/>
              <w:jc w:val="center"/>
              <w:rPr>
                <w:rFonts w:ascii="Arial Narrow" w:hAnsi="Arial Narrow"/>
                <w:sz w:val="20"/>
                <w:szCs w:val="20"/>
              </w:rPr>
            </w:pPr>
          </w:p>
        </w:tc>
        <w:tc>
          <w:tcPr>
            <w:tcW w:w="4295" w:type="pct"/>
            <w:gridSpan w:val="5"/>
            <w:vAlign w:val="center"/>
            <w:hideMark/>
          </w:tcPr>
          <w:p w14:paraId="71D3EDBD" w14:textId="77777777" w:rsidR="000A2CB6" w:rsidRPr="001E7A47" w:rsidRDefault="000A2CB6" w:rsidP="000035AF">
            <w:pPr>
              <w:keepNext/>
              <w:keepLines/>
              <w:rPr>
                <w:rFonts w:ascii="Arial Narrow" w:hAnsi="Arial Narrow"/>
                <w:sz w:val="20"/>
                <w:szCs w:val="20"/>
              </w:rPr>
            </w:pPr>
            <w:r w:rsidRPr="001E7A47">
              <w:rPr>
                <w:rFonts w:ascii="Arial Narrow" w:hAnsi="Arial Narrow"/>
                <w:b/>
                <w:bCs/>
                <w:sz w:val="20"/>
                <w:szCs w:val="20"/>
              </w:rPr>
              <w:t>Indication:</w:t>
            </w:r>
            <w:r w:rsidRPr="001E7A47">
              <w:rPr>
                <w:rFonts w:ascii="Arial Narrow" w:hAnsi="Arial Narrow"/>
                <w:sz w:val="20"/>
                <w:szCs w:val="20"/>
              </w:rPr>
              <w:t xml:space="preserve"> Relapsed or refractory diffuse large B-cell lymphoma (DLBCL)</w:t>
            </w:r>
          </w:p>
        </w:tc>
      </w:tr>
      <w:tr w:rsidR="000A2CB6" w:rsidRPr="001E7A47" w14:paraId="4DE59614"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3F2603CC" w14:textId="77777777" w:rsidR="000A2CB6" w:rsidRPr="001E7A47" w:rsidRDefault="000A2CB6" w:rsidP="000035AF">
            <w:pPr>
              <w:keepNext/>
              <w:jc w:val="center"/>
              <w:rPr>
                <w:rFonts w:ascii="Arial Narrow" w:hAnsi="Arial Narrow"/>
                <w:sz w:val="20"/>
                <w:szCs w:val="20"/>
              </w:rPr>
            </w:pPr>
          </w:p>
        </w:tc>
        <w:tc>
          <w:tcPr>
            <w:tcW w:w="4295" w:type="pct"/>
            <w:gridSpan w:val="5"/>
            <w:vAlign w:val="center"/>
            <w:hideMark/>
          </w:tcPr>
          <w:p w14:paraId="306C82E0" w14:textId="77777777" w:rsidR="000A2CB6" w:rsidRPr="001E7A47" w:rsidRDefault="000A2CB6" w:rsidP="000035AF">
            <w:pPr>
              <w:keepNext/>
              <w:rPr>
                <w:rFonts w:ascii="Arial Narrow" w:hAnsi="Arial Narrow"/>
                <w:sz w:val="20"/>
                <w:szCs w:val="20"/>
              </w:rPr>
            </w:pPr>
            <w:r w:rsidRPr="001E7A47">
              <w:rPr>
                <w:rFonts w:ascii="Arial Narrow" w:hAnsi="Arial Narrow"/>
                <w:b/>
                <w:bCs/>
                <w:sz w:val="20"/>
                <w:szCs w:val="20"/>
              </w:rPr>
              <w:t>Treatment Phase:</w:t>
            </w:r>
            <w:r w:rsidRPr="001E7A47">
              <w:rPr>
                <w:rFonts w:ascii="Arial Narrow" w:hAnsi="Arial Narrow"/>
                <w:sz w:val="20"/>
                <w:szCs w:val="20"/>
              </w:rPr>
              <w:t xml:space="preserve"> Transitioning from non-PBS to PBS-subsidised treatment - Grandfather arrangements</w:t>
            </w:r>
          </w:p>
        </w:tc>
      </w:tr>
      <w:tr w:rsidR="000A2CB6" w:rsidRPr="001E7A47" w14:paraId="6ADA24CA"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BBB5AC6" w14:textId="77777777" w:rsidR="000A2CB6" w:rsidRPr="001E7A47" w:rsidRDefault="000A2CB6">
            <w:pPr>
              <w:jc w:val="center"/>
              <w:rPr>
                <w:rFonts w:ascii="Arial Narrow" w:hAnsi="Arial Narrow"/>
                <w:sz w:val="20"/>
                <w:szCs w:val="20"/>
              </w:rPr>
            </w:pPr>
          </w:p>
        </w:tc>
        <w:tc>
          <w:tcPr>
            <w:tcW w:w="4295" w:type="pct"/>
            <w:gridSpan w:val="5"/>
            <w:vAlign w:val="center"/>
            <w:hideMark/>
          </w:tcPr>
          <w:p w14:paraId="5D965224" w14:textId="77777777" w:rsidR="000A2CB6" w:rsidRPr="001E7A47" w:rsidRDefault="000A2CB6">
            <w:pPr>
              <w:rPr>
                <w:rFonts w:ascii="Arial Narrow" w:hAnsi="Arial Narrow"/>
                <w:sz w:val="20"/>
                <w:szCs w:val="20"/>
              </w:rPr>
            </w:pPr>
            <w:r w:rsidRPr="001E7A47">
              <w:rPr>
                <w:rFonts w:ascii="Arial Narrow" w:hAnsi="Arial Narrow" w:cs="Arial Narrow"/>
                <w:b/>
                <w:bCs/>
                <w:iCs/>
                <w:strike/>
                <w:sz w:val="20"/>
                <w:szCs w:val="20"/>
              </w:rPr>
              <w:t>Population Criteria:</w:t>
            </w:r>
            <w:r w:rsidRPr="001E7A47">
              <w:rPr>
                <w:rFonts w:ascii="Arial Narrow" w:hAnsi="Arial Narrow"/>
                <w:b/>
                <w:bCs/>
                <w:strike/>
                <w:sz w:val="20"/>
                <w:szCs w:val="20"/>
              </w:rPr>
              <w:t xml:space="preserve"> </w:t>
            </w:r>
          </w:p>
        </w:tc>
      </w:tr>
      <w:tr w:rsidR="000A2CB6" w:rsidRPr="001E7A47" w14:paraId="6C024B5C"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DC240EF" w14:textId="77777777" w:rsidR="000A2CB6" w:rsidRPr="001E7A47" w:rsidRDefault="000A2CB6">
            <w:pPr>
              <w:jc w:val="center"/>
              <w:rPr>
                <w:rFonts w:ascii="Arial Narrow" w:hAnsi="Arial Narrow"/>
                <w:sz w:val="20"/>
                <w:szCs w:val="20"/>
              </w:rPr>
            </w:pPr>
          </w:p>
        </w:tc>
        <w:tc>
          <w:tcPr>
            <w:tcW w:w="4295" w:type="pct"/>
            <w:gridSpan w:val="5"/>
            <w:vAlign w:val="center"/>
            <w:hideMark/>
          </w:tcPr>
          <w:p w14:paraId="3041EBDD" w14:textId="77777777" w:rsidR="000A2CB6" w:rsidRPr="001E7A47" w:rsidRDefault="000A2CB6">
            <w:pPr>
              <w:rPr>
                <w:rFonts w:ascii="Arial Narrow" w:hAnsi="Arial Narrow"/>
                <w:sz w:val="20"/>
                <w:szCs w:val="20"/>
              </w:rPr>
            </w:pPr>
            <w:r w:rsidRPr="001E7A47">
              <w:rPr>
                <w:rFonts w:ascii="Arial Narrow" w:hAnsi="Arial Narrow" w:cs="Arial Narrow"/>
                <w:iCs/>
                <w:strike/>
                <w:sz w:val="20"/>
                <w:szCs w:val="20"/>
              </w:rPr>
              <w:t>Adults only who have received a diagnosis of DLBCL, including high-grade B-cell lymphoma (HGBCL)</w:t>
            </w:r>
          </w:p>
        </w:tc>
      </w:tr>
      <w:tr w:rsidR="000A2CB6" w:rsidRPr="001E7A47" w14:paraId="0FDF9F44"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2F11EC9A" w14:textId="77777777" w:rsidR="000A2CB6" w:rsidRPr="001E7A47" w:rsidRDefault="000A2CB6">
            <w:pPr>
              <w:jc w:val="center"/>
              <w:rPr>
                <w:rFonts w:ascii="Arial Narrow" w:hAnsi="Arial Narrow"/>
                <w:sz w:val="20"/>
                <w:szCs w:val="20"/>
              </w:rPr>
            </w:pPr>
          </w:p>
        </w:tc>
        <w:tc>
          <w:tcPr>
            <w:tcW w:w="4295" w:type="pct"/>
            <w:gridSpan w:val="5"/>
            <w:vAlign w:val="center"/>
            <w:hideMark/>
          </w:tcPr>
          <w:p w14:paraId="5DAEA43D" w14:textId="77777777" w:rsidR="000A2CB6" w:rsidRPr="001E7A47" w:rsidRDefault="000A2CB6">
            <w:pPr>
              <w:rPr>
                <w:rFonts w:ascii="Arial Narrow" w:hAnsi="Arial Narrow"/>
                <w:sz w:val="20"/>
                <w:szCs w:val="20"/>
              </w:rPr>
            </w:pPr>
            <w:r w:rsidRPr="001E7A47">
              <w:rPr>
                <w:rFonts w:ascii="Arial Narrow" w:hAnsi="Arial Narrow"/>
                <w:b/>
                <w:bCs/>
                <w:strike/>
                <w:sz w:val="20"/>
                <w:szCs w:val="20"/>
              </w:rPr>
              <w:t>Treatment Criteria:</w:t>
            </w:r>
          </w:p>
        </w:tc>
      </w:tr>
      <w:tr w:rsidR="000A2CB6" w:rsidRPr="001E7A47" w14:paraId="6D5E897D"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0EDA4C9" w14:textId="77777777" w:rsidR="000A2CB6" w:rsidRPr="001E7A47" w:rsidRDefault="000A2CB6">
            <w:pPr>
              <w:jc w:val="center"/>
              <w:rPr>
                <w:rFonts w:ascii="Arial Narrow" w:hAnsi="Arial Narrow"/>
                <w:sz w:val="20"/>
                <w:szCs w:val="20"/>
              </w:rPr>
            </w:pPr>
          </w:p>
        </w:tc>
        <w:tc>
          <w:tcPr>
            <w:tcW w:w="4295" w:type="pct"/>
            <w:gridSpan w:val="5"/>
            <w:vAlign w:val="center"/>
          </w:tcPr>
          <w:p w14:paraId="07D76586" w14:textId="77777777" w:rsidR="000A2CB6" w:rsidRPr="001E7A47" w:rsidRDefault="000A2CB6">
            <w:pPr>
              <w:rPr>
                <w:rFonts w:ascii="Arial Narrow" w:hAnsi="Arial Narrow"/>
                <w:b/>
                <w:bCs/>
                <w:strike/>
                <w:sz w:val="20"/>
                <w:szCs w:val="20"/>
              </w:rPr>
            </w:pPr>
            <w:r w:rsidRPr="001E7A47">
              <w:rPr>
                <w:rFonts w:ascii="Arial Narrow" w:hAnsi="Arial Narrow"/>
                <w:b/>
                <w:bCs/>
                <w:sz w:val="20"/>
                <w:szCs w:val="20"/>
              </w:rPr>
              <w:t>Clinical criteria:</w:t>
            </w:r>
          </w:p>
        </w:tc>
      </w:tr>
      <w:tr w:rsidR="000A2CB6" w:rsidRPr="001E7A47" w14:paraId="52A12595"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ECD6902" w14:textId="1BFAF6FA" w:rsidR="000A2CB6" w:rsidRPr="001E7A47" w:rsidRDefault="000A2CB6">
            <w:pPr>
              <w:jc w:val="center"/>
              <w:rPr>
                <w:rFonts w:ascii="Arial Narrow" w:hAnsi="Arial Narrow"/>
                <w:sz w:val="20"/>
                <w:szCs w:val="20"/>
              </w:rPr>
            </w:pPr>
          </w:p>
        </w:tc>
        <w:tc>
          <w:tcPr>
            <w:tcW w:w="4295" w:type="pct"/>
            <w:gridSpan w:val="5"/>
            <w:vAlign w:val="center"/>
          </w:tcPr>
          <w:p w14:paraId="09426173" w14:textId="77777777" w:rsidR="000A2CB6" w:rsidRPr="001E7A47" w:rsidRDefault="000A2CB6">
            <w:pPr>
              <w:rPr>
                <w:rFonts w:ascii="Arial Narrow" w:hAnsi="Arial Narrow"/>
                <w:sz w:val="20"/>
                <w:szCs w:val="20"/>
              </w:rPr>
            </w:pPr>
            <w:r w:rsidRPr="001E7A47">
              <w:rPr>
                <w:rFonts w:ascii="Arial Narrow" w:hAnsi="Arial Narrow"/>
                <w:sz w:val="20"/>
                <w:szCs w:val="20"/>
              </w:rPr>
              <w:t>Patient must have previously received non-PBS-subsidised treatment with this drug for this condition prior to [DATE]</w:t>
            </w:r>
          </w:p>
        </w:tc>
      </w:tr>
      <w:tr w:rsidR="000A2CB6" w:rsidRPr="001E7A47" w14:paraId="3DF0FED3"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B2BB6CC" w14:textId="77777777" w:rsidR="000A2CB6" w:rsidRPr="001E7A47" w:rsidRDefault="000A2CB6">
            <w:pPr>
              <w:jc w:val="center"/>
              <w:rPr>
                <w:rFonts w:ascii="Arial Narrow" w:hAnsi="Arial Narrow"/>
                <w:sz w:val="20"/>
                <w:szCs w:val="20"/>
              </w:rPr>
            </w:pPr>
          </w:p>
        </w:tc>
        <w:tc>
          <w:tcPr>
            <w:tcW w:w="4295" w:type="pct"/>
            <w:gridSpan w:val="5"/>
            <w:vAlign w:val="center"/>
          </w:tcPr>
          <w:p w14:paraId="271078A4" w14:textId="77777777" w:rsidR="000A2CB6" w:rsidRPr="001E7A47" w:rsidRDefault="000A2CB6">
            <w:pPr>
              <w:rPr>
                <w:rFonts w:ascii="Arial Narrow" w:hAnsi="Arial Narrow"/>
                <w:sz w:val="20"/>
                <w:szCs w:val="20"/>
              </w:rPr>
            </w:pPr>
            <w:r w:rsidRPr="001E7A47">
              <w:rPr>
                <w:rFonts w:ascii="Arial Narrow" w:hAnsi="Arial Narrow"/>
                <w:b/>
                <w:i/>
                <w:iCs/>
                <w:sz w:val="20"/>
                <w:szCs w:val="20"/>
              </w:rPr>
              <w:t>AND</w:t>
            </w:r>
          </w:p>
        </w:tc>
      </w:tr>
      <w:tr w:rsidR="000A2CB6" w:rsidRPr="001E7A47" w14:paraId="31135CD9" w14:textId="77777777">
        <w:tblPrEx>
          <w:tblCellMar>
            <w:top w:w="15" w:type="dxa"/>
            <w:bottom w:w="15" w:type="dxa"/>
          </w:tblCellMar>
          <w:tblLook w:val="04A0" w:firstRow="1" w:lastRow="0" w:firstColumn="1" w:lastColumn="0" w:noHBand="0" w:noVBand="1"/>
        </w:tblPrEx>
        <w:trPr>
          <w:cantSplit/>
          <w:trHeight w:val="20"/>
        </w:trPr>
        <w:tc>
          <w:tcPr>
            <w:tcW w:w="705" w:type="pct"/>
            <w:gridSpan w:val="2"/>
          </w:tcPr>
          <w:p w14:paraId="616CB6EC" w14:textId="67732B70" w:rsidR="000A2CB6" w:rsidRPr="001E7A47" w:rsidRDefault="000A2CB6">
            <w:pPr>
              <w:jc w:val="center"/>
              <w:rPr>
                <w:rFonts w:ascii="Arial Narrow" w:hAnsi="Arial Narrow"/>
                <w:i/>
                <w:iCs/>
                <w:sz w:val="20"/>
                <w:szCs w:val="20"/>
              </w:rPr>
            </w:pPr>
          </w:p>
        </w:tc>
        <w:tc>
          <w:tcPr>
            <w:tcW w:w="4295" w:type="pct"/>
            <w:gridSpan w:val="5"/>
          </w:tcPr>
          <w:p w14:paraId="22B26682" w14:textId="77777777" w:rsidR="000A2CB6" w:rsidRPr="001E7A47" w:rsidRDefault="000A2CB6">
            <w:pPr>
              <w:rPr>
                <w:rFonts w:ascii="Arial Narrow" w:hAnsi="Arial Narrow"/>
                <w:i/>
                <w:iCs/>
                <w:sz w:val="20"/>
                <w:szCs w:val="20"/>
              </w:rPr>
            </w:pPr>
            <w:r w:rsidRPr="001E7A47">
              <w:rPr>
                <w:rFonts w:ascii="Arial Narrow" w:hAnsi="Arial Narrow"/>
                <w:b/>
                <w:i/>
                <w:iCs/>
                <w:sz w:val="20"/>
                <w:szCs w:val="20"/>
              </w:rPr>
              <w:t>Clinical criteria:</w:t>
            </w:r>
          </w:p>
        </w:tc>
      </w:tr>
      <w:tr w:rsidR="000A2CB6" w:rsidRPr="001E7A47" w14:paraId="5238721A" w14:textId="77777777">
        <w:tblPrEx>
          <w:tblCellMar>
            <w:top w:w="15" w:type="dxa"/>
            <w:bottom w:w="15" w:type="dxa"/>
          </w:tblCellMar>
          <w:tblLook w:val="04A0" w:firstRow="1" w:lastRow="0" w:firstColumn="1" w:lastColumn="0" w:noHBand="0" w:noVBand="1"/>
        </w:tblPrEx>
        <w:trPr>
          <w:cantSplit/>
          <w:trHeight w:val="20"/>
        </w:trPr>
        <w:tc>
          <w:tcPr>
            <w:tcW w:w="705" w:type="pct"/>
            <w:gridSpan w:val="2"/>
          </w:tcPr>
          <w:p w14:paraId="4EDDBF95" w14:textId="583EE74F" w:rsidR="000A2CB6" w:rsidRPr="001E7A47" w:rsidRDefault="000A2CB6">
            <w:pPr>
              <w:jc w:val="center"/>
              <w:rPr>
                <w:rFonts w:ascii="Arial Narrow" w:hAnsi="Arial Narrow"/>
                <w:i/>
                <w:iCs/>
                <w:sz w:val="20"/>
                <w:szCs w:val="20"/>
              </w:rPr>
            </w:pPr>
          </w:p>
        </w:tc>
        <w:tc>
          <w:tcPr>
            <w:tcW w:w="4295" w:type="pct"/>
            <w:gridSpan w:val="5"/>
          </w:tcPr>
          <w:p w14:paraId="2C0B8D4C" w14:textId="77777777" w:rsidR="000A2CB6" w:rsidRPr="001E7A47" w:rsidRDefault="000A2CB6">
            <w:pPr>
              <w:rPr>
                <w:rFonts w:ascii="Arial Narrow" w:hAnsi="Arial Narrow"/>
                <w:i/>
                <w:iCs/>
                <w:sz w:val="20"/>
                <w:szCs w:val="20"/>
              </w:rPr>
            </w:pPr>
            <w:r w:rsidRPr="001E7A47">
              <w:rPr>
                <w:rFonts w:ascii="Arial Narrow" w:hAnsi="Arial Narrow"/>
                <w:i/>
                <w:iCs/>
                <w:sz w:val="20"/>
                <w:szCs w:val="20"/>
              </w:rPr>
              <w:t>The condition must have relapsed, or be refractory to, at least two prior systemic therapies, prior to commencing treatment with this drug</w:t>
            </w:r>
          </w:p>
        </w:tc>
      </w:tr>
      <w:tr w:rsidR="000A2CB6" w:rsidRPr="001E7A47" w14:paraId="53503816" w14:textId="77777777">
        <w:tblPrEx>
          <w:tblCellMar>
            <w:top w:w="15" w:type="dxa"/>
            <w:bottom w:w="15" w:type="dxa"/>
          </w:tblCellMar>
          <w:tblLook w:val="04A0" w:firstRow="1" w:lastRow="0" w:firstColumn="1" w:lastColumn="0" w:noHBand="0" w:noVBand="1"/>
        </w:tblPrEx>
        <w:trPr>
          <w:cantSplit/>
          <w:trHeight w:val="20"/>
        </w:trPr>
        <w:tc>
          <w:tcPr>
            <w:tcW w:w="705" w:type="pct"/>
            <w:gridSpan w:val="2"/>
          </w:tcPr>
          <w:p w14:paraId="5A7E32F3" w14:textId="77777777" w:rsidR="000A2CB6" w:rsidRPr="001E7A47" w:rsidRDefault="000A2CB6">
            <w:pPr>
              <w:jc w:val="center"/>
              <w:rPr>
                <w:rFonts w:ascii="Arial Narrow" w:hAnsi="Arial Narrow"/>
                <w:i/>
                <w:iCs/>
                <w:sz w:val="20"/>
                <w:szCs w:val="20"/>
              </w:rPr>
            </w:pPr>
          </w:p>
        </w:tc>
        <w:tc>
          <w:tcPr>
            <w:tcW w:w="4295" w:type="pct"/>
            <w:gridSpan w:val="5"/>
          </w:tcPr>
          <w:p w14:paraId="36757682" w14:textId="77777777" w:rsidR="000A2CB6" w:rsidRPr="001E7A47" w:rsidRDefault="000A2CB6">
            <w:pPr>
              <w:rPr>
                <w:rFonts w:ascii="Arial Narrow" w:hAnsi="Arial Narrow"/>
                <w:i/>
                <w:iCs/>
                <w:sz w:val="20"/>
                <w:szCs w:val="20"/>
              </w:rPr>
            </w:pPr>
            <w:r w:rsidRPr="001E7A47">
              <w:rPr>
                <w:rFonts w:ascii="Arial Narrow" w:hAnsi="Arial Narrow"/>
                <w:b/>
                <w:i/>
                <w:iCs/>
                <w:sz w:val="20"/>
                <w:szCs w:val="20"/>
              </w:rPr>
              <w:t>AND</w:t>
            </w:r>
          </w:p>
        </w:tc>
      </w:tr>
      <w:tr w:rsidR="000A2CB6" w:rsidRPr="001E7A47" w14:paraId="5E9F8084" w14:textId="77777777">
        <w:tblPrEx>
          <w:tblCellMar>
            <w:top w:w="15" w:type="dxa"/>
            <w:bottom w:w="15" w:type="dxa"/>
          </w:tblCellMar>
          <w:tblLook w:val="04A0" w:firstRow="1" w:lastRow="0" w:firstColumn="1" w:lastColumn="0" w:noHBand="0" w:noVBand="1"/>
        </w:tblPrEx>
        <w:trPr>
          <w:cantSplit/>
          <w:trHeight w:val="20"/>
        </w:trPr>
        <w:tc>
          <w:tcPr>
            <w:tcW w:w="705" w:type="pct"/>
            <w:gridSpan w:val="2"/>
          </w:tcPr>
          <w:p w14:paraId="47847C2F" w14:textId="5C1AB63B" w:rsidR="000A2CB6" w:rsidRPr="001E7A47" w:rsidRDefault="000A2CB6">
            <w:pPr>
              <w:jc w:val="center"/>
              <w:rPr>
                <w:rFonts w:ascii="Arial Narrow" w:hAnsi="Arial Narrow"/>
                <w:i/>
                <w:iCs/>
                <w:sz w:val="20"/>
                <w:szCs w:val="20"/>
              </w:rPr>
            </w:pPr>
          </w:p>
        </w:tc>
        <w:tc>
          <w:tcPr>
            <w:tcW w:w="4295" w:type="pct"/>
            <w:gridSpan w:val="5"/>
          </w:tcPr>
          <w:p w14:paraId="409CE8E5" w14:textId="77777777" w:rsidR="000A2CB6" w:rsidRPr="001E7A47" w:rsidRDefault="000A2CB6">
            <w:pPr>
              <w:rPr>
                <w:rFonts w:ascii="Arial Narrow" w:hAnsi="Arial Narrow"/>
                <w:i/>
                <w:iCs/>
                <w:sz w:val="20"/>
                <w:szCs w:val="20"/>
              </w:rPr>
            </w:pPr>
            <w:r w:rsidRPr="001E7A47">
              <w:rPr>
                <w:rFonts w:ascii="Arial Narrow" w:hAnsi="Arial Narrow"/>
                <w:b/>
                <w:i/>
                <w:iCs/>
                <w:sz w:val="20"/>
                <w:szCs w:val="20"/>
              </w:rPr>
              <w:t>Clinical criteria:</w:t>
            </w:r>
          </w:p>
        </w:tc>
      </w:tr>
      <w:tr w:rsidR="000A2CB6" w:rsidRPr="001E7A47" w14:paraId="42691F41" w14:textId="77777777">
        <w:tblPrEx>
          <w:tblCellMar>
            <w:top w:w="15" w:type="dxa"/>
            <w:bottom w:w="15" w:type="dxa"/>
          </w:tblCellMar>
          <w:tblLook w:val="04A0" w:firstRow="1" w:lastRow="0" w:firstColumn="1" w:lastColumn="0" w:noHBand="0" w:noVBand="1"/>
        </w:tblPrEx>
        <w:trPr>
          <w:cantSplit/>
          <w:trHeight w:val="20"/>
        </w:trPr>
        <w:tc>
          <w:tcPr>
            <w:tcW w:w="705" w:type="pct"/>
            <w:gridSpan w:val="2"/>
          </w:tcPr>
          <w:p w14:paraId="2812344D" w14:textId="07CDD845" w:rsidR="000A2CB6" w:rsidRPr="001E7A47" w:rsidRDefault="000A2CB6">
            <w:pPr>
              <w:jc w:val="center"/>
              <w:rPr>
                <w:rFonts w:ascii="Arial Narrow" w:hAnsi="Arial Narrow"/>
                <w:i/>
                <w:iCs/>
                <w:sz w:val="20"/>
                <w:szCs w:val="20"/>
              </w:rPr>
            </w:pPr>
          </w:p>
        </w:tc>
        <w:tc>
          <w:tcPr>
            <w:tcW w:w="4295" w:type="pct"/>
            <w:gridSpan w:val="5"/>
          </w:tcPr>
          <w:p w14:paraId="5D6D3A79" w14:textId="77777777" w:rsidR="000A2CB6" w:rsidRPr="001E7A47" w:rsidRDefault="000A2CB6">
            <w:pPr>
              <w:rPr>
                <w:rFonts w:ascii="Arial Narrow" w:hAnsi="Arial Narrow"/>
                <w:i/>
                <w:iCs/>
                <w:sz w:val="20"/>
                <w:szCs w:val="20"/>
              </w:rPr>
            </w:pPr>
            <w:r w:rsidRPr="001E7A47">
              <w:rPr>
                <w:rFonts w:ascii="Arial Narrow" w:hAnsi="Arial Narrow"/>
                <w:i/>
                <w:iCs/>
                <w:sz w:val="20"/>
                <w:szCs w:val="20"/>
              </w:rPr>
              <w:t>Patient must have had a WHO performance status of no higher than 2 prior to commencing treatment with this drug for this condition</w:t>
            </w:r>
          </w:p>
        </w:tc>
      </w:tr>
      <w:tr w:rsidR="000A2CB6" w:rsidRPr="001E7A47" w14:paraId="249ADFD5" w14:textId="77777777">
        <w:tblPrEx>
          <w:tblCellMar>
            <w:top w:w="15" w:type="dxa"/>
            <w:bottom w:w="15" w:type="dxa"/>
          </w:tblCellMar>
          <w:tblLook w:val="04A0" w:firstRow="1" w:lastRow="0" w:firstColumn="1" w:lastColumn="0" w:noHBand="0" w:noVBand="1"/>
        </w:tblPrEx>
        <w:trPr>
          <w:cantSplit/>
          <w:trHeight w:val="20"/>
        </w:trPr>
        <w:tc>
          <w:tcPr>
            <w:tcW w:w="705" w:type="pct"/>
            <w:gridSpan w:val="2"/>
          </w:tcPr>
          <w:p w14:paraId="55E0DEA6" w14:textId="77777777" w:rsidR="000A2CB6" w:rsidRPr="001E7A47" w:rsidRDefault="000A2CB6">
            <w:pPr>
              <w:jc w:val="center"/>
              <w:rPr>
                <w:rFonts w:ascii="Arial Narrow" w:hAnsi="Arial Narrow"/>
                <w:i/>
                <w:iCs/>
                <w:sz w:val="20"/>
                <w:szCs w:val="20"/>
              </w:rPr>
            </w:pPr>
          </w:p>
        </w:tc>
        <w:tc>
          <w:tcPr>
            <w:tcW w:w="4295" w:type="pct"/>
            <w:gridSpan w:val="5"/>
          </w:tcPr>
          <w:p w14:paraId="2ECA5E92" w14:textId="77777777" w:rsidR="000A2CB6" w:rsidRPr="001E7A47" w:rsidRDefault="000A2CB6">
            <w:pPr>
              <w:rPr>
                <w:rFonts w:ascii="Arial Narrow" w:hAnsi="Arial Narrow"/>
                <w:i/>
                <w:iCs/>
                <w:sz w:val="20"/>
                <w:szCs w:val="20"/>
              </w:rPr>
            </w:pPr>
            <w:r w:rsidRPr="001E7A47">
              <w:rPr>
                <w:rFonts w:ascii="Arial Narrow" w:hAnsi="Arial Narrow"/>
                <w:b/>
                <w:i/>
                <w:iCs/>
                <w:sz w:val="20"/>
                <w:szCs w:val="20"/>
              </w:rPr>
              <w:t>AND</w:t>
            </w:r>
          </w:p>
        </w:tc>
      </w:tr>
      <w:tr w:rsidR="000A2CB6" w:rsidRPr="001E7A47" w14:paraId="442A0528" w14:textId="77777777">
        <w:tblPrEx>
          <w:tblCellMar>
            <w:top w:w="15" w:type="dxa"/>
            <w:bottom w:w="15" w:type="dxa"/>
          </w:tblCellMar>
          <w:tblLook w:val="04A0" w:firstRow="1" w:lastRow="0" w:firstColumn="1" w:lastColumn="0" w:noHBand="0" w:noVBand="1"/>
        </w:tblPrEx>
        <w:trPr>
          <w:cantSplit/>
          <w:trHeight w:val="20"/>
        </w:trPr>
        <w:tc>
          <w:tcPr>
            <w:tcW w:w="705" w:type="pct"/>
            <w:gridSpan w:val="2"/>
          </w:tcPr>
          <w:p w14:paraId="6489AB38" w14:textId="7EEE7294" w:rsidR="000A2CB6" w:rsidRPr="001E7A47" w:rsidRDefault="000A2CB6">
            <w:pPr>
              <w:jc w:val="center"/>
              <w:rPr>
                <w:rFonts w:ascii="Arial Narrow" w:hAnsi="Arial Narrow"/>
                <w:i/>
                <w:iCs/>
                <w:sz w:val="20"/>
                <w:szCs w:val="20"/>
              </w:rPr>
            </w:pPr>
          </w:p>
        </w:tc>
        <w:tc>
          <w:tcPr>
            <w:tcW w:w="4295" w:type="pct"/>
            <w:gridSpan w:val="5"/>
          </w:tcPr>
          <w:p w14:paraId="107A7011" w14:textId="77777777" w:rsidR="000A2CB6" w:rsidRPr="001E7A47" w:rsidRDefault="000A2CB6">
            <w:pPr>
              <w:rPr>
                <w:rFonts w:ascii="Arial Narrow" w:hAnsi="Arial Narrow"/>
                <w:i/>
                <w:iCs/>
                <w:sz w:val="20"/>
                <w:szCs w:val="20"/>
              </w:rPr>
            </w:pPr>
            <w:r w:rsidRPr="001E7A47">
              <w:rPr>
                <w:rFonts w:ascii="Arial Narrow" w:hAnsi="Arial Narrow"/>
                <w:b/>
                <w:i/>
                <w:iCs/>
                <w:sz w:val="20"/>
                <w:szCs w:val="20"/>
              </w:rPr>
              <w:t>Clinical criteria:</w:t>
            </w:r>
          </w:p>
        </w:tc>
      </w:tr>
      <w:tr w:rsidR="000A2CB6" w:rsidRPr="001E7A47" w14:paraId="7B6C4C0D" w14:textId="77777777">
        <w:tblPrEx>
          <w:tblCellMar>
            <w:top w:w="15" w:type="dxa"/>
            <w:bottom w:w="15" w:type="dxa"/>
          </w:tblCellMar>
          <w:tblLook w:val="04A0" w:firstRow="1" w:lastRow="0" w:firstColumn="1" w:lastColumn="0" w:noHBand="0" w:noVBand="1"/>
        </w:tblPrEx>
        <w:trPr>
          <w:cantSplit/>
          <w:trHeight w:val="20"/>
        </w:trPr>
        <w:tc>
          <w:tcPr>
            <w:tcW w:w="705" w:type="pct"/>
            <w:gridSpan w:val="2"/>
          </w:tcPr>
          <w:p w14:paraId="1B14A63A" w14:textId="1CAE9BB8" w:rsidR="000A2CB6" w:rsidRPr="001E7A47" w:rsidRDefault="000A2CB6">
            <w:pPr>
              <w:jc w:val="center"/>
              <w:rPr>
                <w:rFonts w:ascii="Arial Narrow" w:hAnsi="Arial Narrow"/>
                <w:i/>
                <w:iCs/>
                <w:sz w:val="20"/>
                <w:szCs w:val="20"/>
              </w:rPr>
            </w:pPr>
          </w:p>
        </w:tc>
        <w:tc>
          <w:tcPr>
            <w:tcW w:w="4295" w:type="pct"/>
            <w:gridSpan w:val="5"/>
          </w:tcPr>
          <w:p w14:paraId="0239B89F" w14:textId="77777777" w:rsidR="000A2CB6" w:rsidRPr="001E7A47" w:rsidRDefault="000A2CB6">
            <w:pPr>
              <w:rPr>
                <w:rFonts w:ascii="Arial Narrow" w:hAnsi="Arial Narrow"/>
                <w:i/>
                <w:iCs/>
                <w:sz w:val="20"/>
                <w:szCs w:val="20"/>
              </w:rPr>
            </w:pPr>
            <w:r w:rsidRPr="001E7A47">
              <w:rPr>
                <w:rFonts w:ascii="Arial Narrow" w:hAnsi="Arial Narrow"/>
                <w:i/>
                <w:iCs/>
                <w:sz w:val="20"/>
                <w:szCs w:val="20"/>
              </w:rPr>
              <w:t>Patient must have previously received treatment with chimeric antigen receptor-T (CAR-T) cell therapy for this condition; or</w:t>
            </w:r>
          </w:p>
        </w:tc>
      </w:tr>
      <w:tr w:rsidR="000A2CB6" w:rsidRPr="001E7A47" w14:paraId="7C1EE40C" w14:textId="77777777">
        <w:tblPrEx>
          <w:tblCellMar>
            <w:top w:w="15" w:type="dxa"/>
            <w:bottom w:w="15" w:type="dxa"/>
          </w:tblCellMar>
          <w:tblLook w:val="04A0" w:firstRow="1" w:lastRow="0" w:firstColumn="1" w:lastColumn="0" w:noHBand="0" w:noVBand="1"/>
        </w:tblPrEx>
        <w:trPr>
          <w:cantSplit/>
          <w:trHeight w:val="20"/>
        </w:trPr>
        <w:tc>
          <w:tcPr>
            <w:tcW w:w="705" w:type="pct"/>
            <w:gridSpan w:val="2"/>
          </w:tcPr>
          <w:p w14:paraId="04AE99F2" w14:textId="7198905F" w:rsidR="000A2CB6" w:rsidRPr="001E7A47" w:rsidRDefault="000A2CB6">
            <w:pPr>
              <w:jc w:val="center"/>
              <w:rPr>
                <w:rFonts w:ascii="Arial Narrow" w:hAnsi="Arial Narrow"/>
                <w:i/>
                <w:iCs/>
                <w:sz w:val="20"/>
                <w:szCs w:val="20"/>
              </w:rPr>
            </w:pPr>
          </w:p>
        </w:tc>
        <w:tc>
          <w:tcPr>
            <w:tcW w:w="4295" w:type="pct"/>
            <w:gridSpan w:val="5"/>
          </w:tcPr>
          <w:p w14:paraId="39548FD6" w14:textId="77777777" w:rsidR="000A2CB6" w:rsidRPr="001E7A47" w:rsidRDefault="000A2CB6">
            <w:pPr>
              <w:rPr>
                <w:rFonts w:ascii="Arial Narrow" w:hAnsi="Arial Narrow"/>
                <w:i/>
                <w:iCs/>
                <w:sz w:val="20"/>
                <w:szCs w:val="20"/>
              </w:rPr>
            </w:pPr>
            <w:r w:rsidRPr="001E7A47">
              <w:rPr>
                <w:rFonts w:ascii="Arial Narrow" w:hAnsi="Arial Narrow"/>
                <w:i/>
                <w:iCs/>
                <w:sz w:val="20"/>
                <w:szCs w:val="20"/>
              </w:rPr>
              <w:t>Patient must have been unable to receive treatment with CAR-T cell therapy for this condition</w:t>
            </w:r>
          </w:p>
        </w:tc>
      </w:tr>
      <w:tr w:rsidR="000A2CB6" w:rsidRPr="001E7A47" w14:paraId="4240BB2F" w14:textId="77777777">
        <w:tblPrEx>
          <w:tblCellMar>
            <w:top w:w="15" w:type="dxa"/>
            <w:bottom w:w="15" w:type="dxa"/>
          </w:tblCellMar>
          <w:tblLook w:val="04A0" w:firstRow="1" w:lastRow="0" w:firstColumn="1" w:lastColumn="0" w:noHBand="0" w:noVBand="1"/>
        </w:tblPrEx>
        <w:trPr>
          <w:cantSplit/>
          <w:trHeight w:val="20"/>
        </w:trPr>
        <w:tc>
          <w:tcPr>
            <w:tcW w:w="705" w:type="pct"/>
            <w:gridSpan w:val="2"/>
          </w:tcPr>
          <w:p w14:paraId="481FA25C" w14:textId="77777777" w:rsidR="000A2CB6" w:rsidRPr="001E7A47" w:rsidRDefault="000A2CB6">
            <w:pPr>
              <w:jc w:val="center"/>
              <w:rPr>
                <w:rFonts w:ascii="Arial Narrow" w:hAnsi="Arial Narrow"/>
                <w:i/>
                <w:iCs/>
                <w:sz w:val="20"/>
                <w:szCs w:val="20"/>
              </w:rPr>
            </w:pPr>
          </w:p>
        </w:tc>
        <w:tc>
          <w:tcPr>
            <w:tcW w:w="4295" w:type="pct"/>
            <w:gridSpan w:val="5"/>
          </w:tcPr>
          <w:p w14:paraId="00A482F6" w14:textId="77777777" w:rsidR="000A2CB6" w:rsidRPr="001E7A47" w:rsidRDefault="000A2CB6">
            <w:pPr>
              <w:rPr>
                <w:rFonts w:ascii="Arial Narrow" w:hAnsi="Arial Narrow"/>
                <w:i/>
                <w:iCs/>
                <w:sz w:val="20"/>
                <w:szCs w:val="20"/>
              </w:rPr>
            </w:pPr>
            <w:r w:rsidRPr="001E7A47">
              <w:rPr>
                <w:rFonts w:ascii="Arial Narrow" w:hAnsi="Arial Narrow"/>
                <w:b/>
                <w:i/>
                <w:iCs/>
                <w:sz w:val="20"/>
                <w:szCs w:val="20"/>
              </w:rPr>
              <w:t>AND</w:t>
            </w:r>
          </w:p>
        </w:tc>
      </w:tr>
      <w:tr w:rsidR="000A2CB6" w:rsidRPr="001E7A47" w14:paraId="605C43A7" w14:textId="77777777">
        <w:tblPrEx>
          <w:tblCellMar>
            <w:top w:w="15" w:type="dxa"/>
            <w:bottom w:w="15" w:type="dxa"/>
          </w:tblCellMar>
          <w:tblLook w:val="04A0" w:firstRow="1" w:lastRow="0" w:firstColumn="1" w:lastColumn="0" w:noHBand="0" w:noVBand="1"/>
        </w:tblPrEx>
        <w:trPr>
          <w:cantSplit/>
          <w:trHeight w:val="20"/>
        </w:trPr>
        <w:tc>
          <w:tcPr>
            <w:tcW w:w="705" w:type="pct"/>
            <w:gridSpan w:val="2"/>
          </w:tcPr>
          <w:p w14:paraId="4859CD2C" w14:textId="04E78500" w:rsidR="000A2CB6" w:rsidRPr="001E7A47" w:rsidRDefault="000A2CB6">
            <w:pPr>
              <w:jc w:val="center"/>
              <w:rPr>
                <w:rFonts w:ascii="Arial Narrow" w:hAnsi="Arial Narrow"/>
                <w:i/>
                <w:iCs/>
                <w:sz w:val="20"/>
                <w:szCs w:val="20"/>
              </w:rPr>
            </w:pPr>
          </w:p>
        </w:tc>
        <w:tc>
          <w:tcPr>
            <w:tcW w:w="4295" w:type="pct"/>
            <w:gridSpan w:val="5"/>
          </w:tcPr>
          <w:p w14:paraId="3820E0C9" w14:textId="77777777" w:rsidR="000A2CB6" w:rsidRPr="001E7A47" w:rsidRDefault="000A2CB6">
            <w:pPr>
              <w:rPr>
                <w:rFonts w:ascii="Arial Narrow" w:hAnsi="Arial Narrow"/>
                <w:i/>
                <w:iCs/>
                <w:sz w:val="20"/>
                <w:szCs w:val="20"/>
              </w:rPr>
            </w:pPr>
            <w:r w:rsidRPr="001E7A47">
              <w:rPr>
                <w:rFonts w:ascii="Arial Narrow" w:hAnsi="Arial Narrow"/>
                <w:b/>
                <w:i/>
                <w:iCs/>
                <w:sz w:val="20"/>
                <w:szCs w:val="20"/>
              </w:rPr>
              <w:t>Clinical criteria:</w:t>
            </w:r>
          </w:p>
        </w:tc>
      </w:tr>
      <w:tr w:rsidR="000A2CB6" w:rsidRPr="001E7A47" w14:paraId="455E2E84" w14:textId="77777777">
        <w:tblPrEx>
          <w:tblCellMar>
            <w:top w:w="15" w:type="dxa"/>
            <w:bottom w:w="15" w:type="dxa"/>
          </w:tblCellMar>
          <w:tblLook w:val="04A0" w:firstRow="1" w:lastRow="0" w:firstColumn="1" w:lastColumn="0" w:noHBand="0" w:noVBand="1"/>
        </w:tblPrEx>
        <w:trPr>
          <w:cantSplit/>
          <w:trHeight w:val="20"/>
        </w:trPr>
        <w:tc>
          <w:tcPr>
            <w:tcW w:w="705" w:type="pct"/>
            <w:gridSpan w:val="2"/>
          </w:tcPr>
          <w:p w14:paraId="4E9C4631" w14:textId="40E60779" w:rsidR="000A2CB6" w:rsidRPr="001E7A47" w:rsidRDefault="000A2CB6">
            <w:pPr>
              <w:jc w:val="center"/>
              <w:rPr>
                <w:rFonts w:ascii="Arial Narrow" w:hAnsi="Arial Narrow"/>
                <w:i/>
                <w:iCs/>
                <w:sz w:val="20"/>
                <w:szCs w:val="20"/>
              </w:rPr>
            </w:pPr>
          </w:p>
        </w:tc>
        <w:tc>
          <w:tcPr>
            <w:tcW w:w="4295" w:type="pct"/>
            <w:gridSpan w:val="5"/>
          </w:tcPr>
          <w:p w14:paraId="5C3DAE8D" w14:textId="77777777" w:rsidR="000A2CB6" w:rsidRPr="001E7A47" w:rsidRDefault="000A2CB6">
            <w:pPr>
              <w:rPr>
                <w:rFonts w:ascii="Arial Narrow" w:hAnsi="Arial Narrow"/>
                <w:i/>
                <w:iCs/>
                <w:sz w:val="20"/>
                <w:szCs w:val="20"/>
              </w:rPr>
            </w:pPr>
            <w:r w:rsidRPr="001E7A47">
              <w:rPr>
                <w:rFonts w:ascii="Arial Narrow" w:hAnsi="Arial Narrow"/>
                <w:i/>
                <w:iCs/>
                <w:sz w:val="20"/>
                <w:szCs w:val="20"/>
              </w:rPr>
              <w:t>Patient must not be eligible for stem cell transplantation</w:t>
            </w:r>
          </w:p>
        </w:tc>
      </w:tr>
      <w:tr w:rsidR="000A2CB6" w:rsidRPr="001E7A47" w14:paraId="07660A06" w14:textId="77777777">
        <w:tblPrEx>
          <w:tblCellMar>
            <w:top w:w="15" w:type="dxa"/>
            <w:bottom w:w="15" w:type="dxa"/>
          </w:tblCellMar>
          <w:tblLook w:val="04A0" w:firstRow="1" w:lastRow="0" w:firstColumn="1" w:lastColumn="0" w:noHBand="0" w:noVBand="1"/>
        </w:tblPrEx>
        <w:trPr>
          <w:cantSplit/>
          <w:trHeight w:val="20"/>
        </w:trPr>
        <w:tc>
          <w:tcPr>
            <w:tcW w:w="705" w:type="pct"/>
            <w:gridSpan w:val="2"/>
          </w:tcPr>
          <w:p w14:paraId="492B48E2" w14:textId="77777777" w:rsidR="000A2CB6" w:rsidRPr="001E7A47" w:rsidRDefault="000A2CB6">
            <w:pPr>
              <w:jc w:val="center"/>
              <w:rPr>
                <w:rFonts w:ascii="Arial Narrow" w:hAnsi="Arial Narrow"/>
                <w:i/>
                <w:iCs/>
                <w:sz w:val="20"/>
                <w:szCs w:val="20"/>
              </w:rPr>
            </w:pPr>
          </w:p>
        </w:tc>
        <w:tc>
          <w:tcPr>
            <w:tcW w:w="4295" w:type="pct"/>
            <w:gridSpan w:val="5"/>
          </w:tcPr>
          <w:p w14:paraId="1C97D228" w14:textId="77777777" w:rsidR="000A2CB6" w:rsidRPr="001E7A47" w:rsidRDefault="000A2CB6">
            <w:pPr>
              <w:rPr>
                <w:rFonts w:ascii="Arial Narrow" w:hAnsi="Arial Narrow"/>
                <w:b/>
                <w:i/>
                <w:iCs/>
                <w:sz w:val="20"/>
                <w:szCs w:val="20"/>
              </w:rPr>
            </w:pPr>
            <w:r w:rsidRPr="001E7A47">
              <w:rPr>
                <w:rFonts w:ascii="Arial Narrow" w:hAnsi="Arial Narrow"/>
                <w:b/>
                <w:i/>
                <w:iCs/>
                <w:sz w:val="20"/>
                <w:szCs w:val="20"/>
              </w:rPr>
              <w:t>AND</w:t>
            </w:r>
          </w:p>
        </w:tc>
      </w:tr>
      <w:tr w:rsidR="000A2CB6" w:rsidRPr="001E7A47" w14:paraId="5E714D8E" w14:textId="77777777">
        <w:tblPrEx>
          <w:tblCellMar>
            <w:top w:w="15" w:type="dxa"/>
            <w:bottom w:w="15" w:type="dxa"/>
          </w:tblCellMar>
          <w:tblLook w:val="04A0" w:firstRow="1" w:lastRow="0" w:firstColumn="1" w:lastColumn="0" w:noHBand="0" w:noVBand="1"/>
        </w:tblPrEx>
        <w:trPr>
          <w:cantSplit/>
          <w:trHeight w:val="20"/>
        </w:trPr>
        <w:tc>
          <w:tcPr>
            <w:tcW w:w="705" w:type="pct"/>
            <w:gridSpan w:val="2"/>
          </w:tcPr>
          <w:p w14:paraId="709B3236" w14:textId="77777777" w:rsidR="000A2CB6" w:rsidRPr="001E7A47" w:rsidRDefault="000A2CB6">
            <w:pPr>
              <w:jc w:val="center"/>
              <w:rPr>
                <w:rFonts w:ascii="Arial Narrow" w:hAnsi="Arial Narrow"/>
                <w:i/>
                <w:iCs/>
                <w:sz w:val="20"/>
                <w:szCs w:val="20"/>
              </w:rPr>
            </w:pPr>
          </w:p>
        </w:tc>
        <w:tc>
          <w:tcPr>
            <w:tcW w:w="4295" w:type="pct"/>
            <w:gridSpan w:val="5"/>
          </w:tcPr>
          <w:p w14:paraId="0CE23E00" w14:textId="77777777" w:rsidR="000A2CB6" w:rsidRPr="001E7A47" w:rsidRDefault="000A2CB6">
            <w:pPr>
              <w:rPr>
                <w:rFonts w:ascii="Arial Narrow" w:hAnsi="Arial Narrow"/>
                <w:b/>
                <w:i/>
                <w:iCs/>
                <w:sz w:val="20"/>
                <w:szCs w:val="20"/>
              </w:rPr>
            </w:pPr>
            <w:r w:rsidRPr="001E7A47">
              <w:rPr>
                <w:rFonts w:ascii="Arial Narrow" w:hAnsi="Arial Narrow"/>
                <w:b/>
                <w:i/>
                <w:iCs/>
                <w:sz w:val="20"/>
                <w:szCs w:val="20"/>
              </w:rPr>
              <w:t>Clinical criteria:</w:t>
            </w:r>
          </w:p>
        </w:tc>
      </w:tr>
      <w:tr w:rsidR="000A2CB6" w:rsidRPr="001E7A47" w14:paraId="2EBCA153" w14:textId="77777777">
        <w:tblPrEx>
          <w:tblCellMar>
            <w:top w:w="15" w:type="dxa"/>
            <w:bottom w:w="15" w:type="dxa"/>
          </w:tblCellMar>
          <w:tblLook w:val="04A0" w:firstRow="1" w:lastRow="0" w:firstColumn="1" w:lastColumn="0" w:noHBand="0" w:noVBand="1"/>
        </w:tblPrEx>
        <w:trPr>
          <w:cantSplit/>
          <w:trHeight w:val="20"/>
        </w:trPr>
        <w:tc>
          <w:tcPr>
            <w:tcW w:w="705" w:type="pct"/>
            <w:gridSpan w:val="2"/>
          </w:tcPr>
          <w:p w14:paraId="3BB92C55" w14:textId="77777777" w:rsidR="000A2CB6" w:rsidRPr="001E7A47" w:rsidRDefault="000A2CB6">
            <w:pPr>
              <w:jc w:val="center"/>
              <w:rPr>
                <w:rFonts w:ascii="Arial Narrow" w:hAnsi="Arial Narrow"/>
                <w:i/>
                <w:iCs/>
                <w:sz w:val="20"/>
                <w:szCs w:val="20"/>
              </w:rPr>
            </w:pPr>
          </w:p>
        </w:tc>
        <w:tc>
          <w:tcPr>
            <w:tcW w:w="4295" w:type="pct"/>
            <w:gridSpan w:val="5"/>
          </w:tcPr>
          <w:p w14:paraId="49E69A5C" w14:textId="77777777" w:rsidR="000A2CB6" w:rsidRPr="001E7A47" w:rsidRDefault="000A2CB6">
            <w:pPr>
              <w:rPr>
                <w:rFonts w:ascii="Arial Narrow" w:hAnsi="Arial Narrow"/>
                <w:i/>
                <w:iCs/>
                <w:sz w:val="20"/>
                <w:szCs w:val="20"/>
              </w:rPr>
            </w:pPr>
            <w:r w:rsidRPr="001E7A47">
              <w:rPr>
                <w:rFonts w:ascii="Arial Narrow" w:hAnsi="Arial Narrow"/>
                <w:i/>
                <w:iCs/>
                <w:sz w:val="20"/>
                <w:szCs w:val="20"/>
              </w:rPr>
              <w:t>Patient must have previously received treatment with bi-specific T-cell engager for this condition; or</w:t>
            </w:r>
          </w:p>
        </w:tc>
      </w:tr>
      <w:tr w:rsidR="000A2CB6" w:rsidRPr="001E7A47" w14:paraId="51AFEE8E" w14:textId="77777777">
        <w:tblPrEx>
          <w:tblCellMar>
            <w:top w:w="15" w:type="dxa"/>
            <w:bottom w:w="15" w:type="dxa"/>
          </w:tblCellMar>
          <w:tblLook w:val="04A0" w:firstRow="1" w:lastRow="0" w:firstColumn="1" w:lastColumn="0" w:noHBand="0" w:noVBand="1"/>
        </w:tblPrEx>
        <w:trPr>
          <w:cantSplit/>
          <w:trHeight w:val="20"/>
        </w:trPr>
        <w:tc>
          <w:tcPr>
            <w:tcW w:w="705" w:type="pct"/>
            <w:gridSpan w:val="2"/>
          </w:tcPr>
          <w:p w14:paraId="1585C831" w14:textId="77777777" w:rsidR="000A2CB6" w:rsidRPr="001E7A47" w:rsidRDefault="000A2CB6">
            <w:pPr>
              <w:jc w:val="center"/>
              <w:rPr>
                <w:rFonts w:ascii="Arial Narrow" w:hAnsi="Arial Narrow"/>
                <w:i/>
                <w:iCs/>
                <w:sz w:val="20"/>
                <w:szCs w:val="20"/>
              </w:rPr>
            </w:pPr>
          </w:p>
        </w:tc>
        <w:tc>
          <w:tcPr>
            <w:tcW w:w="4295" w:type="pct"/>
            <w:gridSpan w:val="5"/>
          </w:tcPr>
          <w:p w14:paraId="485DCDE0" w14:textId="77777777" w:rsidR="000A2CB6" w:rsidRPr="001E7A47" w:rsidRDefault="000A2CB6">
            <w:pPr>
              <w:rPr>
                <w:rFonts w:ascii="Arial Narrow" w:hAnsi="Arial Narrow"/>
                <w:i/>
                <w:iCs/>
                <w:sz w:val="20"/>
                <w:szCs w:val="20"/>
              </w:rPr>
            </w:pPr>
            <w:r w:rsidRPr="001E7A47">
              <w:rPr>
                <w:rFonts w:ascii="Arial Narrow" w:hAnsi="Arial Narrow"/>
                <w:i/>
                <w:iCs/>
                <w:sz w:val="20"/>
                <w:szCs w:val="20"/>
              </w:rPr>
              <w:t>Patient must be unable to receive treatment with bi-specific T-cell engager for this condition</w:t>
            </w:r>
          </w:p>
        </w:tc>
      </w:tr>
      <w:tr w:rsidR="000A2CB6" w:rsidRPr="001E7A47" w14:paraId="4D5FE4A8"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55F91CE" w14:textId="77777777" w:rsidR="000A2CB6" w:rsidRPr="001E7A47" w:rsidRDefault="000A2CB6">
            <w:pPr>
              <w:jc w:val="center"/>
              <w:rPr>
                <w:rFonts w:ascii="Arial Narrow" w:hAnsi="Arial Narrow"/>
                <w:sz w:val="20"/>
                <w:szCs w:val="20"/>
              </w:rPr>
            </w:pPr>
          </w:p>
        </w:tc>
        <w:tc>
          <w:tcPr>
            <w:tcW w:w="4295" w:type="pct"/>
            <w:gridSpan w:val="5"/>
          </w:tcPr>
          <w:p w14:paraId="1E696BF9" w14:textId="77777777" w:rsidR="000A2CB6" w:rsidRPr="001E7A47" w:rsidRDefault="000A2CB6">
            <w:pPr>
              <w:rPr>
                <w:rFonts w:ascii="Arial Narrow" w:hAnsi="Arial Narrow"/>
                <w:b/>
                <w:bCs/>
                <w:sz w:val="20"/>
                <w:szCs w:val="20"/>
              </w:rPr>
            </w:pPr>
            <w:r w:rsidRPr="001E7A47">
              <w:rPr>
                <w:rFonts w:ascii="Arial Narrow" w:hAnsi="Arial Narrow"/>
                <w:b/>
                <w:bCs/>
                <w:sz w:val="20"/>
                <w:szCs w:val="20"/>
              </w:rPr>
              <w:t>AND</w:t>
            </w:r>
          </w:p>
        </w:tc>
      </w:tr>
      <w:tr w:rsidR="000A2CB6" w:rsidRPr="001E7A47" w14:paraId="4D2F96EE"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2D3D985" w14:textId="53B988D1" w:rsidR="000A2CB6" w:rsidRPr="001E7A47" w:rsidRDefault="000A2CB6">
            <w:pPr>
              <w:jc w:val="center"/>
              <w:rPr>
                <w:rFonts w:ascii="Arial Narrow" w:hAnsi="Arial Narrow"/>
                <w:sz w:val="20"/>
                <w:szCs w:val="20"/>
              </w:rPr>
            </w:pPr>
          </w:p>
        </w:tc>
        <w:tc>
          <w:tcPr>
            <w:tcW w:w="4295" w:type="pct"/>
            <w:gridSpan w:val="5"/>
          </w:tcPr>
          <w:p w14:paraId="444CB103" w14:textId="77777777" w:rsidR="000A2CB6" w:rsidRPr="001E7A47" w:rsidRDefault="000A2CB6">
            <w:pPr>
              <w:rPr>
                <w:rFonts w:ascii="Arial Narrow" w:hAnsi="Arial Narrow"/>
                <w:b/>
                <w:bCs/>
                <w:sz w:val="20"/>
                <w:szCs w:val="20"/>
              </w:rPr>
            </w:pPr>
            <w:r w:rsidRPr="001E7A47">
              <w:rPr>
                <w:rFonts w:ascii="Arial Narrow" w:hAnsi="Arial Narrow"/>
                <w:b/>
                <w:bCs/>
                <w:sz w:val="20"/>
                <w:szCs w:val="20"/>
              </w:rPr>
              <w:t>Clinical criteria:</w:t>
            </w:r>
          </w:p>
        </w:tc>
      </w:tr>
      <w:tr w:rsidR="000A2CB6" w:rsidRPr="001E7A47" w14:paraId="0B9AA524"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5BE164F" w14:textId="0FC2AE4B" w:rsidR="000A2CB6" w:rsidRPr="001E7A47" w:rsidRDefault="000A2CB6">
            <w:pPr>
              <w:jc w:val="center"/>
              <w:rPr>
                <w:rFonts w:ascii="Arial Narrow" w:hAnsi="Arial Narrow"/>
                <w:sz w:val="20"/>
                <w:szCs w:val="20"/>
              </w:rPr>
            </w:pPr>
          </w:p>
        </w:tc>
        <w:tc>
          <w:tcPr>
            <w:tcW w:w="4295" w:type="pct"/>
            <w:gridSpan w:val="5"/>
            <w:vAlign w:val="center"/>
          </w:tcPr>
          <w:p w14:paraId="586A931D" w14:textId="77777777" w:rsidR="000A2CB6" w:rsidRPr="001E7A47" w:rsidRDefault="000A2CB6">
            <w:pPr>
              <w:rPr>
                <w:rFonts w:ascii="Arial Narrow" w:hAnsi="Arial Narrow"/>
                <w:sz w:val="20"/>
                <w:szCs w:val="20"/>
              </w:rPr>
            </w:pPr>
            <w:r w:rsidRPr="001E7A47">
              <w:rPr>
                <w:rFonts w:ascii="Arial Narrow" w:hAnsi="Arial Narrow"/>
                <w:sz w:val="20"/>
                <w:szCs w:val="20"/>
              </w:rPr>
              <w:t>The treatment must be discontinued in patients who experience disease progression while on treatment.</w:t>
            </w:r>
          </w:p>
        </w:tc>
      </w:tr>
      <w:tr w:rsidR="000A2CB6" w:rsidRPr="001E7A47" w14:paraId="39E53B01"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6BE153E" w14:textId="48C587AB" w:rsidR="000A2CB6" w:rsidRPr="001E7A47" w:rsidRDefault="000A2CB6">
            <w:pPr>
              <w:jc w:val="center"/>
              <w:rPr>
                <w:rFonts w:ascii="Arial Narrow" w:hAnsi="Arial Narrow"/>
                <w:i/>
                <w:iCs/>
                <w:sz w:val="20"/>
                <w:szCs w:val="20"/>
              </w:rPr>
            </w:pPr>
          </w:p>
        </w:tc>
        <w:tc>
          <w:tcPr>
            <w:tcW w:w="4295" w:type="pct"/>
            <w:gridSpan w:val="5"/>
            <w:vAlign w:val="center"/>
            <w:hideMark/>
          </w:tcPr>
          <w:p w14:paraId="0541CA16" w14:textId="77777777" w:rsidR="000A2CB6" w:rsidRPr="001E7A47" w:rsidRDefault="000A2CB6">
            <w:pPr>
              <w:rPr>
                <w:rFonts w:ascii="Arial Narrow" w:hAnsi="Arial Narrow"/>
                <w:b/>
                <w:bCs/>
                <w:i/>
                <w:iCs/>
                <w:sz w:val="20"/>
                <w:szCs w:val="20"/>
              </w:rPr>
            </w:pPr>
            <w:r w:rsidRPr="001E7A47">
              <w:rPr>
                <w:rFonts w:ascii="Arial Narrow" w:hAnsi="Arial Narrow"/>
                <w:b/>
                <w:bCs/>
                <w:i/>
                <w:iCs/>
                <w:sz w:val="20"/>
                <w:szCs w:val="20"/>
              </w:rPr>
              <w:t xml:space="preserve">Prescribing Instructions: </w:t>
            </w:r>
          </w:p>
          <w:p w14:paraId="47F26A4F" w14:textId="77777777" w:rsidR="000A2CB6" w:rsidRPr="001E7A47" w:rsidRDefault="000A2CB6">
            <w:pPr>
              <w:rPr>
                <w:rFonts w:ascii="Arial Narrow" w:hAnsi="Arial Narrow"/>
                <w:bCs/>
                <w:i/>
                <w:iCs/>
                <w:sz w:val="20"/>
                <w:szCs w:val="20"/>
              </w:rPr>
            </w:pPr>
            <w:r w:rsidRPr="001E7A47">
              <w:rPr>
                <w:rFonts w:ascii="Arial Narrow" w:hAnsi="Arial Narrow"/>
                <w:bCs/>
                <w:i/>
                <w:iCs/>
                <w:sz w:val="20"/>
                <w:szCs w:val="20"/>
              </w:rPr>
              <w:t xml:space="preserve">Prior systemic therapy may include autologous stem cell transplant. </w:t>
            </w:r>
          </w:p>
        </w:tc>
      </w:tr>
      <w:tr w:rsidR="000A2CB6" w:rsidRPr="001E7A47" w14:paraId="0F072810"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A157B31" w14:textId="5CF285DC" w:rsidR="000A2CB6" w:rsidRPr="001E7A47" w:rsidRDefault="000A2CB6">
            <w:pPr>
              <w:jc w:val="center"/>
              <w:rPr>
                <w:rFonts w:ascii="Arial Narrow" w:hAnsi="Arial Narrow"/>
                <w:i/>
                <w:iCs/>
                <w:sz w:val="20"/>
                <w:szCs w:val="20"/>
              </w:rPr>
            </w:pPr>
          </w:p>
        </w:tc>
        <w:tc>
          <w:tcPr>
            <w:tcW w:w="4295" w:type="pct"/>
            <w:gridSpan w:val="5"/>
            <w:vAlign w:val="center"/>
          </w:tcPr>
          <w:p w14:paraId="1523DAE0" w14:textId="77777777" w:rsidR="000A2CB6" w:rsidRPr="001E7A47" w:rsidRDefault="000A2CB6">
            <w:pPr>
              <w:rPr>
                <w:rFonts w:ascii="Arial Narrow" w:hAnsi="Arial Narrow"/>
                <w:b/>
                <w:bCs/>
                <w:i/>
                <w:iCs/>
                <w:sz w:val="20"/>
                <w:szCs w:val="20"/>
              </w:rPr>
            </w:pPr>
            <w:r w:rsidRPr="001E7A47">
              <w:rPr>
                <w:rFonts w:ascii="Arial Narrow" w:hAnsi="Arial Narrow"/>
                <w:b/>
                <w:bCs/>
                <w:i/>
                <w:iCs/>
                <w:sz w:val="20"/>
                <w:szCs w:val="20"/>
              </w:rPr>
              <w:t xml:space="preserve">Prescribing Instructions: </w:t>
            </w:r>
          </w:p>
          <w:p w14:paraId="1B906F36" w14:textId="77777777" w:rsidR="000A2CB6" w:rsidRPr="001E7A47" w:rsidRDefault="000A2CB6">
            <w:pPr>
              <w:rPr>
                <w:rFonts w:ascii="Arial Narrow" w:hAnsi="Arial Narrow"/>
                <w:b/>
                <w:bCs/>
                <w:i/>
                <w:iCs/>
                <w:sz w:val="20"/>
                <w:szCs w:val="20"/>
              </w:rPr>
            </w:pPr>
            <w:r w:rsidRPr="001E7A47">
              <w:rPr>
                <w:rFonts w:ascii="Arial Narrow" w:hAnsi="Arial Narrow"/>
                <w:bCs/>
                <w:i/>
                <w:iCs/>
                <w:sz w:val="20"/>
                <w:szCs w:val="20"/>
              </w:rPr>
              <w:t>Definition of patients unable to receive treatment with CAR-T cell therapy for this condition include geographical, psychosocial, clinical ineligibility or urgency.</w:t>
            </w:r>
          </w:p>
        </w:tc>
      </w:tr>
      <w:tr w:rsidR="000A2CB6" w:rsidRPr="001E7A47" w14:paraId="42CF6C5E" w14:textId="77777777">
        <w:tblPrEx>
          <w:tblCellMar>
            <w:top w:w="15" w:type="dxa"/>
            <w:bottom w:w="15" w:type="dxa"/>
          </w:tblCellMar>
          <w:tblLook w:val="04A0" w:firstRow="1" w:lastRow="0" w:firstColumn="1" w:lastColumn="0" w:noHBand="0" w:noVBand="1"/>
        </w:tblPrEx>
        <w:trPr>
          <w:cantSplit/>
          <w:trHeight w:val="20"/>
        </w:trPr>
        <w:tc>
          <w:tcPr>
            <w:tcW w:w="705" w:type="pct"/>
            <w:gridSpan w:val="2"/>
          </w:tcPr>
          <w:p w14:paraId="20989F31" w14:textId="5F06217C" w:rsidR="000A2CB6" w:rsidRPr="001E7A47" w:rsidRDefault="000A2CB6">
            <w:pPr>
              <w:jc w:val="center"/>
              <w:rPr>
                <w:rFonts w:ascii="Arial Narrow" w:hAnsi="Arial Narrow"/>
                <w:i/>
                <w:iCs/>
                <w:sz w:val="20"/>
                <w:szCs w:val="20"/>
              </w:rPr>
            </w:pPr>
          </w:p>
        </w:tc>
        <w:tc>
          <w:tcPr>
            <w:tcW w:w="4295" w:type="pct"/>
            <w:gridSpan w:val="5"/>
          </w:tcPr>
          <w:p w14:paraId="1A1FE92E" w14:textId="77777777" w:rsidR="000A2CB6" w:rsidRPr="001E7A47" w:rsidRDefault="000A2CB6">
            <w:pPr>
              <w:pStyle w:val="NormalWeb"/>
              <w:spacing w:before="0" w:after="0"/>
              <w:textAlignment w:val="baseline"/>
              <w:rPr>
                <w:rFonts w:ascii="Arial Narrow" w:hAnsi="Arial Narrow"/>
                <w:i/>
                <w:iCs/>
                <w:kern w:val="2"/>
                <w:sz w:val="20"/>
                <w:szCs w:val="20"/>
                <w14:ligatures w14:val="standardContextual"/>
              </w:rPr>
            </w:pPr>
            <w:r w:rsidRPr="001E7A47">
              <w:rPr>
                <w:rFonts w:ascii="Arial Narrow" w:hAnsi="Arial Narrow"/>
                <w:b/>
                <w:i/>
                <w:iCs/>
                <w:kern w:val="2"/>
                <w:sz w:val="20"/>
                <w:szCs w:val="20"/>
                <w14:ligatures w14:val="standardContextual"/>
              </w:rPr>
              <w:t>Administrative Advice:</w:t>
            </w:r>
          </w:p>
          <w:p w14:paraId="55413D09" w14:textId="77777777" w:rsidR="000A2CB6" w:rsidRPr="001E7A47" w:rsidRDefault="000A2CB6">
            <w:pPr>
              <w:rPr>
                <w:rFonts w:ascii="Arial Narrow" w:hAnsi="Arial Narrow"/>
                <w:i/>
                <w:iCs/>
                <w:sz w:val="20"/>
                <w:szCs w:val="20"/>
              </w:rPr>
            </w:pPr>
            <w:r w:rsidRPr="001E7A47">
              <w:rPr>
                <w:rFonts w:ascii="Arial Narrow" w:hAnsi="Arial Narrow"/>
                <w:i/>
                <w:iCs/>
                <w:sz w:val="20"/>
                <w:szCs w:val="20"/>
              </w:rPr>
              <w:t>Patients may qualify for PBS-subsidised treatment under this restriction once only. For continuing PBS-subsidised treatment, a 'Grandfathered' patient must qualify under the 'Continuing treatment' criteria.</w:t>
            </w:r>
          </w:p>
        </w:tc>
      </w:tr>
      <w:tr w:rsidR="000A2CB6" w:rsidRPr="001E7A47" w14:paraId="698454A1" w14:textId="77777777">
        <w:tblPrEx>
          <w:tblCellMar>
            <w:top w:w="15" w:type="dxa"/>
            <w:bottom w:w="15" w:type="dxa"/>
          </w:tblCellMar>
          <w:tblLook w:val="04A0" w:firstRow="1" w:lastRow="0" w:firstColumn="1" w:lastColumn="0" w:noHBand="0" w:noVBand="1"/>
        </w:tblPrEx>
        <w:trPr>
          <w:cantSplit/>
          <w:trHeight w:val="20"/>
        </w:trPr>
        <w:tc>
          <w:tcPr>
            <w:tcW w:w="705" w:type="pct"/>
            <w:gridSpan w:val="2"/>
          </w:tcPr>
          <w:p w14:paraId="2A7D33C8" w14:textId="093F86B7" w:rsidR="000A2CB6" w:rsidRPr="001E7A47" w:rsidRDefault="000A2CB6">
            <w:pPr>
              <w:jc w:val="center"/>
              <w:rPr>
                <w:rFonts w:ascii="Arial Narrow" w:hAnsi="Arial Narrow"/>
                <w:i/>
                <w:iCs/>
                <w:sz w:val="20"/>
                <w:szCs w:val="20"/>
              </w:rPr>
            </w:pPr>
          </w:p>
        </w:tc>
        <w:tc>
          <w:tcPr>
            <w:tcW w:w="4295" w:type="pct"/>
            <w:gridSpan w:val="5"/>
          </w:tcPr>
          <w:p w14:paraId="20384D22" w14:textId="77777777" w:rsidR="000A2CB6" w:rsidRPr="001E7A47" w:rsidRDefault="000A2CB6">
            <w:pPr>
              <w:pStyle w:val="NormalWeb"/>
              <w:spacing w:before="0" w:after="0"/>
              <w:textAlignment w:val="baseline"/>
              <w:rPr>
                <w:rFonts w:ascii="Arial Narrow" w:hAnsi="Arial Narrow"/>
                <w:i/>
                <w:iCs/>
                <w:kern w:val="2"/>
                <w:sz w:val="20"/>
                <w:szCs w:val="20"/>
                <w14:ligatures w14:val="standardContextual"/>
              </w:rPr>
            </w:pPr>
            <w:r w:rsidRPr="001E7A47">
              <w:rPr>
                <w:rFonts w:ascii="Arial Narrow" w:hAnsi="Arial Narrow"/>
                <w:b/>
                <w:i/>
                <w:iCs/>
                <w:kern w:val="2"/>
                <w:sz w:val="20"/>
                <w:szCs w:val="20"/>
                <w14:ligatures w14:val="standardContextual"/>
              </w:rPr>
              <w:t>Administrative Advice:</w:t>
            </w:r>
          </w:p>
          <w:p w14:paraId="2AF3E426" w14:textId="77777777" w:rsidR="000A2CB6" w:rsidRPr="001E7A47" w:rsidRDefault="000A2CB6">
            <w:pPr>
              <w:rPr>
                <w:rFonts w:ascii="Arial Narrow" w:hAnsi="Arial Narrow"/>
                <w:i/>
                <w:iCs/>
                <w:sz w:val="20"/>
                <w:szCs w:val="20"/>
              </w:rPr>
            </w:pPr>
            <w:r w:rsidRPr="001E7A47">
              <w:rPr>
                <w:rFonts w:ascii="Arial Narrow" w:hAnsi="Arial Narrow"/>
                <w:i/>
                <w:iCs/>
                <w:sz w:val="20"/>
                <w:szCs w:val="20"/>
              </w:rPr>
              <w:t>This grandfather restriction will cease to operate from 12 months after the date specified in the clinical criteria.</w:t>
            </w:r>
          </w:p>
        </w:tc>
      </w:tr>
    </w:tbl>
    <w:p w14:paraId="14AF81A1" w14:textId="77777777" w:rsidR="000A2CB6" w:rsidRDefault="000A2CB6" w:rsidP="000A2CB6">
      <w:pPr>
        <w:rPr>
          <w:rFonts w:asciiTheme="minorHAnsi" w:hAnsiTheme="minorHAnsi" w:cstheme="minorHAnsi"/>
        </w:rPr>
      </w:pPr>
    </w:p>
    <w:p w14:paraId="66A62B5E" w14:textId="2C0850E3" w:rsidR="00502C90" w:rsidRPr="006C4820" w:rsidRDefault="00F24E63" w:rsidP="0083447B">
      <w:pPr>
        <w:pStyle w:val="3-BodyText"/>
      </w:pPr>
      <w:bookmarkStart w:id="10" w:name="_Ref226633595"/>
      <w:r w:rsidRPr="00F112A7">
        <w:t>The ex-manufacturer price proposed in the requested restrictions was $</w:t>
      </w:r>
      <w:r w:rsidR="005822E1" w:rsidRPr="005822E1">
        <w:rPr>
          <w:sz w:val="2"/>
          <w:highlight w:val="black"/>
        </w:rPr>
        <w:t>redacted content</w:t>
      </w:r>
      <w:r w:rsidRPr="00F112A7">
        <w:t xml:space="preserve"> for a 10 mg vial. This differed from the ex-manufacturer price of $</w:t>
      </w:r>
      <w:r w:rsidR="005822E1" w:rsidRPr="005822E1">
        <w:rPr>
          <w:sz w:val="2"/>
          <w:highlight w:val="black"/>
        </w:rPr>
        <w:t>redacted content</w:t>
      </w:r>
      <w:r w:rsidRPr="00F112A7">
        <w:t xml:space="preserve"> per 10 mg vial used in the economic and financial models. In addition, the public and private prices may have been swapped, as private prices include mark-ups and therefore should be higher than public prices.</w:t>
      </w:r>
      <w:r w:rsidR="00D91B0C" w:rsidRPr="00F112A7">
        <w:t xml:space="preserve"> The</w:t>
      </w:r>
      <w:r w:rsidR="00024E2F">
        <w:t xml:space="preserve"> </w:t>
      </w:r>
      <w:r w:rsidR="005D1616">
        <w:t>Pre-</w:t>
      </w:r>
      <w:r w:rsidR="00024E2F">
        <w:t>Sub-Committee Response (</w:t>
      </w:r>
      <w:r w:rsidR="00D91B0C" w:rsidRPr="00F112A7">
        <w:t>PSCR</w:t>
      </w:r>
      <w:r w:rsidR="00024E2F">
        <w:t>)</w:t>
      </w:r>
      <w:r w:rsidR="005822E1">
        <w:t xml:space="preserve"> </w:t>
      </w:r>
      <w:r w:rsidR="006356B4" w:rsidRPr="00F112A7">
        <w:t xml:space="preserve">stated </w:t>
      </w:r>
      <w:r w:rsidR="0059763E" w:rsidRPr="00F112A7">
        <w:t xml:space="preserve">that the </w:t>
      </w:r>
      <w:r w:rsidR="006356B4" w:rsidRPr="00F112A7">
        <w:t xml:space="preserve">ex-manufacturer price proposed in the requested restriction incorrectly </w:t>
      </w:r>
      <w:r w:rsidR="00342DBE" w:rsidRPr="00F112A7">
        <w:t>included the EFC preparation fee markup of $91.23. The PSCR stated the correct ex-manufacturer price is $</w:t>
      </w:r>
      <w:r w:rsidR="005822E1" w:rsidRPr="005822E1">
        <w:rPr>
          <w:sz w:val="2"/>
          <w:highlight w:val="black"/>
        </w:rPr>
        <w:t>redacted content</w:t>
      </w:r>
      <w:r w:rsidR="00ED4302" w:rsidRPr="00F112A7">
        <w:t xml:space="preserve">, consistent with the economic and financial models. </w:t>
      </w:r>
      <w:r w:rsidR="00D81A13">
        <w:t xml:space="preserve">The pre-PBAC response </w:t>
      </w:r>
      <w:r w:rsidR="00A95CE8">
        <w:t>proposed a revised e</w:t>
      </w:r>
      <w:r w:rsidR="0055201A">
        <w:t xml:space="preserve">x-manufacturer price of </w:t>
      </w:r>
      <w:r w:rsidR="00C75097">
        <w:t>$</w:t>
      </w:r>
      <w:r w:rsidR="005822E1" w:rsidRPr="005822E1">
        <w:rPr>
          <w:sz w:val="2"/>
          <w:highlight w:val="black"/>
        </w:rPr>
        <w:t>redacted content</w:t>
      </w:r>
      <w:r w:rsidR="00C75097">
        <w:t xml:space="preserve"> per 10 mg vial.</w:t>
      </w:r>
      <w:bookmarkEnd w:id="10"/>
      <w:r w:rsidR="00C75097">
        <w:t xml:space="preserve"> </w:t>
      </w:r>
    </w:p>
    <w:p w14:paraId="0FDAB3A1" w14:textId="77777777" w:rsidR="00502C90" w:rsidRPr="006C4820" w:rsidRDefault="00502C90" w:rsidP="00502C90">
      <w:pPr>
        <w:pStyle w:val="3-BodyText"/>
      </w:pPr>
      <w:r w:rsidRPr="006C4820">
        <w:t>The submission requested a Section 100 Efficient Funding of Chemotherapy listing of loncastuximab tesirine 10 mg vial and 5mg/mL solution with a loading dose of 0.15mg/kg every 3 weeks for the first 2 cycles, and a dose of 0.075mg/kg every 3 weeks from the third cycle.</w:t>
      </w:r>
    </w:p>
    <w:p w14:paraId="6842DF0D" w14:textId="5581B9D1" w:rsidR="00502C90" w:rsidRPr="00F112A7" w:rsidRDefault="00502C90" w:rsidP="00502C90">
      <w:pPr>
        <w:pStyle w:val="3-BodyText"/>
      </w:pPr>
      <w:bookmarkStart w:id="11" w:name="_Ref221448742"/>
      <w:r w:rsidRPr="006C4820">
        <w:t xml:space="preserve">The proposed condition was inconsistent across the restrictions; the requested indication was DLBCL in the initial treatment phase, but expanded to DLBCL, including HGBL, in the continuing treatment and grandfathering restrictions. </w:t>
      </w:r>
      <w:r w:rsidR="00181709" w:rsidRPr="00F112A7">
        <w:rPr>
          <w:color w:val="000000" w:themeColor="text1"/>
        </w:rPr>
        <w:t>The PSCR</w:t>
      </w:r>
      <w:r w:rsidR="005822E1">
        <w:rPr>
          <w:color w:val="000000" w:themeColor="text1"/>
        </w:rPr>
        <w:t xml:space="preserve"> </w:t>
      </w:r>
      <w:r w:rsidR="00181709" w:rsidRPr="00F112A7">
        <w:rPr>
          <w:color w:val="000000" w:themeColor="text1"/>
        </w:rPr>
        <w:t>acknowledged the inconsistencies in the wording used to define the eligible populations and stated that the intention was to request funding for R/R DLBCL, including subtypes H</w:t>
      </w:r>
      <w:r w:rsidR="00A31970" w:rsidRPr="00F112A7">
        <w:rPr>
          <w:color w:val="000000" w:themeColor="text1"/>
        </w:rPr>
        <w:t>GB</w:t>
      </w:r>
      <w:r w:rsidR="00181709" w:rsidRPr="00F112A7">
        <w:rPr>
          <w:color w:val="000000" w:themeColor="text1"/>
        </w:rPr>
        <w:t xml:space="preserve">L and </w:t>
      </w:r>
      <w:r w:rsidR="00181709" w:rsidRPr="00F112A7">
        <w:rPr>
          <w:color w:val="000000" w:themeColor="text1"/>
          <w:lang w:val="en-US"/>
        </w:rPr>
        <w:t>primary mediastinal B-cell lymphoma (PMBL). The Sub-Committees noted the LOTIS</w:t>
      </w:r>
      <w:r w:rsidR="004D6CB2" w:rsidRPr="00F112A7">
        <w:rPr>
          <w:color w:val="000000" w:themeColor="text1"/>
          <w:lang w:val="en-US"/>
        </w:rPr>
        <w:t>-2</w:t>
      </w:r>
      <w:r w:rsidR="00181709" w:rsidRPr="00F112A7">
        <w:rPr>
          <w:color w:val="000000" w:themeColor="text1"/>
          <w:lang w:val="en-US"/>
        </w:rPr>
        <w:t xml:space="preserve"> trial included </w:t>
      </w:r>
      <w:r w:rsidR="00181709" w:rsidRPr="00F112A7">
        <w:t>10 patients with HGBL and 7 with PMBL. The Sub-Committees advised that until recently H</w:t>
      </w:r>
      <w:r w:rsidR="00A31970" w:rsidRPr="00F112A7">
        <w:t>GB</w:t>
      </w:r>
      <w:r w:rsidR="00181709" w:rsidRPr="00F112A7">
        <w:t>L was considered DLBCL. H</w:t>
      </w:r>
      <w:r w:rsidR="00A31970" w:rsidRPr="00F112A7">
        <w:t>GB</w:t>
      </w:r>
      <w:r w:rsidR="00181709" w:rsidRPr="00F112A7">
        <w:t xml:space="preserve">L is a small, likely more aggressive group with the Sub-Committees </w:t>
      </w:r>
      <w:r w:rsidR="00071DB7" w:rsidRPr="00F112A7">
        <w:t>advising</w:t>
      </w:r>
      <w:r w:rsidR="00181709" w:rsidRPr="00F112A7">
        <w:t xml:space="preserve"> that </w:t>
      </w:r>
      <w:r w:rsidR="00071DB7" w:rsidRPr="00F112A7">
        <w:t xml:space="preserve">such </w:t>
      </w:r>
      <w:r w:rsidR="00181709" w:rsidRPr="00F112A7">
        <w:t xml:space="preserve">patients are still treated as if they have DLBCL. The Sub-Committees </w:t>
      </w:r>
      <w:r w:rsidR="00D622C4" w:rsidRPr="00F112A7">
        <w:t>considered</w:t>
      </w:r>
      <w:r w:rsidR="00181709" w:rsidRPr="00F112A7">
        <w:t xml:space="preserve"> that exclusion of this group would create an equity issue as no clinical trials will be done specifically in this population. The Sub-Committees </w:t>
      </w:r>
      <w:r w:rsidR="00BC522B" w:rsidRPr="00F112A7">
        <w:t xml:space="preserve">also </w:t>
      </w:r>
      <w:r w:rsidR="00181709" w:rsidRPr="00F112A7">
        <w:t xml:space="preserve">considered that PMBL is a DLBCL and </w:t>
      </w:r>
      <w:r w:rsidR="006B691A" w:rsidRPr="00F112A7">
        <w:t xml:space="preserve">advised that both </w:t>
      </w:r>
      <w:r w:rsidR="00616AC2" w:rsidRPr="00F112A7">
        <w:t>HGBL and PMBL</w:t>
      </w:r>
      <w:r w:rsidR="00181709" w:rsidRPr="00F112A7">
        <w:t xml:space="preserve"> be included in the eligible patient population.</w:t>
      </w:r>
      <w:bookmarkEnd w:id="11"/>
      <w:r w:rsidR="00BB3056" w:rsidRPr="00F112A7">
        <w:t xml:space="preserve"> The Sub-Committees considered that </w:t>
      </w:r>
      <w:r w:rsidR="006E6DFD" w:rsidRPr="00F112A7">
        <w:t xml:space="preserve">it may be appropriate for the </w:t>
      </w:r>
      <w:r w:rsidR="00106D0C" w:rsidRPr="00F112A7">
        <w:t>restriction indication to state Large B-cell lymphoma rather than D</w:t>
      </w:r>
      <w:r w:rsidR="00A03C29" w:rsidRPr="00F112A7">
        <w:t>LBCL as the former is inclusive of HGBL and PMBL</w:t>
      </w:r>
      <w:r w:rsidR="00CE3558" w:rsidRPr="00F112A7">
        <w:t xml:space="preserve">. </w:t>
      </w:r>
    </w:p>
    <w:p w14:paraId="40A639B0" w14:textId="0478A7E8" w:rsidR="00502C90" w:rsidRPr="006C4820" w:rsidRDefault="00502C90" w:rsidP="00502C90">
      <w:pPr>
        <w:pStyle w:val="3-BodyText"/>
      </w:pPr>
      <w:bookmarkStart w:id="12" w:name="_Ref226555402"/>
      <w:bookmarkStart w:id="13" w:name="_Ref221450955"/>
      <w:r w:rsidRPr="006C4820">
        <w:lastRenderedPageBreak/>
        <w:t xml:space="preserve">The </w:t>
      </w:r>
      <w:r w:rsidR="007B09EE">
        <w:t>proposed restrictions</w:t>
      </w:r>
      <w:r w:rsidR="007B09EE" w:rsidRPr="006C4820">
        <w:t xml:space="preserve"> </w:t>
      </w:r>
      <w:r w:rsidRPr="006C4820">
        <w:t xml:space="preserve">did not mention bispecific antibodies under the clinical criteria. This was inconsistent with the proposed clinical management algorithm, where patients eligible for 3L treatment with loncastuximab tesirine should not be eligible/suitable for bispecific antibodies. The </w:t>
      </w:r>
      <w:r w:rsidR="002A2D51">
        <w:t xml:space="preserve">evaluation considered the </w:t>
      </w:r>
      <w:r w:rsidRPr="006C4820">
        <w:t xml:space="preserve">following should be added to the clinical criteria, similar to chimeric antigen receptor T-cell (CAR-T) therapy: “Patient must have previously received treatment </w:t>
      </w:r>
      <w:r w:rsidR="0012783C" w:rsidRPr="006C4820">
        <w:t>with bi-specific T-cell engager</w:t>
      </w:r>
      <w:r w:rsidRPr="006C4820">
        <w:t xml:space="preserve"> for this condition; OR Patient must be unable to receive treatment with bi</w:t>
      </w:r>
      <w:r w:rsidR="00BA439C" w:rsidRPr="006C4820">
        <w:t>-specific T-cell engager</w:t>
      </w:r>
      <w:r w:rsidRPr="006C4820">
        <w:t xml:space="preserve"> for this condition”. </w:t>
      </w:r>
      <w:r w:rsidR="00C076B0">
        <w:t>The evaluation noted that w</w:t>
      </w:r>
      <w:r w:rsidRPr="006C4820">
        <w:t>ithout this inclusion, bispecific antibodies would be direct comparators to loncastuximab tesirine in 3L, and should therefore be included in the clinical evaluation and economic model.</w:t>
      </w:r>
      <w:r w:rsidR="003A730F">
        <w:t xml:space="preserve"> </w:t>
      </w:r>
      <w:r w:rsidR="00BE0D59" w:rsidRPr="00F112A7">
        <w:t xml:space="preserve">The </w:t>
      </w:r>
      <w:r w:rsidR="00436F89" w:rsidRPr="00F112A7">
        <w:t>Sub-Committees</w:t>
      </w:r>
      <w:r w:rsidR="00BE0D59" w:rsidRPr="00F112A7">
        <w:t xml:space="preserve"> and PSCR agreed with the evaluation that </w:t>
      </w:r>
      <w:r w:rsidR="009C07C1" w:rsidRPr="00F112A7">
        <w:t xml:space="preserve">the clinical criteria proposed should be included in the restriction. </w:t>
      </w:r>
      <w:r w:rsidR="00676956" w:rsidRPr="00F112A7">
        <w:t xml:space="preserve">The </w:t>
      </w:r>
      <w:r w:rsidR="001A1DC9" w:rsidRPr="00F112A7">
        <w:t>Sub-Committees considered that further clarification as to the reasons for unsuitability for treatment with bispecific antibodies as suggested in the PSCR was not required</w:t>
      </w:r>
      <w:r w:rsidR="00F8717E" w:rsidRPr="00F112A7">
        <w:t>.</w:t>
      </w:r>
      <w:bookmarkEnd w:id="12"/>
      <w:r w:rsidR="00F8717E">
        <w:rPr>
          <w:i/>
          <w:iCs/>
        </w:rPr>
        <w:t xml:space="preserve"> </w:t>
      </w:r>
      <w:bookmarkEnd w:id="13"/>
    </w:p>
    <w:p w14:paraId="6646A0E0" w14:textId="200D4F4B" w:rsidR="002349A8" w:rsidRDefault="002349A8" w:rsidP="00AB7FA4">
      <w:pPr>
        <w:pStyle w:val="3-BodyText"/>
      </w:pPr>
      <w:r w:rsidRPr="006C4820">
        <w:t xml:space="preserve">The submission requested a grandfathered listing and noted </w:t>
      </w:r>
      <w:r w:rsidRPr="00FD08C1">
        <w:t xml:space="preserve">that </w:t>
      </w:r>
      <w:r w:rsidR="00FD08C1">
        <w:t>&lt; 500</w:t>
      </w:r>
      <w:r w:rsidRPr="00FD08C1">
        <w:t xml:space="preserve"> patients were</w:t>
      </w:r>
      <w:r w:rsidRPr="006C4820">
        <w:t xml:space="preserve"> currently receiving loncastuximab tesirine in Australia under a patient access program. The grandfathering restriction stated under administrative advice that “No increase in the maximum number of repeats may be authorised; AND Increased maximum amounts can be requested where a patient’s weight is greater than 135 kg”; however, this was missing from the initial and continuing restrictions.</w:t>
      </w:r>
    </w:p>
    <w:p w14:paraId="6A3BE13E" w14:textId="3AC2F680" w:rsidR="004C0CAE" w:rsidRPr="00CE1D0A" w:rsidRDefault="004C0CAE" w:rsidP="00CE1D0A">
      <w:pPr>
        <w:pStyle w:val="3-BodyText"/>
        <w:numPr>
          <w:ilvl w:val="0"/>
          <w:numId w:val="0"/>
        </w:numPr>
        <w:ind w:left="720"/>
        <w:rPr>
          <w:i/>
          <w:iCs/>
        </w:rPr>
      </w:pPr>
      <w:r w:rsidRPr="004C0CAE">
        <w:rPr>
          <w:i/>
          <w:iCs/>
        </w:rPr>
        <w:t>For more detail on PBAC’s view, see section 7 PBAC outcome.</w:t>
      </w:r>
    </w:p>
    <w:p w14:paraId="7075B85C" w14:textId="62A47B7B" w:rsidR="00B50DB8" w:rsidRPr="0098262F" w:rsidDel="00195452" w:rsidRDefault="00203181" w:rsidP="004E18E9">
      <w:pPr>
        <w:pStyle w:val="2-SectionHeading"/>
      </w:pPr>
      <w:bookmarkStart w:id="14" w:name="_Toc219880980"/>
      <w:r w:rsidRPr="0098262F" w:rsidDel="00195452">
        <w:t xml:space="preserve">Population and </w:t>
      </w:r>
      <w:r w:rsidR="008E0D3C" w:rsidRPr="0098262F" w:rsidDel="00195452">
        <w:t>d</w:t>
      </w:r>
      <w:r w:rsidRPr="0098262F" w:rsidDel="00195452">
        <w:t>isease</w:t>
      </w:r>
      <w:bookmarkEnd w:id="14"/>
    </w:p>
    <w:p w14:paraId="2486BDF5" w14:textId="4F4F2771" w:rsidR="007B03F7" w:rsidRPr="0039163C" w:rsidRDefault="007B03F7" w:rsidP="007B03F7">
      <w:pPr>
        <w:pStyle w:val="3-BodyText"/>
        <w:numPr>
          <w:ilvl w:val="1"/>
          <w:numId w:val="1"/>
        </w:numPr>
      </w:pPr>
      <w:r>
        <w:t>DLBCL is the most common subtype of non-Hodgkin lymphoma (NHL), accounting for about 30% of all cases. Approximately 30-40% of patients experience relapse following remission, and 10-15% become refractory to treatment.</w:t>
      </w:r>
    </w:p>
    <w:p w14:paraId="6032241D" w14:textId="77777777" w:rsidR="007B03F7" w:rsidRPr="0039163C" w:rsidRDefault="007B03F7" w:rsidP="007B03F7">
      <w:pPr>
        <w:pStyle w:val="3-BodyText"/>
        <w:numPr>
          <w:ilvl w:val="1"/>
          <w:numId w:val="1"/>
        </w:numPr>
      </w:pPr>
      <w:r>
        <w:t xml:space="preserve">Patients with DLBCL commonly present with enlargement of lymph nodes due to accumulation of immature and functionally deficient B-lymphocytes. Systemic symptoms might include fever, night sweats, skin rashes, unexplained weight loss, fatigue, and pain in the chest, abdomen, or bones. Patients can develop anaemia, severe fatigue, and increased susceptibility to infections and bleeding when bone marrow is involved. </w:t>
      </w:r>
    </w:p>
    <w:p w14:paraId="7EA04AA4" w14:textId="376B346C" w:rsidR="007B03F7" w:rsidRPr="006C4820" w:rsidRDefault="007B03F7" w:rsidP="007B03F7">
      <w:pPr>
        <w:pStyle w:val="3-BodyText"/>
        <w:numPr>
          <w:ilvl w:val="1"/>
          <w:numId w:val="1"/>
        </w:numPr>
        <w:rPr>
          <w:color w:val="0066FF"/>
        </w:rPr>
      </w:pPr>
      <w:r w:rsidRPr="006C4820">
        <w:t>The submission described HGBL as an aggressive B-cell lymphoma, newly recognised by the WHO Classification of Haematolymphoid Tumours (WHO-HAEM), with clinical management almost identical to DLBCL but a poorer prognosis. According to the WHO-HAEM5</w:t>
      </w:r>
      <w:r w:rsidRPr="006C4820">
        <w:rPr>
          <w:rStyle w:val="FootnoteReference"/>
        </w:rPr>
        <w:footnoteReference w:id="1"/>
      </w:r>
      <w:r w:rsidRPr="006C4820">
        <w:t xml:space="preserve">, HGBL is a separate diagnostic group from DLCBL. The submission inconsistently presented HGBL as a DLBCL subtype in </w:t>
      </w:r>
      <w:r w:rsidR="00A95E6A" w:rsidRPr="006C4820">
        <w:fldChar w:fldCharType="begin"/>
      </w:r>
      <w:r w:rsidR="00A95E6A" w:rsidRPr="006C4820">
        <w:instrText xml:space="preserve"> REF _Ref219201533 \h  \* MERGEFORMAT </w:instrText>
      </w:r>
      <w:r w:rsidR="00A95E6A" w:rsidRPr="006C4820">
        <w:fldChar w:fldCharType="separate"/>
      </w:r>
      <w:r w:rsidR="007D33FD" w:rsidRPr="006C4820">
        <w:t xml:space="preserve">Table </w:t>
      </w:r>
      <w:r w:rsidR="007D33FD" w:rsidRPr="006C4820">
        <w:rPr>
          <w:noProof/>
        </w:rPr>
        <w:t>1</w:t>
      </w:r>
      <w:r w:rsidR="00A95E6A" w:rsidRPr="006C4820">
        <w:fldChar w:fldCharType="end"/>
      </w:r>
      <w:r w:rsidRPr="006C4820">
        <w:t xml:space="preserve">, restriction, the draft product information, and financial estimates. The submission justified that the </w:t>
      </w:r>
      <w:r w:rsidRPr="006C4820">
        <w:lastRenderedPageBreak/>
        <w:t>inclusion of HGBL within DLBCL was based on the LOTIS trial data, recent changes in disease nomenclature, and for simplicity.</w:t>
      </w:r>
      <w:r w:rsidR="00864549">
        <w:t xml:space="preserve"> </w:t>
      </w:r>
    </w:p>
    <w:p w14:paraId="665C7B2C" w14:textId="42BBB3D1" w:rsidR="007B03F7" w:rsidRPr="006C4820" w:rsidRDefault="007B03F7" w:rsidP="007B03F7">
      <w:pPr>
        <w:pStyle w:val="3-BodyText"/>
        <w:numPr>
          <w:ilvl w:val="1"/>
          <w:numId w:val="1"/>
        </w:numPr>
      </w:pPr>
      <w:r w:rsidRPr="006C4820">
        <w:t>The submission explained that there are several subtypes of HGBL, including HGBL with MYC and B-cell lymphoma (BCL)2 gene rearrangements and HGBL not otherwise specified (NOS). The submission suggested that around 10% of cases resembling DLBCL would be re-classified as HGBL, based on the presence of MYC and BCL2 and/or BCL6 gene rearrangements (i.e., double-hit or triple-hit lymphoma). Th</w:t>
      </w:r>
      <w:r w:rsidR="00C0262F">
        <w:t>e evaluation considered th</w:t>
      </w:r>
      <w:r w:rsidRPr="006C4820">
        <w:t>is was appropriate, based on a recent study using next generation sequencing that reported 7% to 10% of DLBCL present with these genetic rearrangements</w:t>
      </w:r>
      <w:r w:rsidRPr="006C4820">
        <w:rPr>
          <w:rStyle w:val="FootnoteReference"/>
        </w:rPr>
        <w:footnoteReference w:id="2"/>
      </w:r>
      <w:r w:rsidRPr="006C4820">
        <w:t>. However, this is just one subtype of HGBL. There are three main subtypes of HGBL, separate from DLBCL:</w:t>
      </w:r>
    </w:p>
    <w:p w14:paraId="04EE4218" w14:textId="77777777" w:rsidR="007B03F7" w:rsidRPr="006C4820" w:rsidRDefault="007B03F7" w:rsidP="002A3163">
      <w:pPr>
        <w:pStyle w:val="3-BodyText"/>
        <w:numPr>
          <w:ilvl w:val="0"/>
          <w:numId w:val="12"/>
        </w:numPr>
      </w:pPr>
      <w:r w:rsidRPr="006C4820">
        <w:t>HGBL NOS: previously B-cell lymphoma, unclassifiable, with features intermediate between DLBCL and Burkitt lymphoma</w:t>
      </w:r>
    </w:p>
    <w:p w14:paraId="436A56E7" w14:textId="77777777" w:rsidR="007B03F7" w:rsidRPr="006C4820" w:rsidRDefault="007B03F7" w:rsidP="002A3163">
      <w:pPr>
        <w:pStyle w:val="3-BodyText"/>
        <w:numPr>
          <w:ilvl w:val="0"/>
          <w:numId w:val="12"/>
        </w:numPr>
      </w:pPr>
      <w:r w:rsidRPr="006C4820">
        <w:t xml:space="preserve">DLBCL/HGBL-MYC/BCL2: previously DLBCL with presence of MYC and BCL2 and/or BCL6 rearrangements </w:t>
      </w:r>
    </w:p>
    <w:p w14:paraId="6194C0FF" w14:textId="77777777" w:rsidR="007B03F7" w:rsidRPr="006C4820" w:rsidRDefault="007B03F7" w:rsidP="002A3163">
      <w:pPr>
        <w:pStyle w:val="3-BodyText"/>
        <w:numPr>
          <w:ilvl w:val="0"/>
          <w:numId w:val="12"/>
        </w:numPr>
      </w:pPr>
      <w:r w:rsidRPr="006C4820">
        <w:t>HGBL-11q: previously Burkitt-like lymphoma with 11q aberration</w:t>
      </w:r>
    </w:p>
    <w:p w14:paraId="22BCD1C0" w14:textId="6FA24B7B" w:rsidR="007B03F7" w:rsidRPr="006C4820" w:rsidRDefault="007B03F7" w:rsidP="007B03F7">
      <w:pPr>
        <w:pStyle w:val="3-BodyText"/>
        <w:numPr>
          <w:ilvl w:val="1"/>
          <w:numId w:val="1"/>
        </w:numPr>
      </w:pPr>
      <w:r w:rsidRPr="006C4820">
        <w:t xml:space="preserve">Regarding the </w:t>
      </w:r>
      <w:r w:rsidR="00FB3C3F" w:rsidRPr="006C4820">
        <w:t xml:space="preserve">implied inclusion of </w:t>
      </w:r>
      <w:r w:rsidRPr="006C4820">
        <w:t>HGBL</w:t>
      </w:r>
      <w:r w:rsidR="00DA33C9" w:rsidRPr="006C4820">
        <w:t xml:space="preserve"> patients</w:t>
      </w:r>
      <w:r w:rsidR="00C33D9A" w:rsidRPr="006C4820">
        <w:t xml:space="preserve"> </w:t>
      </w:r>
      <w:r w:rsidR="00DA33C9" w:rsidRPr="006C4820">
        <w:t>in the restriction and</w:t>
      </w:r>
      <w:r w:rsidR="00FB3C3F" w:rsidRPr="006C4820">
        <w:t xml:space="preserve"> consequently</w:t>
      </w:r>
      <w:r w:rsidR="00DA33C9" w:rsidRPr="006C4820">
        <w:t xml:space="preserve"> in the</w:t>
      </w:r>
      <w:r w:rsidR="00DA33C9" w:rsidRPr="006C4820" w:rsidDel="003876CF">
        <w:t xml:space="preserve"> </w:t>
      </w:r>
      <w:r w:rsidR="00DA33C9" w:rsidRPr="006C4820">
        <w:t>financial model</w:t>
      </w:r>
      <w:r w:rsidRPr="006C4820">
        <w:t>, the</w:t>
      </w:r>
      <w:r w:rsidR="00633D13">
        <w:t xml:space="preserve"> evaluation considered the</w:t>
      </w:r>
      <w:r w:rsidRPr="006C4820">
        <w:t xml:space="preserve"> population targeted in the submission was poorly described and was inappropriate. The </w:t>
      </w:r>
      <w:r w:rsidR="00633D13">
        <w:t xml:space="preserve">evaluation noted the </w:t>
      </w:r>
      <w:r w:rsidRPr="006C4820">
        <w:t xml:space="preserve">submission did not present any details on the clinical presentation of HGBL, prognosis, or whether there are any differences from DLBCL signs and symptoms. </w:t>
      </w:r>
    </w:p>
    <w:p w14:paraId="40C787CB" w14:textId="1814FBA1" w:rsidR="007B03F7" w:rsidRPr="006C4820" w:rsidRDefault="007B03F7" w:rsidP="007B03F7">
      <w:pPr>
        <w:pStyle w:val="3-BodyText"/>
        <w:numPr>
          <w:ilvl w:val="1"/>
          <w:numId w:val="1"/>
        </w:numPr>
      </w:pPr>
      <w:r w:rsidRPr="006C4820">
        <w:t xml:space="preserve">Furthermore, the submission included patients with primary mediastinal B-cell lymphoma (PMBL) in </w:t>
      </w:r>
      <w:r w:rsidR="00895D1C" w:rsidRPr="006C4820">
        <w:t xml:space="preserve">the </w:t>
      </w:r>
      <w:r w:rsidRPr="006C4820">
        <w:t xml:space="preserve">financial </w:t>
      </w:r>
      <w:proofErr w:type="gramStart"/>
      <w:r w:rsidRPr="006C4820">
        <w:t>model, but</w:t>
      </w:r>
      <w:proofErr w:type="gramEnd"/>
      <w:r w:rsidRPr="006C4820">
        <w:t xml:space="preserve"> did not mention it as a target population in </w:t>
      </w:r>
      <w:r w:rsidR="008244B1">
        <w:fldChar w:fldCharType="begin"/>
      </w:r>
      <w:r w:rsidR="008244B1">
        <w:instrText xml:space="preserve"> REF _Ref219201533 \h </w:instrText>
      </w:r>
      <w:r w:rsidR="008244B1">
        <w:fldChar w:fldCharType="separate"/>
      </w:r>
      <w:r w:rsidR="008244B1" w:rsidRPr="0098262F">
        <w:t xml:space="preserve">Table </w:t>
      </w:r>
      <w:r w:rsidR="008244B1">
        <w:rPr>
          <w:noProof/>
        </w:rPr>
        <w:t>1</w:t>
      </w:r>
      <w:r w:rsidR="008244B1">
        <w:fldChar w:fldCharType="end"/>
      </w:r>
      <w:r w:rsidRPr="006C4820">
        <w:t xml:space="preserve"> or </w:t>
      </w:r>
      <w:r w:rsidR="00212B55" w:rsidRPr="006C4820">
        <w:t xml:space="preserve">in </w:t>
      </w:r>
      <w:r w:rsidRPr="006C4820">
        <w:t>the proposed restriction. PMBL is a subtype of large B-cell lymphoma but not a DLBCL subtype, according to WHO-HAEM5. The LOTIS trial included 10 patients with HGBL and 7 with PMBL.</w:t>
      </w:r>
      <w:r w:rsidR="00176752">
        <w:t xml:space="preserve"> </w:t>
      </w:r>
      <w:r w:rsidR="00176752" w:rsidRPr="00D57480">
        <w:rPr>
          <w:rFonts w:cstheme="minorHAnsi"/>
        </w:rPr>
        <w:t xml:space="preserve">As outlined in paragraph </w:t>
      </w:r>
      <w:r w:rsidR="00176752" w:rsidRPr="00D57480">
        <w:rPr>
          <w:rFonts w:cstheme="minorHAnsi"/>
        </w:rPr>
        <w:fldChar w:fldCharType="begin"/>
      </w:r>
      <w:r w:rsidR="00176752" w:rsidRPr="00D57480">
        <w:rPr>
          <w:rFonts w:cstheme="minorHAnsi"/>
        </w:rPr>
        <w:instrText xml:space="preserve"> REF _Ref221448742 \r \h  \* MERGEFORMAT </w:instrText>
      </w:r>
      <w:r w:rsidR="00176752" w:rsidRPr="00D57480">
        <w:rPr>
          <w:rFonts w:cstheme="minorHAnsi"/>
        </w:rPr>
      </w:r>
      <w:r w:rsidR="00176752" w:rsidRPr="00D57480">
        <w:rPr>
          <w:rFonts w:cstheme="minorHAnsi"/>
        </w:rPr>
        <w:fldChar w:fldCharType="separate"/>
      </w:r>
      <w:r w:rsidR="008C4274">
        <w:rPr>
          <w:rFonts w:cstheme="minorHAnsi"/>
        </w:rPr>
        <w:t>3.4</w:t>
      </w:r>
      <w:r w:rsidR="00176752" w:rsidRPr="00D57480">
        <w:rPr>
          <w:rFonts w:cstheme="minorHAnsi"/>
        </w:rPr>
        <w:fldChar w:fldCharType="end"/>
      </w:r>
      <w:r w:rsidR="00176752" w:rsidRPr="00D57480">
        <w:rPr>
          <w:rFonts w:cstheme="minorHAnsi"/>
        </w:rPr>
        <w:t>, the Sub-Committees considered the inclusion of HGBL and PMBL patients appropriate.</w:t>
      </w:r>
    </w:p>
    <w:p w14:paraId="41B156CE" w14:textId="1DBA40B8" w:rsidR="007B03F7" w:rsidRPr="00D57480" w:rsidRDefault="007B03F7" w:rsidP="007B03F7">
      <w:pPr>
        <w:pStyle w:val="3-BodyText"/>
        <w:numPr>
          <w:ilvl w:val="1"/>
          <w:numId w:val="1"/>
        </w:numPr>
      </w:pPr>
      <w:r w:rsidRPr="006C4820">
        <w:t>The proposed algorithm (</w:t>
      </w:r>
      <w:r w:rsidRPr="006C4820">
        <w:fldChar w:fldCharType="begin"/>
      </w:r>
      <w:r w:rsidRPr="006C4820">
        <w:instrText xml:space="preserve"> REF _Ref219110569 \h </w:instrText>
      </w:r>
      <w:r w:rsidR="006C4820" w:rsidRPr="006C4820">
        <w:instrText xml:space="preserve"> \* MERGEFORMAT </w:instrText>
      </w:r>
      <w:r w:rsidRPr="006C4820">
        <w:fldChar w:fldCharType="separate"/>
      </w:r>
      <w:r w:rsidR="007D33FD" w:rsidRPr="006C4820">
        <w:t xml:space="preserve">Figure </w:t>
      </w:r>
      <w:r w:rsidR="007D33FD" w:rsidRPr="006C4820">
        <w:rPr>
          <w:noProof/>
        </w:rPr>
        <w:t>1</w:t>
      </w:r>
      <w:r w:rsidRPr="006C4820">
        <w:fldChar w:fldCharType="end"/>
      </w:r>
      <w:r w:rsidRPr="006C4820">
        <w:t xml:space="preserve">) positioned </w:t>
      </w:r>
      <w:proofErr w:type="spellStart"/>
      <w:r w:rsidRPr="006C4820">
        <w:t>loncastuximab</w:t>
      </w:r>
      <w:proofErr w:type="spellEnd"/>
      <w:r w:rsidRPr="006C4820">
        <w:t xml:space="preserve"> </w:t>
      </w:r>
      <w:proofErr w:type="spellStart"/>
      <w:r w:rsidRPr="006C4820">
        <w:t>tesirine</w:t>
      </w:r>
      <w:proofErr w:type="spellEnd"/>
      <w:r w:rsidRPr="006C4820">
        <w:t xml:space="preserve"> in the </w:t>
      </w:r>
      <w:proofErr w:type="gramStart"/>
      <w:r w:rsidRPr="006C4820">
        <w:t>third-line</w:t>
      </w:r>
      <w:proofErr w:type="gramEnd"/>
      <w:r w:rsidRPr="006C4820">
        <w:t xml:space="preserve"> (3L) setting, as an alternative therapy to salvage chemotherapy for </w:t>
      </w:r>
      <w:proofErr w:type="gramStart"/>
      <w:r w:rsidRPr="006C4820">
        <w:t>patients</w:t>
      </w:r>
      <w:proofErr w:type="gramEnd"/>
      <w:r w:rsidRPr="006C4820">
        <w:t xml:space="preserve"> ineligible/post CAR-T therapy or unsuitable for bispecific treatment. Th</w:t>
      </w:r>
      <w:r w:rsidR="003D485C">
        <w:t>e evaluation considered th</w:t>
      </w:r>
      <w:r w:rsidRPr="006C4820">
        <w:t xml:space="preserve">is was reasonable. However, the proposed clinical algorithm did not align with the requested restriction, which did not specify that patients need to be unsuitable/ineligible for </w:t>
      </w:r>
      <w:r w:rsidR="0059171C" w:rsidRPr="006C4820">
        <w:t>bispecific antibodies</w:t>
      </w:r>
      <w:r w:rsidRPr="006C4820">
        <w:t xml:space="preserve">. </w:t>
      </w:r>
      <w:r w:rsidR="003432AD" w:rsidRPr="00D57480">
        <w:t xml:space="preserve">As outlined in paragraph </w:t>
      </w:r>
      <w:r w:rsidR="003432AD" w:rsidRPr="00D57480">
        <w:fldChar w:fldCharType="begin"/>
      </w:r>
      <w:r w:rsidR="003432AD" w:rsidRPr="00D57480">
        <w:instrText xml:space="preserve"> REF _Ref221450955 \r \h </w:instrText>
      </w:r>
      <w:r w:rsidR="00191C81" w:rsidRPr="00D57480">
        <w:instrText xml:space="preserve"> \* MERGEFORMAT </w:instrText>
      </w:r>
      <w:r w:rsidR="003432AD" w:rsidRPr="00D57480">
        <w:fldChar w:fldCharType="separate"/>
      </w:r>
      <w:r w:rsidR="008C4274">
        <w:t>3.5</w:t>
      </w:r>
      <w:r w:rsidR="003432AD" w:rsidRPr="00D57480">
        <w:fldChar w:fldCharType="end"/>
      </w:r>
      <w:r w:rsidR="003432AD" w:rsidRPr="00D57480">
        <w:t xml:space="preserve">, the Sub-Committees considered that </w:t>
      </w:r>
      <w:r w:rsidR="005317D6" w:rsidRPr="00D57480">
        <w:t xml:space="preserve">additional </w:t>
      </w:r>
      <w:r w:rsidR="00191C81" w:rsidRPr="00D57480">
        <w:t xml:space="preserve">criteria should be included in the restriction to </w:t>
      </w:r>
      <w:r w:rsidR="002D5E16" w:rsidRPr="00D57480">
        <w:t>s</w:t>
      </w:r>
      <w:r w:rsidR="000576C8" w:rsidRPr="00D57480">
        <w:t xml:space="preserve">pecify that patients must have previously received or be unable to receive bispecific antibodies for this condition. </w:t>
      </w:r>
    </w:p>
    <w:p w14:paraId="4B5BF16E" w14:textId="02C69587" w:rsidR="007B03F7" w:rsidRPr="006C4820" w:rsidRDefault="007B03F7" w:rsidP="007B03F7">
      <w:pPr>
        <w:pStyle w:val="3-BodyText"/>
        <w:numPr>
          <w:ilvl w:val="1"/>
          <w:numId w:val="1"/>
        </w:numPr>
      </w:pPr>
      <w:r w:rsidRPr="006C4820">
        <w:lastRenderedPageBreak/>
        <w:t xml:space="preserve">The clinical algorithm did not include </w:t>
      </w:r>
      <w:proofErr w:type="spellStart"/>
      <w:r w:rsidRPr="006C4820">
        <w:t>polatuzumab</w:t>
      </w:r>
      <w:proofErr w:type="spellEnd"/>
      <w:r w:rsidRPr="006C4820">
        <w:t xml:space="preserve"> vedotin, which was recently recommended by the PBAC for first-line (1L) treatment of DLBCL (para 7.1, </w:t>
      </w:r>
      <w:proofErr w:type="spellStart"/>
      <w:r w:rsidRPr="006C4820">
        <w:t>polatuzumab</w:t>
      </w:r>
      <w:proofErr w:type="spellEnd"/>
      <w:r w:rsidRPr="006C4820">
        <w:t xml:space="preserve"> vedotin, March 2025 PBAC meeting)</w:t>
      </w:r>
      <w:r w:rsidR="006A60AA" w:rsidRPr="006C4820">
        <w:t xml:space="preserve"> but is not </w:t>
      </w:r>
      <w:r w:rsidR="008646AA" w:rsidRPr="006C4820">
        <w:t>yet listed on the PBS</w:t>
      </w:r>
      <w:r w:rsidRPr="006C4820">
        <w:t>.</w:t>
      </w:r>
    </w:p>
    <w:p w14:paraId="2149E593" w14:textId="77777777" w:rsidR="007B03F7" w:rsidRPr="006C4820" w:rsidRDefault="007B03F7" w:rsidP="007B03F7">
      <w:pPr>
        <w:pStyle w:val="3-BodyText"/>
        <w:numPr>
          <w:ilvl w:val="0"/>
          <w:numId w:val="0"/>
        </w:numPr>
        <w:ind w:left="720"/>
      </w:pPr>
    </w:p>
    <w:p w14:paraId="2AF8FF5C" w14:textId="4AE0B2E2" w:rsidR="007B03F7" w:rsidRPr="006C4820" w:rsidRDefault="007B03F7" w:rsidP="007B03F7">
      <w:pPr>
        <w:pStyle w:val="Caption"/>
      </w:pPr>
      <w:bookmarkStart w:id="15" w:name="_Ref219110569"/>
      <w:r w:rsidRPr="006C4820">
        <w:t xml:space="preserve">Figure </w:t>
      </w:r>
      <w:r w:rsidRPr="006C4820">
        <w:fldChar w:fldCharType="begin"/>
      </w:r>
      <w:r w:rsidRPr="006C4820">
        <w:instrText>SEQ Figure \* ARABIC</w:instrText>
      </w:r>
      <w:r w:rsidRPr="006C4820">
        <w:fldChar w:fldCharType="separate"/>
      </w:r>
      <w:r w:rsidR="00FF73F1">
        <w:rPr>
          <w:noProof/>
        </w:rPr>
        <w:t>1</w:t>
      </w:r>
      <w:r w:rsidRPr="006C4820">
        <w:fldChar w:fldCharType="end"/>
      </w:r>
      <w:bookmarkEnd w:id="15"/>
      <w:r w:rsidRPr="006C4820">
        <w:t>: Proposed clinical management algorithm</w:t>
      </w:r>
    </w:p>
    <w:p w14:paraId="2D6946C9" w14:textId="77777777" w:rsidR="007B03F7" w:rsidRPr="006C4820" w:rsidRDefault="007B03F7" w:rsidP="007B03F7">
      <w:pPr>
        <w:pStyle w:val="3-BodyText"/>
        <w:keepNext/>
        <w:numPr>
          <w:ilvl w:val="0"/>
          <w:numId w:val="0"/>
        </w:numPr>
      </w:pPr>
      <w:r w:rsidRPr="006C4820">
        <w:rPr>
          <w:noProof/>
        </w:rPr>
        <w:drawing>
          <wp:inline distT="0" distB="0" distL="0" distR="0" wp14:anchorId="6ED1840D" wp14:editId="08ABA740">
            <wp:extent cx="5732145" cy="2861310"/>
            <wp:effectExtent l="0" t="0" r="0" b="0"/>
            <wp:docPr id="14" name="Picture 1" descr="Figure 1: Proposed clinical manage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Figure 1: Proposed clinical management algorithm"/>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2145" cy="2861310"/>
                    </a:xfrm>
                    <a:prstGeom prst="rect">
                      <a:avLst/>
                    </a:prstGeom>
                  </pic:spPr>
                </pic:pic>
              </a:graphicData>
            </a:graphic>
          </wp:inline>
        </w:drawing>
      </w:r>
    </w:p>
    <w:p w14:paraId="3ACD691B" w14:textId="77777777" w:rsidR="007B03F7" w:rsidRPr="006C4820" w:rsidRDefault="007B03F7" w:rsidP="007B03F7">
      <w:pPr>
        <w:pStyle w:val="TableFooter"/>
      </w:pPr>
      <w:r w:rsidRPr="006C4820">
        <w:t>Source: Figure 1.6, p32 of the submission</w:t>
      </w:r>
    </w:p>
    <w:p w14:paraId="754613B6" w14:textId="77777777" w:rsidR="007B03F7" w:rsidRPr="006C4820" w:rsidRDefault="007B03F7" w:rsidP="007B03F7">
      <w:pPr>
        <w:pStyle w:val="TableFooter"/>
      </w:pPr>
    </w:p>
    <w:p w14:paraId="11FCAAEE" w14:textId="1C6F2455" w:rsidR="007627BE" w:rsidRPr="006C4820" w:rsidDel="00195452" w:rsidRDefault="007B03F7" w:rsidP="007B03F7">
      <w:pPr>
        <w:pStyle w:val="3-BodyText"/>
        <w:rPr>
          <w:color w:val="0066FF"/>
        </w:rPr>
      </w:pPr>
      <w:r w:rsidRPr="006C4820">
        <w:t xml:space="preserve">Loncastuximab tesirine is an antibody-drug conjugate (ADC) comprising a humanised anti-CD19 antibody conjugated to the </w:t>
      </w:r>
      <w:proofErr w:type="spellStart"/>
      <w:r w:rsidRPr="006C4820">
        <w:t>pyrrolobenzodiazepine</w:t>
      </w:r>
      <w:proofErr w:type="spellEnd"/>
      <w:r w:rsidRPr="006C4820">
        <w:t xml:space="preserve"> (PBD) dimer cytotoxin SG3199. Loncastuximab tesirine is rapidly internalised by CD19-expressing B-cells, followed by release of SG3199 via proteolytic cleavage. The released SG3199 binds to the DNA minor groove and forms highly cytotoxic DNA interstrand crosslinks, inducing cell death.</w:t>
      </w:r>
    </w:p>
    <w:p w14:paraId="2FE28E25" w14:textId="798FC2EB" w:rsidR="004C0CAE" w:rsidRPr="004C0CAE" w:rsidDel="00195452" w:rsidRDefault="004C0CAE" w:rsidP="004C0CAE">
      <w:pPr>
        <w:pStyle w:val="3-BodyText"/>
        <w:numPr>
          <w:ilvl w:val="0"/>
          <w:numId w:val="0"/>
        </w:numPr>
        <w:ind w:left="720"/>
        <w:rPr>
          <w:i/>
          <w:iCs/>
        </w:rPr>
      </w:pPr>
      <w:r w:rsidRPr="004C0CAE">
        <w:rPr>
          <w:i/>
          <w:iCs/>
        </w:rPr>
        <w:t>For more detail on PBAC’s view, see section 7 PBAC outcome.</w:t>
      </w:r>
    </w:p>
    <w:p w14:paraId="51E5AE96" w14:textId="136A63B1" w:rsidR="00B50DB8" w:rsidRPr="006C4820" w:rsidRDefault="00B50DB8" w:rsidP="004E18E9">
      <w:pPr>
        <w:pStyle w:val="2-SectionHeading"/>
      </w:pPr>
      <w:bookmarkStart w:id="16" w:name="_Toc219880981"/>
      <w:r w:rsidRPr="006C4820">
        <w:t>Comparator</w:t>
      </w:r>
      <w:bookmarkEnd w:id="16"/>
    </w:p>
    <w:p w14:paraId="21FFECB9" w14:textId="4BB848BF" w:rsidR="007B03F7" w:rsidRPr="006C4820" w:rsidRDefault="007B03F7" w:rsidP="007B03F7">
      <w:pPr>
        <w:pStyle w:val="3-BodyText"/>
      </w:pPr>
      <w:r w:rsidRPr="006C4820">
        <w:t xml:space="preserve">The submission appropriately nominated the chemoimmunotherapy regimen comprising rituximab in combination with ifosfamide, carboplatin and etoposide (R-ICE) as the main comparator, proxy for mixed chemoimmunotherapy. </w:t>
      </w:r>
      <w:r w:rsidR="00E9409D">
        <w:t>In November 2024, t</w:t>
      </w:r>
      <w:r w:rsidRPr="006C4820">
        <w:t xml:space="preserve">he ESC considered R-ICE </w:t>
      </w:r>
      <w:r w:rsidR="00E9409D">
        <w:t>wa</w:t>
      </w:r>
      <w:r w:rsidRPr="006C4820">
        <w:t>s the most common second-line (2L) and 3L treatment (para</w:t>
      </w:r>
      <w:r w:rsidR="00471AF2">
        <w:t>graph</w:t>
      </w:r>
      <w:r w:rsidRPr="006C4820">
        <w:t xml:space="preserve"> 5,3, </w:t>
      </w:r>
      <w:proofErr w:type="spellStart"/>
      <w:r w:rsidRPr="006C4820">
        <w:t>selinexor</w:t>
      </w:r>
      <w:proofErr w:type="spellEnd"/>
      <w:r w:rsidRPr="006C4820">
        <w:t xml:space="preserve">, </w:t>
      </w:r>
      <w:r w:rsidR="0011415E">
        <w:t>Public Summary Document [</w:t>
      </w:r>
      <w:r w:rsidR="00A21DC1" w:rsidRPr="006C4820">
        <w:t>PSD</w:t>
      </w:r>
      <w:r w:rsidR="0011415E">
        <w:t>]</w:t>
      </w:r>
      <w:r w:rsidRPr="006C4820">
        <w:t>, July 2021), and R-ICE may be used more frequently in the 3L setting if CAR-T replaces R-ICE in the 2L setting (para</w:t>
      </w:r>
      <w:r w:rsidR="00471AF2">
        <w:t>graph</w:t>
      </w:r>
      <w:r w:rsidRPr="006C4820">
        <w:t xml:space="preserve"> 5.2, epcoritamab, </w:t>
      </w:r>
      <w:r w:rsidR="008133D8" w:rsidRPr="006C4820">
        <w:t>PSD</w:t>
      </w:r>
      <w:r w:rsidRPr="006C4820">
        <w:t>, Nov 2024 PBAC meeting).</w:t>
      </w:r>
      <w:r w:rsidR="004423EF">
        <w:t xml:space="preserve"> </w:t>
      </w:r>
      <w:r w:rsidR="004423EF" w:rsidRPr="00D57480">
        <w:t xml:space="preserve">The Sub-Committees considered the nominated comparator </w:t>
      </w:r>
      <w:r w:rsidR="00511471" w:rsidRPr="00D57480">
        <w:t xml:space="preserve">appropriate. </w:t>
      </w:r>
    </w:p>
    <w:p w14:paraId="30A067BB" w14:textId="0CD13B7F" w:rsidR="00B50DB8" w:rsidRDefault="007B03F7" w:rsidP="002F0974">
      <w:pPr>
        <w:pStyle w:val="3-BodyText"/>
      </w:pPr>
      <w:r w:rsidRPr="006C4820">
        <w:t xml:space="preserve">3L treatment options for R/R DLBCL listed in the submission also included </w:t>
      </w:r>
      <w:r w:rsidRPr="006C4820">
        <w:rPr>
          <w:snapToGrid w:val="0"/>
        </w:rPr>
        <w:t>CAR-T therapy, bispecific antibodies (epcoritamab or glofitamab), and salvage chemo</w:t>
      </w:r>
      <w:r w:rsidRPr="006C4820">
        <w:t xml:space="preserve">immunotherapy. CAR-T was (appropriately) not considered a comparator as </w:t>
      </w:r>
      <w:r w:rsidRPr="006C4820">
        <w:lastRenderedPageBreak/>
        <w:t xml:space="preserve">the restriction limited loncastuximab tesirine treatment to patients who had previously received CAR-T or were unable to receive CAR-T. Similarly, the submission indicated that </w:t>
      </w:r>
      <w:proofErr w:type="spellStart"/>
      <w:r w:rsidRPr="006C4820">
        <w:t>bispecifics</w:t>
      </w:r>
      <w:proofErr w:type="spellEnd"/>
      <w:r w:rsidRPr="006C4820">
        <w:t xml:space="preserve"> would not be a relevant comparator because loncastuximab tesirine would be given to patients not eligible/suitable for a bispecific or those who had already been treated with a bispecific. However, this was not reflected in the requested restriction. Therefore, either the restriction </w:t>
      </w:r>
      <w:r w:rsidR="00713D79" w:rsidRPr="006C4820">
        <w:t>should be</w:t>
      </w:r>
      <w:r w:rsidRPr="006C4820">
        <w:t xml:space="preserve"> amended to reflect prior bispecific treatment/unsuitability or </w:t>
      </w:r>
      <w:proofErr w:type="spellStart"/>
      <w:r w:rsidRPr="006C4820">
        <w:t>bispecifics</w:t>
      </w:r>
      <w:proofErr w:type="spellEnd"/>
      <w:r w:rsidRPr="006C4820">
        <w:t xml:space="preserve"> should be included as a potential comparator.</w:t>
      </w:r>
      <w:r w:rsidR="00252200">
        <w:t xml:space="preserve"> </w:t>
      </w:r>
      <w:r w:rsidR="00252200" w:rsidRPr="00D57480">
        <w:t xml:space="preserve">As outlined in paragraph </w:t>
      </w:r>
      <w:r w:rsidR="00252200" w:rsidRPr="00D57480">
        <w:fldChar w:fldCharType="begin"/>
      </w:r>
      <w:r w:rsidR="00252200" w:rsidRPr="00D57480">
        <w:instrText xml:space="preserve"> REF _Ref221450955 \r \h  \* MERGEFORMAT </w:instrText>
      </w:r>
      <w:r w:rsidR="00252200" w:rsidRPr="00D57480">
        <w:fldChar w:fldCharType="separate"/>
      </w:r>
      <w:r w:rsidR="008C4274">
        <w:t>3.5</w:t>
      </w:r>
      <w:r w:rsidR="00252200" w:rsidRPr="00D57480">
        <w:fldChar w:fldCharType="end"/>
      </w:r>
      <w:r w:rsidR="00252200" w:rsidRPr="00D57480">
        <w:t xml:space="preserve">, the Sub-Committees </w:t>
      </w:r>
      <w:r w:rsidR="005904E8" w:rsidRPr="00D57480">
        <w:t xml:space="preserve">advised that </w:t>
      </w:r>
      <w:r w:rsidR="00FA2E07">
        <w:t xml:space="preserve">the </w:t>
      </w:r>
      <w:r w:rsidR="005904E8" w:rsidRPr="00D57480">
        <w:t xml:space="preserve">restriction </w:t>
      </w:r>
      <w:r w:rsidR="00381539" w:rsidRPr="00D57480">
        <w:t xml:space="preserve">be amended to reflect </w:t>
      </w:r>
      <w:r w:rsidR="00306361" w:rsidRPr="00D57480">
        <w:t>that patients must have previously received or be unable to receive bispecific antibodies for this condition</w:t>
      </w:r>
      <w:r w:rsidR="00252200" w:rsidRPr="00D57480">
        <w:t>.</w:t>
      </w:r>
    </w:p>
    <w:p w14:paraId="5FDB22AB" w14:textId="0811A1AA" w:rsidR="004C0CAE" w:rsidRPr="004C0CAE" w:rsidRDefault="004C0CAE" w:rsidP="004C0CAE">
      <w:pPr>
        <w:pStyle w:val="3-BodyText"/>
        <w:numPr>
          <w:ilvl w:val="0"/>
          <w:numId w:val="0"/>
        </w:numPr>
        <w:ind w:left="720"/>
        <w:rPr>
          <w:i/>
          <w:iCs/>
        </w:rPr>
      </w:pPr>
      <w:r w:rsidRPr="004C0CAE">
        <w:rPr>
          <w:i/>
          <w:iCs/>
        </w:rPr>
        <w:t>For more detail on PBAC’s view, see section 7 PBAC outcome.</w:t>
      </w:r>
    </w:p>
    <w:p w14:paraId="7F9C27C8" w14:textId="77777777" w:rsidR="00223D5A" w:rsidRPr="001A2112" w:rsidRDefault="00223D5A" w:rsidP="00223D5A">
      <w:pPr>
        <w:pStyle w:val="2-SectionHeading"/>
        <w:numPr>
          <w:ilvl w:val="0"/>
          <w:numId w:val="1"/>
        </w:numPr>
      </w:pPr>
      <w:bookmarkStart w:id="17" w:name="_Toc219880982"/>
      <w:bookmarkStart w:id="18" w:name="_Toc22897640"/>
      <w:r w:rsidRPr="001A2112">
        <w:t>Consideration of the evidence</w:t>
      </w:r>
      <w:bookmarkEnd w:id="17"/>
    </w:p>
    <w:p w14:paraId="18D764F1" w14:textId="77777777" w:rsidR="004C75A4" w:rsidRPr="000B298F" w:rsidRDefault="004C75A4" w:rsidP="000B298F">
      <w:pPr>
        <w:pStyle w:val="4-SubsectionHeading"/>
      </w:pPr>
      <w:bookmarkStart w:id="19" w:name="_Hlk76375935"/>
      <w:bookmarkStart w:id="20" w:name="_Toc219124949"/>
      <w:bookmarkStart w:id="21" w:name="_Toc219880983"/>
      <w:bookmarkEnd w:id="18"/>
      <w:r w:rsidRPr="000B298F">
        <w:t>Sponsor hearing</w:t>
      </w:r>
    </w:p>
    <w:p w14:paraId="1A482FAB" w14:textId="45CD05AF" w:rsidR="004C75A4" w:rsidRPr="00836F75" w:rsidRDefault="00EC4550" w:rsidP="004C75A4">
      <w:pPr>
        <w:widowControl w:val="0"/>
        <w:numPr>
          <w:ilvl w:val="1"/>
          <w:numId w:val="1"/>
        </w:numPr>
        <w:spacing w:after="120"/>
        <w:rPr>
          <w:rFonts w:asciiTheme="minorHAnsi" w:hAnsiTheme="minorHAnsi"/>
          <w:bCs/>
          <w:snapToGrid w:val="0"/>
        </w:rPr>
      </w:pPr>
      <w:bookmarkStart w:id="22" w:name="_Hlk76382586"/>
      <w:r>
        <w:rPr>
          <w:rFonts w:asciiTheme="minorHAnsi" w:hAnsiTheme="minorHAnsi"/>
          <w:bCs/>
          <w:snapToGrid w:val="0"/>
        </w:rPr>
        <w:t>The</w:t>
      </w:r>
      <w:r w:rsidR="004C75A4" w:rsidRPr="00836F75">
        <w:rPr>
          <w:rFonts w:asciiTheme="minorHAnsi" w:hAnsiTheme="minorHAnsi"/>
          <w:bCs/>
          <w:snapToGrid w:val="0"/>
        </w:rPr>
        <w:t xml:space="preserve"> sponsor requested a hearing for this item. The clinician discussed the natural history of the disease,</w:t>
      </w:r>
      <w:r w:rsidR="009531E9">
        <w:rPr>
          <w:rFonts w:asciiTheme="minorHAnsi" w:hAnsiTheme="minorHAnsi"/>
          <w:bCs/>
          <w:snapToGrid w:val="0"/>
        </w:rPr>
        <w:t xml:space="preserve"> noting that</w:t>
      </w:r>
      <w:r w:rsidR="006C07E3">
        <w:rPr>
          <w:rFonts w:asciiTheme="minorHAnsi" w:hAnsiTheme="minorHAnsi"/>
          <w:bCs/>
          <w:snapToGrid w:val="0"/>
        </w:rPr>
        <w:t xml:space="preserve"> </w:t>
      </w:r>
      <w:r w:rsidR="009531E9">
        <w:rPr>
          <w:rFonts w:asciiTheme="minorHAnsi" w:hAnsiTheme="minorHAnsi"/>
          <w:bCs/>
          <w:snapToGrid w:val="0"/>
        </w:rPr>
        <w:t>a large proportion of patients will be cured with their first treatment</w:t>
      </w:r>
      <w:r w:rsidR="001A7BD3">
        <w:rPr>
          <w:rFonts w:asciiTheme="minorHAnsi" w:hAnsiTheme="minorHAnsi"/>
          <w:bCs/>
          <w:snapToGrid w:val="0"/>
        </w:rPr>
        <w:t>,</w:t>
      </w:r>
      <w:r w:rsidR="009531E9">
        <w:rPr>
          <w:rFonts w:asciiTheme="minorHAnsi" w:hAnsiTheme="minorHAnsi"/>
          <w:bCs/>
          <w:snapToGrid w:val="0"/>
        </w:rPr>
        <w:t xml:space="preserve"> </w:t>
      </w:r>
      <w:r w:rsidR="006C07E3">
        <w:rPr>
          <w:rFonts w:asciiTheme="minorHAnsi" w:hAnsiTheme="minorHAnsi"/>
          <w:bCs/>
          <w:snapToGrid w:val="0"/>
        </w:rPr>
        <w:t xml:space="preserve">but </w:t>
      </w:r>
      <w:r w:rsidR="001A7BD3">
        <w:rPr>
          <w:rFonts w:asciiTheme="minorHAnsi" w:hAnsiTheme="minorHAnsi"/>
          <w:bCs/>
          <w:snapToGrid w:val="0"/>
        </w:rPr>
        <w:t>for those who relapse the chance of cure becomes less likely across time.</w:t>
      </w:r>
      <w:r w:rsidR="00915BAF">
        <w:rPr>
          <w:rFonts w:asciiTheme="minorHAnsi" w:hAnsiTheme="minorHAnsi"/>
          <w:bCs/>
          <w:snapToGrid w:val="0"/>
        </w:rPr>
        <w:t xml:space="preserve"> </w:t>
      </w:r>
      <w:r w:rsidR="00BE197A">
        <w:rPr>
          <w:rFonts w:asciiTheme="minorHAnsi" w:hAnsiTheme="minorHAnsi"/>
          <w:bCs/>
          <w:snapToGrid w:val="0"/>
        </w:rPr>
        <w:t xml:space="preserve">The clinician </w:t>
      </w:r>
      <w:r w:rsidR="00DC6744">
        <w:rPr>
          <w:rFonts w:asciiTheme="minorHAnsi" w:hAnsiTheme="minorHAnsi"/>
          <w:bCs/>
          <w:snapToGrid w:val="0"/>
        </w:rPr>
        <w:t xml:space="preserve">noted that many factors impact sequencing of treatments in </w:t>
      </w:r>
      <w:r w:rsidR="008A796E">
        <w:rPr>
          <w:rFonts w:asciiTheme="minorHAnsi" w:hAnsiTheme="minorHAnsi"/>
          <w:bCs/>
          <w:snapToGrid w:val="0"/>
        </w:rPr>
        <w:t>R/R DLBCL</w:t>
      </w:r>
      <w:r w:rsidR="00DD3933">
        <w:rPr>
          <w:rFonts w:asciiTheme="minorHAnsi" w:hAnsiTheme="minorHAnsi"/>
          <w:bCs/>
          <w:snapToGrid w:val="0"/>
        </w:rPr>
        <w:t xml:space="preserve"> </w:t>
      </w:r>
      <w:r w:rsidR="00891762">
        <w:rPr>
          <w:rFonts w:asciiTheme="minorHAnsi" w:hAnsiTheme="minorHAnsi"/>
          <w:bCs/>
          <w:snapToGrid w:val="0"/>
        </w:rPr>
        <w:t xml:space="preserve">including disease, healthcare facility, patient, geographic and socioeconomic factors. </w:t>
      </w:r>
      <w:r w:rsidR="005164C4">
        <w:rPr>
          <w:rFonts w:asciiTheme="minorHAnsi" w:hAnsiTheme="minorHAnsi"/>
          <w:bCs/>
          <w:snapToGrid w:val="0"/>
        </w:rPr>
        <w:t>As such,</w:t>
      </w:r>
      <w:r w:rsidR="00DD3933">
        <w:rPr>
          <w:rFonts w:asciiTheme="minorHAnsi" w:hAnsiTheme="minorHAnsi"/>
          <w:bCs/>
          <w:snapToGrid w:val="0"/>
        </w:rPr>
        <w:t xml:space="preserve"> </w:t>
      </w:r>
      <w:r w:rsidR="005164C4">
        <w:rPr>
          <w:rFonts w:asciiTheme="minorHAnsi" w:hAnsiTheme="minorHAnsi"/>
          <w:bCs/>
          <w:snapToGrid w:val="0"/>
        </w:rPr>
        <w:t>not everyone</w:t>
      </w:r>
      <w:r w:rsidR="0061198A">
        <w:rPr>
          <w:rFonts w:asciiTheme="minorHAnsi" w:hAnsiTheme="minorHAnsi"/>
          <w:bCs/>
          <w:snapToGrid w:val="0"/>
        </w:rPr>
        <w:t xml:space="preserve"> </w:t>
      </w:r>
      <w:r w:rsidR="00A13F57">
        <w:rPr>
          <w:rFonts w:asciiTheme="minorHAnsi" w:hAnsiTheme="minorHAnsi"/>
          <w:bCs/>
          <w:snapToGrid w:val="0"/>
        </w:rPr>
        <w:t>will</w:t>
      </w:r>
      <w:r w:rsidR="0061198A">
        <w:rPr>
          <w:rFonts w:asciiTheme="minorHAnsi" w:hAnsiTheme="minorHAnsi"/>
          <w:bCs/>
          <w:snapToGrid w:val="0"/>
        </w:rPr>
        <w:t xml:space="preserve"> be suitable for </w:t>
      </w:r>
      <w:r w:rsidR="00C10FF6">
        <w:rPr>
          <w:rFonts w:asciiTheme="minorHAnsi" w:hAnsiTheme="minorHAnsi"/>
          <w:bCs/>
          <w:snapToGrid w:val="0"/>
        </w:rPr>
        <w:t xml:space="preserve">currently available therapies such as CAR-T or bispecific antibodies. </w:t>
      </w:r>
      <w:r w:rsidR="00B10E33">
        <w:rPr>
          <w:rFonts w:asciiTheme="minorHAnsi" w:hAnsiTheme="minorHAnsi"/>
          <w:bCs/>
          <w:snapToGrid w:val="0"/>
        </w:rPr>
        <w:t xml:space="preserve">Furthermore, the clinician described how a proportion of patients will still relapse despite </w:t>
      </w:r>
      <w:r w:rsidR="003112F2">
        <w:rPr>
          <w:rFonts w:asciiTheme="minorHAnsi" w:hAnsiTheme="minorHAnsi"/>
          <w:bCs/>
          <w:snapToGrid w:val="0"/>
        </w:rPr>
        <w:t xml:space="preserve">treatment with CAR-T </w:t>
      </w:r>
      <w:r w:rsidR="00215D75">
        <w:rPr>
          <w:rFonts w:asciiTheme="minorHAnsi" w:hAnsiTheme="minorHAnsi"/>
          <w:bCs/>
          <w:snapToGrid w:val="0"/>
        </w:rPr>
        <w:t>or</w:t>
      </w:r>
      <w:r w:rsidR="003112F2">
        <w:rPr>
          <w:rFonts w:asciiTheme="minorHAnsi" w:hAnsiTheme="minorHAnsi"/>
          <w:bCs/>
          <w:snapToGrid w:val="0"/>
        </w:rPr>
        <w:t xml:space="preserve"> bispecific antibodies. </w:t>
      </w:r>
      <w:r w:rsidR="00880EE2">
        <w:rPr>
          <w:rFonts w:asciiTheme="minorHAnsi" w:hAnsiTheme="minorHAnsi"/>
          <w:bCs/>
          <w:snapToGrid w:val="0"/>
        </w:rPr>
        <w:t xml:space="preserve">The clinician </w:t>
      </w:r>
      <w:r w:rsidR="00F2419C">
        <w:rPr>
          <w:rFonts w:asciiTheme="minorHAnsi" w:hAnsiTheme="minorHAnsi"/>
          <w:bCs/>
          <w:snapToGrid w:val="0"/>
        </w:rPr>
        <w:t xml:space="preserve">stated that there was a need for effective, </w:t>
      </w:r>
      <w:r w:rsidR="006D7CC7">
        <w:rPr>
          <w:rFonts w:asciiTheme="minorHAnsi" w:hAnsiTheme="minorHAnsi"/>
          <w:bCs/>
          <w:snapToGrid w:val="0"/>
        </w:rPr>
        <w:t>simpler, deliverable therapy for elderly/unfit patients</w:t>
      </w:r>
      <w:r w:rsidR="00644780">
        <w:rPr>
          <w:rFonts w:asciiTheme="minorHAnsi" w:hAnsiTheme="minorHAnsi"/>
          <w:bCs/>
          <w:snapToGrid w:val="0"/>
        </w:rPr>
        <w:t xml:space="preserve">, those with high risk/rapidly progressing disease or </w:t>
      </w:r>
      <w:r w:rsidR="00183809">
        <w:rPr>
          <w:rFonts w:asciiTheme="minorHAnsi" w:hAnsiTheme="minorHAnsi"/>
          <w:bCs/>
          <w:snapToGrid w:val="0"/>
        </w:rPr>
        <w:t xml:space="preserve">in patients ineligible or unable to access CAR-T </w:t>
      </w:r>
      <w:r w:rsidR="000273D6">
        <w:rPr>
          <w:rFonts w:asciiTheme="minorHAnsi" w:hAnsiTheme="minorHAnsi"/>
          <w:bCs/>
          <w:snapToGrid w:val="0"/>
        </w:rPr>
        <w:t xml:space="preserve">or ineligible for bispecific </w:t>
      </w:r>
      <w:r w:rsidR="00396CB1">
        <w:rPr>
          <w:rFonts w:asciiTheme="minorHAnsi" w:hAnsiTheme="minorHAnsi"/>
          <w:bCs/>
          <w:snapToGrid w:val="0"/>
        </w:rPr>
        <w:t xml:space="preserve">antibodies. </w:t>
      </w:r>
      <w:r w:rsidR="00FD1DFA">
        <w:rPr>
          <w:rFonts w:asciiTheme="minorHAnsi" w:hAnsiTheme="minorHAnsi"/>
          <w:bCs/>
          <w:snapToGrid w:val="0"/>
        </w:rPr>
        <w:t xml:space="preserve">In response to the Committee’s questions the clinician outlined </w:t>
      </w:r>
      <w:r w:rsidR="00065BA3">
        <w:rPr>
          <w:rFonts w:asciiTheme="minorHAnsi" w:hAnsiTheme="minorHAnsi"/>
          <w:bCs/>
          <w:snapToGrid w:val="0"/>
        </w:rPr>
        <w:t xml:space="preserve">the patients most likely to receive treatment with loncastuximab tesirine and </w:t>
      </w:r>
      <w:r w:rsidR="00B44F34">
        <w:rPr>
          <w:rFonts w:asciiTheme="minorHAnsi" w:hAnsiTheme="minorHAnsi"/>
          <w:bCs/>
          <w:snapToGrid w:val="0"/>
        </w:rPr>
        <w:t>discussed the likelihood of cure</w:t>
      </w:r>
      <w:r w:rsidR="00FB38FD">
        <w:rPr>
          <w:rFonts w:asciiTheme="minorHAnsi" w:hAnsiTheme="minorHAnsi"/>
          <w:bCs/>
          <w:snapToGrid w:val="0"/>
        </w:rPr>
        <w:t xml:space="preserve">. </w:t>
      </w:r>
      <w:r w:rsidR="004C75A4" w:rsidRPr="00836F75">
        <w:rPr>
          <w:rFonts w:asciiTheme="minorHAnsi" w:hAnsiTheme="minorHAnsi"/>
          <w:bCs/>
          <w:snapToGrid w:val="0"/>
        </w:rPr>
        <w:t>The PBAC considered that the hearing was informative as it provided a clinical perspective on treating this diseas</w:t>
      </w:r>
      <w:r w:rsidR="00FB38FD">
        <w:rPr>
          <w:rFonts w:asciiTheme="minorHAnsi" w:hAnsiTheme="minorHAnsi"/>
          <w:bCs/>
          <w:snapToGrid w:val="0"/>
        </w:rPr>
        <w:t>e</w:t>
      </w:r>
      <w:r w:rsidR="004C75A4" w:rsidRPr="00836F75">
        <w:rPr>
          <w:rFonts w:asciiTheme="minorHAnsi" w:hAnsiTheme="minorHAnsi"/>
          <w:bCs/>
          <w:snapToGrid w:val="0"/>
        </w:rPr>
        <w:t>.</w:t>
      </w:r>
    </w:p>
    <w:bookmarkEnd w:id="22"/>
    <w:p w14:paraId="639CE987" w14:textId="77777777" w:rsidR="004C75A4" w:rsidRPr="000B298F" w:rsidRDefault="004C75A4" w:rsidP="000B298F">
      <w:pPr>
        <w:pStyle w:val="4-SubsectionHeading"/>
      </w:pPr>
      <w:r w:rsidRPr="000B298F">
        <w:t>Consumer inputs</w:t>
      </w:r>
    </w:p>
    <w:p w14:paraId="22078A5B" w14:textId="2E81A4ED" w:rsidR="00F261EE" w:rsidRDefault="00B84879" w:rsidP="00692B2B">
      <w:pPr>
        <w:pStyle w:val="3-BodyText"/>
      </w:pPr>
      <w:bookmarkStart w:id="23" w:name="_Hlk76382618"/>
      <w:r w:rsidRPr="00D57480">
        <w:t xml:space="preserve">The </w:t>
      </w:r>
      <w:r>
        <w:t>PBAC</w:t>
      </w:r>
      <w:r w:rsidRPr="00D57480">
        <w:t xml:space="preserve"> noted and welcomed input from health care professionals (1) and organisations (2) via the</w:t>
      </w:r>
      <w:r w:rsidRPr="00D57480">
        <w:rPr>
          <w:snapToGrid w:val="0"/>
        </w:rPr>
        <w:t xml:space="preserve"> Office of Health Technology Assessment Consultation Hub.</w:t>
      </w:r>
      <w:r w:rsidR="0009691B">
        <w:rPr>
          <w:snapToGrid w:val="0"/>
        </w:rPr>
        <w:t xml:space="preserve"> </w:t>
      </w:r>
      <w:r w:rsidRPr="00D57480">
        <w:t xml:space="preserve">Comments from a health care professional described reports of complete response, ongoing disease control and functional improvement in </w:t>
      </w:r>
      <w:r w:rsidR="00E22E98">
        <w:t xml:space="preserve">a </w:t>
      </w:r>
      <w:r w:rsidRPr="00D57480">
        <w:t>patient with this condition</w:t>
      </w:r>
      <w:r w:rsidR="00FF5999">
        <w:t xml:space="preserve"> treated with loncastuximab tesirine</w:t>
      </w:r>
      <w:r w:rsidRPr="00D57480">
        <w:t xml:space="preserve">. </w:t>
      </w:r>
      <w:r w:rsidR="00426F7E">
        <w:t xml:space="preserve">The </w:t>
      </w:r>
      <w:r w:rsidR="00075B6A">
        <w:t xml:space="preserve">health care professional described loncastuximab tesirine as offering a crucial </w:t>
      </w:r>
      <w:r w:rsidR="00ED3BF8">
        <w:t>treatment option for patients with no remaining approved therapies or trial opportunities</w:t>
      </w:r>
      <w:r w:rsidR="00D61E4E">
        <w:t xml:space="preserve"> (</w:t>
      </w:r>
      <w:r w:rsidR="00B150CE">
        <w:t>especially for those</w:t>
      </w:r>
      <w:r w:rsidR="00224736" w:rsidRPr="00D57480">
        <w:t xml:space="preserve"> patients with poor renal function</w:t>
      </w:r>
      <w:r w:rsidR="00B150CE">
        <w:t>)</w:t>
      </w:r>
      <w:r w:rsidR="00224736">
        <w:t>.</w:t>
      </w:r>
      <w:r w:rsidR="00ED3BF8">
        <w:t xml:space="preserve"> </w:t>
      </w:r>
      <w:r w:rsidR="00C65287" w:rsidRPr="00D57480">
        <w:t xml:space="preserve">Rare Cancers Australia described the safety profile as consistent with </w:t>
      </w:r>
      <w:r w:rsidR="00184A73">
        <w:t xml:space="preserve">that for </w:t>
      </w:r>
      <w:r w:rsidR="00C65287" w:rsidRPr="00D57480">
        <w:t>other cancer treatments, with quality</w:t>
      </w:r>
      <w:r w:rsidR="00C65287" w:rsidRPr="00D57480">
        <w:rPr>
          <w:rFonts w:ascii="Cambria Math" w:hAnsi="Cambria Math" w:cs="Cambria Math"/>
        </w:rPr>
        <w:t>‑</w:t>
      </w:r>
      <w:r w:rsidR="00C65287" w:rsidRPr="00D57480">
        <w:t>of</w:t>
      </w:r>
      <w:r w:rsidR="00C65287" w:rsidRPr="00D57480">
        <w:rPr>
          <w:rFonts w:ascii="Cambria Math" w:hAnsi="Cambria Math" w:cs="Cambria Math"/>
        </w:rPr>
        <w:t>‑</w:t>
      </w:r>
      <w:r w:rsidR="00C65287" w:rsidRPr="00D57480">
        <w:t>life benefits attributed to the short, infrequent infusion schedule.</w:t>
      </w:r>
      <w:r w:rsidR="002B0988">
        <w:t xml:space="preserve"> </w:t>
      </w:r>
    </w:p>
    <w:p w14:paraId="452B7DD2" w14:textId="15BF83B2" w:rsidR="00B84879" w:rsidRDefault="006A16F3" w:rsidP="00692B2B">
      <w:pPr>
        <w:pStyle w:val="3-BodyText"/>
      </w:pPr>
      <w:r>
        <w:lastRenderedPageBreak/>
        <w:t xml:space="preserve">The PBAC noted </w:t>
      </w:r>
      <w:r w:rsidR="00E50712">
        <w:t xml:space="preserve">the </w:t>
      </w:r>
      <w:r w:rsidR="00593B65">
        <w:t xml:space="preserve">advice received </w:t>
      </w:r>
      <w:r w:rsidR="00B84879" w:rsidRPr="00D57480">
        <w:t xml:space="preserve">from the Australian Leukaemia &amp; Lymphoma Group </w:t>
      </w:r>
      <w:r w:rsidR="00EF1FD7">
        <w:t xml:space="preserve">(ALLG) </w:t>
      </w:r>
      <w:r w:rsidR="00593B65">
        <w:t xml:space="preserve">and considered that it was comprehensive and informative. The advice </w:t>
      </w:r>
      <w:r w:rsidR="00485A30">
        <w:t xml:space="preserve">provided an overview of </w:t>
      </w:r>
      <w:r w:rsidR="00C11EDB">
        <w:t xml:space="preserve">current treatment options for DLBCL </w:t>
      </w:r>
      <w:r w:rsidR="00CB7471">
        <w:t>and the burden of relapse.</w:t>
      </w:r>
      <w:r w:rsidR="0022440A">
        <w:t xml:space="preserve"> </w:t>
      </w:r>
      <w:r w:rsidR="00EF1FD7">
        <w:t xml:space="preserve">The ALLG input </w:t>
      </w:r>
      <w:r w:rsidR="00B84879" w:rsidRPr="00D57480">
        <w:t>described loncastuximab tesirine as</w:t>
      </w:r>
      <w:r w:rsidR="00B84879" w:rsidRPr="00D57480" w:rsidDel="00523EBB">
        <w:t xml:space="preserve"> </w:t>
      </w:r>
      <w:r w:rsidR="00B84879" w:rsidRPr="00D57480">
        <w:t>an important off</w:t>
      </w:r>
      <w:r w:rsidR="00B84879" w:rsidRPr="00692B2B">
        <w:rPr>
          <w:rFonts w:ascii="Cambria Math" w:hAnsi="Cambria Math" w:cs="Cambria Math"/>
        </w:rPr>
        <w:t>‑</w:t>
      </w:r>
      <w:r w:rsidR="00B84879" w:rsidRPr="00D57480">
        <w:t>the</w:t>
      </w:r>
      <w:r w:rsidR="00B84879" w:rsidRPr="00692B2B">
        <w:rPr>
          <w:rFonts w:ascii="Cambria Math" w:hAnsi="Cambria Math" w:cs="Cambria Math"/>
        </w:rPr>
        <w:t>‑</w:t>
      </w:r>
      <w:r w:rsidR="00B84879" w:rsidRPr="00D57480">
        <w:t>shelf option for patients unsuitable for, or relapsing after, CAR</w:t>
      </w:r>
      <w:r w:rsidR="00B84879" w:rsidRPr="00692B2B">
        <w:rPr>
          <w:rFonts w:ascii="Cambria Math" w:hAnsi="Cambria Math" w:cs="Cambria Math"/>
        </w:rPr>
        <w:t>‑</w:t>
      </w:r>
      <w:r w:rsidR="00B84879" w:rsidRPr="00D57480">
        <w:t xml:space="preserve">T or bispecific therapies. </w:t>
      </w:r>
      <w:r w:rsidR="00CD3D48">
        <w:t>Consistent with the other input received</w:t>
      </w:r>
      <w:r w:rsidR="00B56E8E">
        <w:t>, t</w:t>
      </w:r>
      <w:r w:rsidR="00B35467">
        <w:t>he ALLG s</w:t>
      </w:r>
      <w:r w:rsidR="00B84879" w:rsidRPr="00D57480">
        <w:t>ubmission also emphasised access and equity considerations</w:t>
      </w:r>
      <w:r w:rsidR="00E60671">
        <w:t xml:space="preserve">. </w:t>
      </w:r>
      <w:r w:rsidR="00980C53">
        <w:t xml:space="preserve">These considerations were reported to arise due to </w:t>
      </w:r>
      <w:r w:rsidR="00BC5D52">
        <w:t xml:space="preserve">patients needing to travel to major hospitals to receive CAR-T </w:t>
      </w:r>
      <w:r w:rsidR="0063288D">
        <w:t xml:space="preserve">or </w:t>
      </w:r>
      <w:r w:rsidR="00980C53">
        <w:t>larger hospitals to receive bi</w:t>
      </w:r>
      <w:r w:rsidR="007E43EF">
        <w:t xml:space="preserve">specific therapies as </w:t>
      </w:r>
      <w:r w:rsidR="0063288D">
        <w:t xml:space="preserve">many smaller hospitals </w:t>
      </w:r>
      <w:r w:rsidR="007E43EF">
        <w:t xml:space="preserve">are </w:t>
      </w:r>
      <w:r w:rsidR="0063288D">
        <w:t>not equipped to manage severe immunotherapy reactions</w:t>
      </w:r>
      <w:r w:rsidR="007E43EF">
        <w:t xml:space="preserve"> if they arise. </w:t>
      </w:r>
      <w:r w:rsidR="005034E1">
        <w:t xml:space="preserve">The ALLG input suggested that </w:t>
      </w:r>
      <w:r w:rsidR="00A03263">
        <w:t xml:space="preserve">as </w:t>
      </w:r>
      <w:r w:rsidR="000222C9">
        <w:t xml:space="preserve">loncastuximab tesirine </w:t>
      </w:r>
      <w:r w:rsidR="00A03263">
        <w:t xml:space="preserve">is delivered as </w:t>
      </w:r>
      <w:r w:rsidR="0060422A">
        <w:t xml:space="preserve">a short infusion every 3 weeks and has a toxicity profile that does not typically require ICU-level intervention it has the potential </w:t>
      </w:r>
      <w:r w:rsidR="000222C9">
        <w:t xml:space="preserve">to be </w:t>
      </w:r>
      <w:r w:rsidR="00B84879" w:rsidRPr="00D57480">
        <w:t>deliver</w:t>
      </w:r>
      <w:r w:rsidR="000222C9">
        <w:t>ed</w:t>
      </w:r>
      <w:r w:rsidR="00B84879" w:rsidRPr="00D57480">
        <w:t xml:space="preserve"> in regional cancer centres</w:t>
      </w:r>
      <w:r w:rsidR="00986DB5">
        <w:t>,</w:t>
      </w:r>
      <w:r w:rsidR="004F378D">
        <w:t xml:space="preserve"> improving access outside of major cities</w:t>
      </w:r>
      <w:r w:rsidR="00B84879" w:rsidRPr="00D57480">
        <w:t>.</w:t>
      </w:r>
    </w:p>
    <w:bookmarkEnd w:id="19"/>
    <w:bookmarkEnd w:id="23"/>
    <w:p w14:paraId="33930255" w14:textId="60427045" w:rsidR="007B03F7" w:rsidRPr="001A2112" w:rsidRDefault="007B03F7" w:rsidP="007B03F7">
      <w:pPr>
        <w:pStyle w:val="4-SubsectionHeading"/>
        <w:rPr>
          <w:i w:val="0"/>
        </w:rPr>
      </w:pPr>
      <w:r w:rsidRPr="000B298F">
        <w:t>Clinical</w:t>
      </w:r>
      <w:r w:rsidRPr="001A2112">
        <w:rPr>
          <w:i w:val="0"/>
        </w:rPr>
        <w:t xml:space="preserve"> </w:t>
      </w:r>
      <w:r w:rsidRPr="000B298F">
        <w:t>studies</w:t>
      </w:r>
      <w:bookmarkEnd w:id="20"/>
      <w:bookmarkEnd w:id="21"/>
    </w:p>
    <w:p w14:paraId="29CD519E" w14:textId="77777777" w:rsidR="007B03F7" w:rsidRPr="001A2112" w:rsidRDefault="007B03F7" w:rsidP="007B03F7">
      <w:pPr>
        <w:pStyle w:val="3-BodyText"/>
        <w:numPr>
          <w:ilvl w:val="1"/>
          <w:numId w:val="1"/>
        </w:numPr>
        <w:rPr>
          <w:color w:val="0066FF"/>
        </w:rPr>
      </w:pPr>
      <w:r w:rsidRPr="001A2112">
        <w:t>The submission was based on a single-arm study of loncastuximab tesirine in patients with R/R DLBCL who had received at least two prior systemic therapies (n=145) (LOTIS-2) and a matching adjusted indirect comparison (MAIC) of loncastuximab tesirine and chemoimmunotherapy, based on LOTIS-2 and pooled results from two published, observational extension studies of a randomised controlled trial (RCT) (CORAL).</w:t>
      </w:r>
    </w:p>
    <w:p w14:paraId="44C0F2F7" w14:textId="6353FB55" w:rsidR="007B03F7" w:rsidRPr="001A2112" w:rsidRDefault="007B03F7" w:rsidP="007B03F7">
      <w:pPr>
        <w:pStyle w:val="3-BodyText"/>
        <w:numPr>
          <w:ilvl w:val="1"/>
          <w:numId w:val="1"/>
        </w:numPr>
      </w:pPr>
      <w:r w:rsidRPr="001A2112">
        <w:t xml:space="preserve">Details of the studies presented in the submission are provided in </w:t>
      </w:r>
      <w:r w:rsidRPr="001A2112">
        <w:fldChar w:fldCharType="begin"/>
      </w:r>
      <w:r w:rsidRPr="001A2112">
        <w:instrText xml:space="preserve"> REF _Ref219123652 \h </w:instrText>
      </w:r>
      <w:r w:rsidR="001A2112" w:rsidRPr="001A2112">
        <w:instrText xml:space="preserve"> \* MERGEFORMAT </w:instrText>
      </w:r>
      <w:r w:rsidRPr="001A2112">
        <w:fldChar w:fldCharType="separate"/>
      </w:r>
      <w:r w:rsidR="007D33FD" w:rsidRPr="001A2112">
        <w:t xml:space="preserve">Table </w:t>
      </w:r>
      <w:r w:rsidR="007D33FD" w:rsidRPr="001A2112">
        <w:rPr>
          <w:noProof/>
        </w:rPr>
        <w:t>2</w:t>
      </w:r>
      <w:r w:rsidRPr="001A2112">
        <w:fldChar w:fldCharType="end"/>
      </w:r>
      <w:r w:rsidRPr="001A2112">
        <w:t>.</w:t>
      </w:r>
    </w:p>
    <w:p w14:paraId="3935BC08" w14:textId="2CD60F02" w:rsidR="007B03F7" w:rsidRPr="001A2112" w:rsidRDefault="007B03F7" w:rsidP="007B03F7">
      <w:pPr>
        <w:pStyle w:val="TableFigureHeading"/>
        <w:rPr>
          <w:rStyle w:val="CommentReference"/>
          <w:b/>
          <w:szCs w:val="24"/>
        </w:rPr>
      </w:pPr>
      <w:bookmarkStart w:id="24" w:name="_Ref219123652"/>
      <w:r w:rsidRPr="001A2112">
        <w:t xml:space="preserve">Table </w:t>
      </w:r>
      <w:r w:rsidRPr="001A2112">
        <w:fldChar w:fldCharType="begin"/>
      </w:r>
      <w:r w:rsidRPr="001A2112">
        <w:instrText>SEQ Table \* ARABIC</w:instrText>
      </w:r>
      <w:r w:rsidRPr="001A2112">
        <w:fldChar w:fldCharType="separate"/>
      </w:r>
      <w:r w:rsidR="007D33FD" w:rsidRPr="001A2112">
        <w:rPr>
          <w:noProof/>
        </w:rPr>
        <w:t>2</w:t>
      </w:r>
      <w:r w:rsidRPr="001A2112">
        <w:fldChar w:fldCharType="end"/>
      </w:r>
      <w:bookmarkEnd w:id="24"/>
      <w:r w:rsidRPr="001A2112">
        <w:t>:</w:t>
      </w:r>
      <w:r w:rsidRPr="001A2112">
        <w:rPr>
          <w:rStyle w:val="CommentReference"/>
          <w:b/>
          <w:szCs w:val="24"/>
        </w:rPr>
        <w:t xml:space="preserve"> Studies and key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Studies and key associated reports presented in the submission"/>
      </w:tblPr>
      <w:tblGrid>
        <w:gridCol w:w="1435"/>
        <w:gridCol w:w="5459"/>
        <w:gridCol w:w="2123"/>
      </w:tblGrid>
      <w:tr w:rsidR="007B03F7" w:rsidRPr="001A2112" w14:paraId="67066C11" w14:textId="77777777">
        <w:trPr>
          <w:tblHeader/>
        </w:trPr>
        <w:tc>
          <w:tcPr>
            <w:tcW w:w="796" w:type="pct"/>
            <w:tcBorders>
              <w:bottom w:val="single" w:sz="4" w:space="0" w:color="auto"/>
            </w:tcBorders>
            <w:vAlign w:val="center"/>
          </w:tcPr>
          <w:p w14:paraId="5D7B51A0" w14:textId="77777777" w:rsidR="007B03F7" w:rsidRPr="001A2112" w:rsidRDefault="007B03F7">
            <w:pPr>
              <w:pStyle w:val="In-tableHeading"/>
              <w:rPr>
                <w:lang w:val="en-AU"/>
              </w:rPr>
            </w:pPr>
            <w:r w:rsidRPr="001A2112">
              <w:rPr>
                <w:lang w:val="en-AU"/>
              </w:rPr>
              <w:t>Study ID</w:t>
            </w:r>
          </w:p>
        </w:tc>
        <w:tc>
          <w:tcPr>
            <w:tcW w:w="3027" w:type="pct"/>
            <w:tcBorders>
              <w:bottom w:val="single" w:sz="4" w:space="0" w:color="auto"/>
            </w:tcBorders>
            <w:vAlign w:val="center"/>
          </w:tcPr>
          <w:p w14:paraId="5EF75558" w14:textId="77777777" w:rsidR="007B03F7" w:rsidRPr="001A2112" w:rsidRDefault="007B03F7">
            <w:pPr>
              <w:pStyle w:val="In-tableHeading"/>
              <w:rPr>
                <w:lang w:val="en-AU"/>
              </w:rPr>
            </w:pPr>
            <w:r w:rsidRPr="001A2112">
              <w:rPr>
                <w:lang w:val="en-AU"/>
              </w:rPr>
              <w:t>Protocol title/ Publication title</w:t>
            </w:r>
          </w:p>
        </w:tc>
        <w:tc>
          <w:tcPr>
            <w:tcW w:w="1177" w:type="pct"/>
            <w:tcBorders>
              <w:bottom w:val="single" w:sz="4" w:space="0" w:color="auto"/>
            </w:tcBorders>
            <w:vAlign w:val="center"/>
          </w:tcPr>
          <w:p w14:paraId="5191F23A" w14:textId="77777777" w:rsidR="007B03F7" w:rsidRPr="001A2112" w:rsidRDefault="007B03F7">
            <w:pPr>
              <w:pStyle w:val="In-tableHeading"/>
              <w:rPr>
                <w:lang w:val="en-AU"/>
              </w:rPr>
            </w:pPr>
            <w:r w:rsidRPr="001A2112">
              <w:rPr>
                <w:lang w:val="en-AU"/>
              </w:rPr>
              <w:t>Publication citation</w:t>
            </w:r>
          </w:p>
        </w:tc>
      </w:tr>
      <w:tr w:rsidR="007B03F7" w:rsidRPr="001A2112" w14:paraId="31231A53" w14:textId="77777777">
        <w:tc>
          <w:tcPr>
            <w:tcW w:w="796" w:type="pct"/>
            <w:tcBorders>
              <w:bottom w:val="nil"/>
            </w:tcBorders>
            <w:vAlign w:val="center"/>
          </w:tcPr>
          <w:p w14:paraId="7C6CAF93" w14:textId="77777777" w:rsidR="007B03F7" w:rsidRPr="001A2112" w:rsidRDefault="007B03F7">
            <w:pPr>
              <w:pStyle w:val="TableText0"/>
            </w:pPr>
            <w:r w:rsidRPr="001A2112">
              <w:t>LOTIS-2 (NCT03589469)</w:t>
            </w:r>
          </w:p>
        </w:tc>
        <w:tc>
          <w:tcPr>
            <w:tcW w:w="3027" w:type="pct"/>
            <w:tcBorders>
              <w:bottom w:val="nil"/>
            </w:tcBorders>
            <w:vAlign w:val="center"/>
          </w:tcPr>
          <w:p w14:paraId="70988DB7" w14:textId="77777777" w:rsidR="007B03F7" w:rsidRPr="001A2112" w:rsidRDefault="007B03F7">
            <w:pPr>
              <w:pStyle w:val="TableText0"/>
              <w:rPr>
                <w:szCs w:val="18"/>
              </w:rPr>
            </w:pPr>
            <w:r w:rsidRPr="001A2112">
              <w:rPr>
                <w:szCs w:val="18"/>
              </w:rPr>
              <w:t>A Phase 2 Open-Label Single-Arm Study to Evaluate the Efficacy and Safety of Loncastuximab Tesirine in Patients with Relapsed or Refractory Diffuse Large B-Cell Lymphoma (DLBCL)</w:t>
            </w:r>
          </w:p>
        </w:tc>
        <w:tc>
          <w:tcPr>
            <w:tcW w:w="1177" w:type="pct"/>
            <w:tcBorders>
              <w:bottom w:val="nil"/>
            </w:tcBorders>
            <w:vAlign w:val="center"/>
          </w:tcPr>
          <w:p w14:paraId="2781944D" w14:textId="77777777" w:rsidR="007B03F7" w:rsidRPr="001A2112" w:rsidRDefault="007B03F7">
            <w:pPr>
              <w:pStyle w:val="TableText0"/>
            </w:pPr>
            <w:r w:rsidRPr="001A2112">
              <w:t>Clinical Study Report (Final) 11 April 2023.</w:t>
            </w:r>
          </w:p>
        </w:tc>
      </w:tr>
      <w:tr w:rsidR="007B03F7" w:rsidRPr="001A2112" w14:paraId="6D13E6C2" w14:textId="77777777">
        <w:tc>
          <w:tcPr>
            <w:tcW w:w="796" w:type="pct"/>
            <w:tcBorders>
              <w:top w:val="nil"/>
            </w:tcBorders>
            <w:vAlign w:val="center"/>
          </w:tcPr>
          <w:p w14:paraId="2AB5BF84" w14:textId="77777777" w:rsidR="007B03F7" w:rsidRPr="001A2112" w:rsidRDefault="007B03F7">
            <w:pPr>
              <w:pStyle w:val="TableText0"/>
            </w:pPr>
          </w:p>
        </w:tc>
        <w:tc>
          <w:tcPr>
            <w:tcW w:w="3027" w:type="pct"/>
            <w:tcBorders>
              <w:top w:val="nil"/>
            </w:tcBorders>
            <w:vAlign w:val="center"/>
          </w:tcPr>
          <w:p w14:paraId="1980EADF" w14:textId="77777777" w:rsidR="007B03F7" w:rsidRPr="001A2112" w:rsidRDefault="007B03F7">
            <w:pPr>
              <w:pStyle w:val="TableText0"/>
              <w:rPr>
                <w:szCs w:val="18"/>
              </w:rPr>
            </w:pPr>
            <w:r w:rsidRPr="001A2112">
              <w:rPr>
                <w:szCs w:val="18"/>
              </w:rPr>
              <w:t>A Phase 2 Open-Label Single-Arm Study to Evaluate the Efficacy and</w:t>
            </w:r>
          </w:p>
          <w:p w14:paraId="01BF1E2B" w14:textId="77777777" w:rsidR="007B03F7" w:rsidRPr="001A2112" w:rsidRDefault="007B03F7">
            <w:pPr>
              <w:pStyle w:val="TableText0"/>
              <w:rPr>
                <w:szCs w:val="18"/>
              </w:rPr>
            </w:pPr>
            <w:r w:rsidRPr="001A2112">
              <w:rPr>
                <w:szCs w:val="18"/>
              </w:rPr>
              <w:t>Safety of Loncastuximab Tesirine in Patients with Relapsed or Refractory</w:t>
            </w:r>
          </w:p>
          <w:p w14:paraId="1BF51118" w14:textId="77777777" w:rsidR="007B03F7" w:rsidRPr="001A2112" w:rsidRDefault="007B03F7">
            <w:pPr>
              <w:pStyle w:val="TableText0"/>
              <w:rPr>
                <w:szCs w:val="18"/>
              </w:rPr>
            </w:pPr>
            <w:r w:rsidRPr="001A2112">
              <w:rPr>
                <w:szCs w:val="18"/>
              </w:rPr>
              <w:t>Diffuse Large B-Cell Lymphoma (DLBCL)</w:t>
            </w:r>
          </w:p>
        </w:tc>
        <w:tc>
          <w:tcPr>
            <w:tcW w:w="1177" w:type="pct"/>
            <w:tcBorders>
              <w:top w:val="nil"/>
            </w:tcBorders>
            <w:vAlign w:val="center"/>
          </w:tcPr>
          <w:p w14:paraId="239D856A" w14:textId="77777777" w:rsidR="007B03F7" w:rsidRPr="001A2112" w:rsidRDefault="007B03F7">
            <w:pPr>
              <w:pStyle w:val="TableText0"/>
              <w:rPr>
                <w:szCs w:val="18"/>
              </w:rPr>
            </w:pPr>
            <w:r w:rsidRPr="001A2112">
              <w:rPr>
                <w:szCs w:val="18"/>
              </w:rPr>
              <w:t>Clinical Study Protocol (August 2020)</w:t>
            </w:r>
          </w:p>
        </w:tc>
      </w:tr>
      <w:tr w:rsidR="007B03F7" w:rsidRPr="001A2112" w14:paraId="07672A38" w14:textId="77777777">
        <w:tc>
          <w:tcPr>
            <w:tcW w:w="796" w:type="pct"/>
            <w:vMerge w:val="restart"/>
            <w:tcBorders>
              <w:top w:val="nil"/>
            </w:tcBorders>
            <w:vAlign w:val="center"/>
          </w:tcPr>
          <w:p w14:paraId="2F88839C" w14:textId="77777777" w:rsidR="007B03F7" w:rsidRPr="001A2112" w:rsidRDefault="007B03F7">
            <w:pPr>
              <w:pStyle w:val="TableText0"/>
            </w:pPr>
            <w:r w:rsidRPr="001A2112">
              <w:t>CORAL extension studies</w:t>
            </w:r>
          </w:p>
        </w:tc>
        <w:tc>
          <w:tcPr>
            <w:tcW w:w="3027" w:type="pct"/>
            <w:tcBorders>
              <w:top w:val="nil"/>
            </w:tcBorders>
            <w:vAlign w:val="center"/>
          </w:tcPr>
          <w:p w14:paraId="232DB723" w14:textId="77777777" w:rsidR="007B03F7" w:rsidRPr="001A2112" w:rsidRDefault="007B03F7">
            <w:pPr>
              <w:pStyle w:val="TableText0"/>
              <w:rPr>
                <w:szCs w:val="18"/>
              </w:rPr>
            </w:pPr>
            <w:r w:rsidRPr="001A2112">
              <w:t>Outcomes of diffuse large B-cell lymphoma patients relapsing after autologous stem cell transplantation: an analysis of patients included in the CORAL study.</w:t>
            </w:r>
          </w:p>
        </w:tc>
        <w:tc>
          <w:tcPr>
            <w:tcW w:w="1177" w:type="pct"/>
            <w:tcBorders>
              <w:top w:val="nil"/>
            </w:tcBorders>
            <w:vAlign w:val="center"/>
          </w:tcPr>
          <w:p w14:paraId="2BD78DC9" w14:textId="77777777" w:rsidR="007B03F7" w:rsidRPr="001A2112" w:rsidRDefault="007B03F7">
            <w:pPr>
              <w:pStyle w:val="TableText0"/>
              <w:rPr>
                <w:szCs w:val="18"/>
              </w:rPr>
            </w:pPr>
            <w:r w:rsidRPr="001A2112">
              <w:t>Bone Marrow Transplant. 2017. 52(2): 216-221.</w:t>
            </w:r>
          </w:p>
        </w:tc>
      </w:tr>
      <w:tr w:rsidR="007B03F7" w:rsidRPr="001A2112" w14:paraId="560DB7AB" w14:textId="77777777">
        <w:tc>
          <w:tcPr>
            <w:tcW w:w="796" w:type="pct"/>
            <w:vMerge/>
            <w:vAlign w:val="center"/>
          </w:tcPr>
          <w:p w14:paraId="1BCB63CA" w14:textId="77777777" w:rsidR="007B03F7" w:rsidRPr="001A2112" w:rsidRDefault="007B03F7">
            <w:pPr>
              <w:pStyle w:val="TableText0"/>
            </w:pPr>
          </w:p>
        </w:tc>
        <w:tc>
          <w:tcPr>
            <w:tcW w:w="3027" w:type="pct"/>
            <w:tcBorders>
              <w:top w:val="nil"/>
            </w:tcBorders>
            <w:vAlign w:val="center"/>
          </w:tcPr>
          <w:p w14:paraId="64BFEDC2" w14:textId="77777777" w:rsidR="007B03F7" w:rsidRPr="001A2112" w:rsidRDefault="007B03F7">
            <w:pPr>
              <w:pStyle w:val="TableText0"/>
              <w:rPr>
                <w:szCs w:val="18"/>
              </w:rPr>
            </w:pPr>
            <w:r w:rsidRPr="001A2112">
              <w:t>Outcome of patients with relapsed diffuse large B-cell lymphoma who fail second-line salvage regimens in the International CORAL study.</w:t>
            </w:r>
          </w:p>
        </w:tc>
        <w:tc>
          <w:tcPr>
            <w:tcW w:w="1177" w:type="pct"/>
            <w:tcBorders>
              <w:top w:val="nil"/>
            </w:tcBorders>
            <w:vAlign w:val="center"/>
          </w:tcPr>
          <w:p w14:paraId="32112037" w14:textId="7ADB7048" w:rsidR="007B03F7" w:rsidRPr="001A2112" w:rsidRDefault="007B03F7">
            <w:pPr>
              <w:pStyle w:val="TableText0"/>
              <w:rPr>
                <w:szCs w:val="18"/>
              </w:rPr>
            </w:pPr>
            <w:r w:rsidRPr="001A2112">
              <w:t>Bone Marrow Transplant. 2016.</w:t>
            </w:r>
            <w:r w:rsidR="005822E1">
              <w:t xml:space="preserve"> </w:t>
            </w:r>
            <w:r w:rsidRPr="001A2112">
              <w:t>51(1): 51-57.</w:t>
            </w:r>
          </w:p>
        </w:tc>
      </w:tr>
      <w:tr w:rsidR="007B03F7" w:rsidRPr="001A2112" w14:paraId="6C7B3067" w14:textId="77777777">
        <w:tc>
          <w:tcPr>
            <w:tcW w:w="796" w:type="pct"/>
            <w:vAlign w:val="center"/>
          </w:tcPr>
          <w:p w14:paraId="674C0538" w14:textId="77777777" w:rsidR="007B03F7" w:rsidRPr="001A2112" w:rsidRDefault="007B03F7">
            <w:pPr>
              <w:pStyle w:val="TableText0"/>
            </w:pPr>
            <w:r w:rsidRPr="001A2112">
              <w:t>MAIC report</w:t>
            </w:r>
          </w:p>
        </w:tc>
        <w:tc>
          <w:tcPr>
            <w:tcW w:w="3027" w:type="pct"/>
            <w:vAlign w:val="center"/>
          </w:tcPr>
          <w:p w14:paraId="6A7116F9" w14:textId="77777777" w:rsidR="007B03F7" w:rsidRPr="001A2112" w:rsidRDefault="007B03F7">
            <w:pPr>
              <w:pStyle w:val="TableText0"/>
              <w:rPr>
                <w:szCs w:val="18"/>
              </w:rPr>
            </w:pPr>
            <w:r w:rsidRPr="001A2112">
              <w:rPr>
                <w:szCs w:val="18"/>
              </w:rPr>
              <w:t>MAICs of loncastuximab tesirine versus relevant comparators for the treatment of R/R DLBCL after two or more lines of systemic therapy</w:t>
            </w:r>
          </w:p>
        </w:tc>
        <w:tc>
          <w:tcPr>
            <w:tcW w:w="1177" w:type="pct"/>
            <w:vAlign w:val="center"/>
          </w:tcPr>
          <w:p w14:paraId="0F8B424D" w14:textId="77777777" w:rsidR="007B03F7" w:rsidRPr="001A2112" w:rsidRDefault="007B03F7">
            <w:pPr>
              <w:pStyle w:val="TableText0"/>
              <w:rPr>
                <w:szCs w:val="18"/>
              </w:rPr>
            </w:pPr>
            <w:r w:rsidRPr="001A2112">
              <w:rPr>
                <w:szCs w:val="18"/>
              </w:rPr>
              <w:t>Attachment 2.6 MAIC report. Version 5. 18 October 2023</w:t>
            </w:r>
          </w:p>
        </w:tc>
      </w:tr>
    </w:tbl>
    <w:p w14:paraId="4CFCD49B" w14:textId="77777777" w:rsidR="007B03F7" w:rsidRPr="001A2112" w:rsidRDefault="007B03F7" w:rsidP="007B03F7">
      <w:pPr>
        <w:pStyle w:val="TableFigureFooter"/>
        <w:rPr>
          <w:rStyle w:val="CommentReference"/>
          <w:b w:val="0"/>
          <w:sz w:val="18"/>
          <w:szCs w:val="18"/>
          <w:shd w:val="clear" w:color="auto" w:fill="FFFFFF" w:themeFill="background1"/>
        </w:rPr>
      </w:pPr>
      <w:r w:rsidRPr="001A2112">
        <w:rPr>
          <w:rStyle w:val="CommentReference"/>
          <w:b w:val="0"/>
          <w:sz w:val="18"/>
          <w:szCs w:val="18"/>
          <w:shd w:val="clear" w:color="auto" w:fill="FFFFFF" w:themeFill="background1"/>
        </w:rPr>
        <w:t>Source: Compiled during the evaluation from Figure 2-1, p41, Table 2-2, pp43-45 and Attachments 2.3, 2.4 and 2.6 of the submission.</w:t>
      </w:r>
    </w:p>
    <w:p w14:paraId="1A751B72" w14:textId="77777777" w:rsidR="007B03F7" w:rsidRPr="001A2112" w:rsidRDefault="007B03F7" w:rsidP="007B03F7">
      <w:pPr>
        <w:pStyle w:val="3-BodyText"/>
        <w:numPr>
          <w:ilvl w:val="0"/>
          <w:numId w:val="0"/>
        </w:numPr>
        <w:ind w:left="720"/>
      </w:pPr>
    </w:p>
    <w:p w14:paraId="19AAB5CA" w14:textId="07EB68F9" w:rsidR="007B03F7" w:rsidRPr="001A2112" w:rsidRDefault="007B03F7" w:rsidP="007B03F7">
      <w:pPr>
        <w:pStyle w:val="3-BodyText"/>
        <w:numPr>
          <w:ilvl w:val="1"/>
          <w:numId w:val="1"/>
        </w:numPr>
        <w:rPr>
          <w:color w:val="0066FF"/>
        </w:rPr>
      </w:pPr>
      <w:r w:rsidRPr="001A2112">
        <w:t xml:space="preserve">The key features of the studies are summarised in </w:t>
      </w:r>
      <w:r w:rsidRPr="001A2112">
        <w:fldChar w:fldCharType="begin"/>
      </w:r>
      <w:r w:rsidRPr="001A2112">
        <w:instrText xml:space="preserve"> REF _Ref219124827 \h  \* MERGEFORMAT </w:instrText>
      </w:r>
      <w:r w:rsidRPr="001A2112">
        <w:fldChar w:fldCharType="separate"/>
      </w:r>
      <w:r w:rsidR="007D33FD" w:rsidRPr="001A2112">
        <w:t>Table 3</w:t>
      </w:r>
      <w:r w:rsidRPr="001A2112">
        <w:fldChar w:fldCharType="end"/>
      </w:r>
      <w:r w:rsidRPr="001A2112">
        <w:t>.</w:t>
      </w:r>
    </w:p>
    <w:p w14:paraId="450CC3E6" w14:textId="44FB5691" w:rsidR="007B03F7" w:rsidRPr="001A2112" w:rsidRDefault="007B03F7" w:rsidP="007B03F7">
      <w:pPr>
        <w:pStyle w:val="Caption"/>
        <w:rPr>
          <w:rStyle w:val="CommentReference"/>
          <w:rFonts w:eastAsiaTheme="majorEastAsia" w:cstheme="majorBidi"/>
          <w:b/>
          <w:szCs w:val="24"/>
        </w:rPr>
      </w:pPr>
      <w:bookmarkStart w:id="25" w:name="_Ref219124827"/>
      <w:r w:rsidRPr="001A2112">
        <w:rPr>
          <w:rStyle w:val="CommentReference"/>
          <w:rFonts w:eastAsiaTheme="majorEastAsia" w:cstheme="majorBidi"/>
          <w:b/>
          <w:szCs w:val="24"/>
        </w:rPr>
        <w:lastRenderedPageBreak/>
        <w:t xml:space="preserve">Table </w:t>
      </w:r>
      <w:r w:rsidRPr="001A2112">
        <w:rPr>
          <w:rStyle w:val="CommentReference"/>
          <w:rFonts w:eastAsiaTheme="majorEastAsia" w:cstheme="majorBidi"/>
          <w:b/>
          <w:szCs w:val="24"/>
        </w:rPr>
        <w:fldChar w:fldCharType="begin"/>
      </w:r>
      <w:r w:rsidRPr="001A2112">
        <w:rPr>
          <w:rStyle w:val="CommentReference"/>
          <w:rFonts w:eastAsiaTheme="majorEastAsia" w:cstheme="majorBidi"/>
          <w:b/>
          <w:szCs w:val="24"/>
        </w:rPr>
        <w:instrText xml:space="preserve"> SEQ Table \* ARABIC </w:instrText>
      </w:r>
      <w:r w:rsidRPr="001A2112">
        <w:rPr>
          <w:rStyle w:val="CommentReference"/>
          <w:rFonts w:eastAsiaTheme="majorEastAsia" w:cstheme="majorBidi"/>
          <w:b/>
          <w:szCs w:val="24"/>
        </w:rPr>
        <w:fldChar w:fldCharType="separate"/>
      </w:r>
      <w:r w:rsidR="007D33FD" w:rsidRPr="001A2112">
        <w:rPr>
          <w:rStyle w:val="CommentReference"/>
          <w:rFonts w:eastAsiaTheme="majorEastAsia" w:cstheme="majorBidi"/>
          <w:b/>
          <w:noProof/>
          <w:szCs w:val="24"/>
        </w:rPr>
        <w:t>3</w:t>
      </w:r>
      <w:r w:rsidRPr="001A2112">
        <w:rPr>
          <w:rStyle w:val="CommentReference"/>
          <w:rFonts w:eastAsiaTheme="majorEastAsia" w:cstheme="majorBidi"/>
          <w:b/>
          <w:szCs w:val="24"/>
        </w:rPr>
        <w:fldChar w:fldCharType="end"/>
      </w:r>
      <w:bookmarkEnd w:id="25"/>
      <w:r w:rsidRPr="001A2112">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696"/>
        <w:gridCol w:w="402"/>
        <w:gridCol w:w="1583"/>
        <w:gridCol w:w="918"/>
        <w:gridCol w:w="1634"/>
        <w:gridCol w:w="1417"/>
        <w:gridCol w:w="1367"/>
      </w:tblGrid>
      <w:tr w:rsidR="007B03F7" w:rsidRPr="001A2112" w14:paraId="19F990B2" w14:textId="77777777">
        <w:trPr>
          <w:cantSplit/>
          <w:tblHeader/>
        </w:trPr>
        <w:tc>
          <w:tcPr>
            <w:tcW w:w="940" w:type="pct"/>
            <w:vAlign w:val="center"/>
          </w:tcPr>
          <w:p w14:paraId="15C42D44" w14:textId="77777777" w:rsidR="007B03F7" w:rsidRPr="001A2112" w:rsidRDefault="007B03F7">
            <w:pPr>
              <w:pStyle w:val="In-tableHeading"/>
            </w:pPr>
            <w:r w:rsidRPr="001A2112">
              <w:t>Trial</w:t>
            </w:r>
          </w:p>
        </w:tc>
        <w:tc>
          <w:tcPr>
            <w:tcW w:w="223" w:type="pct"/>
            <w:vAlign w:val="center"/>
          </w:tcPr>
          <w:p w14:paraId="220953F6" w14:textId="77777777" w:rsidR="007B03F7" w:rsidRPr="001A2112" w:rsidRDefault="007B03F7">
            <w:pPr>
              <w:pStyle w:val="In-tableHeading"/>
              <w:jc w:val="center"/>
            </w:pPr>
            <w:r w:rsidRPr="001A2112">
              <w:t>N</w:t>
            </w:r>
          </w:p>
        </w:tc>
        <w:tc>
          <w:tcPr>
            <w:tcW w:w="878" w:type="pct"/>
            <w:vAlign w:val="center"/>
          </w:tcPr>
          <w:p w14:paraId="5AE6B811" w14:textId="77777777" w:rsidR="007B03F7" w:rsidRPr="001A2112" w:rsidRDefault="007B03F7">
            <w:pPr>
              <w:pStyle w:val="In-tableHeading"/>
              <w:jc w:val="center"/>
            </w:pPr>
            <w:r w:rsidRPr="001A2112">
              <w:t>Design/ duration</w:t>
            </w:r>
          </w:p>
        </w:tc>
        <w:tc>
          <w:tcPr>
            <w:tcW w:w="509" w:type="pct"/>
            <w:vAlign w:val="center"/>
          </w:tcPr>
          <w:p w14:paraId="60304AC0" w14:textId="77777777" w:rsidR="007B03F7" w:rsidRPr="001A2112" w:rsidRDefault="007B03F7">
            <w:pPr>
              <w:pStyle w:val="In-tableHeading"/>
              <w:jc w:val="center"/>
            </w:pPr>
            <w:r w:rsidRPr="001A2112">
              <w:t>Risk of bias</w:t>
            </w:r>
          </w:p>
        </w:tc>
        <w:tc>
          <w:tcPr>
            <w:tcW w:w="906" w:type="pct"/>
            <w:vAlign w:val="center"/>
          </w:tcPr>
          <w:p w14:paraId="37B09B24" w14:textId="77777777" w:rsidR="007B03F7" w:rsidRPr="001A2112" w:rsidRDefault="007B03F7">
            <w:pPr>
              <w:pStyle w:val="In-tableHeading"/>
              <w:jc w:val="center"/>
            </w:pPr>
            <w:r w:rsidRPr="001A2112">
              <w:t>Patient population</w:t>
            </w:r>
          </w:p>
        </w:tc>
        <w:tc>
          <w:tcPr>
            <w:tcW w:w="786" w:type="pct"/>
            <w:vAlign w:val="center"/>
          </w:tcPr>
          <w:p w14:paraId="0D3C836E" w14:textId="77777777" w:rsidR="007B03F7" w:rsidRPr="001A2112" w:rsidRDefault="007B03F7">
            <w:pPr>
              <w:pStyle w:val="In-tableHeading"/>
              <w:jc w:val="center"/>
            </w:pPr>
            <w:r w:rsidRPr="001A2112">
              <w:t>Outcome(s)</w:t>
            </w:r>
          </w:p>
        </w:tc>
        <w:tc>
          <w:tcPr>
            <w:tcW w:w="758" w:type="pct"/>
            <w:vAlign w:val="center"/>
          </w:tcPr>
          <w:p w14:paraId="658AD426" w14:textId="77777777" w:rsidR="007B03F7" w:rsidRPr="001A2112" w:rsidRDefault="007B03F7">
            <w:pPr>
              <w:pStyle w:val="In-tableHeading"/>
              <w:jc w:val="center"/>
            </w:pPr>
            <w:r w:rsidRPr="001A2112">
              <w:t>Use in modelled evaluation</w:t>
            </w:r>
          </w:p>
        </w:tc>
      </w:tr>
      <w:tr w:rsidR="007B03F7" w:rsidRPr="001A2112" w14:paraId="66C7F0E4" w14:textId="77777777">
        <w:trPr>
          <w:cantSplit/>
        </w:trPr>
        <w:tc>
          <w:tcPr>
            <w:tcW w:w="5000" w:type="pct"/>
            <w:gridSpan w:val="7"/>
            <w:vAlign w:val="center"/>
          </w:tcPr>
          <w:p w14:paraId="1630BCCE" w14:textId="77777777" w:rsidR="007B03F7" w:rsidRPr="001A2112" w:rsidRDefault="007B03F7">
            <w:pPr>
              <w:pStyle w:val="In-tableHeading"/>
            </w:pPr>
            <w:r w:rsidRPr="001A2112">
              <w:t>Loncastuximab tesirine</w:t>
            </w:r>
          </w:p>
        </w:tc>
      </w:tr>
      <w:tr w:rsidR="007B03F7" w:rsidRPr="001A2112" w14:paraId="1C3DAB99" w14:textId="77777777">
        <w:trPr>
          <w:cantSplit/>
        </w:trPr>
        <w:tc>
          <w:tcPr>
            <w:tcW w:w="940" w:type="pct"/>
            <w:vAlign w:val="center"/>
          </w:tcPr>
          <w:p w14:paraId="1F7154AA" w14:textId="77777777" w:rsidR="007B03F7" w:rsidRPr="001A2112" w:rsidRDefault="007B03F7">
            <w:pPr>
              <w:pStyle w:val="TableText0"/>
              <w:rPr>
                <w:lang w:val="en-US"/>
              </w:rPr>
            </w:pPr>
            <w:r w:rsidRPr="001A2112">
              <w:rPr>
                <w:lang w:val="en-US"/>
              </w:rPr>
              <w:t>LOTIS-2</w:t>
            </w:r>
          </w:p>
        </w:tc>
        <w:tc>
          <w:tcPr>
            <w:tcW w:w="223" w:type="pct"/>
            <w:vAlign w:val="center"/>
          </w:tcPr>
          <w:p w14:paraId="59C9BE92" w14:textId="77777777" w:rsidR="007B03F7" w:rsidRPr="001A2112" w:rsidRDefault="007B03F7">
            <w:pPr>
              <w:pStyle w:val="TableText0"/>
              <w:jc w:val="center"/>
              <w:rPr>
                <w:lang w:val="en-US"/>
              </w:rPr>
            </w:pPr>
            <w:r w:rsidRPr="001A2112">
              <w:rPr>
                <w:lang w:val="en-US"/>
              </w:rPr>
              <w:t>145</w:t>
            </w:r>
          </w:p>
        </w:tc>
        <w:tc>
          <w:tcPr>
            <w:tcW w:w="878" w:type="pct"/>
            <w:vAlign w:val="center"/>
          </w:tcPr>
          <w:p w14:paraId="2BA0C573" w14:textId="77777777" w:rsidR="007B03F7" w:rsidRPr="001A2112" w:rsidRDefault="007B03F7">
            <w:pPr>
              <w:pStyle w:val="TableText0"/>
              <w:jc w:val="center"/>
              <w:rPr>
                <w:lang w:val="en-US"/>
              </w:rPr>
            </w:pPr>
            <w:r w:rsidRPr="001A2112">
              <w:rPr>
                <w:lang w:val="en-US"/>
              </w:rPr>
              <w:t>P2, single-arm, international MC, OL</w:t>
            </w:r>
          </w:p>
          <w:p w14:paraId="51C3A185" w14:textId="77777777" w:rsidR="007B03F7" w:rsidRPr="001A2112" w:rsidRDefault="007B03F7">
            <w:pPr>
              <w:pStyle w:val="TableText0"/>
              <w:jc w:val="center"/>
              <w:rPr>
                <w:lang w:val="en-US"/>
              </w:rPr>
            </w:pPr>
            <w:r w:rsidRPr="001A2112">
              <w:rPr>
                <w:lang w:val="en-US"/>
              </w:rPr>
              <w:t>Enrolled August 2018-September 2019: Last patient visit: August 2022</w:t>
            </w:r>
          </w:p>
          <w:p w14:paraId="591855DD" w14:textId="77777777" w:rsidR="007B03F7" w:rsidRPr="001A2112" w:rsidRDefault="007B03F7">
            <w:pPr>
              <w:pStyle w:val="TableText0"/>
              <w:jc w:val="center"/>
              <w:rPr>
                <w:lang w:val="en-US"/>
              </w:rPr>
            </w:pPr>
            <w:r w:rsidRPr="001A2112">
              <w:rPr>
                <w:lang w:val="en-US"/>
              </w:rPr>
              <w:t>Median follow-up: 7.8 months [range 0.3, 42.6]</w:t>
            </w:r>
          </w:p>
        </w:tc>
        <w:tc>
          <w:tcPr>
            <w:tcW w:w="509" w:type="pct"/>
            <w:vAlign w:val="center"/>
          </w:tcPr>
          <w:p w14:paraId="15A2E45E" w14:textId="77777777" w:rsidR="007B03F7" w:rsidRPr="001A2112" w:rsidRDefault="007B03F7">
            <w:pPr>
              <w:pStyle w:val="TableText0"/>
              <w:jc w:val="center"/>
              <w:rPr>
                <w:lang w:val="en-US"/>
              </w:rPr>
            </w:pPr>
            <w:r w:rsidRPr="001A2112">
              <w:rPr>
                <w:lang w:val="en-US"/>
              </w:rPr>
              <w:t>High</w:t>
            </w:r>
          </w:p>
        </w:tc>
        <w:tc>
          <w:tcPr>
            <w:tcW w:w="906" w:type="pct"/>
            <w:vAlign w:val="center"/>
          </w:tcPr>
          <w:p w14:paraId="251F9EE6" w14:textId="77777777" w:rsidR="007B03F7" w:rsidRPr="001A2112" w:rsidRDefault="007B03F7">
            <w:pPr>
              <w:pStyle w:val="TableText0"/>
              <w:jc w:val="center"/>
              <w:rPr>
                <w:lang w:val="en-US"/>
              </w:rPr>
            </w:pPr>
            <w:r w:rsidRPr="001A2112">
              <w:rPr>
                <w:lang w:val="en-US"/>
              </w:rPr>
              <w:t>Adults with R/R DLBCL after ≥2 prior systemic therapies</w:t>
            </w:r>
          </w:p>
        </w:tc>
        <w:tc>
          <w:tcPr>
            <w:tcW w:w="786" w:type="pct"/>
            <w:vAlign w:val="center"/>
          </w:tcPr>
          <w:p w14:paraId="491FB299" w14:textId="77777777" w:rsidR="007B03F7" w:rsidRPr="001A2112" w:rsidRDefault="007B03F7">
            <w:pPr>
              <w:pStyle w:val="TableText0"/>
              <w:jc w:val="center"/>
              <w:rPr>
                <w:lang w:val="en-US"/>
              </w:rPr>
            </w:pPr>
            <w:r w:rsidRPr="001A2112">
              <w:rPr>
                <w:lang w:val="en-US"/>
              </w:rPr>
              <w:t>Primary: ORR</w:t>
            </w:r>
          </w:p>
          <w:p w14:paraId="601377A3" w14:textId="77777777" w:rsidR="007B03F7" w:rsidRPr="001A2112" w:rsidRDefault="007B03F7">
            <w:pPr>
              <w:pStyle w:val="TableText0"/>
              <w:jc w:val="center"/>
              <w:rPr>
                <w:lang w:val="en-US"/>
              </w:rPr>
            </w:pPr>
            <w:r w:rsidRPr="001A2112">
              <w:rPr>
                <w:lang w:val="en-US"/>
              </w:rPr>
              <w:t>Secondary: DOR, CR rate, RFS, PFS, OS, PROs, safety</w:t>
            </w:r>
          </w:p>
        </w:tc>
        <w:tc>
          <w:tcPr>
            <w:tcW w:w="758" w:type="pct"/>
            <w:vAlign w:val="center"/>
          </w:tcPr>
          <w:p w14:paraId="65E1A32C" w14:textId="77777777" w:rsidR="007B03F7" w:rsidRPr="001A2112" w:rsidRDefault="007B03F7">
            <w:pPr>
              <w:pStyle w:val="TableText0"/>
              <w:jc w:val="center"/>
              <w:rPr>
                <w:lang w:val="en-US"/>
              </w:rPr>
            </w:pPr>
            <w:r w:rsidRPr="001A2112">
              <w:rPr>
                <w:lang w:val="en-US"/>
              </w:rPr>
              <w:t xml:space="preserve"> Yes</w:t>
            </w:r>
          </w:p>
        </w:tc>
      </w:tr>
      <w:tr w:rsidR="007B03F7" w:rsidRPr="001A2112" w14:paraId="0C7C2F80" w14:textId="77777777">
        <w:trPr>
          <w:cantSplit/>
        </w:trPr>
        <w:tc>
          <w:tcPr>
            <w:tcW w:w="5000" w:type="pct"/>
            <w:gridSpan w:val="7"/>
            <w:vAlign w:val="center"/>
          </w:tcPr>
          <w:p w14:paraId="04ECD38B" w14:textId="77777777" w:rsidR="007B03F7" w:rsidRPr="001A2112" w:rsidRDefault="007B03F7">
            <w:pPr>
              <w:pStyle w:val="TableText0"/>
              <w:rPr>
                <w:b/>
                <w:bCs w:val="0"/>
                <w:lang w:val="en-US"/>
              </w:rPr>
            </w:pPr>
            <w:r w:rsidRPr="001A2112">
              <w:rPr>
                <w:b/>
                <w:bCs w:val="0"/>
                <w:lang w:val="en-US"/>
              </w:rPr>
              <w:t>Chemoimmunotherapy</w:t>
            </w:r>
          </w:p>
        </w:tc>
      </w:tr>
      <w:tr w:rsidR="007B03F7" w:rsidRPr="001A2112" w14:paraId="3EB7289D" w14:textId="77777777">
        <w:trPr>
          <w:cantSplit/>
        </w:trPr>
        <w:tc>
          <w:tcPr>
            <w:tcW w:w="5000" w:type="pct"/>
            <w:gridSpan w:val="7"/>
            <w:vAlign w:val="center"/>
          </w:tcPr>
          <w:p w14:paraId="1336F73A" w14:textId="77777777" w:rsidR="007B03F7" w:rsidRPr="001A2112" w:rsidRDefault="007B03F7">
            <w:pPr>
              <w:pStyle w:val="TableText0"/>
              <w:rPr>
                <w:lang w:val="en-US"/>
              </w:rPr>
            </w:pPr>
            <w:r w:rsidRPr="001A2112">
              <w:rPr>
                <w:lang w:val="en-US"/>
              </w:rPr>
              <w:t>CORAL studies</w:t>
            </w:r>
          </w:p>
        </w:tc>
      </w:tr>
      <w:tr w:rsidR="007B03F7" w:rsidRPr="001A2112" w14:paraId="2E77D1C4" w14:textId="77777777">
        <w:trPr>
          <w:cantSplit/>
        </w:trPr>
        <w:tc>
          <w:tcPr>
            <w:tcW w:w="940" w:type="pct"/>
            <w:vAlign w:val="center"/>
          </w:tcPr>
          <w:p w14:paraId="139DDFE3" w14:textId="77777777" w:rsidR="007B03F7" w:rsidRPr="001A2112" w:rsidRDefault="007B03F7">
            <w:pPr>
              <w:pStyle w:val="TableText0"/>
              <w:rPr>
                <w:lang w:val="en-US"/>
              </w:rPr>
            </w:pPr>
            <w:r w:rsidRPr="001A2112">
              <w:rPr>
                <w:lang w:val="en-US"/>
              </w:rPr>
              <w:t>CORAL (</w:t>
            </w:r>
            <w:r w:rsidRPr="001A2112">
              <w:t>NCT00137995</w:t>
            </w:r>
            <w:r w:rsidRPr="001A2112">
              <w:rPr>
                <w:lang w:val="en-US"/>
              </w:rPr>
              <w:t>)</w:t>
            </w:r>
          </w:p>
        </w:tc>
        <w:tc>
          <w:tcPr>
            <w:tcW w:w="223" w:type="pct"/>
            <w:vAlign w:val="center"/>
          </w:tcPr>
          <w:p w14:paraId="2AA2BA91" w14:textId="77777777" w:rsidR="007B03F7" w:rsidRPr="001A2112" w:rsidRDefault="007B03F7">
            <w:pPr>
              <w:pStyle w:val="TableText0"/>
              <w:jc w:val="center"/>
              <w:rPr>
                <w:lang w:val="en-US"/>
              </w:rPr>
            </w:pPr>
            <w:r w:rsidRPr="001A2112">
              <w:rPr>
                <w:lang w:val="en-US"/>
              </w:rPr>
              <w:t>481</w:t>
            </w:r>
          </w:p>
        </w:tc>
        <w:tc>
          <w:tcPr>
            <w:tcW w:w="878" w:type="pct"/>
            <w:vAlign w:val="center"/>
          </w:tcPr>
          <w:p w14:paraId="3FDC21DF" w14:textId="77777777" w:rsidR="007B03F7" w:rsidRPr="001A2112" w:rsidRDefault="007B03F7">
            <w:pPr>
              <w:pStyle w:val="TableText0"/>
              <w:jc w:val="center"/>
              <w:rPr>
                <w:lang w:val="en-US"/>
              </w:rPr>
            </w:pPr>
            <w:r w:rsidRPr="001A2112">
              <w:rPr>
                <w:lang w:val="en-US"/>
              </w:rPr>
              <w:t>P3, MC, R, OL</w:t>
            </w:r>
          </w:p>
          <w:p w14:paraId="7B0C2FA4" w14:textId="77777777" w:rsidR="007B03F7" w:rsidRPr="001A2112" w:rsidRDefault="007B03F7">
            <w:pPr>
              <w:pStyle w:val="TableText0"/>
              <w:jc w:val="center"/>
              <w:rPr>
                <w:lang w:val="en-US"/>
              </w:rPr>
            </w:pPr>
            <w:r w:rsidRPr="001A2112">
              <w:rPr>
                <w:lang w:val="en-US"/>
              </w:rPr>
              <w:t>Enrolled 2003-2008</w:t>
            </w:r>
          </w:p>
        </w:tc>
        <w:tc>
          <w:tcPr>
            <w:tcW w:w="509" w:type="pct"/>
            <w:vAlign w:val="center"/>
          </w:tcPr>
          <w:p w14:paraId="1D8C994C" w14:textId="77777777" w:rsidR="007B03F7" w:rsidRPr="001A2112" w:rsidRDefault="007B03F7">
            <w:pPr>
              <w:pStyle w:val="TableText0"/>
              <w:jc w:val="center"/>
              <w:rPr>
                <w:lang w:val="en-US"/>
              </w:rPr>
            </w:pPr>
            <w:r w:rsidRPr="001A2112">
              <w:rPr>
                <w:lang w:val="en-US"/>
              </w:rPr>
              <w:t>Low</w:t>
            </w:r>
          </w:p>
        </w:tc>
        <w:tc>
          <w:tcPr>
            <w:tcW w:w="906" w:type="pct"/>
            <w:vAlign w:val="center"/>
          </w:tcPr>
          <w:p w14:paraId="35E1AFAF" w14:textId="77777777" w:rsidR="007B03F7" w:rsidRPr="001A2112" w:rsidRDefault="007B03F7">
            <w:pPr>
              <w:pStyle w:val="TableText0"/>
              <w:jc w:val="center"/>
              <w:rPr>
                <w:lang w:val="en-US"/>
              </w:rPr>
            </w:pPr>
            <w:r w:rsidRPr="001A2112">
              <w:rPr>
                <w:lang w:val="en-US"/>
              </w:rPr>
              <w:t>Adult DLBCL patients aged 18-65 years R/R to 1L therapy and eligible for ASCT</w:t>
            </w:r>
          </w:p>
        </w:tc>
        <w:tc>
          <w:tcPr>
            <w:tcW w:w="786" w:type="pct"/>
            <w:vAlign w:val="center"/>
          </w:tcPr>
          <w:p w14:paraId="2E1D9375" w14:textId="77777777" w:rsidR="007B03F7" w:rsidRPr="001A2112" w:rsidRDefault="007B03F7">
            <w:pPr>
              <w:pStyle w:val="TableText0"/>
              <w:jc w:val="center"/>
              <w:rPr>
                <w:lang w:val="en-US"/>
              </w:rPr>
            </w:pPr>
            <w:r w:rsidRPr="001A2112">
              <w:rPr>
                <w:lang w:val="en-US"/>
              </w:rPr>
              <w:t xml:space="preserve">Response rate to 2L, PFS, EFS, OS, safety. </w:t>
            </w:r>
          </w:p>
        </w:tc>
        <w:tc>
          <w:tcPr>
            <w:tcW w:w="758" w:type="pct"/>
            <w:vAlign w:val="center"/>
          </w:tcPr>
          <w:p w14:paraId="3FAEC2E6" w14:textId="77777777" w:rsidR="007B03F7" w:rsidRPr="001A2112" w:rsidRDefault="007B03F7">
            <w:pPr>
              <w:pStyle w:val="TableText0"/>
              <w:jc w:val="center"/>
              <w:rPr>
                <w:lang w:val="en-US"/>
              </w:rPr>
            </w:pPr>
            <w:r w:rsidRPr="001A2112">
              <w:rPr>
                <w:lang w:val="en-US"/>
              </w:rPr>
              <w:t>Safety</w:t>
            </w:r>
          </w:p>
        </w:tc>
      </w:tr>
      <w:tr w:rsidR="007B03F7" w:rsidRPr="001A2112" w14:paraId="1CDB23C9" w14:textId="77777777">
        <w:trPr>
          <w:cantSplit/>
        </w:trPr>
        <w:tc>
          <w:tcPr>
            <w:tcW w:w="940" w:type="pct"/>
            <w:vAlign w:val="center"/>
          </w:tcPr>
          <w:p w14:paraId="45B7085F" w14:textId="77777777" w:rsidR="007B03F7" w:rsidRPr="001A2112" w:rsidRDefault="007B03F7">
            <w:pPr>
              <w:pStyle w:val="TableText0"/>
              <w:rPr>
                <w:lang w:val="en-US"/>
              </w:rPr>
            </w:pPr>
            <w:r w:rsidRPr="001A2112">
              <w:rPr>
                <w:lang w:val="en-US"/>
              </w:rPr>
              <w:t>CORAL extension 1</w:t>
            </w:r>
          </w:p>
          <w:p w14:paraId="19C8F8E2" w14:textId="77777777" w:rsidR="007B03F7" w:rsidRPr="001A2112" w:rsidRDefault="007B03F7">
            <w:pPr>
              <w:pStyle w:val="TableText0"/>
              <w:rPr>
                <w:lang w:val="en-US"/>
              </w:rPr>
            </w:pPr>
            <w:r w:rsidRPr="001A2112">
              <w:rPr>
                <w:lang w:val="en-US"/>
              </w:rPr>
              <w:t>(Van Den Neste 2017)</w:t>
            </w:r>
          </w:p>
        </w:tc>
        <w:tc>
          <w:tcPr>
            <w:tcW w:w="223" w:type="pct"/>
            <w:vAlign w:val="center"/>
          </w:tcPr>
          <w:p w14:paraId="4E00BDCF" w14:textId="77777777" w:rsidR="007B03F7" w:rsidRPr="001A2112" w:rsidRDefault="007B03F7">
            <w:pPr>
              <w:pStyle w:val="TableText0"/>
              <w:jc w:val="center"/>
              <w:rPr>
                <w:lang w:val="en-US"/>
              </w:rPr>
            </w:pPr>
            <w:r w:rsidRPr="001A2112">
              <w:rPr>
                <w:lang w:val="en-US"/>
              </w:rPr>
              <w:t>75</w:t>
            </w:r>
          </w:p>
        </w:tc>
        <w:tc>
          <w:tcPr>
            <w:tcW w:w="878" w:type="pct"/>
            <w:vAlign w:val="center"/>
          </w:tcPr>
          <w:p w14:paraId="0D7E8186" w14:textId="77777777" w:rsidR="007B03F7" w:rsidRPr="001A2112" w:rsidRDefault="007B03F7">
            <w:pPr>
              <w:pStyle w:val="TableText0"/>
              <w:jc w:val="center"/>
              <w:rPr>
                <w:lang w:val="en-US"/>
              </w:rPr>
            </w:pPr>
            <w:r w:rsidRPr="001A2112">
              <w:rPr>
                <w:lang w:val="en-US"/>
              </w:rPr>
              <w:t>Retrospective, observational</w:t>
            </w:r>
          </w:p>
          <w:p w14:paraId="493BA48E" w14:textId="77777777" w:rsidR="007B03F7" w:rsidRPr="001A2112" w:rsidRDefault="007B03F7">
            <w:pPr>
              <w:pStyle w:val="TableText0"/>
              <w:jc w:val="center"/>
              <w:rPr>
                <w:lang w:val="en-US"/>
              </w:rPr>
            </w:pPr>
            <w:r w:rsidRPr="001A2112">
              <w:rPr>
                <w:lang w:val="en-US"/>
              </w:rPr>
              <w:t xml:space="preserve">Median follow-up: 32.8 months </w:t>
            </w:r>
          </w:p>
        </w:tc>
        <w:tc>
          <w:tcPr>
            <w:tcW w:w="509" w:type="pct"/>
            <w:vAlign w:val="center"/>
          </w:tcPr>
          <w:p w14:paraId="1024C23E" w14:textId="77777777" w:rsidR="007B03F7" w:rsidRPr="001A2112" w:rsidRDefault="007B03F7">
            <w:pPr>
              <w:pStyle w:val="TableText0"/>
              <w:jc w:val="center"/>
              <w:rPr>
                <w:lang w:val="en-US"/>
              </w:rPr>
            </w:pPr>
            <w:r w:rsidRPr="001A2112">
              <w:rPr>
                <w:lang w:val="en-US"/>
              </w:rPr>
              <w:t>Moderate</w:t>
            </w:r>
          </w:p>
        </w:tc>
        <w:tc>
          <w:tcPr>
            <w:tcW w:w="906" w:type="pct"/>
            <w:vAlign w:val="center"/>
          </w:tcPr>
          <w:p w14:paraId="6D3C7227" w14:textId="77777777" w:rsidR="007B03F7" w:rsidRPr="001A2112" w:rsidRDefault="007B03F7">
            <w:pPr>
              <w:pStyle w:val="TableText0"/>
              <w:jc w:val="center"/>
              <w:rPr>
                <w:lang w:val="en-US"/>
              </w:rPr>
            </w:pPr>
            <w:r w:rsidRPr="001A2112">
              <w:rPr>
                <w:lang w:val="en-US"/>
              </w:rPr>
              <w:t xml:space="preserve">CORAL participants who relapsed after ASCT </w:t>
            </w:r>
          </w:p>
        </w:tc>
        <w:tc>
          <w:tcPr>
            <w:tcW w:w="786" w:type="pct"/>
            <w:vAlign w:val="center"/>
          </w:tcPr>
          <w:p w14:paraId="42F433C2" w14:textId="77777777" w:rsidR="007B03F7" w:rsidRPr="001A2112" w:rsidRDefault="007B03F7">
            <w:pPr>
              <w:pStyle w:val="TableText0"/>
              <w:jc w:val="center"/>
              <w:rPr>
                <w:lang w:val="en-US"/>
              </w:rPr>
            </w:pPr>
            <w:r w:rsidRPr="001A2112">
              <w:rPr>
                <w:lang w:val="en-US"/>
              </w:rPr>
              <w:t>Response/ORR to 3L, OS</w:t>
            </w:r>
          </w:p>
        </w:tc>
        <w:tc>
          <w:tcPr>
            <w:tcW w:w="758" w:type="pct"/>
            <w:vMerge w:val="restart"/>
            <w:vAlign w:val="center"/>
          </w:tcPr>
          <w:p w14:paraId="2D728167" w14:textId="77777777" w:rsidR="007B03F7" w:rsidRPr="001A2112" w:rsidRDefault="007B03F7">
            <w:pPr>
              <w:pStyle w:val="TableText0"/>
              <w:jc w:val="center"/>
              <w:rPr>
                <w:lang w:val="en-US"/>
              </w:rPr>
            </w:pPr>
            <w:r w:rsidRPr="001A2112">
              <w:rPr>
                <w:lang w:val="en-US"/>
              </w:rPr>
              <w:t>Patient characteristics, HR from the MAIC used</w:t>
            </w:r>
          </w:p>
        </w:tc>
      </w:tr>
      <w:tr w:rsidR="007B03F7" w:rsidRPr="001A2112" w14:paraId="0F6828B5" w14:textId="77777777">
        <w:trPr>
          <w:cantSplit/>
        </w:trPr>
        <w:tc>
          <w:tcPr>
            <w:tcW w:w="940" w:type="pct"/>
            <w:vAlign w:val="center"/>
          </w:tcPr>
          <w:p w14:paraId="1DF8A7EB" w14:textId="77777777" w:rsidR="007B03F7" w:rsidRPr="001A2112" w:rsidRDefault="007B03F7">
            <w:pPr>
              <w:pStyle w:val="TableText0"/>
              <w:rPr>
                <w:lang w:val="en-US"/>
              </w:rPr>
            </w:pPr>
            <w:r w:rsidRPr="001A2112">
              <w:rPr>
                <w:lang w:val="en-US"/>
              </w:rPr>
              <w:t>CORAL extension 2</w:t>
            </w:r>
          </w:p>
          <w:p w14:paraId="674EAA4D" w14:textId="77777777" w:rsidR="007B03F7" w:rsidRPr="001A2112" w:rsidRDefault="007B03F7">
            <w:pPr>
              <w:pStyle w:val="TableText0"/>
              <w:rPr>
                <w:lang w:val="en-US"/>
              </w:rPr>
            </w:pPr>
            <w:r w:rsidRPr="001A2112">
              <w:rPr>
                <w:lang w:val="en-US"/>
              </w:rPr>
              <w:t>(Van Den Neste 2016)</w:t>
            </w:r>
          </w:p>
        </w:tc>
        <w:tc>
          <w:tcPr>
            <w:tcW w:w="223" w:type="pct"/>
            <w:vAlign w:val="center"/>
          </w:tcPr>
          <w:p w14:paraId="4FE83432" w14:textId="77777777" w:rsidR="007B03F7" w:rsidRPr="001A2112" w:rsidRDefault="007B03F7">
            <w:pPr>
              <w:pStyle w:val="TableText0"/>
              <w:jc w:val="center"/>
              <w:rPr>
                <w:lang w:val="en-US"/>
              </w:rPr>
            </w:pPr>
            <w:r w:rsidRPr="001A2112">
              <w:rPr>
                <w:lang w:val="en-US"/>
              </w:rPr>
              <w:t>203</w:t>
            </w:r>
          </w:p>
        </w:tc>
        <w:tc>
          <w:tcPr>
            <w:tcW w:w="878" w:type="pct"/>
            <w:vAlign w:val="center"/>
          </w:tcPr>
          <w:p w14:paraId="1A275568" w14:textId="77777777" w:rsidR="007B03F7" w:rsidRPr="001A2112" w:rsidRDefault="007B03F7">
            <w:pPr>
              <w:pStyle w:val="TableText0"/>
              <w:jc w:val="center"/>
              <w:rPr>
                <w:lang w:val="en-US"/>
              </w:rPr>
            </w:pPr>
            <w:r w:rsidRPr="001A2112">
              <w:rPr>
                <w:lang w:val="en-US"/>
              </w:rPr>
              <w:t>Prospective, observational</w:t>
            </w:r>
          </w:p>
          <w:p w14:paraId="72043831" w14:textId="77777777" w:rsidR="007B03F7" w:rsidRPr="001A2112" w:rsidRDefault="007B03F7">
            <w:pPr>
              <w:pStyle w:val="TableText0"/>
              <w:jc w:val="center"/>
              <w:rPr>
                <w:lang w:val="en-US"/>
              </w:rPr>
            </w:pPr>
            <w:r w:rsidRPr="001A2112">
              <w:rPr>
                <w:lang w:val="en-US"/>
              </w:rPr>
              <w:t>Median follow-up: 30.1 months</w:t>
            </w:r>
          </w:p>
        </w:tc>
        <w:tc>
          <w:tcPr>
            <w:tcW w:w="509" w:type="pct"/>
            <w:vAlign w:val="center"/>
          </w:tcPr>
          <w:p w14:paraId="26EC9F98" w14:textId="77777777" w:rsidR="007B03F7" w:rsidRPr="001A2112" w:rsidRDefault="007B03F7">
            <w:pPr>
              <w:pStyle w:val="TableText0"/>
              <w:jc w:val="center"/>
              <w:rPr>
                <w:lang w:val="en-US"/>
              </w:rPr>
            </w:pPr>
            <w:r w:rsidRPr="001A2112">
              <w:rPr>
                <w:lang w:val="en-US"/>
              </w:rPr>
              <w:t>Moderate</w:t>
            </w:r>
          </w:p>
        </w:tc>
        <w:tc>
          <w:tcPr>
            <w:tcW w:w="906" w:type="pct"/>
            <w:vAlign w:val="center"/>
          </w:tcPr>
          <w:p w14:paraId="5EB3645B" w14:textId="77777777" w:rsidR="007B03F7" w:rsidRPr="001A2112" w:rsidRDefault="007B03F7">
            <w:pPr>
              <w:pStyle w:val="TableText0"/>
              <w:jc w:val="center"/>
              <w:rPr>
                <w:lang w:val="en-US"/>
              </w:rPr>
            </w:pPr>
            <w:r w:rsidRPr="001A2112">
              <w:rPr>
                <w:lang w:val="en-US"/>
              </w:rPr>
              <w:t>CORAL participants who did not proceed to ASCT</w:t>
            </w:r>
          </w:p>
        </w:tc>
        <w:tc>
          <w:tcPr>
            <w:tcW w:w="786" w:type="pct"/>
            <w:vAlign w:val="center"/>
          </w:tcPr>
          <w:p w14:paraId="231DE49B" w14:textId="77777777" w:rsidR="007B03F7" w:rsidRPr="001A2112" w:rsidRDefault="007B03F7">
            <w:pPr>
              <w:pStyle w:val="TableText0"/>
              <w:jc w:val="center"/>
              <w:rPr>
                <w:lang w:val="en-US"/>
              </w:rPr>
            </w:pPr>
            <w:r w:rsidRPr="001A2112">
              <w:rPr>
                <w:lang w:val="en-US"/>
              </w:rPr>
              <w:t>Response/ORR to 3L, OS</w:t>
            </w:r>
          </w:p>
        </w:tc>
        <w:tc>
          <w:tcPr>
            <w:tcW w:w="758" w:type="pct"/>
            <w:vMerge/>
            <w:vAlign w:val="center"/>
          </w:tcPr>
          <w:p w14:paraId="4CD7D737" w14:textId="77777777" w:rsidR="007B03F7" w:rsidRPr="001A2112" w:rsidRDefault="007B03F7">
            <w:pPr>
              <w:pStyle w:val="TableText0"/>
              <w:jc w:val="center"/>
              <w:rPr>
                <w:lang w:val="en-US"/>
              </w:rPr>
            </w:pPr>
          </w:p>
        </w:tc>
      </w:tr>
    </w:tbl>
    <w:p w14:paraId="39B5A685" w14:textId="77777777" w:rsidR="007B03F7" w:rsidRPr="001A2112" w:rsidRDefault="007B03F7" w:rsidP="007B03F7">
      <w:pPr>
        <w:pStyle w:val="TableFigureFooter"/>
      </w:pPr>
      <w:r w:rsidRPr="001A2112">
        <w:t xml:space="preserve">Source: Caimi 2024, Figure 2-3, p 49, Figure 2-4, p49, Van Den Neste 2016, Van Den Neste 2017. </w:t>
      </w:r>
    </w:p>
    <w:p w14:paraId="08C1FE55" w14:textId="77777777" w:rsidR="007B03F7" w:rsidRPr="001A2112" w:rsidRDefault="007B03F7" w:rsidP="007B03F7">
      <w:pPr>
        <w:pStyle w:val="TableFigureFooter"/>
      </w:pPr>
      <w:r w:rsidRPr="001A2112">
        <w:t>1/2/3L = 1st / 2nd / 3rd line; ASCT = autologous stem cell transplant; CR = complete response; DB = double blind; DLBCL = diffuse large B-cell lymphoma; DOR = duration of response; EFS = event free survival; HR = hazard ratio; MAIC = matching=adjusted indirect comparison; MC = multi-centre; OL = open label; ORR = overall response rate; OS = overall survival; P = phase; PFS = progression-free survival; PROs = patient reported outcomes; R = randomised; RFS = relapse free survival; R/R = relapsed or refractory.</w:t>
      </w:r>
    </w:p>
    <w:p w14:paraId="1546B755" w14:textId="77777777" w:rsidR="007B03F7" w:rsidRPr="001A2112" w:rsidRDefault="007B03F7" w:rsidP="007B03F7">
      <w:pPr>
        <w:pStyle w:val="3-BodyText"/>
        <w:numPr>
          <w:ilvl w:val="1"/>
          <w:numId w:val="1"/>
        </w:numPr>
        <w:rPr>
          <w:color w:val="0066FF"/>
        </w:rPr>
      </w:pPr>
      <w:r w:rsidRPr="001A2112">
        <w:t>LOTIS-2 was an international, multicentre, single-arm, open-label study that enrolled adult patients with R/R DLBCL who had received at least 2 prior lines of systemic therapy. Patients were enrolled from August 1, 2018, to September 24, 2019, and the last patient visit occurred on August 9, 2022, with the database lock on September 15, 2022. The primary objective of the study was to evaluate the efficacy of loncastuximab tesirine as monotherapy in patients with R/R DLBCL, based on overall response rate (ORR) according to the Lugano classification (</w:t>
      </w:r>
      <w:proofErr w:type="spellStart"/>
      <w:r w:rsidRPr="001A2112">
        <w:t>Cheson</w:t>
      </w:r>
      <w:proofErr w:type="spellEnd"/>
      <w:r w:rsidRPr="001A2112">
        <w:t xml:space="preserve"> 2014) as determined by blinded independent central review. Key secondary endpoints were overall survival (OS), duration of response (DOR), complete response (CR) rate, relapse-free survival (RFS), progression-free survival (PFS) and safety. Patients received loncastuximab tesirine 0.15 mg/kg administered as an intravenous (IV) infusion on Day 1 of the first two 3-week cycles, then 0.075 mg/kg on Day 1 of every subsequent cycle for up to 1 year, or until disease progression, unacceptable toxicity or other discontinuation criteria were met. Patients who were still considered to be benefiting clinically at 1 year may have continued treatment after a case-by-case review with the sponsor. All patients, regardless of disease status, were followed every 12 weeks for up to 3 years, or until withdrawal of consent, loss to follow-up, or death, whichever occurred first.</w:t>
      </w:r>
    </w:p>
    <w:p w14:paraId="54F3F10C" w14:textId="77777777" w:rsidR="007B03F7" w:rsidRPr="001A2112" w:rsidRDefault="007B03F7" w:rsidP="007B03F7">
      <w:pPr>
        <w:pStyle w:val="3-BodyText"/>
        <w:numPr>
          <w:ilvl w:val="1"/>
          <w:numId w:val="1"/>
        </w:numPr>
      </w:pPr>
      <w:r w:rsidRPr="001A2112">
        <w:lastRenderedPageBreak/>
        <w:t>The CORAL extension studies were observational studies that included patients enrolled in the CORAL RCT who subsequently underwent 3L therapy. CORAL was a 2-stage RCT that enrolled 481 patients aged 18 to 65 years who were R/R to 1L therapy for DLBCL and were eligible for autologous stem cell transplant (ASCT) between 2003 and 2008. The first stage compared the efficacy of two salvage chemoimmunotherapy regimens, R-ICE (rituximab, ifosfamide, carboplatin, and etoposide) and R-DHAP (rituximab, dexamethasone, high-dose cytarabine, and cisplatin). The second stage of CORAL evaluated the efficacy of rituximab as maintenance therapy compared to observation in 255 randomly assigned responders who received high-dose chemotherapy and ASCT per protocol. The results of CORAL demonstrated no significant difference in efficacy between R-ICE and R-DHAP as 2L salvage regimens, based on the outcomes of 3-year event free survival (EFS) and overall survival (OS) (</w:t>
      </w:r>
      <w:proofErr w:type="spellStart"/>
      <w:r w:rsidRPr="001A2112">
        <w:t>Gisselbrecht</w:t>
      </w:r>
      <w:proofErr w:type="spellEnd"/>
      <w:r w:rsidRPr="001A2112">
        <w:t xml:space="preserve"> 2010</w:t>
      </w:r>
      <w:r w:rsidRPr="001A2112">
        <w:rPr>
          <w:rStyle w:val="FootnoteReference"/>
        </w:rPr>
        <w:footnoteReference w:id="3"/>
      </w:r>
      <w:r w:rsidRPr="001A2112">
        <w:t>). The results of the CORAL second stage showed no difference in relapse rates between observation and rituximab maintenance therapy after ASCT (</w:t>
      </w:r>
      <w:proofErr w:type="spellStart"/>
      <w:r w:rsidRPr="001A2112">
        <w:t>Gisselbrecht</w:t>
      </w:r>
      <w:proofErr w:type="spellEnd"/>
      <w:r w:rsidRPr="001A2112">
        <w:t xml:space="preserve"> 2012</w:t>
      </w:r>
      <w:r w:rsidRPr="001A2112">
        <w:rPr>
          <w:rStyle w:val="FootnoteReference"/>
        </w:rPr>
        <w:footnoteReference w:id="4"/>
      </w:r>
      <w:r w:rsidRPr="001A2112">
        <w:t>).</w:t>
      </w:r>
    </w:p>
    <w:p w14:paraId="4978BBCA" w14:textId="1ECE55B5" w:rsidR="007B03F7" w:rsidRPr="00BA5BB6" w:rsidRDefault="007B03F7" w:rsidP="00BA5BB6">
      <w:pPr>
        <w:pStyle w:val="3-BodyText"/>
        <w:numPr>
          <w:ilvl w:val="1"/>
          <w:numId w:val="1"/>
        </w:numPr>
      </w:pPr>
      <w:r w:rsidRPr="001A2112">
        <w:t>CORAL extension study 1 included 75 patients who relapsed after achieving ASCT per CORAL protocol (Van Den Neste 2017). This included 37 (49%) patients who were randomised to rituximab maintenance, 34 (45%) who were randomised to observation and 4 (5%) who relapsed prior to randomisation to a maintenance arm. Following a protocol amendment, investigators were asked to retrospectively update their patients’ status, including patient characteristics at relapse, time between ASCT and failure, type of 3L regimen, response to 3L regimen, response by maintenance arm and OS. CORAL extension study 2 included 203 patients who failed to proceed to ASCT per CORAL protocol and were still enrolled in CORAL (Van Den Neste 2016). Following a protocol amendment, CORAL investigators prospectively recorded the date, reasons for withdrawal, site of disease and new treatments received by patients in 3L therapy</w:t>
      </w:r>
      <w:r w:rsidRPr="00BA5BB6">
        <w:rPr>
          <w:color w:val="0066FF"/>
        </w:rPr>
        <w:t>.</w:t>
      </w:r>
      <w:r w:rsidR="00BA5BB6">
        <w:t xml:space="preserve"> </w:t>
      </w:r>
      <w:r w:rsidRPr="001A2112">
        <w:t>Aggregate data were extracted from both extension study publications.</w:t>
      </w:r>
    </w:p>
    <w:p w14:paraId="37C90109" w14:textId="77777777" w:rsidR="007B03F7" w:rsidRPr="001A2112" w:rsidRDefault="007B03F7" w:rsidP="007B03F7">
      <w:pPr>
        <w:pStyle w:val="3-BodyText"/>
        <w:numPr>
          <w:ilvl w:val="1"/>
          <w:numId w:val="1"/>
        </w:numPr>
        <w:rPr>
          <w:color w:val="0066FF"/>
        </w:rPr>
      </w:pPr>
      <w:r w:rsidRPr="001A2112">
        <w:t>The submission considered LOTIS-2 to be at low risk of bias, based on the JBI case series checklist; however, given the single-arm, open-label study design, the evaluation rated LOTIS-2 as high risk of bias. The submission considered the CORAL extension studies to be of ‘some risk of bias’. While the original CORAL RCT was considered to be at low risk of bias, the evaluation considered the extension studies to be of moderate risk of bias, based on the observational nature of the data and the clinical setting: patients received standard clinical care for 3L therapy with local assessments, rather than per protocol regimens with pre-determined, independently reviewed follow-up assessments as per a clinical trial.</w:t>
      </w:r>
    </w:p>
    <w:p w14:paraId="35398924" w14:textId="77777777" w:rsidR="007B03F7" w:rsidRPr="001A2112" w:rsidRDefault="007B03F7" w:rsidP="007B03F7">
      <w:pPr>
        <w:pStyle w:val="3-BodyText"/>
        <w:numPr>
          <w:ilvl w:val="1"/>
          <w:numId w:val="1"/>
        </w:numPr>
        <w:rPr>
          <w:color w:val="0066FF"/>
        </w:rPr>
      </w:pPr>
      <w:bookmarkStart w:id="26" w:name="_Ref219207383"/>
      <w:r w:rsidRPr="001A2112">
        <w:lastRenderedPageBreak/>
        <w:t>There was also a high risk of bias in the MAIC. Key factors impacting the comparison between LOTIS-2 and CORAL include temporal and population differences:</w:t>
      </w:r>
      <w:bookmarkEnd w:id="26"/>
    </w:p>
    <w:p w14:paraId="7B4EFFDE" w14:textId="77777777" w:rsidR="007B03F7" w:rsidRPr="001A2112" w:rsidRDefault="007B03F7" w:rsidP="007B03F7">
      <w:pPr>
        <w:pStyle w:val="ListParagraph"/>
        <w:ind w:left="993"/>
        <w:jc w:val="both"/>
      </w:pPr>
      <w:r w:rsidRPr="001A2112">
        <w:t>CORAL enrolled patients between 2003 and 2008, whereas LOTIS-2 enrolled patients between 2018 and 2019.</w:t>
      </w:r>
    </w:p>
    <w:p w14:paraId="20BAE707" w14:textId="77777777" w:rsidR="007B03F7" w:rsidRPr="001A2112" w:rsidRDefault="007B03F7" w:rsidP="007B03F7">
      <w:pPr>
        <w:pStyle w:val="ListParagraph"/>
        <w:ind w:left="993"/>
        <w:jc w:val="both"/>
      </w:pPr>
      <w:r w:rsidRPr="001A2112">
        <w:t>CORAL spanned the pre-rituximab era: 38% of participants did not receive rituximab in 1L therapy, whereas most patients in LOTIS-2 would have received rituximab with chemotherapy as 1L therapy, with R-CHOP (rituximab, cyclophosphamide, doxorubicin, vincristine and prednisone) being the standard regimen for two decades (Barraclough 2023</w:t>
      </w:r>
      <w:r w:rsidRPr="001A2112">
        <w:rPr>
          <w:rStyle w:val="FootnoteReference"/>
        </w:rPr>
        <w:footnoteReference w:id="5"/>
      </w:r>
      <w:r w:rsidRPr="001A2112">
        <w:t>). All patients in CORAL received rituximab as 2L salvage therapy as part of the per protocol R-ICE or R-DHAP regimens. However, the CORAL extension studies did not report chemoimmunotherapy regimens separately from chemotherapy regimens; for example, patients reported as having received ‘ICE-type’ regimens could have had ICE or R-ICE. The use of immunotherapy in 3L therapy for the 75 patients who relapsed after ASCT (CORAL Extension 1) was not reported; however, it was reported in the study of 203 patients who did not proceed to ASCT (CORAL Extension 2). Of 172 patients in CORAL Extension 2 with available information, only 56 (32.6%) received third-line immunotherapy; however, no information was available on the specific regimens (Van Den Neste 2016). This may not reflect current clinical practice.</w:t>
      </w:r>
    </w:p>
    <w:p w14:paraId="3D3DC94A" w14:textId="5DB75CA8" w:rsidR="007B03F7" w:rsidRPr="00D57480" w:rsidRDefault="007B03F7" w:rsidP="007B03F7">
      <w:pPr>
        <w:pStyle w:val="ListParagraph"/>
        <w:ind w:left="993"/>
        <w:jc w:val="both"/>
      </w:pPr>
      <w:r w:rsidRPr="001A2112">
        <w:t>In CORAL, disease status was classified according to the 1999 WHO classification and response was evaluated according to the International Working Group (IWG) Criteria (</w:t>
      </w:r>
      <w:proofErr w:type="spellStart"/>
      <w:r w:rsidRPr="001A2112">
        <w:t>Cheson</w:t>
      </w:r>
      <w:proofErr w:type="spellEnd"/>
      <w:r w:rsidRPr="001A2112">
        <w:t xml:space="preserve"> 1999) using computed tomography (CT) scans</w:t>
      </w:r>
      <w:r w:rsidR="00E4161D" w:rsidRPr="001A2112">
        <w:t>.</w:t>
      </w:r>
      <w:r w:rsidRPr="001A2112">
        <w:t xml:space="preserve"> </w:t>
      </w:r>
      <w:r w:rsidR="00E4161D" w:rsidRPr="001A2112">
        <w:t>I</w:t>
      </w:r>
      <w:r w:rsidRPr="001A2112">
        <w:t>n LOTIS-2, disease status was classified according to the 2016 WHO classification and response was evaluated according to the Lugano 2014 classification (</w:t>
      </w:r>
      <w:proofErr w:type="spellStart"/>
      <w:r w:rsidRPr="001A2112">
        <w:t>Cheson</w:t>
      </w:r>
      <w:proofErr w:type="spellEnd"/>
      <w:r w:rsidRPr="001A2112">
        <w:t xml:space="preserve"> 2014) using positron emission tomography-computed tomography (PET-CT) scans. PET-CT scans are more sensitive than CT scans.</w:t>
      </w:r>
      <w:r w:rsidR="005C2255">
        <w:t xml:space="preserve"> </w:t>
      </w:r>
      <w:r w:rsidR="0031147A" w:rsidRPr="00D57480">
        <w:rPr>
          <w:rFonts w:eastAsiaTheme="minorHAnsi"/>
        </w:rPr>
        <w:t>The PSCR acknowledged that two different assessment criteria were used to measure ORR outcomes between the trials</w:t>
      </w:r>
      <w:r w:rsidR="00C82D17" w:rsidRPr="00D57480">
        <w:rPr>
          <w:rFonts w:eastAsiaTheme="minorHAnsi"/>
        </w:rPr>
        <w:t>,</w:t>
      </w:r>
      <w:r w:rsidR="0031147A" w:rsidRPr="00D57480">
        <w:rPr>
          <w:rFonts w:eastAsiaTheme="minorHAnsi"/>
        </w:rPr>
        <w:t xml:space="preserve"> and maintained the view that the overall significance on the interpretation of the results was minimal.</w:t>
      </w:r>
    </w:p>
    <w:p w14:paraId="065FFC3F" w14:textId="77777777" w:rsidR="007B03F7" w:rsidRPr="001A2112" w:rsidRDefault="007B03F7" w:rsidP="007B03F7">
      <w:pPr>
        <w:pStyle w:val="ListParagraph"/>
        <w:ind w:left="993"/>
        <w:jc w:val="both"/>
      </w:pPr>
      <w:r w:rsidRPr="001A2112">
        <w:t>All patients in the CORAL extension studies received third-line therapy, whereas LOTIS-2 included patients undergoing third-line (n=63: 43.4%) and later-line therapy (n=82: 56.6%).</w:t>
      </w:r>
    </w:p>
    <w:p w14:paraId="2B5CA0A1" w14:textId="77777777" w:rsidR="007B03F7" w:rsidRPr="001A2112" w:rsidRDefault="007B03F7" w:rsidP="007B03F7">
      <w:pPr>
        <w:pStyle w:val="ListParagraph"/>
        <w:ind w:left="993"/>
        <w:jc w:val="both"/>
      </w:pPr>
      <w:r w:rsidRPr="001A2112">
        <w:t xml:space="preserve">All patients in the CORAL extension studies had been considered fit for ASCT in 2L and had received a treatment protocol aimed at achieving ASCT, with 75 (27.0%) patients in the CORAL extension studies having relapsed after achieving ASCT. The LOTIS-2 inclusion criteria were agnostic to prior multi-agent systemic treatment </w:t>
      </w:r>
      <w:r w:rsidRPr="001A2112">
        <w:lastRenderedPageBreak/>
        <w:t>regimens, and the study included 24 (16.6%) patients who had undergone prior stem cell transplant (autologous or allogenic).</w:t>
      </w:r>
    </w:p>
    <w:p w14:paraId="1B8B0C9E" w14:textId="77777777" w:rsidR="007B03F7" w:rsidRPr="001A2112" w:rsidRDefault="007B03F7" w:rsidP="007B03F7">
      <w:pPr>
        <w:pStyle w:val="ListParagraph"/>
        <w:ind w:left="993"/>
        <w:jc w:val="both"/>
      </w:pPr>
      <w:r w:rsidRPr="001A2112">
        <w:t>CORAL enrolled patients aged 18 to 65 years, whereas LOTIS-2 did not apply an upper age limit to the selection criteria. The median ages in the CORAL extension studies were 56 (extension study 1) and 55 (extension study 2), whereas the median age in LOTIS-2 was 66 years.</w:t>
      </w:r>
    </w:p>
    <w:p w14:paraId="406FD1DB" w14:textId="57D61EA1" w:rsidR="007B03F7" w:rsidRPr="001A2112" w:rsidRDefault="007B03F7" w:rsidP="007B03F7">
      <w:pPr>
        <w:pStyle w:val="3-BodyText"/>
        <w:numPr>
          <w:ilvl w:val="1"/>
          <w:numId w:val="1"/>
        </w:numPr>
      </w:pPr>
      <w:bookmarkStart w:id="27" w:name="_Ref221539247"/>
      <w:r w:rsidRPr="001A2112">
        <w:t>Patients in CORAL were younger and fitter than those in LOTIS-2, potentially favouring R-ICE in the MAIC; however, patient outcomes have improved since the CORAL studies, due in part to improvements in imaging and diagnostic technologies, new treatment options and improved management of adverse events, favouring loncastuximab tesirine. The CORAL studies may not be representative of contemporary chemoimmunotherapy. The results from the MAIC are therefore considered to be at high risk of bias.</w:t>
      </w:r>
      <w:r w:rsidR="00583593">
        <w:t xml:space="preserve"> </w:t>
      </w:r>
      <w:r w:rsidR="00FF6915" w:rsidRPr="00D57480">
        <w:t>The Sub-Committees acknowledged that the CORAL extension studies do not accurately reflect the current standard of care but advised that they are a reasonable representative of chemoimmunotherapy in this context. The Sub-Committees also considered that the R</w:t>
      </w:r>
      <w:r w:rsidR="00FF6915" w:rsidRPr="00D57480">
        <w:noBreakHyphen/>
      </w:r>
      <w:proofErr w:type="spellStart"/>
      <w:r w:rsidR="00FF6915" w:rsidRPr="00D57480">
        <w:t>GemOx</w:t>
      </w:r>
      <w:proofErr w:type="spellEnd"/>
      <w:r w:rsidR="00FF6915" w:rsidRPr="00D57480">
        <w:t xml:space="preserve"> (Rituximab, Gemcitabine, Oxaliplatin) arm of the STARGLO study is also a reasonable representation of chemoimmunotherapy.</w:t>
      </w:r>
      <w:bookmarkEnd w:id="27"/>
    </w:p>
    <w:p w14:paraId="1CD28AD7" w14:textId="77777777" w:rsidR="007B03F7" w:rsidRPr="001A2112" w:rsidRDefault="007B03F7" w:rsidP="007B03F7">
      <w:pPr>
        <w:pStyle w:val="3-BodyText"/>
        <w:numPr>
          <w:ilvl w:val="1"/>
          <w:numId w:val="1"/>
        </w:numPr>
      </w:pPr>
      <w:r w:rsidRPr="001A2112">
        <w:t>The submission included a recent report from the Lymphoma and Related Diseases Registry (</w:t>
      </w:r>
      <w:proofErr w:type="spellStart"/>
      <w:r w:rsidRPr="001A2112">
        <w:t>LaRDR</w:t>
      </w:r>
      <w:proofErr w:type="spellEnd"/>
      <w:r w:rsidRPr="001A2112">
        <w:t xml:space="preserve">) describing the characteristics, treatments, and outcomes of Australian DLBCL patients receiving 3L therapy (Wellard 2025). Patients in LOTIS-2 were </w:t>
      </w:r>
      <w:proofErr w:type="gramStart"/>
      <w:r w:rsidRPr="001A2112">
        <w:t>similar to</w:t>
      </w:r>
      <w:proofErr w:type="gramEnd"/>
      <w:r w:rsidRPr="001A2112">
        <w:t xml:space="preserve"> those in the </w:t>
      </w:r>
      <w:proofErr w:type="spellStart"/>
      <w:r w:rsidRPr="001A2112">
        <w:t>LaRDR</w:t>
      </w:r>
      <w:proofErr w:type="spellEnd"/>
      <w:r w:rsidRPr="001A2112">
        <w:t xml:space="preserve"> registry with respect to median age (66.0 vs 66.7 years), sex (male: 58.6% vs 61.7%), body weight (75.0 vs 76.6 kg) and the proportion with prior stem cell transplant (16.6% vs 18.1%). However, the LOTIS-2 population differed from the Australian population with respect to ethnicity, with 89.7% of LOTIS-2 participants being white/European and 2.1% Asian, and 0.7% Pacific Islander/Polynesian, whereas the Australian DLBCL population was 64.9% white/European, 22.8% Asian and 5.3% Pacific Islander/Polynesian. Due to the small sample size in LOTIS-2, it is unknown whether there are any differences in efficacy or safety by ethnicity.</w:t>
      </w:r>
    </w:p>
    <w:p w14:paraId="54250A22" w14:textId="72B05127" w:rsidR="007B03F7" w:rsidRPr="001A2112" w:rsidRDefault="007B03F7" w:rsidP="007B03F7">
      <w:pPr>
        <w:pStyle w:val="3-BodyText"/>
        <w:numPr>
          <w:ilvl w:val="1"/>
          <w:numId w:val="1"/>
        </w:numPr>
      </w:pPr>
      <w:r w:rsidRPr="001A2112">
        <w:t xml:space="preserve">Wellard 2025 included 154 patients who had received any 3L therapy, including salvage chemotherapy (42.8%), but did not include a breakdown of salvage chemotherapy regimens used in Australia. However, data from the </w:t>
      </w:r>
      <w:proofErr w:type="spellStart"/>
      <w:r w:rsidRPr="001A2112">
        <w:t>LaRDR</w:t>
      </w:r>
      <w:proofErr w:type="spellEnd"/>
      <w:r w:rsidRPr="001A2112">
        <w:t xml:space="preserve"> registry reported in the Epcoritamab PSD (November 2024 PBAC meeting) showed that ‘among 69 patients who did not receive an ASCT as part of third-line therapy, CAR-T cell therapy (22.1%), R</w:t>
      </w:r>
      <w:r w:rsidRPr="001A2112">
        <w:noBreakHyphen/>
      </w:r>
      <w:proofErr w:type="spellStart"/>
      <w:r w:rsidRPr="001A2112">
        <w:t>GemOx</w:t>
      </w:r>
      <w:proofErr w:type="spellEnd"/>
      <w:r w:rsidRPr="001A2112">
        <w:t xml:space="preserve"> (Rituximab, Gemcitabine, Oxaliplatin) (11.8%), R-ICE (8.8%) and gemcitabine + vinorelbine (7.4%) were the most commonly used 3L therapies, out of approximately 20 different treatment regimens’. Wellard 2025 showed that Australian patients are accessing CAR-T (19.7%) and bispecific antibodies (7.9%) as 3L treatments, with uptake of these treatments likely to displace some of the use of salvage chemotherapy.</w:t>
      </w:r>
      <w:r w:rsidR="00A46F4D">
        <w:t xml:space="preserve"> </w:t>
      </w:r>
      <w:r w:rsidR="00A46F4D" w:rsidRPr="00D57480">
        <w:t xml:space="preserve">The Sub-Committees </w:t>
      </w:r>
      <w:r w:rsidR="00A47743" w:rsidRPr="00D57480">
        <w:t xml:space="preserve">considered the data from the </w:t>
      </w:r>
      <w:proofErr w:type="spellStart"/>
      <w:r w:rsidR="00A47743" w:rsidRPr="00D57480">
        <w:lastRenderedPageBreak/>
        <w:t>LaRDR</w:t>
      </w:r>
      <w:proofErr w:type="spellEnd"/>
      <w:r w:rsidR="00A47743" w:rsidRPr="00D57480">
        <w:t xml:space="preserve"> registry of interest but noted </w:t>
      </w:r>
      <w:r w:rsidR="00651933" w:rsidRPr="00D57480">
        <w:t xml:space="preserve">that the </w:t>
      </w:r>
      <w:r w:rsidR="00413F6F" w:rsidRPr="00D57480">
        <w:t xml:space="preserve">data capture was incomplete with not all </w:t>
      </w:r>
      <w:r w:rsidR="00130E79" w:rsidRPr="00D57480">
        <w:t xml:space="preserve">Australian </w:t>
      </w:r>
      <w:r w:rsidR="00482A41" w:rsidRPr="00D57480">
        <w:t xml:space="preserve">treatment centres </w:t>
      </w:r>
      <w:r w:rsidR="00A20237" w:rsidRPr="00D57480">
        <w:t xml:space="preserve">providing input to the registry. </w:t>
      </w:r>
    </w:p>
    <w:p w14:paraId="2C02A4C0" w14:textId="77777777" w:rsidR="007B03F7" w:rsidRPr="001A2112" w:rsidRDefault="007B03F7" w:rsidP="007B03F7">
      <w:pPr>
        <w:pStyle w:val="3-BodyText"/>
        <w:numPr>
          <w:ilvl w:val="1"/>
          <w:numId w:val="1"/>
        </w:numPr>
      </w:pPr>
      <w:bookmarkStart w:id="28" w:name="_Ref219207414"/>
      <w:r w:rsidRPr="001A2112">
        <w:t>The common outcomes between LOTIS-2 and the CORAL extension studies were ORR and OS. The outcome definitions, methods and timing of assessment differed across the studies:</w:t>
      </w:r>
      <w:bookmarkEnd w:id="28"/>
    </w:p>
    <w:p w14:paraId="7C7730E3" w14:textId="59712F8E" w:rsidR="007B03F7" w:rsidRPr="001A2112" w:rsidRDefault="007B03F7" w:rsidP="007B03F7">
      <w:pPr>
        <w:pStyle w:val="ListParagraph"/>
        <w:ind w:left="1134"/>
        <w:jc w:val="both"/>
      </w:pPr>
      <w:r w:rsidRPr="001A2112">
        <w:t>Response in LOTIS-2 was independently assessed at regular intervals per protocol throughout the study, whereas patients in the CORAL extension studies received routine clinical care for 3L therapy, and response was assessed by investigators at non-specified time points. It is possible that response and disease progression may have been identified earlier in patients in LOTIS-2 compared to patients in the CORAL extension studies.</w:t>
      </w:r>
    </w:p>
    <w:p w14:paraId="663A4AFA" w14:textId="500517E4" w:rsidR="007B03F7" w:rsidRPr="001A2112" w:rsidRDefault="007B03F7" w:rsidP="007B03F7">
      <w:pPr>
        <w:pStyle w:val="ListParagraph"/>
        <w:ind w:left="1134"/>
        <w:jc w:val="both"/>
      </w:pPr>
      <w:r w:rsidRPr="001A2112">
        <w:t>OS for patients in LOTIS-2 was measured from the first day of active treatment, whereas for patients in the CORAL extension studies, OS was measured from the date of documented failure of induction therapy or relapse after ASCT, rather than the date patients began 3L therapy, and no information was available on the time between failure/relapse and initiation of 3L therapy. The</w:t>
      </w:r>
      <w:r w:rsidR="00616CA5" w:rsidRPr="001A2112">
        <w:t xml:space="preserve">se different definitions </w:t>
      </w:r>
      <w:r w:rsidR="00ED7743" w:rsidRPr="001A2112">
        <w:t>potentially lead to</w:t>
      </w:r>
      <w:r w:rsidR="00461BE4" w:rsidRPr="001A2112">
        <w:t xml:space="preserve"> artificially</w:t>
      </w:r>
      <w:r w:rsidR="00ED7743" w:rsidRPr="001A2112">
        <w:t xml:space="preserve"> longer OS outcomes being recorded in the </w:t>
      </w:r>
      <w:r w:rsidRPr="001A2112">
        <w:t>CORAL extension studies; however, patients who died or were deemed to progress during screening were excluded from LOTIS-2, whereas similar patients may have been included in the CORAL extension studies.</w:t>
      </w:r>
    </w:p>
    <w:p w14:paraId="4A4FE085" w14:textId="39988201" w:rsidR="00B60939" w:rsidRPr="000B298F" w:rsidRDefault="00B60939" w:rsidP="000B298F">
      <w:pPr>
        <w:pStyle w:val="4-SubsectionHeading"/>
      </w:pPr>
      <w:bookmarkStart w:id="29" w:name="_Toc22897641"/>
      <w:bookmarkStart w:id="30" w:name="_Toc219880984"/>
      <w:r w:rsidRPr="000B298F">
        <w:t>Comparative effectiveness</w:t>
      </w:r>
      <w:bookmarkEnd w:id="29"/>
      <w:bookmarkEnd w:id="30"/>
    </w:p>
    <w:p w14:paraId="13DFD42F" w14:textId="77777777" w:rsidR="007B03F7" w:rsidRPr="001A2112" w:rsidRDefault="007B03F7" w:rsidP="007B03F7">
      <w:pPr>
        <w:rPr>
          <w:u w:val="single"/>
        </w:rPr>
      </w:pPr>
      <w:r w:rsidRPr="001A2112">
        <w:rPr>
          <w:u w:val="single"/>
        </w:rPr>
        <w:t>LOTIS-2 and CORAL extension studies, naïve comparisons prior to matching</w:t>
      </w:r>
    </w:p>
    <w:p w14:paraId="0CDBCDDE" w14:textId="27DDCA84" w:rsidR="007B03F7" w:rsidRPr="001A2112" w:rsidRDefault="007B03F7" w:rsidP="007B03F7">
      <w:pPr>
        <w:pStyle w:val="3-BodyText"/>
        <w:numPr>
          <w:ilvl w:val="1"/>
          <w:numId w:val="1"/>
        </w:numPr>
        <w:rPr>
          <w:color w:val="0066FF"/>
        </w:rPr>
      </w:pPr>
      <w:r w:rsidRPr="001A2112">
        <w:fldChar w:fldCharType="begin"/>
      </w:r>
      <w:r w:rsidRPr="001A2112">
        <w:instrText xml:space="preserve"> REF _Ref218772420 \h </w:instrText>
      </w:r>
      <w:r w:rsidR="001A2112" w:rsidRPr="001A2112">
        <w:instrText xml:space="preserve"> \* MERGEFORMAT </w:instrText>
      </w:r>
      <w:r w:rsidRPr="001A2112">
        <w:fldChar w:fldCharType="separate"/>
      </w:r>
      <w:r w:rsidR="007D33FD" w:rsidRPr="001A2112">
        <w:t xml:space="preserve">Table </w:t>
      </w:r>
      <w:r w:rsidR="007D33FD" w:rsidRPr="001A2112">
        <w:rPr>
          <w:noProof/>
        </w:rPr>
        <w:t>4</w:t>
      </w:r>
      <w:r w:rsidRPr="001A2112">
        <w:fldChar w:fldCharType="end"/>
      </w:r>
      <w:r w:rsidRPr="001A2112">
        <w:t xml:space="preserve"> presents the response outcomes for LOTIS-2 and the CORAL Extension studies. Response outcomes for Australian patients in the </w:t>
      </w:r>
      <w:proofErr w:type="spellStart"/>
      <w:r w:rsidRPr="001A2112">
        <w:t>LaRDR</w:t>
      </w:r>
      <w:proofErr w:type="spellEnd"/>
      <w:r w:rsidRPr="001A2112">
        <w:t xml:space="preserve"> Registry who underwent 3L therapy for DLBCL are included for context.</w:t>
      </w:r>
      <w:r w:rsidRPr="001A2112">
        <w:rPr>
          <w:color w:val="0066FF"/>
        </w:rPr>
        <w:t xml:space="preserve"> </w:t>
      </w:r>
    </w:p>
    <w:p w14:paraId="6775795D" w14:textId="4EAB532D" w:rsidR="007B03F7" w:rsidRPr="001A2112" w:rsidRDefault="007B03F7" w:rsidP="007B03F7">
      <w:pPr>
        <w:pStyle w:val="Caption"/>
      </w:pPr>
      <w:bookmarkStart w:id="31" w:name="_Ref218772420"/>
      <w:r w:rsidRPr="001A2112">
        <w:t xml:space="preserve">Table </w:t>
      </w:r>
      <w:r w:rsidRPr="001A2112">
        <w:fldChar w:fldCharType="begin"/>
      </w:r>
      <w:r w:rsidRPr="001A2112">
        <w:instrText>SEQ Table \* ARABIC</w:instrText>
      </w:r>
      <w:r w:rsidRPr="001A2112">
        <w:fldChar w:fldCharType="separate"/>
      </w:r>
      <w:r w:rsidR="007D33FD" w:rsidRPr="001A2112">
        <w:rPr>
          <w:noProof/>
        </w:rPr>
        <w:t>4</w:t>
      </w:r>
      <w:r w:rsidRPr="001A2112">
        <w:fldChar w:fldCharType="end"/>
      </w:r>
      <w:bookmarkEnd w:id="31"/>
      <w:r w:rsidRPr="001A2112">
        <w:t xml:space="preserve">: Response outcomes from LOTIS-2, CORAL extension studies and </w:t>
      </w:r>
      <w:proofErr w:type="spellStart"/>
      <w:r w:rsidRPr="001A2112">
        <w:t>LaRDR</w:t>
      </w:r>
      <w:proofErr w:type="spellEnd"/>
      <w:r w:rsidRPr="001A2112">
        <w:t xml:space="preserve"> patients who underwent 3L therapy</w:t>
      </w:r>
    </w:p>
    <w:tbl>
      <w:tblPr>
        <w:tblStyle w:val="TableGrid"/>
        <w:tblW w:w="9161" w:type="dxa"/>
        <w:tblCellMar>
          <w:left w:w="28" w:type="dxa"/>
          <w:right w:w="28" w:type="dxa"/>
        </w:tblCellMar>
        <w:tblLook w:val="04A0" w:firstRow="1" w:lastRow="0" w:firstColumn="1" w:lastColumn="0" w:noHBand="0" w:noVBand="1"/>
        <w:tblCaption w:val="Table 4: Response outcomes from LOTIS-2, CORAL extension studies and LaRDR patients who underwent 3L therapy"/>
      </w:tblPr>
      <w:tblGrid>
        <w:gridCol w:w="1838"/>
        <w:gridCol w:w="1276"/>
        <w:gridCol w:w="1701"/>
        <w:gridCol w:w="1701"/>
        <w:gridCol w:w="1559"/>
        <w:gridCol w:w="1086"/>
      </w:tblGrid>
      <w:tr w:rsidR="007B03F7" w:rsidRPr="001A2112" w14:paraId="1601504B" w14:textId="77777777">
        <w:tc>
          <w:tcPr>
            <w:tcW w:w="1838" w:type="dxa"/>
          </w:tcPr>
          <w:p w14:paraId="20BDDC13" w14:textId="77777777" w:rsidR="007B03F7" w:rsidRPr="001A2112" w:rsidRDefault="007B03F7">
            <w:pPr>
              <w:pStyle w:val="TableText0"/>
            </w:pPr>
          </w:p>
        </w:tc>
        <w:tc>
          <w:tcPr>
            <w:tcW w:w="1276" w:type="dxa"/>
          </w:tcPr>
          <w:p w14:paraId="2EB07EF9" w14:textId="77777777" w:rsidR="007B03F7" w:rsidRPr="001A2112" w:rsidRDefault="007B03F7">
            <w:pPr>
              <w:pStyle w:val="In-tableHeading"/>
              <w:jc w:val="center"/>
            </w:pPr>
            <w:r w:rsidRPr="001A2112">
              <w:t>LOTIS-2</w:t>
            </w:r>
          </w:p>
          <w:p w14:paraId="4403E788" w14:textId="77777777" w:rsidR="007B03F7" w:rsidRPr="001A2112" w:rsidRDefault="007B03F7">
            <w:pPr>
              <w:pStyle w:val="In-tableHeading"/>
              <w:jc w:val="center"/>
            </w:pPr>
            <w:r w:rsidRPr="001A2112">
              <w:t>N=145</w:t>
            </w:r>
          </w:p>
        </w:tc>
        <w:tc>
          <w:tcPr>
            <w:tcW w:w="1701" w:type="dxa"/>
          </w:tcPr>
          <w:p w14:paraId="64D61469" w14:textId="77777777" w:rsidR="007B03F7" w:rsidRPr="001A2112" w:rsidRDefault="007B03F7">
            <w:pPr>
              <w:pStyle w:val="TableText0"/>
              <w:jc w:val="center"/>
              <w:rPr>
                <w:b/>
                <w:bCs w:val="0"/>
                <w:lang w:val="nb-NO"/>
              </w:rPr>
            </w:pPr>
            <w:r w:rsidRPr="001A2112">
              <w:rPr>
                <w:b/>
                <w:bCs w:val="0"/>
                <w:lang w:val="nb-NO"/>
              </w:rPr>
              <w:t xml:space="preserve">CORAL Extension 1 </w:t>
            </w:r>
          </w:p>
          <w:p w14:paraId="03D9EF58" w14:textId="77777777" w:rsidR="007B03F7" w:rsidRPr="001A2112" w:rsidRDefault="007B03F7">
            <w:pPr>
              <w:pStyle w:val="TableText0"/>
              <w:jc w:val="center"/>
              <w:rPr>
                <w:b/>
                <w:bCs w:val="0"/>
              </w:rPr>
            </w:pPr>
            <w:r w:rsidRPr="001A2112">
              <w:rPr>
                <w:b/>
                <w:bCs w:val="0"/>
              </w:rPr>
              <w:t>(relapse after ASCT) N=75</w:t>
            </w:r>
          </w:p>
        </w:tc>
        <w:tc>
          <w:tcPr>
            <w:tcW w:w="1701" w:type="dxa"/>
          </w:tcPr>
          <w:p w14:paraId="5ABFA55C" w14:textId="0242F259" w:rsidR="007B03F7" w:rsidRPr="001A2112" w:rsidRDefault="007B03F7">
            <w:pPr>
              <w:pStyle w:val="TableText0"/>
              <w:jc w:val="center"/>
              <w:rPr>
                <w:b/>
                <w:bCs w:val="0"/>
                <w:lang w:val="nb-NO"/>
              </w:rPr>
            </w:pPr>
            <w:r w:rsidRPr="001A2112">
              <w:rPr>
                <w:b/>
                <w:bCs w:val="0"/>
                <w:lang w:val="nb-NO"/>
              </w:rPr>
              <w:t>CORAL Extension 2</w:t>
            </w:r>
            <w:r w:rsidR="005822E1">
              <w:rPr>
                <w:b/>
                <w:bCs w:val="0"/>
                <w:lang w:val="nb-NO"/>
              </w:rPr>
              <w:t xml:space="preserve"> </w:t>
            </w:r>
            <w:r w:rsidRPr="001A2112">
              <w:rPr>
                <w:b/>
                <w:bCs w:val="0"/>
                <w:lang w:val="nb-NO"/>
              </w:rPr>
              <w:t>(no ASCT)</w:t>
            </w:r>
          </w:p>
          <w:p w14:paraId="0537A293" w14:textId="77777777" w:rsidR="007B03F7" w:rsidRPr="001A2112" w:rsidRDefault="007B03F7">
            <w:pPr>
              <w:pStyle w:val="TableText0"/>
              <w:jc w:val="center"/>
              <w:rPr>
                <w:b/>
                <w:bCs w:val="0"/>
              </w:rPr>
            </w:pPr>
            <w:r w:rsidRPr="001A2112">
              <w:rPr>
                <w:b/>
                <w:bCs w:val="0"/>
              </w:rPr>
              <w:t>N=203</w:t>
            </w:r>
          </w:p>
        </w:tc>
        <w:tc>
          <w:tcPr>
            <w:tcW w:w="1559" w:type="dxa"/>
          </w:tcPr>
          <w:p w14:paraId="4264A750" w14:textId="77777777" w:rsidR="007B03F7" w:rsidRPr="001A2112" w:rsidRDefault="007B03F7">
            <w:pPr>
              <w:pStyle w:val="TableText0"/>
              <w:jc w:val="center"/>
              <w:rPr>
                <w:b/>
                <w:bCs w:val="0"/>
              </w:rPr>
            </w:pPr>
            <w:r w:rsidRPr="001A2112">
              <w:rPr>
                <w:b/>
                <w:bCs w:val="0"/>
              </w:rPr>
              <w:t>Pooled CORAL Extension 1 and 2</w:t>
            </w:r>
          </w:p>
          <w:p w14:paraId="2A736D99" w14:textId="77777777" w:rsidR="007B03F7" w:rsidRPr="001A2112" w:rsidRDefault="007B03F7">
            <w:pPr>
              <w:pStyle w:val="TableText0"/>
              <w:jc w:val="center"/>
              <w:rPr>
                <w:b/>
                <w:bCs w:val="0"/>
              </w:rPr>
            </w:pPr>
            <w:r w:rsidRPr="001A2112">
              <w:rPr>
                <w:b/>
                <w:bCs w:val="0"/>
              </w:rPr>
              <w:t>N=278</w:t>
            </w:r>
          </w:p>
        </w:tc>
        <w:tc>
          <w:tcPr>
            <w:tcW w:w="1086" w:type="dxa"/>
          </w:tcPr>
          <w:p w14:paraId="29404FA4" w14:textId="77777777" w:rsidR="007B03F7" w:rsidRPr="001A2112" w:rsidRDefault="007B03F7">
            <w:pPr>
              <w:pStyle w:val="TableText0"/>
              <w:jc w:val="center"/>
              <w:rPr>
                <w:b/>
                <w:bCs w:val="0"/>
              </w:rPr>
            </w:pPr>
            <w:proofErr w:type="spellStart"/>
            <w:r w:rsidRPr="001A2112">
              <w:rPr>
                <w:b/>
                <w:bCs w:val="0"/>
              </w:rPr>
              <w:t>LaRDR</w:t>
            </w:r>
            <w:proofErr w:type="spellEnd"/>
          </w:p>
          <w:p w14:paraId="233BFDE1" w14:textId="77777777" w:rsidR="007B03F7" w:rsidRPr="001A2112" w:rsidRDefault="007B03F7">
            <w:pPr>
              <w:pStyle w:val="TableText0"/>
              <w:jc w:val="center"/>
              <w:rPr>
                <w:b/>
                <w:bCs w:val="0"/>
                <w:vertAlign w:val="superscript"/>
              </w:rPr>
            </w:pPr>
            <w:r w:rsidRPr="001A2112">
              <w:rPr>
                <w:b/>
                <w:bCs w:val="0"/>
              </w:rPr>
              <w:t>N=123</w:t>
            </w:r>
            <w:r w:rsidRPr="001A2112">
              <w:rPr>
                <w:b/>
                <w:bCs w:val="0"/>
                <w:vertAlign w:val="superscript"/>
              </w:rPr>
              <w:t>a</w:t>
            </w:r>
          </w:p>
          <w:p w14:paraId="4F875629" w14:textId="77777777" w:rsidR="007B03F7" w:rsidRPr="001A2112" w:rsidRDefault="007B03F7">
            <w:pPr>
              <w:pStyle w:val="TableText0"/>
              <w:rPr>
                <w:b/>
                <w:bCs w:val="0"/>
              </w:rPr>
            </w:pPr>
          </w:p>
        </w:tc>
      </w:tr>
      <w:tr w:rsidR="007B03F7" w:rsidRPr="001A2112" w14:paraId="0059513B" w14:textId="77777777">
        <w:tc>
          <w:tcPr>
            <w:tcW w:w="1838" w:type="dxa"/>
          </w:tcPr>
          <w:p w14:paraId="4B720837" w14:textId="77777777" w:rsidR="007B03F7" w:rsidRPr="001A2112" w:rsidRDefault="007B03F7">
            <w:pPr>
              <w:pStyle w:val="TableText0"/>
            </w:pPr>
            <w:r w:rsidRPr="001A2112">
              <w:t>ORR, n/N (%) [95% CI]</w:t>
            </w:r>
          </w:p>
        </w:tc>
        <w:tc>
          <w:tcPr>
            <w:tcW w:w="1276" w:type="dxa"/>
          </w:tcPr>
          <w:p w14:paraId="70B1FDF2" w14:textId="3321FBF6" w:rsidR="007B03F7" w:rsidRPr="001A2112" w:rsidRDefault="007B03F7">
            <w:pPr>
              <w:pStyle w:val="TableText0"/>
              <w:jc w:val="center"/>
            </w:pPr>
            <w:r w:rsidRPr="001A2112">
              <w:t>70/145 (48.3)</w:t>
            </w:r>
          </w:p>
          <w:p w14:paraId="77681031" w14:textId="77777777" w:rsidR="007B03F7" w:rsidRPr="001A2112" w:rsidRDefault="007B03F7">
            <w:pPr>
              <w:pStyle w:val="TableText0"/>
              <w:jc w:val="center"/>
            </w:pPr>
            <w:r w:rsidRPr="001A2112">
              <w:t>[39.9, 56.7]</w:t>
            </w:r>
          </w:p>
        </w:tc>
        <w:tc>
          <w:tcPr>
            <w:tcW w:w="1701" w:type="dxa"/>
          </w:tcPr>
          <w:p w14:paraId="6E421B90" w14:textId="77777777" w:rsidR="007B03F7" w:rsidRPr="001A2112" w:rsidRDefault="007B03F7">
            <w:pPr>
              <w:pStyle w:val="TableText0"/>
              <w:jc w:val="center"/>
            </w:pPr>
            <w:r w:rsidRPr="001A2112">
              <w:t>33/75 (44.0)</w:t>
            </w:r>
          </w:p>
        </w:tc>
        <w:tc>
          <w:tcPr>
            <w:tcW w:w="1701" w:type="dxa"/>
          </w:tcPr>
          <w:p w14:paraId="79285593" w14:textId="77777777" w:rsidR="007B03F7" w:rsidRPr="001A2112" w:rsidRDefault="007B03F7">
            <w:pPr>
              <w:pStyle w:val="TableText0"/>
              <w:jc w:val="center"/>
            </w:pPr>
            <w:r w:rsidRPr="001A2112">
              <w:t>79/203 (38.9)</w:t>
            </w:r>
          </w:p>
        </w:tc>
        <w:tc>
          <w:tcPr>
            <w:tcW w:w="1559" w:type="dxa"/>
          </w:tcPr>
          <w:p w14:paraId="1B67E8C2" w14:textId="77777777" w:rsidR="007B03F7" w:rsidRPr="001A2112" w:rsidRDefault="007B03F7">
            <w:pPr>
              <w:pStyle w:val="TableText0"/>
              <w:jc w:val="center"/>
            </w:pPr>
            <w:r w:rsidRPr="001A2112">
              <w:t>112/278 (40.3)</w:t>
            </w:r>
          </w:p>
        </w:tc>
        <w:tc>
          <w:tcPr>
            <w:tcW w:w="1086" w:type="dxa"/>
          </w:tcPr>
          <w:p w14:paraId="7C5913CB" w14:textId="77777777" w:rsidR="007B03F7" w:rsidRPr="001A2112" w:rsidRDefault="007B03F7">
            <w:pPr>
              <w:pStyle w:val="TableText0"/>
              <w:jc w:val="center"/>
            </w:pPr>
            <w:r w:rsidRPr="001A2112">
              <w:t>NR</w:t>
            </w:r>
          </w:p>
        </w:tc>
      </w:tr>
      <w:tr w:rsidR="007B03F7" w:rsidRPr="001A2112" w14:paraId="1095F5F5" w14:textId="77777777">
        <w:tc>
          <w:tcPr>
            <w:tcW w:w="1838" w:type="dxa"/>
          </w:tcPr>
          <w:p w14:paraId="7D8DE8EC" w14:textId="77777777" w:rsidR="007B03F7" w:rsidRPr="001A2112" w:rsidRDefault="007B03F7">
            <w:pPr>
              <w:pStyle w:val="TableText0"/>
            </w:pPr>
            <w:r w:rsidRPr="001A2112">
              <w:t xml:space="preserve">ORR n/n evaluable (%) </w:t>
            </w:r>
          </w:p>
        </w:tc>
        <w:tc>
          <w:tcPr>
            <w:tcW w:w="1276" w:type="dxa"/>
          </w:tcPr>
          <w:p w14:paraId="482D912F" w14:textId="77777777" w:rsidR="007B03F7" w:rsidRPr="001A2112" w:rsidRDefault="007B03F7">
            <w:pPr>
              <w:pStyle w:val="TableText0"/>
              <w:jc w:val="center"/>
            </w:pPr>
            <w:r w:rsidRPr="001A2112">
              <w:t>70/122 (57.4)</w:t>
            </w:r>
          </w:p>
        </w:tc>
        <w:tc>
          <w:tcPr>
            <w:tcW w:w="1701" w:type="dxa"/>
          </w:tcPr>
          <w:p w14:paraId="17278C12" w14:textId="77777777" w:rsidR="007B03F7" w:rsidRPr="001A2112" w:rsidRDefault="007B03F7">
            <w:pPr>
              <w:pStyle w:val="TableText0"/>
              <w:jc w:val="center"/>
            </w:pPr>
            <w:r w:rsidRPr="001A2112">
              <w:t>33/67 (49.3)</w:t>
            </w:r>
          </w:p>
        </w:tc>
        <w:tc>
          <w:tcPr>
            <w:tcW w:w="1701" w:type="dxa"/>
          </w:tcPr>
          <w:p w14:paraId="633559C4" w14:textId="77777777" w:rsidR="007B03F7" w:rsidRPr="001A2112" w:rsidRDefault="007B03F7">
            <w:pPr>
              <w:pStyle w:val="TableText0"/>
              <w:jc w:val="center"/>
            </w:pPr>
            <w:r w:rsidRPr="001A2112">
              <w:t>79/166 (47.6)</w:t>
            </w:r>
          </w:p>
        </w:tc>
        <w:tc>
          <w:tcPr>
            <w:tcW w:w="1559" w:type="dxa"/>
          </w:tcPr>
          <w:p w14:paraId="10C19C22" w14:textId="77777777" w:rsidR="007B03F7" w:rsidRPr="001A2112" w:rsidRDefault="007B03F7">
            <w:pPr>
              <w:pStyle w:val="TableText0"/>
              <w:jc w:val="center"/>
            </w:pPr>
            <w:r w:rsidRPr="001A2112">
              <w:t>112/233 (48.1)</w:t>
            </w:r>
          </w:p>
        </w:tc>
        <w:tc>
          <w:tcPr>
            <w:tcW w:w="1086" w:type="dxa"/>
          </w:tcPr>
          <w:p w14:paraId="6E8F755A" w14:textId="77777777" w:rsidR="007B03F7" w:rsidRPr="001A2112" w:rsidRDefault="007B03F7">
            <w:pPr>
              <w:pStyle w:val="TableText0"/>
              <w:jc w:val="center"/>
            </w:pPr>
            <w:r w:rsidRPr="001A2112">
              <w:t>40/123 (32.5)</w:t>
            </w:r>
          </w:p>
        </w:tc>
      </w:tr>
      <w:tr w:rsidR="007B03F7" w:rsidRPr="001A2112" w14:paraId="5B80BBEB" w14:textId="77777777">
        <w:tc>
          <w:tcPr>
            <w:tcW w:w="9161" w:type="dxa"/>
            <w:gridSpan w:val="6"/>
          </w:tcPr>
          <w:p w14:paraId="64098002" w14:textId="77777777" w:rsidR="007B03F7" w:rsidRPr="001A2112" w:rsidRDefault="007B03F7">
            <w:pPr>
              <w:pStyle w:val="TableText0"/>
            </w:pPr>
            <w:r w:rsidRPr="001A2112">
              <w:t>Best Overall Response, n/N (%)</w:t>
            </w:r>
          </w:p>
        </w:tc>
      </w:tr>
      <w:tr w:rsidR="007B03F7" w:rsidRPr="001A2112" w14:paraId="2E19C820" w14:textId="77777777">
        <w:tc>
          <w:tcPr>
            <w:tcW w:w="1838" w:type="dxa"/>
          </w:tcPr>
          <w:p w14:paraId="74B6157D" w14:textId="77777777" w:rsidR="007B03F7" w:rsidRPr="001A2112" w:rsidRDefault="007B03F7">
            <w:pPr>
              <w:pStyle w:val="TableText0"/>
              <w:ind w:left="170"/>
            </w:pPr>
            <w:r w:rsidRPr="001A2112">
              <w:t>CR</w:t>
            </w:r>
          </w:p>
        </w:tc>
        <w:tc>
          <w:tcPr>
            <w:tcW w:w="1276" w:type="dxa"/>
            <w:vAlign w:val="center"/>
          </w:tcPr>
          <w:p w14:paraId="08634490" w14:textId="77777777" w:rsidR="007B03F7" w:rsidRPr="001A2112" w:rsidRDefault="007B03F7">
            <w:pPr>
              <w:pStyle w:val="TableText0"/>
              <w:jc w:val="center"/>
            </w:pPr>
            <w:r w:rsidRPr="001A2112">
              <w:t>36/145 (24.8)</w:t>
            </w:r>
          </w:p>
        </w:tc>
        <w:tc>
          <w:tcPr>
            <w:tcW w:w="1701" w:type="dxa"/>
          </w:tcPr>
          <w:p w14:paraId="634A0E5E" w14:textId="77777777" w:rsidR="007B03F7" w:rsidRPr="001A2112" w:rsidRDefault="007B03F7">
            <w:pPr>
              <w:pStyle w:val="TableText0"/>
              <w:jc w:val="center"/>
            </w:pPr>
            <w:r w:rsidRPr="001A2112">
              <w:t>24/75 (32.0)</w:t>
            </w:r>
          </w:p>
        </w:tc>
        <w:tc>
          <w:tcPr>
            <w:tcW w:w="1701" w:type="dxa"/>
          </w:tcPr>
          <w:p w14:paraId="2B1625FC" w14:textId="77777777" w:rsidR="007B03F7" w:rsidRPr="001A2112" w:rsidRDefault="007B03F7">
            <w:pPr>
              <w:pStyle w:val="TableText0"/>
              <w:jc w:val="center"/>
            </w:pPr>
            <w:r w:rsidRPr="001A2112">
              <w:t>55/203 (27.1)</w:t>
            </w:r>
          </w:p>
        </w:tc>
        <w:tc>
          <w:tcPr>
            <w:tcW w:w="1559" w:type="dxa"/>
          </w:tcPr>
          <w:p w14:paraId="0BBBF55D" w14:textId="77777777" w:rsidR="007B03F7" w:rsidRPr="001A2112" w:rsidRDefault="007B03F7">
            <w:pPr>
              <w:pStyle w:val="TableText0"/>
              <w:jc w:val="center"/>
            </w:pPr>
            <w:r w:rsidRPr="001A2112">
              <w:t>79 (28.4)</w:t>
            </w:r>
          </w:p>
        </w:tc>
        <w:tc>
          <w:tcPr>
            <w:tcW w:w="1086" w:type="dxa"/>
          </w:tcPr>
          <w:p w14:paraId="44C0A8D5" w14:textId="77777777" w:rsidR="007B03F7" w:rsidRPr="001A2112" w:rsidRDefault="007B03F7">
            <w:pPr>
              <w:pStyle w:val="TableText0"/>
              <w:jc w:val="center"/>
            </w:pPr>
            <w:r w:rsidRPr="001A2112">
              <w:t>32/123 (26.0)</w:t>
            </w:r>
          </w:p>
        </w:tc>
      </w:tr>
      <w:tr w:rsidR="007B03F7" w:rsidRPr="001A2112" w14:paraId="3C385C4E" w14:textId="77777777">
        <w:tc>
          <w:tcPr>
            <w:tcW w:w="1838" w:type="dxa"/>
          </w:tcPr>
          <w:p w14:paraId="2E1F37D0" w14:textId="77777777" w:rsidR="007B03F7" w:rsidRPr="001A2112" w:rsidRDefault="007B03F7">
            <w:pPr>
              <w:pStyle w:val="TableText0"/>
              <w:ind w:left="170"/>
            </w:pPr>
            <w:r w:rsidRPr="001A2112">
              <w:t>PR</w:t>
            </w:r>
          </w:p>
        </w:tc>
        <w:tc>
          <w:tcPr>
            <w:tcW w:w="1276" w:type="dxa"/>
            <w:vAlign w:val="center"/>
          </w:tcPr>
          <w:p w14:paraId="7EACE546" w14:textId="77777777" w:rsidR="007B03F7" w:rsidRPr="001A2112" w:rsidRDefault="007B03F7">
            <w:pPr>
              <w:pStyle w:val="TableText0"/>
              <w:jc w:val="center"/>
            </w:pPr>
            <w:r w:rsidRPr="001A2112">
              <w:t>34/145 (23.4)</w:t>
            </w:r>
          </w:p>
        </w:tc>
        <w:tc>
          <w:tcPr>
            <w:tcW w:w="1701" w:type="dxa"/>
          </w:tcPr>
          <w:p w14:paraId="49E4AFE8" w14:textId="77777777" w:rsidR="007B03F7" w:rsidRPr="001A2112" w:rsidRDefault="007B03F7">
            <w:pPr>
              <w:pStyle w:val="TableText0"/>
              <w:jc w:val="center"/>
            </w:pPr>
            <w:r w:rsidRPr="001A2112">
              <w:t>9/75 (12.0)</w:t>
            </w:r>
          </w:p>
        </w:tc>
        <w:tc>
          <w:tcPr>
            <w:tcW w:w="1701" w:type="dxa"/>
          </w:tcPr>
          <w:p w14:paraId="653D2C53" w14:textId="77777777" w:rsidR="007B03F7" w:rsidRPr="001A2112" w:rsidRDefault="007B03F7">
            <w:pPr>
              <w:pStyle w:val="TableText0"/>
              <w:jc w:val="center"/>
            </w:pPr>
            <w:r w:rsidRPr="001A2112">
              <w:t>24/203 (11.8)</w:t>
            </w:r>
          </w:p>
        </w:tc>
        <w:tc>
          <w:tcPr>
            <w:tcW w:w="1559" w:type="dxa"/>
          </w:tcPr>
          <w:p w14:paraId="76DA4C35" w14:textId="77777777" w:rsidR="007B03F7" w:rsidRPr="001A2112" w:rsidRDefault="007B03F7">
            <w:pPr>
              <w:pStyle w:val="TableText0"/>
              <w:jc w:val="center"/>
            </w:pPr>
            <w:r w:rsidRPr="001A2112">
              <w:t>33 (11.9)</w:t>
            </w:r>
          </w:p>
        </w:tc>
        <w:tc>
          <w:tcPr>
            <w:tcW w:w="1086" w:type="dxa"/>
          </w:tcPr>
          <w:p w14:paraId="2FAA8836" w14:textId="77777777" w:rsidR="007B03F7" w:rsidRPr="001A2112" w:rsidRDefault="007B03F7">
            <w:pPr>
              <w:pStyle w:val="TableText0"/>
              <w:jc w:val="center"/>
            </w:pPr>
            <w:r w:rsidRPr="001A2112">
              <w:t>8/123 (6.5)</w:t>
            </w:r>
          </w:p>
        </w:tc>
      </w:tr>
      <w:tr w:rsidR="007B03F7" w:rsidRPr="001A2112" w14:paraId="49FE4A15" w14:textId="77777777">
        <w:tc>
          <w:tcPr>
            <w:tcW w:w="1838" w:type="dxa"/>
          </w:tcPr>
          <w:p w14:paraId="5939EA43" w14:textId="77777777" w:rsidR="007B03F7" w:rsidRPr="001A2112" w:rsidRDefault="007B03F7">
            <w:pPr>
              <w:pStyle w:val="TableText0"/>
              <w:ind w:left="170"/>
            </w:pPr>
            <w:r w:rsidRPr="001A2112">
              <w:t>Stable disease</w:t>
            </w:r>
          </w:p>
        </w:tc>
        <w:tc>
          <w:tcPr>
            <w:tcW w:w="1276" w:type="dxa"/>
            <w:vAlign w:val="center"/>
          </w:tcPr>
          <w:p w14:paraId="1DDCE296" w14:textId="77777777" w:rsidR="007B03F7" w:rsidRPr="001A2112" w:rsidRDefault="007B03F7">
            <w:pPr>
              <w:pStyle w:val="TableText0"/>
              <w:jc w:val="center"/>
            </w:pPr>
            <w:r w:rsidRPr="001A2112">
              <w:t>22/145 (15.2)</w:t>
            </w:r>
          </w:p>
        </w:tc>
        <w:tc>
          <w:tcPr>
            <w:tcW w:w="1701" w:type="dxa"/>
            <w:vMerge w:val="restart"/>
            <w:vAlign w:val="center"/>
          </w:tcPr>
          <w:p w14:paraId="3DED4A97" w14:textId="77777777" w:rsidR="007B03F7" w:rsidRPr="001A2112" w:rsidRDefault="007B03F7">
            <w:pPr>
              <w:pStyle w:val="TableText0"/>
              <w:jc w:val="center"/>
            </w:pPr>
            <w:r w:rsidRPr="001A2112">
              <w:t>34/75 (45.3)</w:t>
            </w:r>
          </w:p>
        </w:tc>
        <w:tc>
          <w:tcPr>
            <w:tcW w:w="1701" w:type="dxa"/>
            <w:vMerge w:val="restart"/>
            <w:vAlign w:val="center"/>
          </w:tcPr>
          <w:p w14:paraId="5353623D" w14:textId="77777777" w:rsidR="007B03F7" w:rsidRPr="001A2112" w:rsidRDefault="007B03F7">
            <w:pPr>
              <w:pStyle w:val="TableText0"/>
              <w:jc w:val="center"/>
            </w:pPr>
            <w:r w:rsidRPr="001A2112">
              <w:t>87/203 (42.9)</w:t>
            </w:r>
          </w:p>
        </w:tc>
        <w:tc>
          <w:tcPr>
            <w:tcW w:w="1559" w:type="dxa"/>
            <w:vMerge w:val="restart"/>
            <w:vAlign w:val="center"/>
          </w:tcPr>
          <w:p w14:paraId="40ECA0C4" w14:textId="77777777" w:rsidR="007B03F7" w:rsidRPr="001A2112" w:rsidRDefault="007B03F7">
            <w:pPr>
              <w:pStyle w:val="TableText0"/>
              <w:jc w:val="center"/>
            </w:pPr>
            <w:r w:rsidRPr="001A2112">
              <w:t>121(43.5)</w:t>
            </w:r>
          </w:p>
        </w:tc>
        <w:tc>
          <w:tcPr>
            <w:tcW w:w="1086" w:type="dxa"/>
          </w:tcPr>
          <w:p w14:paraId="50E05A8A" w14:textId="77777777" w:rsidR="007B03F7" w:rsidRPr="001A2112" w:rsidRDefault="007B03F7">
            <w:pPr>
              <w:pStyle w:val="TableText0"/>
              <w:jc w:val="center"/>
            </w:pPr>
            <w:r w:rsidRPr="001A2112">
              <w:t>4/123 (3.3)</w:t>
            </w:r>
          </w:p>
        </w:tc>
      </w:tr>
      <w:tr w:rsidR="007B03F7" w:rsidRPr="001A2112" w14:paraId="475BE03F" w14:textId="77777777">
        <w:tc>
          <w:tcPr>
            <w:tcW w:w="1838" w:type="dxa"/>
          </w:tcPr>
          <w:p w14:paraId="3B6CDB53" w14:textId="77777777" w:rsidR="007B03F7" w:rsidRPr="001A2112" w:rsidRDefault="007B03F7">
            <w:pPr>
              <w:pStyle w:val="TableText0"/>
              <w:ind w:left="170"/>
            </w:pPr>
            <w:r w:rsidRPr="001A2112">
              <w:t>PD</w:t>
            </w:r>
          </w:p>
        </w:tc>
        <w:tc>
          <w:tcPr>
            <w:tcW w:w="1276" w:type="dxa"/>
            <w:vAlign w:val="center"/>
          </w:tcPr>
          <w:p w14:paraId="5A26D4DE" w14:textId="77777777" w:rsidR="007B03F7" w:rsidRPr="001A2112" w:rsidRDefault="007B03F7">
            <w:pPr>
              <w:pStyle w:val="TableText0"/>
              <w:jc w:val="center"/>
            </w:pPr>
            <w:r w:rsidRPr="001A2112">
              <w:t>30/145 (20.7)</w:t>
            </w:r>
          </w:p>
        </w:tc>
        <w:tc>
          <w:tcPr>
            <w:tcW w:w="1701" w:type="dxa"/>
            <w:vMerge/>
          </w:tcPr>
          <w:p w14:paraId="1EC14110" w14:textId="77777777" w:rsidR="007B03F7" w:rsidRPr="001A2112" w:rsidRDefault="007B03F7">
            <w:pPr>
              <w:pStyle w:val="TableText0"/>
              <w:jc w:val="center"/>
            </w:pPr>
          </w:p>
        </w:tc>
        <w:tc>
          <w:tcPr>
            <w:tcW w:w="1701" w:type="dxa"/>
            <w:vMerge/>
          </w:tcPr>
          <w:p w14:paraId="76E9B250" w14:textId="77777777" w:rsidR="007B03F7" w:rsidRPr="001A2112" w:rsidRDefault="007B03F7">
            <w:pPr>
              <w:pStyle w:val="TableText0"/>
              <w:jc w:val="center"/>
            </w:pPr>
          </w:p>
        </w:tc>
        <w:tc>
          <w:tcPr>
            <w:tcW w:w="1559" w:type="dxa"/>
            <w:vMerge/>
          </w:tcPr>
          <w:p w14:paraId="7E6AAD68" w14:textId="77777777" w:rsidR="007B03F7" w:rsidRPr="001A2112" w:rsidRDefault="007B03F7">
            <w:pPr>
              <w:pStyle w:val="TableText0"/>
              <w:jc w:val="center"/>
            </w:pPr>
          </w:p>
        </w:tc>
        <w:tc>
          <w:tcPr>
            <w:tcW w:w="1086" w:type="dxa"/>
          </w:tcPr>
          <w:p w14:paraId="5D8B62D8" w14:textId="77777777" w:rsidR="007B03F7" w:rsidRPr="001A2112" w:rsidRDefault="007B03F7">
            <w:pPr>
              <w:pStyle w:val="TableText0"/>
              <w:jc w:val="center"/>
            </w:pPr>
            <w:r w:rsidRPr="001A2112">
              <w:t>79/123 (64.2)</w:t>
            </w:r>
          </w:p>
        </w:tc>
      </w:tr>
      <w:tr w:rsidR="007B03F7" w:rsidRPr="001A2112" w14:paraId="624272A8" w14:textId="77777777">
        <w:tc>
          <w:tcPr>
            <w:tcW w:w="1838" w:type="dxa"/>
          </w:tcPr>
          <w:p w14:paraId="2AB69A51" w14:textId="77777777" w:rsidR="007B03F7" w:rsidRPr="001A2112" w:rsidRDefault="007B03F7">
            <w:pPr>
              <w:pStyle w:val="TableText0"/>
              <w:ind w:left="170"/>
            </w:pPr>
            <w:r w:rsidRPr="001A2112">
              <w:t>NE</w:t>
            </w:r>
          </w:p>
        </w:tc>
        <w:tc>
          <w:tcPr>
            <w:tcW w:w="1276" w:type="dxa"/>
            <w:vAlign w:val="center"/>
          </w:tcPr>
          <w:p w14:paraId="3A4AEF91" w14:textId="77777777" w:rsidR="007B03F7" w:rsidRPr="001A2112" w:rsidRDefault="007B03F7">
            <w:pPr>
              <w:pStyle w:val="TableText0"/>
              <w:jc w:val="center"/>
            </w:pPr>
            <w:r w:rsidRPr="001A2112">
              <w:t>23/145 (15.9)</w:t>
            </w:r>
          </w:p>
        </w:tc>
        <w:tc>
          <w:tcPr>
            <w:tcW w:w="1701" w:type="dxa"/>
          </w:tcPr>
          <w:p w14:paraId="67D554DB" w14:textId="77777777" w:rsidR="007B03F7" w:rsidRPr="001A2112" w:rsidRDefault="007B03F7">
            <w:pPr>
              <w:pStyle w:val="TableText0"/>
              <w:jc w:val="center"/>
            </w:pPr>
            <w:r w:rsidRPr="001A2112">
              <w:t>8/75 (10.7)</w:t>
            </w:r>
          </w:p>
        </w:tc>
        <w:tc>
          <w:tcPr>
            <w:tcW w:w="1701" w:type="dxa"/>
          </w:tcPr>
          <w:p w14:paraId="7E2544D3" w14:textId="77777777" w:rsidR="007B03F7" w:rsidRPr="001A2112" w:rsidRDefault="007B03F7">
            <w:pPr>
              <w:pStyle w:val="TableText0"/>
              <w:jc w:val="center"/>
            </w:pPr>
            <w:r w:rsidRPr="001A2112">
              <w:t>37/203 (18.2)</w:t>
            </w:r>
          </w:p>
        </w:tc>
        <w:tc>
          <w:tcPr>
            <w:tcW w:w="1559" w:type="dxa"/>
          </w:tcPr>
          <w:p w14:paraId="76CE48BC" w14:textId="77777777" w:rsidR="007B03F7" w:rsidRPr="001A2112" w:rsidRDefault="007B03F7">
            <w:pPr>
              <w:pStyle w:val="TableText0"/>
              <w:jc w:val="center"/>
            </w:pPr>
            <w:r w:rsidRPr="001A2112">
              <w:t>45 (16.2)</w:t>
            </w:r>
          </w:p>
        </w:tc>
        <w:tc>
          <w:tcPr>
            <w:tcW w:w="1086" w:type="dxa"/>
          </w:tcPr>
          <w:p w14:paraId="62C95EB0" w14:textId="77777777" w:rsidR="007B03F7" w:rsidRPr="001A2112" w:rsidRDefault="007B03F7">
            <w:pPr>
              <w:pStyle w:val="TableText0"/>
              <w:jc w:val="center"/>
              <w:rPr>
                <w:vertAlign w:val="superscript"/>
              </w:rPr>
            </w:pPr>
            <w:proofErr w:type="spellStart"/>
            <w:r w:rsidRPr="001A2112">
              <w:t>NR</w:t>
            </w:r>
            <w:r w:rsidRPr="001A2112">
              <w:rPr>
                <w:vertAlign w:val="superscript"/>
              </w:rPr>
              <w:t>a</w:t>
            </w:r>
            <w:proofErr w:type="spellEnd"/>
          </w:p>
        </w:tc>
      </w:tr>
    </w:tbl>
    <w:p w14:paraId="2A358660" w14:textId="77777777" w:rsidR="007B03F7" w:rsidRPr="001A2112" w:rsidRDefault="007B03F7" w:rsidP="007B03F7">
      <w:pPr>
        <w:pStyle w:val="TableFigureFooter"/>
      </w:pPr>
      <w:r w:rsidRPr="001A2112">
        <w:t>Source: Table 2-16, p73, Table 2-17, p75 of the submission, Van Den Neste 2016, Van Den Neste 2017 and Table 2.3, Wellard 2025.</w:t>
      </w:r>
    </w:p>
    <w:p w14:paraId="6270E791" w14:textId="3F6C9C1E" w:rsidR="007B03F7" w:rsidRPr="001A2112" w:rsidRDefault="007B03F7" w:rsidP="007B03F7">
      <w:pPr>
        <w:pStyle w:val="TableFigureFooter"/>
      </w:pPr>
      <w:r w:rsidRPr="001A2112">
        <w:t xml:space="preserve">ASCT = autologous stem cell transplant; CI = confidence interval; CR = complete remission; HR = hazard ratio; </w:t>
      </w:r>
      <w:proofErr w:type="spellStart"/>
      <w:r w:rsidRPr="001A2112">
        <w:t>LaRDR</w:t>
      </w:r>
      <w:proofErr w:type="spellEnd"/>
      <w:r w:rsidRPr="001A2112">
        <w:t xml:space="preserve"> = Lymphoma and Related Diseases Registry; n = number of participants experiencing event; N = number of participants at risk; NE = not evaluable; NR = not reported; OR</w:t>
      </w:r>
      <w:r w:rsidR="00FE2D80">
        <w:t>R</w:t>
      </w:r>
      <w:r w:rsidRPr="001A2112">
        <w:t xml:space="preserve"> = overall response rate; PD = progression of disease; PR = partial response.</w:t>
      </w:r>
    </w:p>
    <w:p w14:paraId="20708596" w14:textId="77777777" w:rsidR="007B03F7" w:rsidRPr="001A2112" w:rsidRDefault="007B03F7" w:rsidP="007B03F7">
      <w:pPr>
        <w:pStyle w:val="TableFigureFooter"/>
      </w:pPr>
      <w:proofErr w:type="spellStart"/>
      <w:r w:rsidRPr="001A2112">
        <w:rPr>
          <w:vertAlign w:val="superscript"/>
        </w:rPr>
        <w:t>a</w:t>
      </w:r>
      <w:proofErr w:type="spellEnd"/>
      <w:r w:rsidRPr="001A2112">
        <w:tab/>
        <w:t>The number not evaluable was not reported in Wellard 2025, and the discrepancy between the number undergoing third-line treatment (154) and the number of responses recorded (123) was not explained (e.g. not evaluable, still on treatment, death or not reported).</w:t>
      </w:r>
    </w:p>
    <w:p w14:paraId="17C19227" w14:textId="77777777" w:rsidR="007B03F7" w:rsidRPr="001A2112" w:rsidRDefault="007B03F7" w:rsidP="007B03F7">
      <w:pPr>
        <w:pStyle w:val="TableFigureFooter"/>
      </w:pPr>
    </w:p>
    <w:p w14:paraId="7810A0A8" w14:textId="77777777" w:rsidR="007B03F7" w:rsidRPr="001A2112" w:rsidRDefault="007B03F7" w:rsidP="007B03F7">
      <w:pPr>
        <w:pStyle w:val="3-BodyText"/>
        <w:numPr>
          <w:ilvl w:val="1"/>
          <w:numId w:val="1"/>
        </w:numPr>
      </w:pPr>
      <w:r w:rsidRPr="001A2112">
        <w:lastRenderedPageBreak/>
        <w:t xml:space="preserve">In the LOTIS-2 study, the ORR in patients treated with loncastuximab tesirine was 48.3% (95% CI: 39.9, 56.7), including 36 (24.8%) patients with CR. The ORR was slightly lower in the CORAL extension studies (pooled result: 40.3% including 28.4% with CR). When ORR is calculated using only evaluable patients, the ORR from LOTIS-2 remained higher than for CORAL Extension studies (57.4% vs 48.1%). However, ORR for Australian patients in the </w:t>
      </w:r>
      <w:proofErr w:type="spellStart"/>
      <w:r w:rsidRPr="001A2112">
        <w:t>LaRDR</w:t>
      </w:r>
      <w:proofErr w:type="spellEnd"/>
      <w:r w:rsidRPr="001A2112">
        <w:t xml:space="preserve"> Registry was lower than in either clinical study, 32.5%. This may reflect the demographic and clinical differences between patients enrolled in clinical trials/studies and those seen in clinical practice. For example, a recently published retrospective study of 187 patients from 21 US centres who received commercially available loncastuximab tesirine between April 2021 and December 2022 reported that patients receiving treatment had higher baseline risk factors compared to patients in LOTIS-2, including bulky disease (17% versus 0%, respectively), high-grade B-cell histology (22% versus 8%) and had received more prior lines of therapy (median 4 versus 3) (</w:t>
      </w:r>
      <w:proofErr w:type="spellStart"/>
      <w:r w:rsidRPr="001A2112">
        <w:t>Zelikson</w:t>
      </w:r>
      <w:proofErr w:type="spellEnd"/>
      <w:r w:rsidRPr="001A2112">
        <w:t xml:space="preserve"> 2025</w:t>
      </w:r>
      <w:r w:rsidRPr="001A2112">
        <w:rPr>
          <w:rStyle w:val="FootnoteReference"/>
        </w:rPr>
        <w:footnoteReference w:id="6"/>
      </w:r>
      <w:r w:rsidRPr="001A2112">
        <w:t xml:space="preserve">). Almost half of these patients (47%) would have been ineligible for LOTIS-2 </w:t>
      </w:r>
      <w:proofErr w:type="gramStart"/>
      <w:r w:rsidRPr="001A2112">
        <w:t>on the basis of</w:t>
      </w:r>
      <w:proofErr w:type="gramEnd"/>
      <w:r w:rsidRPr="001A2112">
        <w:t xml:space="preserve"> renal function, bulky disease, central nervous system involvement, CD19 status, or performance status. The median duration of treatment was </w:t>
      </w:r>
      <w:proofErr w:type="gramStart"/>
      <w:r w:rsidRPr="001A2112">
        <w:t>similar to</w:t>
      </w:r>
      <w:proofErr w:type="gramEnd"/>
      <w:r w:rsidRPr="001A2112">
        <w:t xml:space="preserve"> LOTIS-2 (42 versus 45 days), however patients in this study had lower CR rate (14% [95% CI: 10, 20]) and ORR (32% [95% CI: 26, 39]) than patients in LOTIS-2.</w:t>
      </w:r>
    </w:p>
    <w:p w14:paraId="30F0399B" w14:textId="77777777" w:rsidR="007B03F7" w:rsidRPr="001A2112" w:rsidRDefault="007B03F7" w:rsidP="007B03F7">
      <w:pPr>
        <w:pStyle w:val="3-BodyText"/>
        <w:numPr>
          <w:ilvl w:val="1"/>
          <w:numId w:val="1"/>
        </w:numPr>
      </w:pPr>
      <w:r w:rsidRPr="001A2112">
        <w:t>In subgroup analyses, ORRs were similar in patients aged ≥ 65 years compared to those aged &lt; 65 years (47.5% vs 49.2%), between male and female patients (47.1% vs 50.0%), and for patients who had received 2, 3 or &gt; 3 prior lines of therapy (47.6% vs 50.0% vs 47.9%). Patients who had relapsed after the most recent line of therapy had better ORR than those who were refractory (69.8% vs 34.8%). Patients with HGBL had a similar point estimate for ORR to those with DLBCL NOS, however, the confidence interval for HGBL was wide due to the small subgroup size (n=10) and the lower bound was below the pre-specified threshold for statistical significance (ORR 20%). Only 1 of the 7 patients with PMBL achieved a response.</w:t>
      </w:r>
    </w:p>
    <w:p w14:paraId="0ADEAA6E" w14:textId="0BD01B59" w:rsidR="007B03F7" w:rsidRPr="001A2112" w:rsidRDefault="007B03F7" w:rsidP="007B03F7">
      <w:pPr>
        <w:pStyle w:val="3-BodyText"/>
        <w:numPr>
          <w:ilvl w:val="1"/>
          <w:numId w:val="1"/>
        </w:numPr>
        <w:rPr>
          <w:color w:val="0066FF"/>
        </w:rPr>
      </w:pPr>
      <w:r w:rsidRPr="001A2112">
        <w:fldChar w:fldCharType="begin"/>
      </w:r>
      <w:r w:rsidRPr="001A2112">
        <w:instrText xml:space="preserve"> REF _Ref218773140 \h </w:instrText>
      </w:r>
      <w:r w:rsidR="001A2112" w:rsidRPr="001A2112">
        <w:instrText xml:space="preserve"> \* MERGEFORMAT </w:instrText>
      </w:r>
      <w:r w:rsidRPr="001A2112">
        <w:fldChar w:fldCharType="separate"/>
      </w:r>
      <w:r w:rsidR="007D33FD" w:rsidRPr="001A2112">
        <w:t xml:space="preserve">Table </w:t>
      </w:r>
      <w:r w:rsidR="007D33FD" w:rsidRPr="001A2112">
        <w:rPr>
          <w:noProof/>
        </w:rPr>
        <w:t>5</w:t>
      </w:r>
      <w:r w:rsidRPr="001A2112">
        <w:fldChar w:fldCharType="end"/>
      </w:r>
      <w:r w:rsidRPr="001A2112">
        <w:t xml:space="preserve"> and </w:t>
      </w:r>
      <w:r w:rsidRPr="001A2112">
        <w:fldChar w:fldCharType="begin"/>
      </w:r>
      <w:r w:rsidRPr="001A2112">
        <w:instrText xml:space="preserve"> REF _Ref218773467 \h </w:instrText>
      </w:r>
      <w:r w:rsidR="001A2112" w:rsidRPr="001A2112">
        <w:instrText xml:space="preserve"> \* MERGEFORMAT </w:instrText>
      </w:r>
      <w:r w:rsidRPr="001A2112">
        <w:fldChar w:fldCharType="separate"/>
      </w:r>
      <w:r w:rsidR="007D33FD" w:rsidRPr="001A2112">
        <w:t xml:space="preserve">Figure </w:t>
      </w:r>
      <w:r w:rsidR="007D33FD" w:rsidRPr="001A2112">
        <w:rPr>
          <w:noProof/>
        </w:rPr>
        <w:t>2</w:t>
      </w:r>
      <w:r w:rsidRPr="001A2112">
        <w:fldChar w:fldCharType="end"/>
      </w:r>
      <w:r w:rsidRPr="001A2112">
        <w:t xml:space="preserve"> present OS for LOTIS-2, CORAL Extension 1 and 2, and Australian patients in the </w:t>
      </w:r>
      <w:proofErr w:type="spellStart"/>
      <w:r w:rsidRPr="001A2112">
        <w:t>LaRDR</w:t>
      </w:r>
      <w:proofErr w:type="spellEnd"/>
      <w:r w:rsidRPr="001A2112">
        <w:t xml:space="preserve"> Registry who underwent 3L therapy.</w:t>
      </w:r>
    </w:p>
    <w:p w14:paraId="1B3CFD81" w14:textId="4234D5E4" w:rsidR="007B03F7" w:rsidRPr="001A2112" w:rsidRDefault="007B03F7" w:rsidP="007B03F7">
      <w:pPr>
        <w:pStyle w:val="Caption"/>
      </w:pPr>
      <w:bookmarkStart w:id="32" w:name="_Ref218773140"/>
      <w:r w:rsidRPr="001A2112">
        <w:t xml:space="preserve">Table </w:t>
      </w:r>
      <w:r w:rsidRPr="001A2112">
        <w:fldChar w:fldCharType="begin"/>
      </w:r>
      <w:r w:rsidRPr="001A2112">
        <w:instrText>SEQ Table \* ARABIC</w:instrText>
      </w:r>
      <w:r w:rsidRPr="001A2112">
        <w:fldChar w:fldCharType="separate"/>
      </w:r>
      <w:r w:rsidR="007D33FD" w:rsidRPr="001A2112">
        <w:rPr>
          <w:noProof/>
        </w:rPr>
        <w:t>5</w:t>
      </w:r>
      <w:r w:rsidRPr="001A2112">
        <w:fldChar w:fldCharType="end"/>
      </w:r>
      <w:bookmarkEnd w:id="32"/>
      <w:r w:rsidRPr="001A2112">
        <w:t xml:space="preserve">: Overall survival </w:t>
      </w:r>
      <w:r w:rsidRPr="001A2112">
        <w:rPr>
          <w:noProof/>
        </w:rPr>
        <w:t>from LOTIS-2, CORAL extension 1 and 2, and the LaRDR</w:t>
      </w:r>
    </w:p>
    <w:tbl>
      <w:tblPr>
        <w:tblStyle w:val="TableGrid"/>
        <w:tblW w:w="0" w:type="auto"/>
        <w:tblCellMar>
          <w:left w:w="28" w:type="dxa"/>
          <w:right w:w="28" w:type="dxa"/>
        </w:tblCellMar>
        <w:tblLook w:val="04A0" w:firstRow="1" w:lastRow="0" w:firstColumn="1" w:lastColumn="0" w:noHBand="0" w:noVBand="1"/>
        <w:tblCaption w:val="Table 5: Overall survival from LOTIS-2, CORAL extension 1 and 2, and the LaRDR"/>
      </w:tblPr>
      <w:tblGrid>
        <w:gridCol w:w="2405"/>
        <w:gridCol w:w="1701"/>
        <w:gridCol w:w="1843"/>
        <w:gridCol w:w="1701"/>
        <w:gridCol w:w="1366"/>
      </w:tblGrid>
      <w:tr w:rsidR="007B03F7" w:rsidRPr="001A2112" w14:paraId="56C846E9" w14:textId="77777777">
        <w:tc>
          <w:tcPr>
            <w:tcW w:w="2405" w:type="dxa"/>
          </w:tcPr>
          <w:p w14:paraId="0DD5F28B" w14:textId="77777777" w:rsidR="007B03F7" w:rsidRPr="001A2112" w:rsidRDefault="007B03F7">
            <w:pPr>
              <w:pStyle w:val="TableFigureHeading"/>
            </w:pPr>
          </w:p>
        </w:tc>
        <w:tc>
          <w:tcPr>
            <w:tcW w:w="1701" w:type="dxa"/>
          </w:tcPr>
          <w:p w14:paraId="63C66635" w14:textId="77777777" w:rsidR="007B03F7" w:rsidRPr="001A2112" w:rsidRDefault="007B03F7">
            <w:pPr>
              <w:pStyle w:val="TableFigureHeading"/>
              <w:jc w:val="center"/>
            </w:pPr>
            <w:r w:rsidRPr="001A2112">
              <w:t>LOTIS-2</w:t>
            </w:r>
          </w:p>
          <w:p w14:paraId="4D4BE36F" w14:textId="77777777" w:rsidR="007B03F7" w:rsidRPr="001A2112" w:rsidRDefault="007B03F7">
            <w:pPr>
              <w:pStyle w:val="TableFigureHeading"/>
              <w:jc w:val="center"/>
            </w:pPr>
            <w:r w:rsidRPr="001A2112">
              <w:t>N=145</w:t>
            </w:r>
          </w:p>
        </w:tc>
        <w:tc>
          <w:tcPr>
            <w:tcW w:w="1843" w:type="dxa"/>
          </w:tcPr>
          <w:p w14:paraId="7360ED8A" w14:textId="77777777" w:rsidR="007B03F7" w:rsidRPr="001A2112" w:rsidRDefault="007B03F7">
            <w:pPr>
              <w:pStyle w:val="TableFigureHeading"/>
              <w:jc w:val="center"/>
            </w:pPr>
            <w:r w:rsidRPr="001A2112">
              <w:t>CORAL Extension 1</w:t>
            </w:r>
          </w:p>
          <w:p w14:paraId="6885CDA0" w14:textId="77777777" w:rsidR="007B03F7" w:rsidRPr="001A2112" w:rsidRDefault="007B03F7">
            <w:pPr>
              <w:pStyle w:val="TableFigureHeading"/>
              <w:jc w:val="center"/>
            </w:pPr>
            <w:r w:rsidRPr="001A2112">
              <w:t>N=75</w:t>
            </w:r>
          </w:p>
        </w:tc>
        <w:tc>
          <w:tcPr>
            <w:tcW w:w="1701" w:type="dxa"/>
          </w:tcPr>
          <w:p w14:paraId="702E751F" w14:textId="77777777" w:rsidR="007B03F7" w:rsidRPr="001A2112" w:rsidRDefault="007B03F7">
            <w:pPr>
              <w:pStyle w:val="TableFigureHeading"/>
              <w:jc w:val="center"/>
            </w:pPr>
            <w:r w:rsidRPr="001A2112">
              <w:t>CORAL Extension 2</w:t>
            </w:r>
          </w:p>
          <w:p w14:paraId="41502C15" w14:textId="77777777" w:rsidR="007B03F7" w:rsidRPr="001A2112" w:rsidRDefault="007B03F7">
            <w:pPr>
              <w:pStyle w:val="TableFigureHeading"/>
              <w:jc w:val="center"/>
            </w:pPr>
            <w:r w:rsidRPr="001A2112">
              <w:t>N=203</w:t>
            </w:r>
          </w:p>
        </w:tc>
        <w:tc>
          <w:tcPr>
            <w:tcW w:w="1366" w:type="dxa"/>
          </w:tcPr>
          <w:p w14:paraId="3BB80B5A" w14:textId="77777777" w:rsidR="007B03F7" w:rsidRPr="001A2112" w:rsidRDefault="007B03F7">
            <w:pPr>
              <w:pStyle w:val="TableFigureHeading"/>
              <w:jc w:val="center"/>
            </w:pPr>
            <w:proofErr w:type="spellStart"/>
            <w:r w:rsidRPr="001A2112">
              <w:t>LaRDR</w:t>
            </w:r>
            <w:proofErr w:type="spellEnd"/>
          </w:p>
          <w:p w14:paraId="1E9860DA" w14:textId="77777777" w:rsidR="007B03F7" w:rsidRPr="001A2112" w:rsidRDefault="007B03F7">
            <w:pPr>
              <w:pStyle w:val="TableFigureHeading"/>
              <w:jc w:val="center"/>
            </w:pPr>
            <w:r w:rsidRPr="001A2112">
              <w:t>N=140</w:t>
            </w:r>
          </w:p>
        </w:tc>
      </w:tr>
      <w:tr w:rsidR="007B03F7" w:rsidRPr="001A2112" w14:paraId="5A937808" w14:textId="77777777">
        <w:tc>
          <w:tcPr>
            <w:tcW w:w="2405" w:type="dxa"/>
          </w:tcPr>
          <w:p w14:paraId="5C554FEE" w14:textId="77777777" w:rsidR="007B03F7" w:rsidRPr="001A2112" w:rsidRDefault="007B03F7">
            <w:pPr>
              <w:pStyle w:val="TableFigureHeading"/>
            </w:pPr>
            <w:r w:rsidRPr="001A2112">
              <w:t>Median OS, months (95% CI)</w:t>
            </w:r>
          </w:p>
        </w:tc>
        <w:tc>
          <w:tcPr>
            <w:tcW w:w="1701" w:type="dxa"/>
          </w:tcPr>
          <w:p w14:paraId="4FE83DE5" w14:textId="77777777" w:rsidR="007B03F7" w:rsidRPr="001A2112" w:rsidRDefault="007B03F7">
            <w:pPr>
              <w:pStyle w:val="TableFigureHeading"/>
              <w:jc w:val="center"/>
              <w:rPr>
                <w:b w:val="0"/>
                <w:bCs w:val="0"/>
              </w:rPr>
            </w:pPr>
            <w:r w:rsidRPr="001A2112">
              <w:rPr>
                <w:b w:val="0"/>
                <w:bCs w:val="0"/>
              </w:rPr>
              <w:t>9.53 (6.74, 11.47)</w:t>
            </w:r>
          </w:p>
        </w:tc>
        <w:tc>
          <w:tcPr>
            <w:tcW w:w="1843" w:type="dxa"/>
          </w:tcPr>
          <w:p w14:paraId="1B9B4B44" w14:textId="77777777" w:rsidR="007B03F7" w:rsidRPr="001A2112" w:rsidRDefault="007B03F7">
            <w:pPr>
              <w:pStyle w:val="TableFigureHeading"/>
              <w:jc w:val="center"/>
              <w:rPr>
                <w:b w:val="0"/>
                <w:bCs w:val="0"/>
              </w:rPr>
            </w:pPr>
            <w:r w:rsidRPr="001A2112">
              <w:rPr>
                <w:b w:val="0"/>
                <w:bCs w:val="0"/>
              </w:rPr>
              <w:t>10.0 (6.6, 12.6)</w:t>
            </w:r>
          </w:p>
        </w:tc>
        <w:tc>
          <w:tcPr>
            <w:tcW w:w="1701" w:type="dxa"/>
          </w:tcPr>
          <w:p w14:paraId="2FA337B6" w14:textId="77777777" w:rsidR="007B03F7" w:rsidRPr="001A2112" w:rsidRDefault="007B03F7">
            <w:pPr>
              <w:pStyle w:val="TableFigureHeading"/>
              <w:jc w:val="center"/>
              <w:rPr>
                <w:b w:val="0"/>
                <w:bCs w:val="0"/>
              </w:rPr>
            </w:pPr>
            <w:r w:rsidRPr="001A2112">
              <w:rPr>
                <w:b w:val="0"/>
                <w:bCs w:val="0"/>
              </w:rPr>
              <w:t>4.4 (3.4, 5.9)</w:t>
            </w:r>
          </w:p>
        </w:tc>
        <w:tc>
          <w:tcPr>
            <w:tcW w:w="1366" w:type="dxa"/>
          </w:tcPr>
          <w:p w14:paraId="239D09F3" w14:textId="77777777" w:rsidR="007B03F7" w:rsidRPr="001A2112" w:rsidRDefault="007B03F7">
            <w:pPr>
              <w:pStyle w:val="TableFigureHeading"/>
              <w:jc w:val="center"/>
              <w:rPr>
                <w:b w:val="0"/>
                <w:bCs w:val="0"/>
              </w:rPr>
            </w:pPr>
            <w:r w:rsidRPr="001A2112">
              <w:rPr>
                <w:b w:val="0"/>
                <w:bCs w:val="0"/>
              </w:rPr>
              <w:t>9.4 (6.3, 13.9)</w:t>
            </w:r>
          </w:p>
        </w:tc>
      </w:tr>
    </w:tbl>
    <w:p w14:paraId="6670B30E" w14:textId="77777777" w:rsidR="007B03F7" w:rsidRPr="001A2112" w:rsidRDefault="007B03F7" w:rsidP="007B03F7">
      <w:pPr>
        <w:pStyle w:val="TableFigureFooter"/>
      </w:pPr>
      <w:r w:rsidRPr="001A2112">
        <w:t>Source: Figure 2-7, p75 of the submission, Table 2, Van Den Neste 2017, Table 3, Van Den Neste 2016, Figure 2.2, Wellard 2025.</w:t>
      </w:r>
    </w:p>
    <w:p w14:paraId="0C920C5C" w14:textId="77777777" w:rsidR="007B03F7" w:rsidRPr="001A2112" w:rsidRDefault="007B03F7" w:rsidP="007B03F7">
      <w:pPr>
        <w:pStyle w:val="TableFigureFooter"/>
      </w:pPr>
      <w:r w:rsidRPr="001A2112">
        <w:t xml:space="preserve">CI = confidence interval; </w:t>
      </w:r>
      <w:proofErr w:type="spellStart"/>
      <w:r w:rsidRPr="001A2112">
        <w:t>LaRDR</w:t>
      </w:r>
      <w:proofErr w:type="spellEnd"/>
      <w:r w:rsidRPr="001A2112">
        <w:t xml:space="preserve"> = Lymphoma and Related Diseases Registry; OS = overall survival.</w:t>
      </w:r>
    </w:p>
    <w:p w14:paraId="59F0EAF4" w14:textId="77777777" w:rsidR="007B03F7" w:rsidRPr="001A2112" w:rsidRDefault="007B03F7" w:rsidP="007B03F7">
      <w:pPr>
        <w:pStyle w:val="3-BodyText"/>
        <w:numPr>
          <w:ilvl w:val="0"/>
          <w:numId w:val="0"/>
        </w:numPr>
        <w:ind w:left="720"/>
      </w:pPr>
    </w:p>
    <w:p w14:paraId="0A728210" w14:textId="67B51B71" w:rsidR="007B03F7" w:rsidRPr="001A2112" w:rsidRDefault="007B03F7" w:rsidP="007B03F7">
      <w:pPr>
        <w:pStyle w:val="Caption"/>
      </w:pPr>
      <w:bookmarkStart w:id="33" w:name="_Ref218773467"/>
      <w:r w:rsidRPr="001A2112">
        <w:lastRenderedPageBreak/>
        <w:t xml:space="preserve">Figure </w:t>
      </w:r>
      <w:r w:rsidRPr="001A2112">
        <w:fldChar w:fldCharType="begin"/>
      </w:r>
      <w:r w:rsidRPr="001A2112">
        <w:instrText>SEQ Figure \* ARABIC</w:instrText>
      </w:r>
      <w:r w:rsidRPr="001A2112">
        <w:fldChar w:fldCharType="separate"/>
      </w:r>
      <w:r w:rsidR="00FF73F1">
        <w:rPr>
          <w:noProof/>
        </w:rPr>
        <w:t>2</w:t>
      </w:r>
      <w:r w:rsidRPr="001A2112">
        <w:fldChar w:fldCharType="end"/>
      </w:r>
      <w:bookmarkEnd w:id="33"/>
      <w:r w:rsidRPr="001A2112">
        <w:t xml:space="preserve">: Overall survival curves for LOTIS-2, CORAL extension 1 and 2, and Australian </w:t>
      </w:r>
      <w:proofErr w:type="spellStart"/>
      <w:r w:rsidRPr="001A2112">
        <w:t>LaRDR</w:t>
      </w:r>
      <w:proofErr w:type="spellEnd"/>
      <w:r w:rsidRPr="001A2112">
        <w:rPr>
          <w:noProof/>
        </w:rPr>
        <w:t xml:space="preserve"> patients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480"/>
        <w:gridCol w:w="62"/>
        <w:gridCol w:w="4485"/>
      </w:tblGrid>
      <w:tr w:rsidR="000035AF" w:rsidRPr="001A2112" w14:paraId="5264AC66" w14:textId="77777777" w:rsidTr="000035AF">
        <w:tc>
          <w:tcPr>
            <w:tcW w:w="4480" w:type="dxa"/>
          </w:tcPr>
          <w:p w14:paraId="65F4571C" w14:textId="77777777" w:rsidR="000035AF" w:rsidRPr="001A2112" w:rsidRDefault="000035AF">
            <w:pPr>
              <w:pStyle w:val="TableFigureHeading"/>
            </w:pPr>
            <w:r w:rsidRPr="001A2112">
              <w:t>A. LOTIS-2</w:t>
            </w:r>
          </w:p>
        </w:tc>
        <w:tc>
          <w:tcPr>
            <w:tcW w:w="62" w:type="dxa"/>
          </w:tcPr>
          <w:p w14:paraId="74A13718" w14:textId="77777777" w:rsidR="000035AF" w:rsidRPr="001A2112" w:rsidRDefault="000035AF">
            <w:pPr>
              <w:pStyle w:val="TableFigureHeading"/>
            </w:pPr>
          </w:p>
        </w:tc>
        <w:tc>
          <w:tcPr>
            <w:tcW w:w="4485" w:type="dxa"/>
          </w:tcPr>
          <w:p w14:paraId="69BEA8F5" w14:textId="557495BC" w:rsidR="000035AF" w:rsidRPr="001A2112" w:rsidRDefault="000035AF">
            <w:pPr>
              <w:pStyle w:val="TableFigureHeading"/>
            </w:pPr>
            <w:r w:rsidRPr="001A2112">
              <w:t>B. CORAL Extension 1 (relapse after ASCT)</w:t>
            </w:r>
          </w:p>
        </w:tc>
      </w:tr>
      <w:tr w:rsidR="000035AF" w:rsidRPr="001A2112" w14:paraId="0062BCE5" w14:textId="77777777" w:rsidTr="000035AF">
        <w:tc>
          <w:tcPr>
            <w:tcW w:w="4480" w:type="dxa"/>
          </w:tcPr>
          <w:p w14:paraId="7B36A662" w14:textId="77777777" w:rsidR="000035AF" w:rsidRPr="001A2112" w:rsidRDefault="000035AF">
            <w:pPr>
              <w:pStyle w:val="TableFigureHeading"/>
            </w:pPr>
            <w:r w:rsidRPr="001A2112">
              <w:rPr>
                <w:noProof/>
              </w:rPr>
              <w:drawing>
                <wp:inline distT="0" distB="0" distL="0" distR="0" wp14:anchorId="058A6A99" wp14:editId="1BC5E714">
                  <wp:extent cx="2809686" cy="1695450"/>
                  <wp:effectExtent l="0" t="0" r="0" b="0"/>
                  <wp:docPr id="15" name="Picture 2" descr="Figure 2: Overall survival curves for LOTIS-2, CORAL extension 1 and 2, and Australian LaRDR patients, A. LOT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Figure 2: Overall survival curves for LOTIS-2, CORAL extension 1 and 2, and Australian LaRDR patients, A. LOTIS-2"/>
                          <pic:cNvPicPr/>
                        </pic:nvPicPr>
                        <pic:blipFill>
                          <a:blip r:embed="rId12"/>
                          <a:stretch>
                            <a:fillRect/>
                          </a:stretch>
                        </pic:blipFill>
                        <pic:spPr>
                          <a:xfrm>
                            <a:off x="0" y="0"/>
                            <a:ext cx="2841895" cy="1714886"/>
                          </a:xfrm>
                          <a:prstGeom prst="rect">
                            <a:avLst/>
                          </a:prstGeom>
                        </pic:spPr>
                      </pic:pic>
                    </a:graphicData>
                  </a:graphic>
                </wp:inline>
              </w:drawing>
            </w:r>
          </w:p>
        </w:tc>
        <w:tc>
          <w:tcPr>
            <w:tcW w:w="62" w:type="dxa"/>
          </w:tcPr>
          <w:p w14:paraId="5E9DF2C2" w14:textId="77777777" w:rsidR="000035AF" w:rsidRPr="001A2112" w:rsidRDefault="000035AF">
            <w:pPr>
              <w:pStyle w:val="TableFigureHeading"/>
              <w:rPr>
                <w:noProof/>
              </w:rPr>
            </w:pPr>
          </w:p>
        </w:tc>
        <w:tc>
          <w:tcPr>
            <w:tcW w:w="4485" w:type="dxa"/>
          </w:tcPr>
          <w:p w14:paraId="7A99FBED" w14:textId="2840F258" w:rsidR="000035AF" w:rsidRPr="001A2112" w:rsidRDefault="000035AF">
            <w:pPr>
              <w:pStyle w:val="TableFigureHeading"/>
            </w:pPr>
            <w:r w:rsidRPr="001A2112">
              <w:rPr>
                <w:noProof/>
              </w:rPr>
              <w:drawing>
                <wp:inline distT="0" distB="0" distL="0" distR="0" wp14:anchorId="60F566B2" wp14:editId="4D519640">
                  <wp:extent cx="2822135" cy="1704975"/>
                  <wp:effectExtent l="0" t="0" r="0" b="0"/>
                  <wp:docPr id="16" name="Picture 5" descr="Figure 2: Overall survival curves for LOTIS-2, CORAL extension 1 and 2, and Australian LaRDR patients, B. CORAL Extension 1 (relapse after AS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 descr="Figure 2: Overall survival curves for LOTIS-2, CORAL extension 1 and 2, and Australian LaRDR patients, B. CORAL Extension 1 (relapse after ASCT)"/>
                          <pic:cNvPicPr/>
                        </pic:nvPicPr>
                        <pic:blipFill>
                          <a:blip r:embed="rId13"/>
                          <a:stretch>
                            <a:fillRect/>
                          </a:stretch>
                        </pic:blipFill>
                        <pic:spPr>
                          <a:xfrm>
                            <a:off x="0" y="0"/>
                            <a:ext cx="2836856" cy="1713869"/>
                          </a:xfrm>
                          <a:prstGeom prst="rect">
                            <a:avLst/>
                          </a:prstGeom>
                        </pic:spPr>
                      </pic:pic>
                    </a:graphicData>
                  </a:graphic>
                </wp:inline>
              </w:drawing>
            </w:r>
          </w:p>
        </w:tc>
      </w:tr>
      <w:tr w:rsidR="000035AF" w:rsidRPr="001A2112" w14:paraId="6D147655" w14:textId="77777777" w:rsidTr="000035AF">
        <w:tc>
          <w:tcPr>
            <w:tcW w:w="4480" w:type="dxa"/>
          </w:tcPr>
          <w:p w14:paraId="66F5522A" w14:textId="77777777" w:rsidR="000035AF" w:rsidRPr="001A2112" w:rsidRDefault="000035AF">
            <w:pPr>
              <w:pStyle w:val="TableFigureHeading"/>
            </w:pPr>
            <w:r w:rsidRPr="001A2112">
              <w:t>C. CORAL Extension 2 (no ASCT)</w:t>
            </w:r>
          </w:p>
        </w:tc>
        <w:tc>
          <w:tcPr>
            <w:tcW w:w="62" w:type="dxa"/>
          </w:tcPr>
          <w:p w14:paraId="58F7BC66" w14:textId="77777777" w:rsidR="000035AF" w:rsidRPr="001A2112" w:rsidRDefault="000035AF">
            <w:pPr>
              <w:pStyle w:val="TableFigureHeading"/>
            </w:pPr>
          </w:p>
        </w:tc>
        <w:tc>
          <w:tcPr>
            <w:tcW w:w="4485" w:type="dxa"/>
          </w:tcPr>
          <w:p w14:paraId="6C5DFF35" w14:textId="0F2D53E2" w:rsidR="000035AF" w:rsidRPr="001A2112" w:rsidRDefault="000035AF">
            <w:pPr>
              <w:pStyle w:val="TableFigureHeading"/>
            </w:pPr>
            <w:r w:rsidRPr="001A2112">
              <w:t>D. L</w:t>
            </w:r>
            <w:proofErr w:type="spellStart"/>
            <w:r w:rsidRPr="001A2112">
              <w:t>aRDR</w:t>
            </w:r>
            <w:proofErr w:type="spellEnd"/>
            <w:r w:rsidRPr="001A2112">
              <w:t xml:space="preserve"> patients </w:t>
            </w:r>
          </w:p>
        </w:tc>
      </w:tr>
      <w:tr w:rsidR="000035AF" w:rsidRPr="001A2112" w14:paraId="2471E223" w14:textId="77777777" w:rsidTr="000035AF">
        <w:tc>
          <w:tcPr>
            <w:tcW w:w="4480" w:type="dxa"/>
          </w:tcPr>
          <w:p w14:paraId="450C923D" w14:textId="77777777" w:rsidR="000035AF" w:rsidRPr="001A2112" w:rsidRDefault="000035AF">
            <w:pPr>
              <w:pStyle w:val="TableFigureHeading"/>
            </w:pPr>
            <w:r w:rsidRPr="001A2112">
              <w:rPr>
                <w:noProof/>
              </w:rPr>
              <w:drawing>
                <wp:inline distT="0" distB="0" distL="0" distR="0" wp14:anchorId="41FE1520" wp14:editId="3B81FE9E">
                  <wp:extent cx="2816860" cy="1594119"/>
                  <wp:effectExtent l="0" t="0" r="2540" b="6350"/>
                  <wp:docPr id="17" name="Picture 6" descr="Figure 2: Overall survival curves for LOTIS-2, CORAL extension 1 and 2, and Australian LaRDR patients, C. CORAL Extension 2 (no AS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6" descr="Figure 2: Overall survival curves for LOTIS-2, CORAL extension 1 and 2, and Australian LaRDR patients, C. CORAL Extension 2 (no ASCT)"/>
                          <pic:cNvPicPr/>
                        </pic:nvPicPr>
                        <pic:blipFill>
                          <a:blip r:embed="rId14"/>
                          <a:stretch>
                            <a:fillRect/>
                          </a:stretch>
                        </pic:blipFill>
                        <pic:spPr>
                          <a:xfrm>
                            <a:off x="0" y="0"/>
                            <a:ext cx="2837750" cy="1605941"/>
                          </a:xfrm>
                          <a:prstGeom prst="rect">
                            <a:avLst/>
                          </a:prstGeom>
                        </pic:spPr>
                      </pic:pic>
                    </a:graphicData>
                  </a:graphic>
                </wp:inline>
              </w:drawing>
            </w:r>
          </w:p>
        </w:tc>
        <w:tc>
          <w:tcPr>
            <w:tcW w:w="62" w:type="dxa"/>
          </w:tcPr>
          <w:p w14:paraId="7C607357" w14:textId="77777777" w:rsidR="000035AF" w:rsidRPr="001A2112" w:rsidRDefault="000035AF">
            <w:pPr>
              <w:pStyle w:val="TableFigureHeading"/>
              <w:rPr>
                <w:noProof/>
              </w:rPr>
            </w:pPr>
          </w:p>
        </w:tc>
        <w:tc>
          <w:tcPr>
            <w:tcW w:w="4485" w:type="dxa"/>
          </w:tcPr>
          <w:p w14:paraId="0E5315A4" w14:textId="556770D5" w:rsidR="000035AF" w:rsidRPr="001A2112" w:rsidRDefault="000035AF">
            <w:pPr>
              <w:pStyle w:val="TableFigureHeading"/>
            </w:pPr>
            <w:r w:rsidRPr="001A2112">
              <w:rPr>
                <w:noProof/>
              </w:rPr>
              <w:drawing>
                <wp:inline distT="0" distB="0" distL="0" distR="0" wp14:anchorId="1DDA4DDD" wp14:editId="29540EC8">
                  <wp:extent cx="2818498" cy="1668428"/>
                  <wp:effectExtent l="0" t="0" r="1270" b="8255"/>
                  <wp:docPr id="18" name="Picture 4" descr="Figure 2: Overall survival curves for LOTIS-2, CORAL extension 1 and 2, and Australian LaRDR patients,  D. LaRDR pati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Figure 2: Overall survival curves for LOTIS-2, CORAL extension 1 and 2, and Australian LaRDR patients,  D. LaRDR patients "/>
                          <pic:cNvPicPr/>
                        </pic:nvPicPr>
                        <pic:blipFill>
                          <a:blip r:embed="rId15"/>
                          <a:stretch>
                            <a:fillRect/>
                          </a:stretch>
                        </pic:blipFill>
                        <pic:spPr>
                          <a:xfrm>
                            <a:off x="0" y="0"/>
                            <a:ext cx="2844986" cy="1684108"/>
                          </a:xfrm>
                          <a:prstGeom prst="rect">
                            <a:avLst/>
                          </a:prstGeom>
                        </pic:spPr>
                      </pic:pic>
                    </a:graphicData>
                  </a:graphic>
                </wp:inline>
              </w:drawing>
            </w:r>
          </w:p>
        </w:tc>
      </w:tr>
    </w:tbl>
    <w:p w14:paraId="3FFD1CFA" w14:textId="77777777" w:rsidR="007B03F7" w:rsidRPr="001A2112" w:rsidRDefault="007B03F7" w:rsidP="007B03F7">
      <w:pPr>
        <w:pStyle w:val="TableFigureFooter"/>
      </w:pPr>
      <w:r w:rsidRPr="001A2112">
        <w:t>Source: Figure 2-7, p75 of the submission, Figure 2, Van Den Neste 2017, Figure 2a, Van Den Neste 2016 and Figure 2.2, Wellard 2025.</w:t>
      </w:r>
    </w:p>
    <w:p w14:paraId="6C4D6880" w14:textId="77777777" w:rsidR="007B03F7" w:rsidRPr="001A2112" w:rsidRDefault="007B03F7" w:rsidP="007B03F7">
      <w:pPr>
        <w:pStyle w:val="TableFigureFooter"/>
      </w:pPr>
      <w:r w:rsidRPr="001A2112">
        <w:t xml:space="preserve">ASCT = autologous stem cell transplant; CI = confidence interval; </w:t>
      </w:r>
      <w:proofErr w:type="spellStart"/>
      <w:r w:rsidRPr="001A2112">
        <w:t>LaRDR</w:t>
      </w:r>
      <w:proofErr w:type="spellEnd"/>
      <w:r w:rsidRPr="001A2112">
        <w:t xml:space="preserve"> = Lymphoma and Related Diseases Registry.</w:t>
      </w:r>
    </w:p>
    <w:p w14:paraId="70AEF3DA" w14:textId="77777777" w:rsidR="007B03F7" w:rsidRPr="001A2112" w:rsidRDefault="007B03F7" w:rsidP="007B03F7">
      <w:pPr>
        <w:pStyle w:val="3-BodyText"/>
        <w:numPr>
          <w:ilvl w:val="0"/>
          <w:numId w:val="0"/>
        </w:numPr>
        <w:ind w:left="720"/>
      </w:pPr>
    </w:p>
    <w:p w14:paraId="02CDEE0E" w14:textId="77777777" w:rsidR="007B03F7" w:rsidRPr="001A2112" w:rsidRDefault="007B03F7" w:rsidP="007B03F7">
      <w:pPr>
        <w:pStyle w:val="3-BodyText"/>
        <w:numPr>
          <w:ilvl w:val="1"/>
          <w:numId w:val="1"/>
        </w:numPr>
        <w:rPr>
          <w:color w:val="0066FF"/>
        </w:rPr>
      </w:pPr>
      <w:r w:rsidRPr="001A2112">
        <w:t xml:space="preserve">The median OS for patients in LOTIS-2 was 9.53 months (95% CI: 6.75, 11.47), and 97/145 (66.9%) patients died during follow-up. Median OS was similar for LOTIS-2 and CORAL Extension 1 patients who had relapsed after achieving ASCT in 2L; however, the different baseline timepoints favour the CORAL extension studies. Median OS for patients in CORAL extension 2, who had not been able to proceed to the planned ASCT in 2L, was poor, at 4.4 months (95% CI: 3.4, 5.9). OS for patients in the </w:t>
      </w:r>
      <w:proofErr w:type="spellStart"/>
      <w:r w:rsidRPr="001A2112">
        <w:t>LaRDR</w:t>
      </w:r>
      <w:proofErr w:type="spellEnd"/>
      <w:r w:rsidRPr="001A2112">
        <w:t xml:space="preserve"> Registry as reported by Wellard 2025 was measured from commencement of 3L therapy, and median OS was comparable to LOTIS-2, at 9.4 months (95% CI: 6.3, 13.9).</w:t>
      </w:r>
    </w:p>
    <w:p w14:paraId="31324C4E" w14:textId="7B20BF9A" w:rsidR="007B03F7" w:rsidRPr="001A2112" w:rsidRDefault="007B03F7" w:rsidP="007B03F7">
      <w:pPr>
        <w:pStyle w:val="3-BodyText"/>
        <w:numPr>
          <w:ilvl w:val="1"/>
          <w:numId w:val="1"/>
        </w:numPr>
      </w:pPr>
      <w:r w:rsidRPr="001A2112">
        <w:t>The chemoimmunotherapy regimen R-</w:t>
      </w:r>
      <w:proofErr w:type="spellStart"/>
      <w:r w:rsidRPr="001A2112">
        <w:t>GemOx</w:t>
      </w:r>
      <w:proofErr w:type="spellEnd"/>
      <w:r w:rsidRPr="001A2112">
        <w:t xml:space="preserve"> was the comparator in the STARGLO RCT of glofitamab plus gemcitabine and oxaliplatin (</w:t>
      </w:r>
      <w:proofErr w:type="spellStart"/>
      <w:r w:rsidRPr="001A2112">
        <w:t>GemOx</w:t>
      </w:r>
      <w:proofErr w:type="spellEnd"/>
      <w:r w:rsidRPr="001A2112">
        <w:t>) in patients with R/R DLBCL after at least one prior line of therapy and who were considered ineligible for ASCT. STARGLO was conducted in 2021 to 2023 and thus more closely resembles current clinical practice and patient outcomes than the CORAL extension studies. Patients in the R-</w:t>
      </w:r>
      <w:proofErr w:type="spellStart"/>
      <w:r w:rsidRPr="001A2112">
        <w:t>GemOx</w:t>
      </w:r>
      <w:proofErr w:type="spellEnd"/>
      <w:r w:rsidRPr="001A2112">
        <w:t xml:space="preserve"> arm of STARLGLO who were in third- or further lines of therapy had a median OS of 6.7 months, which was slightly lower than 9.53 months </w:t>
      </w:r>
      <w:r w:rsidRPr="001A2112">
        <w:lastRenderedPageBreak/>
        <w:t>reported for loncastuximab tesirine in LOTIS-2, however, confidence intervals were not reported (Abramson 2024</w:t>
      </w:r>
      <w:r w:rsidRPr="001A2112">
        <w:rPr>
          <w:rStyle w:val="FootnoteReference"/>
        </w:rPr>
        <w:footnoteReference w:id="7"/>
      </w:r>
      <w:r w:rsidRPr="001A2112">
        <w:t>).</w:t>
      </w:r>
    </w:p>
    <w:p w14:paraId="71A60F2C" w14:textId="49B5E52C" w:rsidR="007B03F7" w:rsidRPr="001A2112" w:rsidRDefault="007B03F7" w:rsidP="007B03F7">
      <w:pPr>
        <w:pStyle w:val="3-BodyText"/>
        <w:numPr>
          <w:ilvl w:val="1"/>
          <w:numId w:val="1"/>
        </w:numPr>
        <w:rPr>
          <w:color w:val="0066FF"/>
        </w:rPr>
      </w:pPr>
      <w:r w:rsidRPr="001A2112">
        <w:fldChar w:fldCharType="begin"/>
      </w:r>
      <w:r w:rsidRPr="001A2112">
        <w:instrText xml:space="preserve"> REF _Ref218774623 \h </w:instrText>
      </w:r>
      <w:r w:rsidR="001A2112" w:rsidRPr="001A2112">
        <w:instrText xml:space="preserve"> \* MERGEFORMAT </w:instrText>
      </w:r>
      <w:r w:rsidRPr="001A2112">
        <w:fldChar w:fldCharType="separate"/>
      </w:r>
      <w:r w:rsidR="007D33FD" w:rsidRPr="001A2112">
        <w:t xml:space="preserve">Table </w:t>
      </w:r>
      <w:r w:rsidR="007D33FD" w:rsidRPr="001A2112">
        <w:rPr>
          <w:noProof/>
        </w:rPr>
        <w:t>6</w:t>
      </w:r>
      <w:r w:rsidRPr="001A2112">
        <w:fldChar w:fldCharType="end"/>
      </w:r>
      <w:r w:rsidRPr="001A2112">
        <w:t xml:space="preserve"> presents PFS, DOR and RFS from LOTIS-2.</w:t>
      </w:r>
    </w:p>
    <w:p w14:paraId="0AA0FCBB" w14:textId="382E517D" w:rsidR="007B03F7" w:rsidRPr="001A2112" w:rsidRDefault="007B03F7" w:rsidP="007B03F7">
      <w:pPr>
        <w:pStyle w:val="Caption"/>
      </w:pPr>
      <w:bookmarkStart w:id="34" w:name="_Ref218774623"/>
      <w:r w:rsidRPr="001A2112">
        <w:t xml:space="preserve">Table </w:t>
      </w:r>
      <w:r w:rsidRPr="001A2112">
        <w:fldChar w:fldCharType="begin"/>
      </w:r>
      <w:r w:rsidRPr="001A2112">
        <w:instrText>SEQ Table \* ARABIC</w:instrText>
      </w:r>
      <w:r w:rsidRPr="001A2112">
        <w:fldChar w:fldCharType="separate"/>
      </w:r>
      <w:r w:rsidR="007D33FD" w:rsidRPr="001A2112">
        <w:rPr>
          <w:noProof/>
        </w:rPr>
        <w:t>6</w:t>
      </w:r>
      <w:r w:rsidRPr="001A2112">
        <w:fldChar w:fldCharType="end"/>
      </w:r>
      <w:bookmarkEnd w:id="34"/>
      <w:r w:rsidRPr="001A2112">
        <w:t>: PFS, DOR and RFS from LOTIS-2</w:t>
      </w:r>
    </w:p>
    <w:tbl>
      <w:tblPr>
        <w:tblStyle w:val="TableGrid"/>
        <w:tblW w:w="0" w:type="auto"/>
        <w:tblCellMar>
          <w:left w:w="28" w:type="dxa"/>
          <w:right w:w="28" w:type="dxa"/>
        </w:tblCellMar>
        <w:tblLook w:val="04A0" w:firstRow="1" w:lastRow="0" w:firstColumn="1" w:lastColumn="0" w:noHBand="0" w:noVBand="1"/>
        <w:tblCaption w:val="Table 6: PFS, DOR and RFS from LOTIS-2"/>
      </w:tblPr>
      <w:tblGrid>
        <w:gridCol w:w="2547"/>
        <w:gridCol w:w="1961"/>
        <w:gridCol w:w="2254"/>
        <w:gridCol w:w="2254"/>
      </w:tblGrid>
      <w:tr w:rsidR="007B03F7" w:rsidRPr="001A2112" w14:paraId="3B73CE3D" w14:textId="77777777">
        <w:tc>
          <w:tcPr>
            <w:tcW w:w="2547" w:type="dxa"/>
          </w:tcPr>
          <w:p w14:paraId="5D0C3B38" w14:textId="77777777" w:rsidR="007B03F7" w:rsidRPr="001A2112" w:rsidRDefault="007B03F7">
            <w:pPr>
              <w:pStyle w:val="TableFigureHeading"/>
            </w:pPr>
          </w:p>
        </w:tc>
        <w:tc>
          <w:tcPr>
            <w:tcW w:w="1961" w:type="dxa"/>
          </w:tcPr>
          <w:p w14:paraId="3948B068" w14:textId="77777777" w:rsidR="007B03F7" w:rsidRPr="001A2112" w:rsidRDefault="007B03F7">
            <w:pPr>
              <w:pStyle w:val="TableFigureHeading"/>
              <w:jc w:val="center"/>
            </w:pPr>
            <w:r w:rsidRPr="001A2112">
              <w:t xml:space="preserve">PFS </w:t>
            </w:r>
          </w:p>
        </w:tc>
        <w:tc>
          <w:tcPr>
            <w:tcW w:w="2254" w:type="dxa"/>
          </w:tcPr>
          <w:p w14:paraId="34A45030" w14:textId="77777777" w:rsidR="007B03F7" w:rsidRPr="001A2112" w:rsidRDefault="007B03F7">
            <w:pPr>
              <w:pStyle w:val="TableFigureHeading"/>
              <w:jc w:val="center"/>
            </w:pPr>
            <w:r w:rsidRPr="001A2112">
              <w:t xml:space="preserve">DOR </w:t>
            </w:r>
          </w:p>
        </w:tc>
        <w:tc>
          <w:tcPr>
            <w:tcW w:w="2254" w:type="dxa"/>
          </w:tcPr>
          <w:p w14:paraId="1EA50314" w14:textId="77777777" w:rsidR="007B03F7" w:rsidRPr="001A2112" w:rsidRDefault="007B03F7">
            <w:pPr>
              <w:pStyle w:val="TableFigureHeading"/>
              <w:jc w:val="center"/>
            </w:pPr>
            <w:r w:rsidRPr="001A2112">
              <w:t>RFS</w:t>
            </w:r>
          </w:p>
        </w:tc>
      </w:tr>
      <w:tr w:rsidR="007B03F7" w:rsidRPr="001A2112" w14:paraId="44D0F04A" w14:textId="77777777">
        <w:tc>
          <w:tcPr>
            <w:tcW w:w="2547" w:type="dxa"/>
          </w:tcPr>
          <w:p w14:paraId="64BBC7EF" w14:textId="77777777" w:rsidR="007B03F7" w:rsidRPr="001A2112" w:rsidRDefault="007B03F7">
            <w:pPr>
              <w:pStyle w:val="TableFigureHeading"/>
            </w:pPr>
            <w:r w:rsidRPr="001A2112">
              <w:t>Number of events, n/N (%)</w:t>
            </w:r>
          </w:p>
        </w:tc>
        <w:tc>
          <w:tcPr>
            <w:tcW w:w="1961" w:type="dxa"/>
          </w:tcPr>
          <w:p w14:paraId="12F20A7F" w14:textId="77777777" w:rsidR="007B03F7" w:rsidRPr="001A2112" w:rsidRDefault="007B03F7">
            <w:pPr>
              <w:pStyle w:val="TableFigureHeading"/>
              <w:jc w:val="center"/>
              <w:rPr>
                <w:b w:val="0"/>
                <w:bCs w:val="0"/>
              </w:rPr>
            </w:pPr>
            <w:r w:rsidRPr="001A2112">
              <w:rPr>
                <w:b w:val="0"/>
                <w:bCs w:val="0"/>
              </w:rPr>
              <w:t>73/145</w:t>
            </w:r>
          </w:p>
        </w:tc>
        <w:tc>
          <w:tcPr>
            <w:tcW w:w="2254" w:type="dxa"/>
          </w:tcPr>
          <w:p w14:paraId="6A89687A" w14:textId="77777777" w:rsidR="007B03F7" w:rsidRPr="001A2112" w:rsidRDefault="007B03F7">
            <w:pPr>
              <w:pStyle w:val="TableFigureHeading"/>
              <w:jc w:val="center"/>
              <w:rPr>
                <w:b w:val="0"/>
                <w:bCs w:val="0"/>
              </w:rPr>
            </w:pPr>
            <w:r w:rsidRPr="001A2112">
              <w:rPr>
                <w:b w:val="0"/>
                <w:bCs w:val="0"/>
              </w:rPr>
              <w:t>23/70</w:t>
            </w:r>
          </w:p>
        </w:tc>
        <w:tc>
          <w:tcPr>
            <w:tcW w:w="2254" w:type="dxa"/>
          </w:tcPr>
          <w:p w14:paraId="3479EEF5" w14:textId="77777777" w:rsidR="007B03F7" w:rsidRPr="001A2112" w:rsidRDefault="007B03F7">
            <w:pPr>
              <w:pStyle w:val="TableFigureHeading"/>
              <w:jc w:val="center"/>
              <w:rPr>
                <w:b w:val="0"/>
                <w:bCs w:val="0"/>
              </w:rPr>
            </w:pPr>
            <w:r w:rsidRPr="001A2112">
              <w:rPr>
                <w:b w:val="0"/>
                <w:bCs w:val="0"/>
              </w:rPr>
              <w:t>6/36</w:t>
            </w:r>
          </w:p>
        </w:tc>
      </w:tr>
      <w:tr w:rsidR="007B03F7" w:rsidRPr="001A2112" w14:paraId="72794022" w14:textId="77777777">
        <w:tc>
          <w:tcPr>
            <w:tcW w:w="2547" w:type="dxa"/>
          </w:tcPr>
          <w:p w14:paraId="1E9F2512" w14:textId="77777777" w:rsidR="007B03F7" w:rsidRPr="001A2112" w:rsidRDefault="007B03F7">
            <w:pPr>
              <w:pStyle w:val="TableFigureHeading"/>
            </w:pPr>
            <w:r w:rsidRPr="001A2112">
              <w:t>Median, months (95% CI)</w:t>
            </w:r>
          </w:p>
        </w:tc>
        <w:tc>
          <w:tcPr>
            <w:tcW w:w="1961" w:type="dxa"/>
          </w:tcPr>
          <w:p w14:paraId="5A5DE360" w14:textId="77777777" w:rsidR="007B03F7" w:rsidRPr="001A2112" w:rsidRDefault="007B03F7">
            <w:pPr>
              <w:pStyle w:val="TableFigureHeading"/>
              <w:jc w:val="center"/>
              <w:rPr>
                <w:b w:val="0"/>
                <w:bCs w:val="0"/>
              </w:rPr>
            </w:pPr>
            <w:r w:rsidRPr="001A2112">
              <w:rPr>
                <w:b w:val="0"/>
                <w:bCs w:val="0"/>
              </w:rPr>
              <w:t>4.93 (2.89, 8.31)</w:t>
            </w:r>
          </w:p>
        </w:tc>
        <w:tc>
          <w:tcPr>
            <w:tcW w:w="2254" w:type="dxa"/>
          </w:tcPr>
          <w:p w14:paraId="5EE8D0C9" w14:textId="77777777" w:rsidR="007B03F7" w:rsidRPr="001A2112" w:rsidRDefault="007B03F7">
            <w:pPr>
              <w:pStyle w:val="TableFigureHeading"/>
              <w:jc w:val="center"/>
              <w:rPr>
                <w:b w:val="0"/>
                <w:bCs w:val="0"/>
              </w:rPr>
            </w:pPr>
            <w:r w:rsidRPr="001A2112">
              <w:rPr>
                <w:b w:val="0"/>
                <w:bCs w:val="0"/>
              </w:rPr>
              <w:t>13.37 (6.87, NE)</w:t>
            </w:r>
          </w:p>
        </w:tc>
        <w:tc>
          <w:tcPr>
            <w:tcW w:w="2254" w:type="dxa"/>
          </w:tcPr>
          <w:p w14:paraId="249E92FA" w14:textId="77777777" w:rsidR="007B03F7" w:rsidRPr="001A2112" w:rsidRDefault="007B03F7">
            <w:pPr>
              <w:pStyle w:val="TableFigureHeading"/>
              <w:jc w:val="center"/>
              <w:rPr>
                <w:b w:val="0"/>
                <w:bCs w:val="0"/>
              </w:rPr>
            </w:pPr>
            <w:r w:rsidRPr="001A2112">
              <w:rPr>
                <w:b w:val="0"/>
                <w:bCs w:val="0"/>
              </w:rPr>
              <w:t>Not reached</w:t>
            </w:r>
          </w:p>
        </w:tc>
      </w:tr>
      <w:tr w:rsidR="007B03F7" w:rsidRPr="001A2112" w14:paraId="60BE7AA8" w14:textId="77777777">
        <w:tc>
          <w:tcPr>
            <w:tcW w:w="2547" w:type="dxa"/>
          </w:tcPr>
          <w:p w14:paraId="309E44D9" w14:textId="77777777" w:rsidR="007B03F7" w:rsidRPr="001A2112" w:rsidRDefault="007B03F7">
            <w:pPr>
              <w:pStyle w:val="TableFigureHeading"/>
            </w:pPr>
            <w:r w:rsidRPr="001A2112">
              <w:t>Rate, % without event (95% CI)</w:t>
            </w:r>
          </w:p>
        </w:tc>
        <w:tc>
          <w:tcPr>
            <w:tcW w:w="1961" w:type="dxa"/>
          </w:tcPr>
          <w:p w14:paraId="42C41345" w14:textId="77777777" w:rsidR="007B03F7" w:rsidRPr="001A2112" w:rsidRDefault="007B03F7">
            <w:pPr>
              <w:pStyle w:val="TableFigureHeading"/>
              <w:jc w:val="center"/>
              <w:rPr>
                <w:b w:val="0"/>
                <w:bCs w:val="0"/>
              </w:rPr>
            </w:pPr>
            <w:r w:rsidRPr="001A2112">
              <w:rPr>
                <w:b w:val="0"/>
                <w:bCs w:val="0"/>
              </w:rPr>
              <w:t>NR</w:t>
            </w:r>
          </w:p>
        </w:tc>
        <w:tc>
          <w:tcPr>
            <w:tcW w:w="2254" w:type="dxa"/>
          </w:tcPr>
          <w:p w14:paraId="7724211E" w14:textId="77777777" w:rsidR="007B03F7" w:rsidRPr="001A2112" w:rsidRDefault="007B03F7">
            <w:pPr>
              <w:pStyle w:val="TableFigureHeading"/>
              <w:jc w:val="center"/>
              <w:rPr>
                <w:b w:val="0"/>
                <w:bCs w:val="0"/>
              </w:rPr>
            </w:pPr>
          </w:p>
        </w:tc>
        <w:tc>
          <w:tcPr>
            <w:tcW w:w="2254" w:type="dxa"/>
          </w:tcPr>
          <w:p w14:paraId="4017810C" w14:textId="77777777" w:rsidR="007B03F7" w:rsidRPr="001A2112" w:rsidRDefault="007B03F7">
            <w:pPr>
              <w:pStyle w:val="TableFigureHeading"/>
              <w:jc w:val="center"/>
              <w:rPr>
                <w:b w:val="0"/>
                <w:bCs w:val="0"/>
              </w:rPr>
            </w:pPr>
            <w:r w:rsidRPr="001A2112">
              <w:rPr>
                <w:b w:val="0"/>
                <w:bCs w:val="0"/>
              </w:rPr>
              <w:t>NR</w:t>
            </w:r>
          </w:p>
        </w:tc>
      </w:tr>
      <w:tr w:rsidR="007B03F7" w:rsidRPr="001A2112" w14:paraId="383513E3" w14:textId="77777777">
        <w:tc>
          <w:tcPr>
            <w:tcW w:w="2547" w:type="dxa"/>
          </w:tcPr>
          <w:p w14:paraId="06745BF2" w14:textId="77777777" w:rsidR="007B03F7" w:rsidRPr="001A2112" w:rsidRDefault="007B03F7">
            <w:pPr>
              <w:pStyle w:val="TableFigureHeading"/>
              <w:ind w:left="720"/>
              <w:rPr>
                <w:b w:val="0"/>
                <w:bCs w:val="0"/>
              </w:rPr>
            </w:pPr>
            <w:r w:rsidRPr="001A2112">
              <w:rPr>
                <w:b w:val="0"/>
                <w:bCs w:val="0"/>
              </w:rPr>
              <w:t>6 months</w:t>
            </w:r>
          </w:p>
        </w:tc>
        <w:tc>
          <w:tcPr>
            <w:tcW w:w="1961" w:type="dxa"/>
          </w:tcPr>
          <w:p w14:paraId="38F80F62" w14:textId="77777777" w:rsidR="007B03F7" w:rsidRPr="001A2112" w:rsidRDefault="007B03F7">
            <w:pPr>
              <w:pStyle w:val="TableFigureHeading"/>
              <w:jc w:val="center"/>
              <w:rPr>
                <w:b w:val="0"/>
                <w:bCs w:val="0"/>
              </w:rPr>
            </w:pPr>
            <w:r w:rsidRPr="001A2112">
              <w:rPr>
                <w:b w:val="0"/>
                <w:bCs w:val="0"/>
              </w:rPr>
              <w:t>-</w:t>
            </w:r>
          </w:p>
        </w:tc>
        <w:tc>
          <w:tcPr>
            <w:tcW w:w="2254" w:type="dxa"/>
          </w:tcPr>
          <w:p w14:paraId="1F72EC7C" w14:textId="77777777" w:rsidR="007B03F7" w:rsidRPr="001A2112" w:rsidRDefault="007B03F7">
            <w:pPr>
              <w:pStyle w:val="TableFigureHeading"/>
              <w:jc w:val="center"/>
              <w:rPr>
                <w:b w:val="0"/>
                <w:bCs w:val="0"/>
              </w:rPr>
            </w:pPr>
            <w:r w:rsidRPr="001A2112">
              <w:rPr>
                <w:b w:val="0"/>
                <w:bCs w:val="0"/>
              </w:rPr>
              <w:t>67.3 (51.6, 78.9)</w:t>
            </w:r>
          </w:p>
        </w:tc>
        <w:tc>
          <w:tcPr>
            <w:tcW w:w="2254" w:type="dxa"/>
          </w:tcPr>
          <w:p w14:paraId="16E70846" w14:textId="77777777" w:rsidR="007B03F7" w:rsidRPr="001A2112" w:rsidRDefault="007B03F7">
            <w:pPr>
              <w:pStyle w:val="TableFigureHeading"/>
              <w:jc w:val="center"/>
              <w:rPr>
                <w:b w:val="0"/>
                <w:bCs w:val="0"/>
              </w:rPr>
            </w:pPr>
            <w:r w:rsidRPr="001A2112">
              <w:rPr>
                <w:b w:val="0"/>
                <w:bCs w:val="0"/>
              </w:rPr>
              <w:t>-</w:t>
            </w:r>
          </w:p>
        </w:tc>
      </w:tr>
      <w:tr w:rsidR="007B03F7" w:rsidRPr="001A2112" w14:paraId="47BDC100" w14:textId="77777777">
        <w:tc>
          <w:tcPr>
            <w:tcW w:w="2547" w:type="dxa"/>
          </w:tcPr>
          <w:p w14:paraId="6748B69E" w14:textId="77777777" w:rsidR="007B03F7" w:rsidRPr="001A2112" w:rsidRDefault="007B03F7">
            <w:pPr>
              <w:pStyle w:val="TableFigureHeading"/>
              <w:ind w:left="720"/>
              <w:rPr>
                <w:b w:val="0"/>
                <w:bCs w:val="0"/>
              </w:rPr>
            </w:pPr>
            <w:r w:rsidRPr="001A2112">
              <w:rPr>
                <w:b w:val="0"/>
                <w:bCs w:val="0"/>
              </w:rPr>
              <w:t>9 months</w:t>
            </w:r>
          </w:p>
        </w:tc>
        <w:tc>
          <w:tcPr>
            <w:tcW w:w="1961" w:type="dxa"/>
          </w:tcPr>
          <w:p w14:paraId="6B92AC5A" w14:textId="77777777" w:rsidR="007B03F7" w:rsidRPr="001A2112" w:rsidRDefault="007B03F7">
            <w:pPr>
              <w:pStyle w:val="TableFigureHeading"/>
              <w:jc w:val="center"/>
              <w:rPr>
                <w:b w:val="0"/>
                <w:bCs w:val="0"/>
              </w:rPr>
            </w:pPr>
            <w:r w:rsidRPr="001A2112">
              <w:rPr>
                <w:b w:val="0"/>
                <w:bCs w:val="0"/>
              </w:rPr>
              <w:t>-</w:t>
            </w:r>
          </w:p>
        </w:tc>
        <w:tc>
          <w:tcPr>
            <w:tcW w:w="2254" w:type="dxa"/>
          </w:tcPr>
          <w:p w14:paraId="74EAFA8B" w14:textId="77777777" w:rsidR="007B03F7" w:rsidRPr="001A2112" w:rsidRDefault="007B03F7">
            <w:pPr>
              <w:pStyle w:val="TableFigureHeading"/>
              <w:jc w:val="center"/>
              <w:rPr>
                <w:b w:val="0"/>
                <w:bCs w:val="0"/>
              </w:rPr>
            </w:pPr>
            <w:r w:rsidRPr="001A2112">
              <w:rPr>
                <w:b w:val="0"/>
                <w:bCs w:val="0"/>
              </w:rPr>
              <w:t>64.4 (48.3, 76.6)</w:t>
            </w:r>
          </w:p>
        </w:tc>
        <w:tc>
          <w:tcPr>
            <w:tcW w:w="2254" w:type="dxa"/>
          </w:tcPr>
          <w:p w14:paraId="759A9E74" w14:textId="77777777" w:rsidR="007B03F7" w:rsidRPr="001A2112" w:rsidRDefault="007B03F7">
            <w:pPr>
              <w:pStyle w:val="TableFigureHeading"/>
              <w:jc w:val="center"/>
              <w:rPr>
                <w:b w:val="0"/>
                <w:bCs w:val="0"/>
              </w:rPr>
            </w:pPr>
            <w:r w:rsidRPr="001A2112">
              <w:rPr>
                <w:b w:val="0"/>
                <w:bCs w:val="0"/>
              </w:rPr>
              <w:t>-</w:t>
            </w:r>
          </w:p>
        </w:tc>
      </w:tr>
      <w:tr w:rsidR="007B03F7" w:rsidRPr="001A2112" w14:paraId="7A7A4928" w14:textId="77777777">
        <w:tc>
          <w:tcPr>
            <w:tcW w:w="2547" w:type="dxa"/>
          </w:tcPr>
          <w:p w14:paraId="55A1F663" w14:textId="77777777" w:rsidR="007B03F7" w:rsidRPr="001A2112" w:rsidRDefault="007B03F7">
            <w:pPr>
              <w:pStyle w:val="TableFigureHeading"/>
              <w:ind w:left="720"/>
              <w:rPr>
                <w:b w:val="0"/>
                <w:bCs w:val="0"/>
              </w:rPr>
            </w:pPr>
            <w:r w:rsidRPr="001A2112">
              <w:rPr>
                <w:b w:val="0"/>
                <w:bCs w:val="0"/>
              </w:rPr>
              <w:t>12 months</w:t>
            </w:r>
          </w:p>
        </w:tc>
        <w:tc>
          <w:tcPr>
            <w:tcW w:w="1961" w:type="dxa"/>
          </w:tcPr>
          <w:p w14:paraId="4176288E" w14:textId="77777777" w:rsidR="007B03F7" w:rsidRPr="001A2112" w:rsidRDefault="007B03F7">
            <w:pPr>
              <w:pStyle w:val="TableFigureHeading"/>
              <w:jc w:val="center"/>
              <w:rPr>
                <w:b w:val="0"/>
                <w:bCs w:val="0"/>
              </w:rPr>
            </w:pPr>
            <w:r w:rsidRPr="001A2112">
              <w:rPr>
                <w:b w:val="0"/>
                <w:bCs w:val="0"/>
              </w:rPr>
              <w:t xml:space="preserve"> -</w:t>
            </w:r>
          </w:p>
        </w:tc>
        <w:tc>
          <w:tcPr>
            <w:tcW w:w="2254" w:type="dxa"/>
          </w:tcPr>
          <w:p w14:paraId="6CFE9B56" w14:textId="77777777" w:rsidR="007B03F7" w:rsidRPr="001A2112" w:rsidRDefault="007B03F7">
            <w:pPr>
              <w:pStyle w:val="TableFigureHeading"/>
              <w:jc w:val="center"/>
              <w:rPr>
                <w:b w:val="0"/>
                <w:bCs w:val="0"/>
              </w:rPr>
            </w:pPr>
            <w:r w:rsidRPr="001A2112">
              <w:rPr>
                <w:b w:val="0"/>
                <w:bCs w:val="0"/>
              </w:rPr>
              <w:t>54.7 (37.9, 68.8)</w:t>
            </w:r>
          </w:p>
        </w:tc>
        <w:tc>
          <w:tcPr>
            <w:tcW w:w="2254" w:type="dxa"/>
          </w:tcPr>
          <w:p w14:paraId="7E9A2494" w14:textId="77777777" w:rsidR="007B03F7" w:rsidRPr="001A2112" w:rsidRDefault="007B03F7">
            <w:pPr>
              <w:pStyle w:val="TableFigureHeading"/>
              <w:jc w:val="center"/>
              <w:rPr>
                <w:b w:val="0"/>
                <w:bCs w:val="0"/>
              </w:rPr>
            </w:pPr>
            <w:r w:rsidRPr="001A2112">
              <w:rPr>
                <w:b w:val="0"/>
                <w:bCs w:val="0"/>
              </w:rPr>
              <w:t>-</w:t>
            </w:r>
          </w:p>
        </w:tc>
      </w:tr>
    </w:tbl>
    <w:p w14:paraId="40558C6D" w14:textId="77777777" w:rsidR="007B03F7" w:rsidRPr="001A2112" w:rsidRDefault="007B03F7" w:rsidP="007B03F7">
      <w:pPr>
        <w:pStyle w:val="TableFigureFooter"/>
      </w:pPr>
      <w:r w:rsidRPr="001A2112">
        <w:t>Source: Figure 2-8, p76, Table 2-19, p78 and Figure 2-10, p 78 of the submission.</w:t>
      </w:r>
    </w:p>
    <w:p w14:paraId="2CF9060B" w14:textId="77777777" w:rsidR="007B03F7" w:rsidRPr="001A2112" w:rsidRDefault="007B03F7" w:rsidP="007B03F7">
      <w:pPr>
        <w:pStyle w:val="TableFigureFooter"/>
      </w:pPr>
      <w:r w:rsidRPr="001A2112">
        <w:t>CI = confidence interval; DOR = duration of response; KM = Kaplan-Meier; NE = not estimable; NR = not reported; PFS = progression-free survival; RFS = relapse free survival.</w:t>
      </w:r>
    </w:p>
    <w:p w14:paraId="6869A2AB" w14:textId="2CDB57DE" w:rsidR="007B03F7" w:rsidRPr="001A2112" w:rsidRDefault="007B03F7" w:rsidP="007B03F7">
      <w:pPr>
        <w:pStyle w:val="3-BodyText"/>
        <w:numPr>
          <w:ilvl w:val="1"/>
          <w:numId w:val="1"/>
        </w:numPr>
      </w:pPr>
      <w:r w:rsidRPr="001A2112">
        <w:t xml:space="preserve">Median PFS for the LOTIS-2 population was 4.93 months (95% CI: 2.89, 8.31). In the 70 patients who achieved CR or PR, median DOR </w:t>
      </w:r>
      <w:r w:rsidR="008704F0" w:rsidRPr="001A2112">
        <w:t>w</w:t>
      </w:r>
      <w:r w:rsidRPr="001A2112">
        <w:t>as 13.37 months (95% CI: 6.87, not estimable), and 54.7% of patients remained in response at 12 months. Of the 36 patients who achieved CR, 6 had an RFS event and median RFS was not reached.</w:t>
      </w:r>
    </w:p>
    <w:p w14:paraId="37926FAF" w14:textId="6225B086" w:rsidR="007B03F7" w:rsidRPr="001A2112" w:rsidRDefault="007B03F7" w:rsidP="007B03F7">
      <w:pPr>
        <w:pStyle w:val="3-BodyText"/>
        <w:numPr>
          <w:ilvl w:val="1"/>
          <w:numId w:val="1"/>
        </w:numPr>
      </w:pPr>
      <w:r w:rsidRPr="001A2112">
        <w:fldChar w:fldCharType="begin"/>
      </w:r>
      <w:r w:rsidRPr="001A2112">
        <w:instrText xml:space="preserve"> REF _Ref218775401 \h </w:instrText>
      </w:r>
      <w:r w:rsidR="001A2112" w:rsidRPr="001A2112">
        <w:instrText xml:space="preserve"> \* MERGEFORMAT </w:instrText>
      </w:r>
      <w:r w:rsidRPr="001A2112">
        <w:fldChar w:fldCharType="separate"/>
      </w:r>
      <w:r w:rsidR="007D33FD" w:rsidRPr="001A2112">
        <w:t xml:space="preserve">Figure </w:t>
      </w:r>
      <w:r w:rsidR="007D33FD" w:rsidRPr="001A2112">
        <w:rPr>
          <w:noProof/>
        </w:rPr>
        <w:t>3</w:t>
      </w:r>
      <w:r w:rsidRPr="001A2112">
        <w:fldChar w:fldCharType="end"/>
      </w:r>
      <w:r w:rsidRPr="001A2112">
        <w:t xml:space="preserve"> presents an overlay of PFS and OS survival curves from LOTIS-2 and the </w:t>
      </w:r>
      <w:proofErr w:type="spellStart"/>
      <w:r w:rsidRPr="001A2112">
        <w:t>LaRDR</w:t>
      </w:r>
      <w:proofErr w:type="spellEnd"/>
      <w:r w:rsidRPr="001A2112">
        <w:t xml:space="preserve"> Registry constructed during the evaluation for comparison.</w:t>
      </w:r>
    </w:p>
    <w:p w14:paraId="07D36631" w14:textId="77777777" w:rsidR="007B03F7" w:rsidRPr="001A2112" w:rsidRDefault="007B03F7" w:rsidP="007B03F7">
      <w:pPr>
        <w:pStyle w:val="3-BodyText"/>
        <w:numPr>
          <w:ilvl w:val="0"/>
          <w:numId w:val="0"/>
        </w:numPr>
        <w:ind w:left="720"/>
      </w:pPr>
    </w:p>
    <w:p w14:paraId="54042291" w14:textId="294EC705" w:rsidR="007B03F7" w:rsidRPr="001A2112" w:rsidRDefault="007B03F7" w:rsidP="007B03F7">
      <w:pPr>
        <w:pStyle w:val="Caption"/>
      </w:pPr>
      <w:bookmarkStart w:id="35" w:name="_Ref218775401"/>
      <w:r w:rsidRPr="001A2112">
        <w:lastRenderedPageBreak/>
        <w:t xml:space="preserve">Figure </w:t>
      </w:r>
      <w:r w:rsidRPr="001A2112">
        <w:fldChar w:fldCharType="begin"/>
      </w:r>
      <w:r w:rsidRPr="001A2112">
        <w:instrText>SEQ Figure \* ARABIC</w:instrText>
      </w:r>
      <w:r w:rsidRPr="001A2112">
        <w:fldChar w:fldCharType="separate"/>
      </w:r>
      <w:r w:rsidR="00FF73F1">
        <w:rPr>
          <w:noProof/>
        </w:rPr>
        <w:t>3</w:t>
      </w:r>
      <w:r w:rsidRPr="001A2112">
        <w:fldChar w:fldCharType="end"/>
      </w:r>
      <w:bookmarkEnd w:id="35"/>
      <w:r w:rsidRPr="001A2112">
        <w:t xml:space="preserve">: Comparison of Kaplan-Meier curves for OS and PFS between LOTIS-2 and Australian patients from the </w:t>
      </w:r>
      <w:proofErr w:type="spellStart"/>
      <w:r w:rsidRPr="001A2112">
        <w:t>LaRDR</w:t>
      </w:r>
      <w:proofErr w:type="spellEnd"/>
      <w:r w:rsidRPr="001A2112">
        <w:t xml:space="preserve"> Registry who received 3L therapy.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9026"/>
      </w:tblGrid>
      <w:tr w:rsidR="007B03F7" w:rsidRPr="001A2112" w14:paraId="7CCA1B0F" w14:textId="77777777">
        <w:tc>
          <w:tcPr>
            <w:tcW w:w="9026" w:type="dxa"/>
          </w:tcPr>
          <w:p w14:paraId="3DAEFA6E" w14:textId="77777777" w:rsidR="007B03F7" w:rsidRPr="001A2112" w:rsidRDefault="007B03F7">
            <w:pPr>
              <w:pStyle w:val="3-BodyText"/>
              <w:keepNext/>
              <w:keepLines/>
              <w:numPr>
                <w:ilvl w:val="0"/>
                <w:numId w:val="0"/>
              </w:numPr>
              <w:rPr>
                <w:b/>
                <w:bCs/>
              </w:rPr>
            </w:pPr>
            <w:r w:rsidRPr="001A2112">
              <w:rPr>
                <w:b/>
                <w:bCs/>
              </w:rPr>
              <w:t>A. OS</w:t>
            </w:r>
          </w:p>
        </w:tc>
      </w:tr>
      <w:tr w:rsidR="007B03F7" w:rsidRPr="001A2112" w14:paraId="0820D46C" w14:textId="77777777">
        <w:tc>
          <w:tcPr>
            <w:tcW w:w="9026" w:type="dxa"/>
          </w:tcPr>
          <w:p w14:paraId="707D0B21" w14:textId="77777777" w:rsidR="007B03F7" w:rsidRPr="001A2112" w:rsidRDefault="007B03F7">
            <w:pPr>
              <w:pStyle w:val="3-BodyText"/>
              <w:keepNext/>
              <w:keepLines/>
              <w:numPr>
                <w:ilvl w:val="0"/>
                <w:numId w:val="0"/>
              </w:numPr>
            </w:pPr>
            <w:r w:rsidRPr="001A2112">
              <w:rPr>
                <w:noProof/>
              </w:rPr>
              <w:drawing>
                <wp:inline distT="0" distB="0" distL="0" distR="0" wp14:anchorId="5A391CCA" wp14:editId="0317B9E0">
                  <wp:extent cx="4994055" cy="2581803"/>
                  <wp:effectExtent l="0" t="0" r="0" b="9525"/>
                  <wp:docPr id="19" name="Picture 19" descr="Figure 3: Comparison of Kaplan-Meier curves for OS and PFS between LOTIS-2 and Australian patients from the LaRDR Registry who received 3L therapy. A. O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3: Comparison of Kaplan-Meier curves for OS and PFS between LOTIS-2 and Australian patients from the LaRDR Registry who received 3L therapy. A. OS&#10;"/>
                          <pic:cNvPicPr/>
                        </pic:nvPicPr>
                        <pic:blipFill>
                          <a:blip r:embed="rId16"/>
                          <a:stretch>
                            <a:fillRect/>
                          </a:stretch>
                        </pic:blipFill>
                        <pic:spPr>
                          <a:xfrm>
                            <a:off x="0" y="0"/>
                            <a:ext cx="4994055" cy="2581803"/>
                          </a:xfrm>
                          <a:prstGeom prst="rect">
                            <a:avLst/>
                          </a:prstGeom>
                        </pic:spPr>
                      </pic:pic>
                    </a:graphicData>
                  </a:graphic>
                </wp:inline>
              </w:drawing>
            </w:r>
          </w:p>
        </w:tc>
      </w:tr>
      <w:tr w:rsidR="007B03F7" w:rsidRPr="001A2112" w14:paraId="08B62335" w14:textId="77777777">
        <w:tc>
          <w:tcPr>
            <w:tcW w:w="9026" w:type="dxa"/>
          </w:tcPr>
          <w:p w14:paraId="6E81E835" w14:textId="77777777" w:rsidR="007B03F7" w:rsidRPr="001A2112" w:rsidRDefault="007B03F7">
            <w:pPr>
              <w:pStyle w:val="3-BodyText"/>
              <w:keepNext/>
              <w:keepLines/>
              <w:numPr>
                <w:ilvl w:val="0"/>
                <w:numId w:val="0"/>
              </w:numPr>
              <w:rPr>
                <w:b/>
                <w:bCs/>
              </w:rPr>
            </w:pPr>
            <w:r w:rsidRPr="001A2112">
              <w:rPr>
                <w:b/>
                <w:bCs/>
              </w:rPr>
              <w:t>B. PFS</w:t>
            </w:r>
          </w:p>
        </w:tc>
      </w:tr>
      <w:tr w:rsidR="007B03F7" w:rsidRPr="001A2112" w14:paraId="6CF2F0F3" w14:textId="77777777">
        <w:tc>
          <w:tcPr>
            <w:tcW w:w="9026" w:type="dxa"/>
          </w:tcPr>
          <w:p w14:paraId="4E7155BC" w14:textId="77777777" w:rsidR="007B03F7" w:rsidRPr="001A2112" w:rsidRDefault="007B03F7">
            <w:pPr>
              <w:pStyle w:val="3-BodyText"/>
              <w:keepNext/>
              <w:keepLines/>
              <w:numPr>
                <w:ilvl w:val="0"/>
                <w:numId w:val="0"/>
              </w:numPr>
            </w:pPr>
            <w:r w:rsidRPr="001A2112">
              <w:rPr>
                <w:noProof/>
              </w:rPr>
              <w:drawing>
                <wp:inline distT="0" distB="0" distL="0" distR="0" wp14:anchorId="46DF243B" wp14:editId="0B6F1F19">
                  <wp:extent cx="4972050" cy="2454655"/>
                  <wp:effectExtent l="0" t="0" r="0" b="3175"/>
                  <wp:docPr id="20" name="Picture 20" descr="Figure 3: Comparison of Kaplan-Meier curves for OS and PFS between LOTIS-2 and Australian patients from the LaRDR Registry who received 3L therapy. B. PF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3: Comparison of Kaplan-Meier curves for OS and PFS between LOTIS-2 and Australian patients from the LaRDR Registry who received 3L therapy. B. PFS&#10;"/>
                          <pic:cNvPicPr>
                            <a:picLocks noChangeAspect="1" noChangeArrowheads="1"/>
                          </pic:cNvPicPr>
                        </pic:nvPicPr>
                        <pic:blipFill>
                          <a:blip r:embed="rId17"/>
                          <a:stretch>
                            <a:fillRect/>
                          </a:stretch>
                        </pic:blipFill>
                        <pic:spPr bwMode="auto">
                          <a:xfrm>
                            <a:off x="0" y="0"/>
                            <a:ext cx="4982327" cy="2459729"/>
                          </a:xfrm>
                          <a:prstGeom prst="rect">
                            <a:avLst/>
                          </a:prstGeom>
                          <a:noFill/>
                        </pic:spPr>
                      </pic:pic>
                    </a:graphicData>
                  </a:graphic>
                </wp:inline>
              </w:drawing>
            </w:r>
          </w:p>
        </w:tc>
      </w:tr>
    </w:tbl>
    <w:p w14:paraId="3F128A72" w14:textId="77777777" w:rsidR="007B03F7" w:rsidRPr="001A2112" w:rsidRDefault="007B03F7" w:rsidP="007B03F7">
      <w:pPr>
        <w:pStyle w:val="TableFigureFooter"/>
      </w:pPr>
      <w:r w:rsidRPr="001A2112">
        <w:t>Source: Constructed during the evaluation from Figures 2.1 and 2.2, Wellard 2025, Attachment 2.7 to the submission and sheet ‘</w:t>
      </w:r>
      <w:proofErr w:type="spellStart"/>
      <w:r w:rsidRPr="001A2112">
        <w:t>Model_Tx</w:t>
      </w:r>
      <w:proofErr w:type="spellEnd"/>
      <w:r w:rsidRPr="001A2112">
        <w:t>’ from Attachment 3.1 to the submission.</w:t>
      </w:r>
    </w:p>
    <w:p w14:paraId="45560E1B" w14:textId="77777777" w:rsidR="007B03F7" w:rsidRPr="001A2112" w:rsidRDefault="007B03F7" w:rsidP="007B03F7">
      <w:pPr>
        <w:pStyle w:val="TableFigureFooter"/>
        <w:rPr>
          <w:color w:val="0066FF"/>
        </w:rPr>
      </w:pPr>
      <w:r w:rsidRPr="001A2112">
        <w:rPr>
          <w:rStyle w:val="TableFigureFooterChar"/>
        </w:rPr>
        <w:t xml:space="preserve">3L = third-line therapy; KM = Kaplan-Meier; </w:t>
      </w:r>
      <w:proofErr w:type="spellStart"/>
      <w:r w:rsidRPr="001A2112">
        <w:rPr>
          <w:rStyle w:val="TableFigureFooterChar"/>
        </w:rPr>
        <w:t>LaRDR</w:t>
      </w:r>
      <w:proofErr w:type="spellEnd"/>
      <w:r w:rsidRPr="001A2112">
        <w:rPr>
          <w:rStyle w:val="TableFigureFooterChar"/>
        </w:rPr>
        <w:t xml:space="preserve"> = Lymphoma and Related Diseases Registry; PFS = progression-free survival; OS = overall survival</w:t>
      </w:r>
      <w:r w:rsidRPr="001A2112">
        <w:t>.</w:t>
      </w:r>
    </w:p>
    <w:p w14:paraId="116801B8" w14:textId="77777777" w:rsidR="007B03F7" w:rsidRPr="001A2112" w:rsidRDefault="007B03F7" w:rsidP="007B03F7">
      <w:pPr>
        <w:pStyle w:val="3-BodyText"/>
        <w:numPr>
          <w:ilvl w:val="1"/>
          <w:numId w:val="1"/>
        </w:numPr>
      </w:pPr>
      <w:r w:rsidRPr="001A2112">
        <w:t xml:space="preserve">The naïve comparison of OS between LOTIS-2 and patients in the </w:t>
      </w:r>
      <w:proofErr w:type="spellStart"/>
      <w:r w:rsidRPr="001A2112">
        <w:t>LaRDR</w:t>
      </w:r>
      <w:proofErr w:type="spellEnd"/>
      <w:r w:rsidRPr="001A2112">
        <w:t xml:space="preserve"> who underwent 3L therapy shows that patients from LOTIS-2 had similar OS to Australian patients. However, differences in the populations and therapies received complicate the comparison. Over half of patients in LOTIS-2 (56.6%) were undergoing 4L and further lines of therapy, and median OS would be expected to reduce with each subsequent line of therapy. For context, patients treated with loncastuximab tesirine in US clinical centres had a median OS of 4.6 months, which was lower than in LOTIS-</w:t>
      </w:r>
      <w:r w:rsidRPr="001A2112">
        <w:lastRenderedPageBreak/>
        <w:t>2, however, those patients were more heavily pre-treated than in LOTIS-2 (median 4 versus 3 prior therapies) (</w:t>
      </w:r>
      <w:proofErr w:type="spellStart"/>
      <w:r w:rsidRPr="001A2112">
        <w:t>Zelikson</w:t>
      </w:r>
      <w:proofErr w:type="spellEnd"/>
      <w:r w:rsidRPr="001A2112">
        <w:t xml:space="preserve"> 2025). </w:t>
      </w:r>
    </w:p>
    <w:p w14:paraId="5E16B680" w14:textId="77777777" w:rsidR="007B03F7" w:rsidRPr="001A2112" w:rsidRDefault="007B03F7" w:rsidP="007B03F7">
      <w:pPr>
        <w:pStyle w:val="3-BodyText"/>
        <w:numPr>
          <w:ilvl w:val="1"/>
          <w:numId w:val="1"/>
        </w:numPr>
      </w:pPr>
      <w:r w:rsidRPr="001A2112">
        <w:t xml:space="preserve">Only 42.8% of 3L patients in the </w:t>
      </w:r>
      <w:proofErr w:type="spellStart"/>
      <w:r w:rsidRPr="001A2112">
        <w:t>LaRDR</w:t>
      </w:r>
      <w:proofErr w:type="spellEnd"/>
      <w:r w:rsidRPr="001A2112">
        <w:t xml:space="preserve"> were treated with salvage chemotherapy, and the proportions treated with chemoimmunotherapy, the nominated comparator, were not reported. Notably, 19.7% were treated with CAR-T and 7.9% with a bispecific antibody. Considering patients having CAR-T and bispecific antibody therapies have higher expected OS compared to chemoimmunotherapy, inclusion of patients receiving these therapies would likely increase the median OS for all 3L patients in the Registry. Wellard 2025 did not report outcomes for the subgroup of patients treated with salvage chemoimmunotherapy despite the data being available in the Registry. Overall, it appeared that patients in 3L and further lines of therapy treated with loncastuximab tesirine had similar OS to the 3L Australian patient population.</w:t>
      </w:r>
    </w:p>
    <w:p w14:paraId="2864315B" w14:textId="77777777" w:rsidR="007B03F7" w:rsidRPr="001A2112" w:rsidRDefault="007B03F7" w:rsidP="007B03F7">
      <w:pPr>
        <w:pStyle w:val="3-BodyText"/>
        <w:numPr>
          <w:ilvl w:val="1"/>
          <w:numId w:val="1"/>
        </w:numPr>
      </w:pPr>
      <w:r w:rsidRPr="001A2112">
        <w:t xml:space="preserve">PFS for the LOTIS-2 population was slightly better than the PFS for Australian patients in the </w:t>
      </w:r>
      <w:proofErr w:type="spellStart"/>
      <w:r w:rsidRPr="001A2112">
        <w:t>LaRDR</w:t>
      </w:r>
      <w:proofErr w:type="spellEnd"/>
      <w:r w:rsidRPr="001A2112">
        <w:t xml:space="preserve"> (median 4.9 months [95% CI: 2.9, 8.3] versus median 3.2 months [95% CI: 2.3, 4.7]). When the Kaplan-Meier curves for PFS from LOTIS-2 and all 3L patients in the </w:t>
      </w:r>
      <w:proofErr w:type="spellStart"/>
      <w:r w:rsidRPr="001A2112">
        <w:t>LaRDR</w:t>
      </w:r>
      <w:proofErr w:type="spellEnd"/>
      <w:r w:rsidRPr="001A2112">
        <w:t xml:space="preserve"> registry were overlaid, there appeared to be a separation of the curves after approximately 3 months, favouring loncastuximab tesirine. For context, patients from the R-</w:t>
      </w:r>
      <w:proofErr w:type="spellStart"/>
      <w:r w:rsidRPr="001A2112">
        <w:t>GemOx</w:t>
      </w:r>
      <w:proofErr w:type="spellEnd"/>
      <w:r w:rsidRPr="001A2112">
        <w:t xml:space="preserve"> arm of STARGLO who had third- or further lines of therapy had a median PFS of 2.0 months (Abramson 2024), and patients in the retrospective study of loncastuximab tesirine in US centres had a median event-free survival (EFS) (defined as time to progression or change in therapy; censored at death or last follow-up) of 2.1 months (</w:t>
      </w:r>
      <w:proofErr w:type="spellStart"/>
      <w:r w:rsidRPr="001A2112">
        <w:t>Zelikson</w:t>
      </w:r>
      <w:proofErr w:type="spellEnd"/>
      <w:r w:rsidRPr="001A2112">
        <w:t xml:space="preserve"> 2025).</w:t>
      </w:r>
    </w:p>
    <w:p w14:paraId="26C63645" w14:textId="5AF1F6A5" w:rsidR="007B03F7" w:rsidRPr="001A2112" w:rsidRDefault="007B03F7" w:rsidP="007B03F7">
      <w:pPr>
        <w:pStyle w:val="3-BodyText"/>
        <w:numPr>
          <w:ilvl w:val="1"/>
          <w:numId w:val="1"/>
        </w:numPr>
        <w:rPr>
          <w:color w:val="0066FF"/>
        </w:rPr>
      </w:pPr>
      <w:r w:rsidRPr="001A2112">
        <w:t xml:space="preserve">Patient-reported outcomes (PROs) for health-related quality of life (HRQoL) were measured by the EuroQol – 5 Dimensions – 5 Levels questionnaire visual analogue scale (EQ-5D-5L VAS) and Functional Assessment of Cancer Therapy - Lymphoma (FACT-Lym) instruments, which were administered every three weeks from Day 1 of Cycle 1 until the end of treatment (EOT) visit. </w:t>
      </w:r>
      <w:r w:rsidRPr="001A2112">
        <w:fldChar w:fldCharType="begin"/>
      </w:r>
      <w:r w:rsidRPr="001A2112">
        <w:instrText xml:space="preserve"> REF _Ref218780905 \h </w:instrText>
      </w:r>
      <w:r w:rsidR="001A2112" w:rsidRPr="001A2112">
        <w:instrText xml:space="preserve"> \* MERGEFORMAT </w:instrText>
      </w:r>
      <w:r w:rsidRPr="001A2112">
        <w:fldChar w:fldCharType="separate"/>
      </w:r>
      <w:r w:rsidR="007D33FD" w:rsidRPr="001A2112">
        <w:t xml:space="preserve">Figure </w:t>
      </w:r>
      <w:r w:rsidR="007D33FD" w:rsidRPr="001A2112">
        <w:rPr>
          <w:noProof/>
        </w:rPr>
        <w:t>4</w:t>
      </w:r>
      <w:r w:rsidRPr="001A2112">
        <w:fldChar w:fldCharType="end"/>
      </w:r>
      <w:r w:rsidRPr="001A2112">
        <w:t xml:space="preserve"> presents plots for the EQ-5D-5L VAS and the FACT-Lym subscale score change from baseline.</w:t>
      </w:r>
    </w:p>
    <w:p w14:paraId="1D1CB01D" w14:textId="77777777" w:rsidR="007B03F7" w:rsidRPr="001A2112" w:rsidRDefault="007B03F7" w:rsidP="007B03F7">
      <w:pPr>
        <w:pStyle w:val="3-BodyText"/>
        <w:numPr>
          <w:ilvl w:val="0"/>
          <w:numId w:val="0"/>
        </w:numPr>
        <w:ind w:left="720"/>
        <w:rPr>
          <w:color w:val="0066FF"/>
        </w:rPr>
      </w:pPr>
    </w:p>
    <w:p w14:paraId="709D011A" w14:textId="323E0234" w:rsidR="007B03F7" w:rsidRPr="001A2112" w:rsidRDefault="007B03F7" w:rsidP="007B03F7">
      <w:pPr>
        <w:pStyle w:val="Caption"/>
      </w:pPr>
      <w:bookmarkStart w:id="36" w:name="_Ref218780905"/>
      <w:r w:rsidRPr="001A2112">
        <w:t xml:space="preserve">Figure </w:t>
      </w:r>
      <w:r w:rsidRPr="001A2112">
        <w:fldChar w:fldCharType="begin"/>
      </w:r>
      <w:r w:rsidRPr="001A2112">
        <w:instrText>SEQ Figure \* ARABIC</w:instrText>
      </w:r>
      <w:r w:rsidRPr="001A2112">
        <w:fldChar w:fldCharType="separate"/>
      </w:r>
      <w:r w:rsidR="00FF73F1">
        <w:rPr>
          <w:noProof/>
        </w:rPr>
        <w:t>4</w:t>
      </w:r>
      <w:r w:rsidRPr="001A2112">
        <w:fldChar w:fldCharType="end"/>
      </w:r>
      <w:bookmarkEnd w:id="36"/>
      <w:r w:rsidRPr="001A2112">
        <w:t>: Patient-reported outcomes from LOTIS-2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380"/>
        <w:gridCol w:w="4646"/>
      </w:tblGrid>
      <w:tr w:rsidR="007B03F7" w:rsidRPr="001A2112" w14:paraId="68E48D30" w14:textId="77777777">
        <w:tc>
          <w:tcPr>
            <w:tcW w:w="4380" w:type="dxa"/>
          </w:tcPr>
          <w:p w14:paraId="524047F7" w14:textId="77777777" w:rsidR="007B03F7" w:rsidRPr="001A2112" w:rsidRDefault="007B03F7">
            <w:pPr>
              <w:pStyle w:val="TableFigureHeading"/>
              <w:rPr>
                <w:vertAlign w:val="superscript"/>
              </w:rPr>
            </w:pPr>
            <w:r w:rsidRPr="001A2112">
              <w:t xml:space="preserve">A. EQ-5D-5L VAS </w:t>
            </w:r>
            <w:proofErr w:type="spellStart"/>
            <w:r w:rsidRPr="001A2112">
              <w:t>score</w:t>
            </w:r>
            <w:r w:rsidRPr="001A2112">
              <w:rPr>
                <w:vertAlign w:val="superscript"/>
              </w:rPr>
              <w:t>a</w:t>
            </w:r>
            <w:proofErr w:type="spellEnd"/>
          </w:p>
        </w:tc>
        <w:tc>
          <w:tcPr>
            <w:tcW w:w="4646" w:type="dxa"/>
          </w:tcPr>
          <w:p w14:paraId="0715C2F3" w14:textId="77777777" w:rsidR="007B03F7" w:rsidRPr="001A2112" w:rsidRDefault="007B03F7">
            <w:pPr>
              <w:pStyle w:val="TableFigureHeading"/>
              <w:rPr>
                <w:vertAlign w:val="superscript"/>
              </w:rPr>
            </w:pPr>
            <w:r w:rsidRPr="001A2112">
              <w:t xml:space="preserve">B. FACT-Lym lymphoma subscale </w:t>
            </w:r>
            <w:proofErr w:type="spellStart"/>
            <w:r w:rsidRPr="001A2112">
              <w:t>score</w:t>
            </w:r>
            <w:r w:rsidRPr="001A2112">
              <w:rPr>
                <w:vertAlign w:val="superscript"/>
              </w:rPr>
              <w:t>a</w:t>
            </w:r>
            <w:proofErr w:type="spellEnd"/>
          </w:p>
        </w:tc>
      </w:tr>
      <w:tr w:rsidR="007B03F7" w:rsidRPr="001A2112" w14:paraId="483DCDC8" w14:textId="77777777">
        <w:tc>
          <w:tcPr>
            <w:tcW w:w="4380" w:type="dxa"/>
          </w:tcPr>
          <w:p w14:paraId="23094B06" w14:textId="77777777" w:rsidR="007B03F7" w:rsidRPr="001A2112" w:rsidRDefault="007B03F7">
            <w:pPr>
              <w:pStyle w:val="TableFigureHeading"/>
            </w:pPr>
            <w:r w:rsidRPr="001A2112">
              <w:rPr>
                <w:noProof/>
              </w:rPr>
              <w:drawing>
                <wp:inline distT="0" distB="0" distL="0" distR="0" wp14:anchorId="67A45002" wp14:editId="2D42E0C9">
                  <wp:extent cx="2682875" cy="1310465"/>
                  <wp:effectExtent l="0" t="0" r="3175" b="4445"/>
                  <wp:docPr id="21" name="Picture 24" descr="Figure 4: Patient-reported outcomes from LOTIS-2&#10;A. EQ-5D-5L VAS sco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4" descr="Figure 4: Patient-reported outcomes from LOTIS-2&#10;A. EQ-5D-5L VAS score&#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2875" cy="1310465"/>
                          </a:xfrm>
                          <a:prstGeom prst="rect">
                            <a:avLst/>
                          </a:prstGeom>
                          <a:noFill/>
                          <a:ln>
                            <a:noFill/>
                          </a:ln>
                        </pic:spPr>
                      </pic:pic>
                    </a:graphicData>
                  </a:graphic>
                </wp:inline>
              </w:drawing>
            </w:r>
          </w:p>
        </w:tc>
        <w:tc>
          <w:tcPr>
            <w:tcW w:w="4646" w:type="dxa"/>
          </w:tcPr>
          <w:p w14:paraId="368FDDD4" w14:textId="77777777" w:rsidR="007B03F7" w:rsidRPr="001A2112" w:rsidRDefault="007B03F7">
            <w:pPr>
              <w:pStyle w:val="TableFigureHeading"/>
            </w:pPr>
            <w:r w:rsidRPr="001A2112">
              <w:rPr>
                <w:noProof/>
              </w:rPr>
              <w:drawing>
                <wp:inline distT="0" distB="0" distL="0" distR="0" wp14:anchorId="42CB1CE6" wp14:editId="2ECCBEFF">
                  <wp:extent cx="2913305" cy="1371600"/>
                  <wp:effectExtent l="0" t="0" r="1905" b="0"/>
                  <wp:docPr id="22" name="Picture 25" descr="Figure 4: Patient-reported outcomes from LOTIS-2 B. FACT-Lym lymphoma subscale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5" descr="Figure 4: Patient-reported outcomes from LOTIS-2 B. FACT-Lym lymphoma subscale sco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473" cy="1381095"/>
                          </a:xfrm>
                          <a:prstGeom prst="rect">
                            <a:avLst/>
                          </a:prstGeom>
                          <a:noFill/>
                          <a:ln>
                            <a:noFill/>
                          </a:ln>
                        </pic:spPr>
                      </pic:pic>
                    </a:graphicData>
                  </a:graphic>
                </wp:inline>
              </w:drawing>
            </w:r>
          </w:p>
        </w:tc>
      </w:tr>
    </w:tbl>
    <w:p w14:paraId="060C3B3D" w14:textId="77777777" w:rsidR="007B03F7" w:rsidRPr="001A2112" w:rsidRDefault="007B03F7" w:rsidP="007B03F7">
      <w:pPr>
        <w:pStyle w:val="TableFigureFooter"/>
      </w:pPr>
      <w:r w:rsidRPr="001A2112">
        <w:t xml:space="preserve">Source: Figure 2-11, p82 and Figure 2-12, p83 of the submission. </w:t>
      </w:r>
    </w:p>
    <w:p w14:paraId="1E4954E0" w14:textId="77777777" w:rsidR="007B03F7" w:rsidRPr="001A2112" w:rsidRDefault="007B03F7" w:rsidP="007B03F7">
      <w:pPr>
        <w:pStyle w:val="TableFigureFooter"/>
      </w:pPr>
      <w:r w:rsidRPr="001A2112">
        <w:t>C = Cycle; D = day; EQ-5D-5L = European Quality of Life (EuroQol) – 5 Dimensions – 5 Levels; FACT-Lym = Functional Assessment of Cancer Therapy - Lymphoma; PRO = patient-reported outcome; SE = standard error; VAS = visual analogue scale.</w:t>
      </w:r>
    </w:p>
    <w:p w14:paraId="7E49D450" w14:textId="77777777" w:rsidR="007B03F7" w:rsidRPr="001A2112" w:rsidRDefault="007B03F7" w:rsidP="007B03F7">
      <w:pPr>
        <w:pStyle w:val="TableFigureFooter"/>
      </w:pPr>
      <w:r w:rsidRPr="001A2112">
        <w:t>Note: Red dotted lines indicate minimally important difference (MID) of ± 7 points.</w:t>
      </w:r>
    </w:p>
    <w:p w14:paraId="7162F114" w14:textId="77777777" w:rsidR="007B03F7" w:rsidRPr="001A2112" w:rsidRDefault="007B03F7" w:rsidP="007B03F7">
      <w:pPr>
        <w:pStyle w:val="TableFigureFooter"/>
      </w:pPr>
      <w:r w:rsidRPr="001A2112">
        <w:rPr>
          <w:vertAlign w:val="superscript"/>
        </w:rPr>
        <w:t>a</w:t>
      </w:r>
      <w:r w:rsidRPr="001A2112">
        <w:tab/>
        <w:t>Mean (SE) change from baseline (PRO population).</w:t>
      </w:r>
    </w:p>
    <w:p w14:paraId="7BC77B62" w14:textId="77777777" w:rsidR="007B03F7" w:rsidRPr="00224498" w:rsidRDefault="007B03F7" w:rsidP="007B03F7">
      <w:pPr>
        <w:pStyle w:val="3-BodyText"/>
        <w:numPr>
          <w:ilvl w:val="1"/>
          <w:numId w:val="1"/>
        </w:numPr>
        <w:rPr>
          <w:color w:val="0066FF"/>
        </w:rPr>
      </w:pPr>
      <w:r w:rsidRPr="001A2112">
        <w:lastRenderedPageBreak/>
        <w:t>The EQ-5D-5L VAS score appeared to improve slightly until Cycle 12, then deteriorate; however, responses were largely within the minimally important difference (MID) until Cycle 9. FACT-Lym subscales reported in the CSR that showed slight improvement from baseline over time were physical wellbeing and emotional wellbeing. The social/family subscale well-being deteriorated from baseline over time. Similarly, to the EQ-5D-5L VAS, the FACT-Lym subscale scores for each cycle were mostly within the MID; however, scores appeared to improve slightly from baseline to Cycle 12, then deteriorated through to Cycle 15.</w:t>
      </w:r>
    </w:p>
    <w:p w14:paraId="0AC08A65" w14:textId="786B17D7" w:rsidR="00224498" w:rsidRPr="00D578AA" w:rsidRDefault="008B24FB" w:rsidP="007B03F7">
      <w:pPr>
        <w:pStyle w:val="3-BodyText"/>
        <w:numPr>
          <w:ilvl w:val="1"/>
          <w:numId w:val="1"/>
        </w:numPr>
      </w:pPr>
      <w:bookmarkStart w:id="37" w:name="_Ref226624337"/>
      <w:r w:rsidRPr="00D578AA">
        <w:t xml:space="preserve">The PBAC noted </w:t>
      </w:r>
      <w:r w:rsidR="00097AD0" w:rsidRPr="00D578AA">
        <w:t>a</w:t>
      </w:r>
      <w:r w:rsidR="00677945" w:rsidRPr="00D578AA">
        <w:t xml:space="preserve"> US </w:t>
      </w:r>
      <w:r w:rsidR="002D7586" w:rsidRPr="00D578AA">
        <w:t xml:space="preserve">observational study </w:t>
      </w:r>
      <w:r w:rsidR="004B7A42" w:rsidRPr="00D578AA">
        <w:t xml:space="preserve">involving a retrospective medical chart review of </w:t>
      </w:r>
      <w:r w:rsidR="004A2F6A" w:rsidRPr="00D578AA">
        <w:t xml:space="preserve">118 </w:t>
      </w:r>
      <w:r w:rsidR="004B7A42" w:rsidRPr="00D578AA">
        <w:t>patients with R/R DLBCL who initiated lonca</w:t>
      </w:r>
      <w:r w:rsidR="00410888" w:rsidRPr="00D578AA">
        <w:t xml:space="preserve">stuximab tesirine monotherapy as their 3L or 4L treatment after progressing on </w:t>
      </w:r>
      <w:r w:rsidR="004A2F6A" w:rsidRPr="00D578AA">
        <w:t>2L or 3L CAR-T therapy.</w:t>
      </w:r>
      <w:r w:rsidR="004A2F6A" w:rsidRPr="00D578AA">
        <w:rPr>
          <w:rStyle w:val="FootnoteReference"/>
        </w:rPr>
        <w:footnoteReference w:id="8"/>
      </w:r>
      <w:r w:rsidR="005E7DD1" w:rsidRPr="00D578AA">
        <w:t xml:space="preserve"> Patients who received loncastuximab tesirine </w:t>
      </w:r>
      <w:r w:rsidR="00567BDC" w:rsidRPr="00D578AA">
        <w:t xml:space="preserve">after </w:t>
      </w:r>
      <w:r w:rsidR="00F130D9" w:rsidRPr="00D578AA">
        <w:t xml:space="preserve">2L CAR-T </w:t>
      </w:r>
      <w:r w:rsidR="000242F6" w:rsidRPr="00D578AA">
        <w:t xml:space="preserve">therapy </w:t>
      </w:r>
      <w:r w:rsidR="00B253BE" w:rsidRPr="00D578AA">
        <w:t>(n=</w:t>
      </w:r>
      <w:r w:rsidR="00316177" w:rsidRPr="00D578AA">
        <w:t xml:space="preserve">95) </w:t>
      </w:r>
      <w:r w:rsidR="00F130D9" w:rsidRPr="00D578AA">
        <w:t>had an ORR of 73% (CR rate of 34%)</w:t>
      </w:r>
      <w:r w:rsidR="006639BE" w:rsidRPr="00D578AA">
        <w:t xml:space="preserve"> </w:t>
      </w:r>
      <w:r w:rsidR="00316177" w:rsidRPr="00D578AA">
        <w:t xml:space="preserve">and </w:t>
      </w:r>
      <w:r w:rsidR="006639BE" w:rsidRPr="00D578AA">
        <w:t xml:space="preserve">OS at </w:t>
      </w:r>
      <w:r w:rsidR="00E530A7" w:rsidRPr="00D578AA">
        <w:t xml:space="preserve">12 months </w:t>
      </w:r>
      <w:r w:rsidR="00316177" w:rsidRPr="00D578AA">
        <w:t xml:space="preserve">was </w:t>
      </w:r>
      <w:r w:rsidR="00E530A7" w:rsidRPr="00D578AA">
        <w:t xml:space="preserve">84%. </w:t>
      </w:r>
      <w:r w:rsidR="00316177" w:rsidRPr="00D578AA">
        <w:t>Patients who received loncastuximab tesirine after 3L CAR</w:t>
      </w:r>
      <w:r w:rsidR="000242F6" w:rsidRPr="00D578AA">
        <w:t xml:space="preserve">-T therapy (n= </w:t>
      </w:r>
      <w:r w:rsidR="00F14FF3" w:rsidRPr="00D578AA">
        <w:t xml:space="preserve">23) had an ORR of 78% (CR rate of 17%) and OS at 12 months was </w:t>
      </w:r>
      <w:r w:rsidR="00A13DB3" w:rsidRPr="00D578AA">
        <w:t xml:space="preserve">95%. </w:t>
      </w:r>
      <w:bookmarkEnd w:id="37"/>
    </w:p>
    <w:p w14:paraId="2ED546D4" w14:textId="77777777" w:rsidR="007B03F7" w:rsidRPr="001A2112" w:rsidRDefault="007B03F7" w:rsidP="007B03F7">
      <w:pPr>
        <w:pStyle w:val="3-BodyText"/>
        <w:numPr>
          <w:ilvl w:val="0"/>
          <w:numId w:val="0"/>
        </w:numPr>
        <w:spacing w:before="240"/>
        <w:rPr>
          <w:color w:val="0066FF"/>
        </w:rPr>
      </w:pPr>
      <w:r w:rsidRPr="001A2112">
        <w:rPr>
          <w:u w:val="single"/>
        </w:rPr>
        <w:t>MAIC of loncastuximab tesirine versus chemoimmunotherapy</w:t>
      </w:r>
    </w:p>
    <w:p w14:paraId="470AFFF8" w14:textId="4F6922A1" w:rsidR="007B03F7" w:rsidRPr="001A2112" w:rsidRDefault="007B03F7" w:rsidP="007B03F7">
      <w:pPr>
        <w:pStyle w:val="3-BodyText"/>
        <w:numPr>
          <w:ilvl w:val="1"/>
          <w:numId w:val="1"/>
        </w:numPr>
        <w:spacing w:before="240"/>
      </w:pPr>
      <w:r w:rsidRPr="001A2112">
        <w:t xml:space="preserve">As LOTIS-2 was a single-arm study, the submission conducted an unanchored MAIC to evaluate the comparative effectiveness and safety between loncastuximab tesirine and the nominated comparator, chemoimmunotherapy. Data were obtained from LOTIS-2 and the publications of the two CORAL extension studies (Van Den Neste 2016 and Van Den Neste 2017). Individual patient-level data (IPD) were available for LOTIS-2. Aggregate data from the two CORAL extension studies were pooled for the analysis. </w:t>
      </w:r>
    </w:p>
    <w:p w14:paraId="2F553706" w14:textId="3959C0D1" w:rsidR="007B03F7" w:rsidRPr="00104435" w:rsidRDefault="007B03F7" w:rsidP="00104435">
      <w:pPr>
        <w:pStyle w:val="3-BodyText"/>
        <w:numPr>
          <w:ilvl w:val="1"/>
          <w:numId w:val="1"/>
        </w:numPr>
        <w:rPr>
          <w:color w:val="0066FF"/>
        </w:rPr>
      </w:pPr>
      <w:r w:rsidRPr="001A2112">
        <w:t>Data were limited for the CORAL extension studies with only three characteristics available for data matching: male gender (%), previous ASCT (%) and International Prognostic Index (IPI) score (≤ 2 versus &gt;2). The only outcomes available from the CORAL extension studies were ORR and OS. As discussed above, the definitions of these outcomes differed between LOTIS-</w:t>
      </w:r>
      <w:proofErr w:type="gramStart"/>
      <w:r w:rsidRPr="001A2112">
        <w:t>2</w:t>
      </w:r>
      <w:proofErr w:type="gramEnd"/>
      <w:r w:rsidRPr="001A2112">
        <w:t xml:space="preserve"> and the CORAL extension studies</w:t>
      </w:r>
      <w:r w:rsidR="003C1E3E" w:rsidRPr="001A2112">
        <w:t xml:space="preserve"> (see paragraph</w:t>
      </w:r>
      <w:r w:rsidR="00264FC5" w:rsidRPr="001A2112">
        <w:t>s</w:t>
      </w:r>
      <w:r w:rsidR="003C1E3E" w:rsidRPr="001A2112">
        <w:t xml:space="preserve"> </w:t>
      </w:r>
      <w:r w:rsidR="00264FC5" w:rsidRPr="001A2112">
        <w:fldChar w:fldCharType="begin"/>
      </w:r>
      <w:r w:rsidR="00264FC5" w:rsidRPr="001A2112">
        <w:instrText xml:space="preserve"> REF _Ref219207383 \r \h </w:instrText>
      </w:r>
      <w:r w:rsidR="00300E88" w:rsidRPr="001A2112">
        <w:instrText xml:space="preserve"> \* MERGEFORMAT </w:instrText>
      </w:r>
      <w:r w:rsidR="00264FC5" w:rsidRPr="001A2112">
        <w:fldChar w:fldCharType="separate"/>
      </w:r>
      <w:r w:rsidR="008C4274">
        <w:t>6.11</w:t>
      </w:r>
      <w:r w:rsidR="00264FC5" w:rsidRPr="001A2112">
        <w:fldChar w:fldCharType="end"/>
      </w:r>
      <w:r w:rsidR="00264FC5" w:rsidRPr="001A2112">
        <w:t xml:space="preserve"> and </w:t>
      </w:r>
      <w:r w:rsidR="00264FC5" w:rsidRPr="001A2112">
        <w:fldChar w:fldCharType="begin"/>
      </w:r>
      <w:r w:rsidR="00264FC5" w:rsidRPr="001A2112">
        <w:instrText xml:space="preserve"> REF _Ref219207414 \r \h </w:instrText>
      </w:r>
      <w:r w:rsidR="00300E88" w:rsidRPr="001A2112">
        <w:instrText xml:space="preserve"> \* MERGEFORMAT </w:instrText>
      </w:r>
      <w:r w:rsidR="00264FC5" w:rsidRPr="001A2112">
        <w:fldChar w:fldCharType="separate"/>
      </w:r>
      <w:r w:rsidR="008C4274">
        <w:t>6.15</w:t>
      </w:r>
      <w:r w:rsidR="00264FC5" w:rsidRPr="001A2112">
        <w:fldChar w:fldCharType="end"/>
      </w:r>
      <w:r w:rsidR="00264FC5" w:rsidRPr="001A2112">
        <w:t>)</w:t>
      </w:r>
      <w:r w:rsidRPr="001A2112">
        <w:t xml:space="preserve">. </w:t>
      </w:r>
    </w:p>
    <w:p w14:paraId="732CBBD7" w14:textId="02AC3956" w:rsidR="007B03F7" w:rsidRPr="001A2112" w:rsidRDefault="007B03F7" w:rsidP="00300E88">
      <w:pPr>
        <w:pStyle w:val="3-BodyText"/>
        <w:numPr>
          <w:ilvl w:val="1"/>
          <w:numId w:val="1"/>
        </w:numPr>
        <w:rPr>
          <w:color w:val="0066FF"/>
        </w:rPr>
      </w:pPr>
      <w:r w:rsidRPr="001A2112">
        <w:t xml:space="preserve">Before the weighting process, the IPD from LOTIS-2 was trimmed by excluding patients aged &gt; 67.7 years, which was the maximum age of participants in the CORAL extension studies, resulting in 80 (55.2%) patients from LOTIS-2 being included in the analyses. Weights were assigned to patients in LOTIS-2 to adjust for their over- or underrepresentation relative to the average corresponding prognostic factors observed in the pooled CORAL extension studies. These weights were derived using a non-parametric likelihood re-weighting method. </w:t>
      </w:r>
    </w:p>
    <w:p w14:paraId="162F2A92" w14:textId="0F8FFC59" w:rsidR="007B03F7" w:rsidRPr="001A2112" w:rsidRDefault="007B03F7" w:rsidP="007B03F7">
      <w:pPr>
        <w:pStyle w:val="3-BodyText"/>
        <w:numPr>
          <w:ilvl w:val="1"/>
          <w:numId w:val="1"/>
        </w:numPr>
      </w:pPr>
      <w:r w:rsidRPr="001A2112">
        <w:fldChar w:fldCharType="begin"/>
      </w:r>
      <w:r w:rsidRPr="001A2112">
        <w:instrText xml:space="preserve"> REF _Ref218785048 \h </w:instrText>
      </w:r>
      <w:r w:rsidR="001A2112" w:rsidRPr="001A2112">
        <w:instrText xml:space="preserve"> \* MERGEFORMAT </w:instrText>
      </w:r>
      <w:r w:rsidRPr="001A2112">
        <w:fldChar w:fldCharType="separate"/>
      </w:r>
      <w:r w:rsidR="007D33FD" w:rsidRPr="001A2112">
        <w:t xml:space="preserve">Table </w:t>
      </w:r>
      <w:r w:rsidR="007D33FD" w:rsidRPr="001A2112">
        <w:rPr>
          <w:noProof/>
        </w:rPr>
        <w:t>7</w:t>
      </w:r>
      <w:r w:rsidRPr="001A2112">
        <w:fldChar w:fldCharType="end"/>
      </w:r>
      <w:r w:rsidRPr="001A2112">
        <w:t xml:space="preserve"> presents a comparison of baseline characteristics before and after matching.</w:t>
      </w:r>
    </w:p>
    <w:p w14:paraId="2A80DDDC" w14:textId="3CAB2B47" w:rsidR="007B03F7" w:rsidRPr="001A2112" w:rsidRDefault="007B03F7" w:rsidP="007B03F7">
      <w:pPr>
        <w:pStyle w:val="Caption"/>
      </w:pPr>
      <w:bookmarkStart w:id="38" w:name="_Ref218785048"/>
      <w:r w:rsidRPr="001A2112">
        <w:lastRenderedPageBreak/>
        <w:t xml:space="preserve">Table </w:t>
      </w:r>
      <w:r w:rsidRPr="001A2112">
        <w:fldChar w:fldCharType="begin"/>
      </w:r>
      <w:r w:rsidRPr="001A2112">
        <w:instrText>SEQ Table \* ARABIC</w:instrText>
      </w:r>
      <w:r w:rsidRPr="001A2112">
        <w:fldChar w:fldCharType="separate"/>
      </w:r>
      <w:r w:rsidR="007D33FD" w:rsidRPr="001A2112">
        <w:rPr>
          <w:noProof/>
        </w:rPr>
        <w:t>7</w:t>
      </w:r>
      <w:r w:rsidRPr="001A2112">
        <w:fldChar w:fldCharType="end"/>
      </w:r>
      <w:bookmarkEnd w:id="38"/>
      <w:r w:rsidRPr="001A2112">
        <w:t>: Comparison of baseline characteristics before and after matching</w:t>
      </w:r>
    </w:p>
    <w:tbl>
      <w:tblPr>
        <w:tblStyle w:val="TableGrid"/>
        <w:tblW w:w="0" w:type="auto"/>
        <w:tblCellMar>
          <w:left w:w="28" w:type="dxa"/>
          <w:right w:w="28" w:type="dxa"/>
        </w:tblCellMar>
        <w:tblLook w:val="04A0" w:firstRow="1" w:lastRow="0" w:firstColumn="1" w:lastColumn="0" w:noHBand="0" w:noVBand="1"/>
        <w:tblCaption w:val="Table 7: Comparison of baseline characteristics before and after matching"/>
      </w:tblPr>
      <w:tblGrid>
        <w:gridCol w:w="2253"/>
        <w:gridCol w:w="2254"/>
        <w:gridCol w:w="2254"/>
        <w:gridCol w:w="2255"/>
      </w:tblGrid>
      <w:tr w:rsidR="007B03F7" w:rsidRPr="001A2112" w14:paraId="25E4FEA0" w14:textId="77777777">
        <w:tc>
          <w:tcPr>
            <w:tcW w:w="2253" w:type="dxa"/>
            <w:vAlign w:val="center"/>
          </w:tcPr>
          <w:p w14:paraId="2CCC0AF4" w14:textId="77777777" w:rsidR="007B03F7" w:rsidRPr="001A2112" w:rsidRDefault="007B03F7">
            <w:pPr>
              <w:pStyle w:val="TableFigureHeading"/>
            </w:pPr>
            <w:r w:rsidRPr="001A2112">
              <w:t>Covariates</w:t>
            </w:r>
          </w:p>
        </w:tc>
        <w:tc>
          <w:tcPr>
            <w:tcW w:w="4508" w:type="dxa"/>
            <w:gridSpan w:val="2"/>
            <w:vAlign w:val="center"/>
          </w:tcPr>
          <w:p w14:paraId="2ACCF7CD" w14:textId="77777777" w:rsidR="007B03F7" w:rsidRPr="001A2112" w:rsidRDefault="007B03F7">
            <w:pPr>
              <w:pStyle w:val="TableFigureHeading"/>
              <w:jc w:val="center"/>
            </w:pPr>
            <w:r w:rsidRPr="001A2112">
              <w:t>Loncastuximab tesirine</w:t>
            </w:r>
          </w:p>
        </w:tc>
        <w:tc>
          <w:tcPr>
            <w:tcW w:w="2255" w:type="dxa"/>
            <w:vAlign w:val="center"/>
          </w:tcPr>
          <w:p w14:paraId="144B400D" w14:textId="77777777" w:rsidR="007B03F7" w:rsidRPr="001A2112" w:rsidRDefault="007B03F7">
            <w:pPr>
              <w:pStyle w:val="TableFigureHeading"/>
              <w:jc w:val="center"/>
            </w:pPr>
            <w:r w:rsidRPr="001A2112">
              <w:t>Immunochemotherapy</w:t>
            </w:r>
          </w:p>
        </w:tc>
      </w:tr>
      <w:tr w:rsidR="007B03F7" w:rsidRPr="001A2112" w14:paraId="2735B9B9" w14:textId="77777777">
        <w:tc>
          <w:tcPr>
            <w:tcW w:w="2253" w:type="dxa"/>
            <w:vAlign w:val="center"/>
          </w:tcPr>
          <w:p w14:paraId="5D091A0A" w14:textId="77777777" w:rsidR="007B03F7" w:rsidRPr="001A2112" w:rsidRDefault="007B03F7">
            <w:pPr>
              <w:pStyle w:val="TableFigureHeading"/>
            </w:pPr>
          </w:p>
        </w:tc>
        <w:tc>
          <w:tcPr>
            <w:tcW w:w="2254" w:type="dxa"/>
            <w:vAlign w:val="center"/>
          </w:tcPr>
          <w:p w14:paraId="4138CA46" w14:textId="77777777" w:rsidR="007B03F7" w:rsidRPr="001A2112" w:rsidRDefault="007B03F7">
            <w:pPr>
              <w:pStyle w:val="TableFigureHeading"/>
              <w:jc w:val="center"/>
              <w:rPr>
                <w:b w:val="0"/>
                <w:bCs w:val="0"/>
              </w:rPr>
            </w:pPr>
            <w:r w:rsidRPr="001A2112">
              <w:rPr>
                <w:b w:val="0"/>
                <w:bCs w:val="0"/>
              </w:rPr>
              <w:t>Pre-matching (ESS=80)</w:t>
            </w:r>
          </w:p>
        </w:tc>
        <w:tc>
          <w:tcPr>
            <w:tcW w:w="2254" w:type="dxa"/>
            <w:vAlign w:val="center"/>
          </w:tcPr>
          <w:p w14:paraId="3AB4B4B3" w14:textId="77777777" w:rsidR="007B03F7" w:rsidRPr="001A2112" w:rsidRDefault="007B03F7">
            <w:pPr>
              <w:pStyle w:val="TableFigureHeading"/>
              <w:jc w:val="center"/>
              <w:rPr>
                <w:b w:val="0"/>
                <w:bCs w:val="0"/>
              </w:rPr>
            </w:pPr>
            <w:r w:rsidRPr="001A2112">
              <w:rPr>
                <w:b w:val="0"/>
                <w:bCs w:val="0"/>
              </w:rPr>
              <w:t>Post-matching (ESS=78.1)</w:t>
            </w:r>
          </w:p>
        </w:tc>
        <w:tc>
          <w:tcPr>
            <w:tcW w:w="2255" w:type="dxa"/>
            <w:vAlign w:val="center"/>
          </w:tcPr>
          <w:p w14:paraId="418505A1" w14:textId="77777777" w:rsidR="007B03F7" w:rsidRPr="001A2112" w:rsidRDefault="007B03F7">
            <w:pPr>
              <w:pStyle w:val="TableFigureHeading"/>
              <w:jc w:val="center"/>
              <w:rPr>
                <w:b w:val="0"/>
                <w:bCs w:val="0"/>
              </w:rPr>
            </w:pPr>
            <w:r w:rsidRPr="001A2112">
              <w:rPr>
                <w:b w:val="0"/>
                <w:bCs w:val="0"/>
              </w:rPr>
              <w:t>As reported (N=266)</w:t>
            </w:r>
          </w:p>
        </w:tc>
      </w:tr>
      <w:tr w:rsidR="007B03F7" w:rsidRPr="001A2112" w14:paraId="3CB656A1" w14:textId="77777777">
        <w:tc>
          <w:tcPr>
            <w:tcW w:w="2253" w:type="dxa"/>
            <w:vAlign w:val="center"/>
          </w:tcPr>
          <w:p w14:paraId="5322A594" w14:textId="77777777" w:rsidR="007B03F7" w:rsidRPr="001A2112" w:rsidRDefault="007B03F7">
            <w:pPr>
              <w:pStyle w:val="TableFigureHeading"/>
            </w:pPr>
            <w:r w:rsidRPr="001A2112">
              <w:t>Male, %</w:t>
            </w:r>
          </w:p>
        </w:tc>
        <w:tc>
          <w:tcPr>
            <w:tcW w:w="2254" w:type="dxa"/>
            <w:vAlign w:val="center"/>
          </w:tcPr>
          <w:p w14:paraId="73370185" w14:textId="77777777" w:rsidR="007B03F7" w:rsidRPr="001A2112" w:rsidRDefault="007B03F7">
            <w:pPr>
              <w:pStyle w:val="TableFigureHeading"/>
              <w:jc w:val="center"/>
              <w:rPr>
                <w:b w:val="0"/>
                <w:bCs w:val="0"/>
              </w:rPr>
            </w:pPr>
            <w:r w:rsidRPr="001A2112">
              <w:rPr>
                <w:b w:val="0"/>
                <w:bCs w:val="0"/>
              </w:rPr>
              <w:t>66.2</w:t>
            </w:r>
          </w:p>
        </w:tc>
        <w:tc>
          <w:tcPr>
            <w:tcW w:w="2254" w:type="dxa"/>
            <w:vAlign w:val="center"/>
          </w:tcPr>
          <w:p w14:paraId="20423498" w14:textId="77777777" w:rsidR="007B03F7" w:rsidRPr="001A2112" w:rsidRDefault="007B03F7">
            <w:pPr>
              <w:pStyle w:val="TableFigureHeading"/>
              <w:jc w:val="center"/>
              <w:rPr>
                <w:b w:val="0"/>
                <w:bCs w:val="0"/>
              </w:rPr>
            </w:pPr>
            <w:r w:rsidRPr="001A2112">
              <w:rPr>
                <w:b w:val="0"/>
                <w:bCs w:val="0"/>
              </w:rPr>
              <w:t>63.0</w:t>
            </w:r>
          </w:p>
        </w:tc>
        <w:tc>
          <w:tcPr>
            <w:tcW w:w="2255" w:type="dxa"/>
            <w:vAlign w:val="center"/>
          </w:tcPr>
          <w:p w14:paraId="26E866A4" w14:textId="77777777" w:rsidR="007B03F7" w:rsidRPr="001A2112" w:rsidRDefault="007B03F7">
            <w:pPr>
              <w:pStyle w:val="TableFigureHeading"/>
              <w:jc w:val="center"/>
              <w:rPr>
                <w:b w:val="0"/>
                <w:bCs w:val="0"/>
              </w:rPr>
            </w:pPr>
            <w:r w:rsidRPr="001A2112">
              <w:rPr>
                <w:b w:val="0"/>
                <w:bCs w:val="0"/>
              </w:rPr>
              <w:t>63.0</w:t>
            </w:r>
          </w:p>
        </w:tc>
      </w:tr>
      <w:tr w:rsidR="007B03F7" w:rsidRPr="001A2112" w14:paraId="46867800" w14:textId="77777777">
        <w:tc>
          <w:tcPr>
            <w:tcW w:w="2253" w:type="dxa"/>
            <w:vAlign w:val="center"/>
          </w:tcPr>
          <w:p w14:paraId="3A26290B" w14:textId="77777777" w:rsidR="007B03F7" w:rsidRPr="001A2112" w:rsidRDefault="007B03F7">
            <w:pPr>
              <w:pStyle w:val="TableFigureHeading"/>
            </w:pPr>
            <w:r w:rsidRPr="001A2112">
              <w:t>Prior ASCT, %</w:t>
            </w:r>
          </w:p>
        </w:tc>
        <w:tc>
          <w:tcPr>
            <w:tcW w:w="2254" w:type="dxa"/>
            <w:vAlign w:val="center"/>
          </w:tcPr>
          <w:p w14:paraId="65015A91" w14:textId="77777777" w:rsidR="007B03F7" w:rsidRPr="001A2112" w:rsidRDefault="007B03F7">
            <w:pPr>
              <w:pStyle w:val="TableFigureHeading"/>
              <w:jc w:val="center"/>
              <w:rPr>
                <w:b w:val="0"/>
                <w:bCs w:val="0"/>
              </w:rPr>
            </w:pPr>
            <w:r w:rsidRPr="001A2112">
              <w:rPr>
                <w:b w:val="0"/>
                <w:bCs w:val="0"/>
              </w:rPr>
              <w:t>21.2</w:t>
            </w:r>
          </w:p>
        </w:tc>
        <w:tc>
          <w:tcPr>
            <w:tcW w:w="2254" w:type="dxa"/>
            <w:vAlign w:val="center"/>
          </w:tcPr>
          <w:p w14:paraId="7FFC6921" w14:textId="77777777" w:rsidR="007B03F7" w:rsidRPr="001A2112" w:rsidRDefault="007B03F7">
            <w:pPr>
              <w:pStyle w:val="TableFigureHeading"/>
              <w:jc w:val="center"/>
              <w:rPr>
                <w:b w:val="0"/>
                <w:bCs w:val="0"/>
              </w:rPr>
            </w:pPr>
            <w:r w:rsidRPr="001A2112">
              <w:rPr>
                <w:b w:val="0"/>
                <w:bCs w:val="0"/>
              </w:rPr>
              <w:t>27.0</w:t>
            </w:r>
          </w:p>
        </w:tc>
        <w:tc>
          <w:tcPr>
            <w:tcW w:w="2255" w:type="dxa"/>
            <w:vAlign w:val="center"/>
          </w:tcPr>
          <w:p w14:paraId="115A0BE1" w14:textId="77777777" w:rsidR="007B03F7" w:rsidRPr="001A2112" w:rsidRDefault="007B03F7">
            <w:pPr>
              <w:pStyle w:val="TableFigureHeading"/>
              <w:jc w:val="center"/>
              <w:rPr>
                <w:b w:val="0"/>
                <w:bCs w:val="0"/>
              </w:rPr>
            </w:pPr>
            <w:r w:rsidRPr="001A2112">
              <w:rPr>
                <w:b w:val="0"/>
                <w:bCs w:val="0"/>
              </w:rPr>
              <w:t>27.0</w:t>
            </w:r>
          </w:p>
        </w:tc>
      </w:tr>
      <w:tr w:rsidR="007B03F7" w:rsidRPr="001A2112" w14:paraId="0FAEC4B6" w14:textId="77777777">
        <w:tc>
          <w:tcPr>
            <w:tcW w:w="2253" w:type="dxa"/>
            <w:vAlign w:val="center"/>
          </w:tcPr>
          <w:p w14:paraId="2FB679DC" w14:textId="77777777" w:rsidR="007B03F7" w:rsidRPr="001A2112" w:rsidRDefault="007B03F7">
            <w:pPr>
              <w:pStyle w:val="TableFigureHeading"/>
            </w:pPr>
            <w:r w:rsidRPr="001A2112">
              <w:t>IPI &gt;2, %</w:t>
            </w:r>
          </w:p>
        </w:tc>
        <w:tc>
          <w:tcPr>
            <w:tcW w:w="2254" w:type="dxa"/>
            <w:vAlign w:val="center"/>
          </w:tcPr>
          <w:p w14:paraId="066DA8F1" w14:textId="77777777" w:rsidR="007B03F7" w:rsidRPr="001A2112" w:rsidRDefault="007B03F7">
            <w:pPr>
              <w:pStyle w:val="TableFigureHeading"/>
              <w:jc w:val="center"/>
              <w:rPr>
                <w:b w:val="0"/>
                <w:bCs w:val="0"/>
              </w:rPr>
            </w:pPr>
            <w:r w:rsidRPr="001A2112">
              <w:rPr>
                <w:b w:val="0"/>
                <w:bCs w:val="0"/>
              </w:rPr>
              <w:t>38.8</w:t>
            </w:r>
          </w:p>
        </w:tc>
        <w:tc>
          <w:tcPr>
            <w:tcW w:w="2254" w:type="dxa"/>
            <w:vAlign w:val="center"/>
          </w:tcPr>
          <w:p w14:paraId="37F6EBFC" w14:textId="77777777" w:rsidR="007B03F7" w:rsidRPr="001A2112" w:rsidRDefault="007B03F7">
            <w:pPr>
              <w:pStyle w:val="TableFigureHeading"/>
              <w:jc w:val="center"/>
              <w:rPr>
                <w:b w:val="0"/>
                <w:bCs w:val="0"/>
              </w:rPr>
            </w:pPr>
            <w:r w:rsidRPr="001A2112">
              <w:rPr>
                <w:b w:val="0"/>
                <w:bCs w:val="0"/>
              </w:rPr>
              <w:t>39.0</w:t>
            </w:r>
          </w:p>
        </w:tc>
        <w:tc>
          <w:tcPr>
            <w:tcW w:w="2255" w:type="dxa"/>
            <w:vAlign w:val="center"/>
          </w:tcPr>
          <w:p w14:paraId="16C7F280" w14:textId="77777777" w:rsidR="007B03F7" w:rsidRPr="001A2112" w:rsidRDefault="007B03F7">
            <w:pPr>
              <w:pStyle w:val="TableFigureHeading"/>
              <w:jc w:val="center"/>
              <w:rPr>
                <w:b w:val="0"/>
                <w:bCs w:val="0"/>
              </w:rPr>
            </w:pPr>
            <w:r w:rsidRPr="001A2112">
              <w:rPr>
                <w:b w:val="0"/>
                <w:bCs w:val="0"/>
              </w:rPr>
              <w:t>39.0</w:t>
            </w:r>
          </w:p>
        </w:tc>
      </w:tr>
    </w:tbl>
    <w:p w14:paraId="3EBD340A" w14:textId="77777777" w:rsidR="007B03F7" w:rsidRPr="001A2112" w:rsidRDefault="007B03F7" w:rsidP="007B03F7">
      <w:pPr>
        <w:pStyle w:val="TableFigureFooter"/>
      </w:pPr>
      <w:r w:rsidRPr="001A2112">
        <w:t>Source: Table 2-30, p93 of the submission.</w:t>
      </w:r>
    </w:p>
    <w:p w14:paraId="7B8226C4" w14:textId="77777777" w:rsidR="007B03F7" w:rsidRPr="001A2112" w:rsidRDefault="007B03F7" w:rsidP="007B03F7">
      <w:pPr>
        <w:pStyle w:val="TableFigureFooter"/>
      </w:pPr>
      <w:r w:rsidRPr="001A2112">
        <w:t>ASCT = autologous stem cell transplant; ESS = effective sample size; IPI = International Prognostic Index; N = number of participants.</w:t>
      </w:r>
    </w:p>
    <w:p w14:paraId="4B1623D0" w14:textId="13718C01" w:rsidR="007B03F7" w:rsidRPr="00D57480" w:rsidRDefault="007B03F7" w:rsidP="007B03F7">
      <w:pPr>
        <w:pStyle w:val="3-BodyText"/>
        <w:numPr>
          <w:ilvl w:val="1"/>
          <w:numId w:val="1"/>
        </w:numPr>
      </w:pPr>
      <w:r w:rsidRPr="001A2112">
        <w:t xml:space="preserve">After further matching, the effective sample size was decreased further by 2.4%, suggesting good overlap for the selected baseline characteristics prior to matching; however, due to the exclusion of patients aged &gt; 67.7 years from the MAIC, these results may not be generalisable to older patients. Furthermore, all patients enrolled in CORAL had been considered for ASCT in 2L, with 75 (27.0%) patients in the CORAL extension studies having relapsed after achieving ASCT in the CORAL RCT, while LOTIS-2 included patients who were R/R after </w:t>
      </w:r>
      <w:r w:rsidRPr="001A2112">
        <w:rPr>
          <w:rFonts w:cs="Calibri"/>
        </w:rPr>
        <w:t>≥ 2 prior lines of any systemic therapy. While the proportions of patients with prior ASCT were balanced in the weighting process for the MAIC, there may have been underlying differences in the clinical status of each study population.</w:t>
      </w:r>
      <w:r w:rsidR="00403FB1">
        <w:rPr>
          <w:rFonts w:cs="Calibri"/>
        </w:rPr>
        <w:t xml:space="preserve"> </w:t>
      </w:r>
      <w:r w:rsidR="00403FB1" w:rsidRPr="00D57480">
        <w:t xml:space="preserve">The Sub-Committees considered the approach taken to the trimming of the IPD from LOTIS-2 prior to weighting would likely favour loncastuximab tesirine if increasing age was associated with worse outcomes. However, </w:t>
      </w:r>
      <w:r w:rsidR="006561BA" w:rsidRPr="00D57480">
        <w:t>the Sub-Committees considered that</w:t>
      </w:r>
      <w:r w:rsidR="009133A8" w:rsidRPr="00D57480">
        <w:t xml:space="preserve"> </w:t>
      </w:r>
      <w:r w:rsidR="008D0A55" w:rsidRPr="00D57480">
        <w:t xml:space="preserve">the </w:t>
      </w:r>
      <w:r w:rsidR="006561BA" w:rsidRPr="00D57480">
        <w:t>age</w:t>
      </w:r>
      <w:r w:rsidR="008D0A55" w:rsidRPr="00D57480">
        <w:t xml:space="preserve"> of a patient with DLBCL</w:t>
      </w:r>
      <w:r w:rsidR="006561BA" w:rsidRPr="00D57480">
        <w:t xml:space="preserve"> is less of a treatment effect modifier </w:t>
      </w:r>
      <w:r w:rsidR="008316BD" w:rsidRPr="00D57480">
        <w:t xml:space="preserve">than it was previously </w:t>
      </w:r>
      <w:r w:rsidR="008D0A55" w:rsidRPr="00D57480">
        <w:t>as</w:t>
      </w:r>
      <w:r w:rsidR="00324584" w:rsidRPr="00D57480">
        <w:t xml:space="preserve"> therapies </w:t>
      </w:r>
      <w:r w:rsidR="00C4055A" w:rsidRPr="00D57480">
        <w:t xml:space="preserve">such as CAR-T </w:t>
      </w:r>
      <w:r w:rsidR="00324584" w:rsidRPr="00D57480">
        <w:t xml:space="preserve">are </w:t>
      </w:r>
      <w:r w:rsidR="00C4055A" w:rsidRPr="00D57480">
        <w:t>being increasingly used in older patients.</w:t>
      </w:r>
      <w:r w:rsidR="0075070C" w:rsidRPr="00D57480">
        <w:t xml:space="preserve"> </w:t>
      </w:r>
      <w:r w:rsidR="00661085" w:rsidRPr="00F31229">
        <w:t xml:space="preserve">The Sub-Committees </w:t>
      </w:r>
      <w:r w:rsidR="002F6BAA" w:rsidRPr="00F31229">
        <w:t xml:space="preserve">suggested that </w:t>
      </w:r>
      <w:r w:rsidR="00655F42" w:rsidRPr="00F31229">
        <w:t>a sensitivity analysis</w:t>
      </w:r>
      <w:r w:rsidR="007738ED" w:rsidRPr="00F31229">
        <w:t>, where the results of a MAIC where older patients are retained in the LOTIS-2 data set</w:t>
      </w:r>
      <w:r w:rsidR="001711D3" w:rsidRPr="00F31229">
        <w:t>, may be informative if available.</w:t>
      </w:r>
      <w:r w:rsidR="001711D3" w:rsidRPr="00D57480">
        <w:t xml:space="preserve"> </w:t>
      </w:r>
      <w:r w:rsidR="002D5E1D">
        <w:t>The pre-PBAC response did not</w:t>
      </w:r>
      <w:r w:rsidR="004E2BF9">
        <w:t xml:space="preserve"> provide </w:t>
      </w:r>
      <w:r w:rsidR="004D1397">
        <w:t xml:space="preserve">an </w:t>
      </w:r>
      <w:r w:rsidR="00DC77B7">
        <w:t xml:space="preserve">additional </w:t>
      </w:r>
      <w:r w:rsidR="00585CAA">
        <w:t>sensitivity analys</w:t>
      </w:r>
      <w:r w:rsidR="004D1397">
        <w:t xml:space="preserve">is. </w:t>
      </w:r>
    </w:p>
    <w:p w14:paraId="2B68D115" w14:textId="21D0A518" w:rsidR="007B03F7" w:rsidRPr="001A2112" w:rsidRDefault="007B03F7" w:rsidP="007B03F7">
      <w:pPr>
        <w:pStyle w:val="3-BodyText"/>
        <w:numPr>
          <w:ilvl w:val="1"/>
          <w:numId w:val="1"/>
        </w:numPr>
        <w:rPr>
          <w:color w:val="0066FF"/>
        </w:rPr>
      </w:pPr>
      <w:r w:rsidRPr="001A2112">
        <w:fldChar w:fldCharType="begin"/>
      </w:r>
      <w:r w:rsidRPr="001A2112">
        <w:instrText xml:space="preserve"> REF _Ref218785943 \h </w:instrText>
      </w:r>
      <w:r w:rsidR="001A2112" w:rsidRPr="001A2112">
        <w:instrText xml:space="preserve"> \* MERGEFORMAT </w:instrText>
      </w:r>
      <w:r w:rsidRPr="001A2112">
        <w:fldChar w:fldCharType="separate"/>
      </w:r>
      <w:r w:rsidR="007D33FD" w:rsidRPr="001A2112">
        <w:t xml:space="preserve">Table </w:t>
      </w:r>
      <w:r w:rsidR="007D33FD" w:rsidRPr="001A2112">
        <w:rPr>
          <w:noProof/>
        </w:rPr>
        <w:t>8</w:t>
      </w:r>
      <w:r w:rsidRPr="001A2112">
        <w:fldChar w:fldCharType="end"/>
      </w:r>
      <w:r w:rsidRPr="001A2112">
        <w:t xml:space="preserve"> presents the results of the MAIC and unadjusted results for ORR.</w:t>
      </w:r>
    </w:p>
    <w:p w14:paraId="6F29E965" w14:textId="353FD0D3" w:rsidR="007B03F7" w:rsidRPr="001A2112" w:rsidRDefault="007B03F7" w:rsidP="007B03F7">
      <w:pPr>
        <w:pStyle w:val="Caption"/>
        <w:rPr>
          <w:vertAlign w:val="superscript"/>
        </w:rPr>
      </w:pPr>
      <w:bookmarkStart w:id="39" w:name="_Ref218785943"/>
      <w:r w:rsidRPr="001A2112">
        <w:t xml:space="preserve">Table </w:t>
      </w:r>
      <w:r w:rsidRPr="001A2112">
        <w:fldChar w:fldCharType="begin"/>
      </w:r>
      <w:r w:rsidRPr="001A2112">
        <w:instrText>SEQ Table \* ARABIC</w:instrText>
      </w:r>
      <w:r w:rsidRPr="001A2112">
        <w:fldChar w:fldCharType="separate"/>
      </w:r>
      <w:r w:rsidR="007D33FD" w:rsidRPr="001A2112">
        <w:rPr>
          <w:noProof/>
        </w:rPr>
        <w:t>8</w:t>
      </w:r>
      <w:r w:rsidRPr="001A2112">
        <w:fldChar w:fldCharType="end"/>
      </w:r>
      <w:bookmarkEnd w:id="39"/>
      <w:r w:rsidRPr="001A2112">
        <w:t xml:space="preserve">: Results of the MAIC and unadjusted results for </w:t>
      </w:r>
      <w:proofErr w:type="spellStart"/>
      <w:r w:rsidRPr="001A2112">
        <w:t>ORR</w:t>
      </w:r>
      <w:r w:rsidRPr="001A2112">
        <w:rPr>
          <w:vertAlign w:val="superscript"/>
        </w:rPr>
        <w:t>a</w:t>
      </w:r>
      <w:proofErr w:type="spellEnd"/>
    </w:p>
    <w:tbl>
      <w:tblPr>
        <w:tblStyle w:val="TableGrid"/>
        <w:tblW w:w="5000" w:type="pct"/>
        <w:tblCellMar>
          <w:left w:w="28" w:type="dxa"/>
          <w:right w:w="28" w:type="dxa"/>
        </w:tblCellMar>
        <w:tblLook w:val="04A0" w:firstRow="1" w:lastRow="0" w:firstColumn="1" w:lastColumn="0" w:noHBand="0" w:noVBand="1"/>
        <w:tblCaption w:val="Table 8: Results of the MAIC and unadjusted results for ORRa"/>
      </w:tblPr>
      <w:tblGrid>
        <w:gridCol w:w="1696"/>
        <w:gridCol w:w="1986"/>
        <w:gridCol w:w="1843"/>
        <w:gridCol w:w="1277"/>
        <w:gridCol w:w="2215"/>
      </w:tblGrid>
      <w:tr w:rsidR="007B03F7" w:rsidRPr="001A2112" w14:paraId="0E1EEF2A" w14:textId="77777777">
        <w:tc>
          <w:tcPr>
            <w:tcW w:w="941" w:type="pct"/>
            <w:vAlign w:val="center"/>
          </w:tcPr>
          <w:p w14:paraId="35EBAE92" w14:textId="77777777" w:rsidR="007B03F7" w:rsidRPr="001A2112" w:rsidRDefault="007B03F7">
            <w:pPr>
              <w:pStyle w:val="TableText0"/>
              <w:rPr>
                <w:b/>
                <w:bCs w:val="0"/>
              </w:rPr>
            </w:pPr>
            <w:r w:rsidRPr="001A2112">
              <w:rPr>
                <w:b/>
                <w:bCs w:val="0"/>
              </w:rPr>
              <w:t>ORR analysis</w:t>
            </w:r>
          </w:p>
        </w:tc>
        <w:tc>
          <w:tcPr>
            <w:tcW w:w="1101" w:type="pct"/>
            <w:vAlign w:val="center"/>
          </w:tcPr>
          <w:p w14:paraId="2D94D9A7" w14:textId="77777777" w:rsidR="007B03F7" w:rsidRPr="001A2112" w:rsidRDefault="007B03F7">
            <w:pPr>
              <w:pStyle w:val="TableText0"/>
              <w:jc w:val="center"/>
              <w:rPr>
                <w:b/>
                <w:bCs w:val="0"/>
              </w:rPr>
            </w:pPr>
            <w:r w:rsidRPr="001A2112">
              <w:rPr>
                <w:b/>
                <w:bCs w:val="0"/>
              </w:rPr>
              <w:t>Loncastuximab tesirine</w:t>
            </w:r>
          </w:p>
          <w:p w14:paraId="426EA180" w14:textId="77777777" w:rsidR="007B03F7" w:rsidRPr="001A2112" w:rsidRDefault="007B03F7">
            <w:pPr>
              <w:pStyle w:val="TableText0"/>
              <w:jc w:val="center"/>
              <w:rPr>
                <w:b/>
                <w:bCs w:val="0"/>
              </w:rPr>
            </w:pPr>
            <w:r w:rsidRPr="001A2112">
              <w:rPr>
                <w:b/>
                <w:bCs w:val="0"/>
              </w:rPr>
              <w:t>(LOTIS-2)</w:t>
            </w:r>
          </w:p>
          <w:p w14:paraId="2936906E" w14:textId="77777777" w:rsidR="007B03F7" w:rsidRPr="001A2112" w:rsidRDefault="007B03F7">
            <w:pPr>
              <w:pStyle w:val="TableText0"/>
              <w:jc w:val="center"/>
              <w:rPr>
                <w:b/>
                <w:bCs w:val="0"/>
              </w:rPr>
            </w:pPr>
            <w:r w:rsidRPr="001A2112">
              <w:rPr>
                <w:b/>
                <w:bCs w:val="0"/>
              </w:rPr>
              <w:t>n/N (%)</w:t>
            </w:r>
          </w:p>
        </w:tc>
        <w:tc>
          <w:tcPr>
            <w:tcW w:w="1022" w:type="pct"/>
            <w:vAlign w:val="center"/>
          </w:tcPr>
          <w:p w14:paraId="2D4F9923" w14:textId="77777777" w:rsidR="007B03F7" w:rsidRPr="001A2112" w:rsidRDefault="007B03F7">
            <w:pPr>
              <w:pStyle w:val="TableText0"/>
              <w:jc w:val="center"/>
              <w:rPr>
                <w:b/>
                <w:bCs w:val="0"/>
              </w:rPr>
            </w:pPr>
            <w:r w:rsidRPr="001A2112">
              <w:rPr>
                <w:b/>
                <w:bCs w:val="0"/>
              </w:rPr>
              <w:t>Chemoimmunotherapy</w:t>
            </w:r>
          </w:p>
          <w:p w14:paraId="61B2B100" w14:textId="77777777" w:rsidR="007B03F7" w:rsidRPr="001A2112" w:rsidRDefault="007B03F7">
            <w:pPr>
              <w:pStyle w:val="TableText0"/>
              <w:jc w:val="center"/>
              <w:rPr>
                <w:b/>
                <w:bCs w:val="0"/>
              </w:rPr>
            </w:pPr>
            <w:r w:rsidRPr="001A2112">
              <w:rPr>
                <w:b/>
                <w:bCs w:val="0"/>
              </w:rPr>
              <w:t>(CORAL extension studies)</w:t>
            </w:r>
          </w:p>
          <w:p w14:paraId="1F3D2C50" w14:textId="77777777" w:rsidR="007B03F7" w:rsidRPr="001A2112" w:rsidRDefault="007B03F7">
            <w:pPr>
              <w:pStyle w:val="TableText0"/>
              <w:jc w:val="center"/>
              <w:rPr>
                <w:b/>
                <w:bCs w:val="0"/>
              </w:rPr>
            </w:pPr>
            <w:r w:rsidRPr="001A2112">
              <w:rPr>
                <w:b/>
                <w:bCs w:val="0"/>
              </w:rPr>
              <w:t>n/N (%)</w:t>
            </w:r>
          </w:p>
        </w:tc>
        <w:tc>
          <w:tcPr>
            <w:tcW w:w="708" w:type="pct"/>
            <w:vAlign w:val="center"/>
          </w:tcPr>
          <w:p w14:paraId="08D9AE57" w14:textId="77777777" w:rsidR="007B03F7" w:rsidRPr="001A2112" w:rsidRDefault="007B03F7">
            <w:pPr>
              <w:pStyle w:val="TableText0"/>
              <w:jc w:val="center"/>
              <w:rPr>
                <w:b/>
                <w:bCs w:val="0"/>
              </w:rPr>
            </w:pPr>
            <w:r w:rsidRPr="001A2112">
              <w:rPr>
                <w:b/>
                <w:bCs w:val="0"/>
              </w:rPr>
              <w:t>Absolute difference (%)</w:t>
            </w:r>
          </w:p>
        </w:tc>
        <w:tc>
          <w:tcPr>
            <w:tcW w:w="1228" w:type="pct"/>
            <w:vAlign w:val="center"/>
          </w:tcPr>
          <w:p w14:paraId="2201F8B4" w14:textId="77777777" w:rsidR="007B03F7" w:rsidRPr="001A2112" w:rsidRDefault="007B03F7">
            <w:pPr>
              <w:pStyle w:val="TableText0"/>
              <w:jc w:val="center"/>
              <w:rPr>
                <w:b/>
                <w:bCs w:val="0"/>
              </w:rPr>
            </w:pPr>
            <w:r w:rsidRPr="001A2112">
              <w:rPr>
                <w:b/>
                <w:bCs w:val="0"/>
              </w:rPr>
              <w:t>Loncastuximab tesirine vs chemoimmunotherapy</w:t>
            </w:r>
          </w:p>
          <w:p w14:paraId="40AED49A" w14:textId="77777777" w:rsidR="007B03F7" w:rsidRPr="001A2112" w:rsidRDefault="007B03F7">
            <w:pPr>
              <w:pStyle w:val="TableText0"/>
              <w:jc w:val="center"/>
              <w:rPr>
                <w:b/>
                <w:bCs w:val="0"/>
              </w:rPr>
            </w:pPr>
            <w:r w:rsidRPr="001A2112">
              <w:rPr>
                <w:b/>
                <w:bCs w:val="0"/>
              </w:rPr>
              <w:t>Odds ratio (95% CI)</w:t>
            </w:r>
          </w:p>
        </w:tc>
      </w:tr>
      <w:tr w:rsidR="007B03F7" w:rsidRPr="001A2112" w14:paraId="2A54CBCB" w14:textId="77777777">
        <w:tc>
          <w:tcPr>
            <w:tcW w:w="941" w:type="pct"/>
            <w:vAlign w:val="center"/>
          </w:tcPr>
          <w:p w14:paraId="53C9E238" w14:textId="77777777" w:rsidR="007B03F7" w:rsidRPr="001A2112" w:rsidRDefault="007B03F7">
            <w:pPr>
              <w:pStyle w:val="TableText0"/>
            </w:pPr>
            <w:r w:rsidRPr="001A2112">
              <w:t>Unadjusted</w:t>
            </w:r>
          </w:p>
        </w:tc>
        <w:tc>
          <w:tcPr>
            <w:tcW w:w="1101" w:type="pct"/>
            <w:vAlign w:val="center"/>
          </w:tcPr>
          <w:p w14:paraId="02F84E85" w14:textId="77777777" w:rsidR="007B03F7" w:rsidRPr="001A2112" w:rsidRDefault="007B03F7">
            <w:pPr>
              <w:pStyle w:val="TableText0"/>
              <w:jc w:val="center"/>
              <w:rPr>
                <w:b/>
              </w:rPr>
            </w:pPr>
            <w:r w:rsidRPr="001A2112">
              <w:t>41/80 (51.3)</w:t>
            </w:r>
          </w:p>
        </w:tc>
        <w:tc>
          <w:tcPr>
            <w:tcW w:w="1022" w:type="pct"/>
            <w:vAlign w:val="center"/>
          </w:tcPr>
          <w:p w14:paraId="0AE9056F" w14:textId="77777777" w:rsidR="007B03F7" w:rsidRPr="001A2112" w:rsidRDefault="007B03F7">
            <w:pPr>
              <w:pStyle w:val="TableText0"/>
              <w:jc w:val="center"/>
              <w:rPr>
                <w:b/>
              </w:rPr>
            </w:pPr>
            <w:r w:rsidRPr="001A2112">
              <w:t>110/278 (39.6)</w:t>
            </w:r>
          </w:p>
        </w:tc>
        <w:tc>
          <w:tcPr>
            <w:tcW w:w="708" w:type="pct"/>
            <w:vAlign w:val="center"/>
          </w:tcPr>
          <w:p w14:paraId="288220E2" w14:textId="77777777" w:rsidR="007B03F7" w:rsidRPr="001A2112" w:rsidRDefault="007B03F7">
            <w:pPr>
              <w:pStyle w:val="TableText0"/>
              <w:jc w:val="center"/>
            </w:pPr>
            <w:r w:rsidRPr="001A2112">
              <w:t>11.7</w:t>
            </w:r>
          </w:p>
        </w:tc>
        <w:tc>
          <w:tcPr>
            <w:tcW w:w="1228" w:type="pct"/>
            <w:vAlign w:val="center"/>
          </w:tcPr>
          <w:p w14:paraId="2334595B" w14:textId="77777777" w:rsidR="007B03F7" w:rsidRPr="001A2112" w:rsidRDefault="007B03F7">
            <w:pPr>
              <w:pStyle w:val="TableText0"/>
              <w:jc w:val="center"/>
              <w:rPr>
                <w:b/>
              </w:rPr>
            </w:pPr>
            <w:r w:rsidRPr="001A2112">
              <w:t>1.51 (0.91, 2.50)</w:t>
            </w:r>
          </w:p>
        </w:tc>
      </w:tr>
      <w:tr w:rsidR="007B03F7" w:rsidRPr="001A2112" w14:paraId="5E07CB55" w14:textId="77777777">
        <w:tc>
          <w:tcPr>
            <w:tcW w:w="941" w:type="pct"/>
            <w:vAlign w:val="center"/>
          </w:tcPr>
          <w:p w14:paraId="121AF0C5" w14:textId="77777777" w:rsidR="007B03F7" w:rsidRPr="001A2112" w:rsidRDefault="007B03F7">
            <w:pPr>
              <w:pStyle w:val="TableText0"/>
            </w:pPr>
            <w:r w:rsidRPr="001A2112">
              <w:t xml:space="preserve">Adjusted, weighted GLM </w:t>
            </w:r>
            <w:proofErr w:type="spellStart"/>
            <w:r w:rsidRPr="001A2112">
              <w:t>model</w:t>
            </w:r>
            <w:r w:rsidRPr="001A2112">
              <w:rPr>
                <w:vertAlign w:val="superscript"/>
              </w:rPr>
              <w:t>b</w:t>
            </w:r>
            <w:proofErr w:type="spellEnd"/>
          </w:p>
        </w:tc>
        <w:tc>
          <w:tcPr>
            <w:tcW w:w="1101" w:type="pct"/>
            <w:vAlign w:val="center"/>
          </w:tcPr>
          <w:p w14:paraId="2E93725F" w14:textId="77777777" w:rsidR="007B03F7" w:rsidRPr="001A2112" w:rsidRDefault="007B03F7">
            <w:pPr>
              <w:pStyle w:val="TableText0"/>
              <w:jc w:val="center"/>
              <w:rPr>
                <w:b/>
              </w:rPr>
            </w:pPr>
            <w:r w:rsidRPr="001A2112">
              <w:t>40.7/79.1 (51.5)</w:t>
            </w:r>
          </w:p>
        </w:tc>
        <w:tc>
          <w:tcPr>
            <w:tcW w:w="1022" w:type="pct"/>
            <w:vAlign w:val="center"/>
          </w:tcPr>
          <w:p w14:paraId="69977C91" w14:textId="77777777" w:rsidR="007B03F7" w:rsidRPr="001A2112" w:rsidRDefault="007B03F7">
            <w:pPr>
              <w:pStyle w:val="TableText0"/>
              <w:jc w:val="center"/>
              <w:rPr>
                <w:b/>
              </w:rPr>
            </w:pPr>
            <w:r w:rsidRPr="001A2112">
              <w:t>110/278 (39.6)</w:t>
            </w:r>
          </w:p>
        </w:tc>
        <w:tc>
          <w:tcPr>
            <w:tcW w:w="708" w:type="pct"/>
            <w:vAlign w:val="center"/>
          </w:tcPr>
          <w:p w14:paraId="7392A4E5" w14:textId="77777777" w:rsidR="007B03F7" w:rsidRPr="001A2112" w:rsidRDefault="007B03F7">
            <w:pPr>
              <w:pStyle w:val="TableText0"/>
              <w:jc w:val="center"/>
            </w:pPr>
            <w:r w:rsidRPr="001A2112">
              <w:t>11.9</w:t>
            </w:r>
          </w:p>
        </w:tc>
        <w:tc>
          <w:tcPr>
            <w:tcW w:w="1228" w:type="pct"/>
            <w:vAlign w:val="center"/>
          </w:tcPr>
          <w:p w14:paraId="5BCCE205" w14:textId="77777777" w:rsidR="007B03F7" w:rsidRPr="001A2112" w:rsidRDefault="007B03F7">
            <w:pPr>
              <w:pStyle w:val="TableText0"/>
              <w:jc w:val="center"/>
              <w:rPr>
                <w:b/>
              </w:rPr>
            </w:pPr>
            <w:r w:rsidRPr="001A2112">
              <w:t>1.53 (0.92, 2.53)</w:t>
            </w:r>
          </w:p>
        </w:tc>
      </w:tr>
      <w:tr w:rsidR="007B03F7" w:rsidRPr="001A2112" w14:paraId="43BD94AA" w14:textId="77777777">
        <w:tc>
          <w:tcPr>
            <w:tcW w:w="941" w:type="pct"/>
            <w:vAlign w:val="center"/>
          </w:tcPr>
          <w:p w14:paraId="6C105CD5" w14:textId="77777777" w:rsidR="007B03F7" w:rsidRPr="001A2112" w:rsidRDefault="007B03F7">
            <w:pPr>
              <w:pStyle w:val="TableText0"/>
            </w:pPr>
            <w:r w:rsidRPr="001A2112">
              <w:t>Adjusted, weighted sandwich estimator</w:t>
            </w:r>
          </w:p>
        </w:tc>
        <w:tc>
          <w:tcPr>
            <w:tcW w:w="1101" w:type="pct"/>
            <w:vAlign w:val="center"/>
          </w:tcPr>
          <w:p w14:paraId="4AC6593B" w14:textId="77777777" w:rsidR="007B03F7" w:rsidRPr="001A2112" w:rsidRDefault="007B03F7">
            <w:pPr>
              <w:pStyle w:val="TableText0"/>
              <w:jc w:val="center"/>
              <w:rPr>
                <w:b/>
              </w:rPr>
            </w:pPr>
            <w:r w:rsidRPr="001A2112">
              <w:t>40.7/79.1 (51.5)</w:t>
            </w:r>
          </w:p>
        </w:tc>
        <w:tc>
          <w:tcPr>
            <w:tcW w:w="1022" w:type="pct"/>
            <w:vAlign w:val="center"/>
          </w:tcPr>
          <w:p w14:paraId="3659FE08" w14:textId="77777777" w:rsidR="007B03F7" w:rsidRPr="001A2112" w:rsidRDefault="007B03F7">
            <w:pPr>
              <w:pStyle w:val="TableText0"/>
              <w:jc w:val="center"/>
              <w:rPr>
                <w:b/>
              </w:rPr>
            </w:pPr>
            <w:r w:rsidRPr="001A2112">
              <w:t>110/278 (39.6)</w:t>
            </w:r>
          </w:p>
        </w:tc>
        <w:tc>
          <w:tcPr>
            <w:tcW w:w="708" w:type="pct"/>
            <w:vAlign w:val="center"/>
          </w:tcPr>
          <w:p w14:paraId="35734B54" w14:textId="77777777" w:rsidR="007B03F7" w:rsidRPr="001A2112" w:rsidRDefault="007B03F7">
            <w:pPr>
              <w:pStyle w:val="TableText0"/>
              <w:jc w:val="center"/>
            </w:pPr>
            <w:r w:rsidRPr="001A2112">
              <w:t>11.9</w:t>
            </w:r>
          </w:p>
        </w:tc>
        <w:tc>
          <w:tcPr>
            <w:tcW w:w="1228" w:type="pct"/>
            <w:vAlign w:val="center"/>
          </w:tcPr>
          <w:p w14:paraId="231DA7DD" w14:textId="77777777" w:rsidR="007B03F7" w:rsidRPr="001A2112" w:rsidRDefault="007B03F7">
            <w:pPr>
              <w:pStyle w:val="TableText0"/>
              <w:jc w:val="center"/>
              <w:rPr>
                <w:b/>
              </w:rPr>
            </w:pPr>
            <w:r w:rsidRPr="001A2112">
              <w:t>1.53 (0.91, 2.54)</w:t>
            </w:r>
          </w:p>
        </w:tc>
      </w:tr>
    </w:tbl>
    <w:p w14:paraId="38F26C1A" w14:textId="77777777" w:rsidR="007B03F7" w:rsidRPr="001A2112" w:rsidRDefault="007B03F7" w:rsidP="007B03F7">
      <w:pPr>
        <w:pStyle w:val="TableFigureFooter"/>
      </w:pPr>
      <w:r w:rsidRPr="001A2112">
        <w:t>Source: Table 2-31, p94 of the submission.</w:t>
      </w:r>
    </w:p>
    <w:p w14:paraId="4729F417" w14:textId="77777777" w:rsidR="007B03F7" w:rsidRPr="001A2112" w:rsidRDefault="007B03F7" w:rsidP="007B03F7">
      <w:pPr>
        <w:pStyle w:val="TableFigureFooter"/>
      </w:pPr>
      <w:r w:rsidRPr="001A2112">
        <w:t>CI = confidence interval; n = number of participants with event; N = number at risk; GLM = generalised linear model; RD = risk difference; RR = relative risk; vs = versus.</w:t>
      </w:r>
    </w:p>
    <w:p w14:paraId="2F85FD9C" w14:textId="77777777" w:rsidR="007B03F7" w:rsidRPr="001A2112" w:rsidRDefault="007B03F7" w:rsidP="007B03F7">
      <w:pPr>
        <w:pStyle w:val="TableFigureFooter"/>
      </w:pPr>
      <w:r w:rsidRPr="001A2112">
        <w:rPr>
          <w:vertAlign w:val="superscript"/>
        </w:rPr>
        <w:t>a</w:t>
      </w:r>
      <w:r w:rsidRPr="001A2112">
        <w:tab/>
        <w:t>ORR was assessed using the 1999 International Working Group response criteria in the pooled CORAL extension studies, and the 2014 Lugano Classification in the LOTIS-2 trial</w:t>
      </w:r>
    </w:p>
    <w:p w14:paraId="425F08B0" w14:textId="77777777" w:rsidR="007B03F7" w:rsidRPr="001A2112" w:rsidRDefault="007B03F7" w:rsidP="007B03F7">
      <w:pPr>
        <w:pStyle w:val="TableFigureFooter"/>
      </w:pPr>
      <w:r w:rsidRPr="001A2112">
        <w:rPr>
          <w:vertAlign w:val="superscript"/>
        </w:rPr>
        <w:t>b</w:t>
      </w:r>
      <w:r w:rsidRPr="001A2112">
        <w:tab/>
        <w:t>Logistic regression</w:t>
      </w:r>
    </w:p>
    <w:p w14:paraId="52DD188F" w14:textId="77777777" w:rsidR="007B03F7" w:rsidRPr="001A2112" w:rsidRDefault="007B03F7" w:rsidP="007B03F7">
      <w:pPr>
        <w:pStyle w:val="3-BodyText"/>
        <w:numPr>
          <w:ilvl w:val="1"/>
          <w:numId w:val="1"/>
        </w:numPr>
      </w:pPr>
      <w:r w:rsidRPr="001A2112">
        <w:t xml:space="preserve">Based on the unanchored MAIC, more patients treated with loncastuximab tesirine achieved an objective response than patients treated with chemoimmunotherapy (51.5% versus 39.6%). While the point estimates of the odds ratios favoured loncastuximab tesirine, the results did not reach statistical significance in any of the </w:t>
      </w:r>
      <w:r w:rsidRPr="001A2112">
        <w:lastRenderedPageBreak/>
        <w:t>analyses and confidence intervals were wide. Differences in the assessment of response between the studies may have impacted on the results; however, the direction of any impact remains unknown.</w:t>
      </w:r>
    </w:p>
    <w:p w14:paraId="070410E0" w14:textId="351EFAC7" w:rsidR="007B03F7" w:rsidRPr="001A2112" w:rsidRDefault="007B03F7" w:rsidP="007B03F7">
      <w:pPr>
        <w:pStyle w:val="3-BodyText"/>
        <w:numPr>
          <w:ilvl w:val="1"/>
          <w:numId w:val="1"/>
        </w:numPr>
      </w:pPr>
      <w:r w:rsidRPr="001A2112">
        <w:fldChar w:fldCharType="begin"/>
      </w:r>
      <w:r w:rsidRPr="001A2112">
        <w:instrText xml:space="preserve"> REF _Ref218786214 \h  \* MERGEFORMAT </w:instrText>
      </w:r>
      <w:r w:rsidRPr="001A2112">
        <w:fldChar w:fldCharType="separate"/>
      </w:r>
      <w:r w:rsidR="007D33FD" w:rsidRPr="001A2112">
        <w:t>Table 9</w:t>
      </w:r>
      <w:r w:rsidRPr="001A2112">
        <w:fldChar w:fldCharType="end"/>
      </w:r>
      <w:r w:rsidRPr="001A2112">
        <w:t xml:space="preserve"> presents the results of the MAIC and unadjusted results for OS.</w:t>
      </w:r>
    </w:p>
    <w:p w14:paraId="42081C92" w14:textId="77777777" w:rsidR="007B03F7" w:rsidRPr="001A2112" w:rsidRDefault="007B03F7" w:rsidP="007B03F7">
      <w:pPr>
        <w:pStyle w:val="3-BodyText"/>
        <w:numPr>
          <w:ilvl w:val="0"/>
          <w:numId w:val="0"/>
        </w:numPr>
        <w:ind w:left="720"/>
      </w:pPr>
    </w:p>
    <w:p w14:paraId="4C3CD38C" w14:textId="4726D833" w:rsidR="007B03F7" w:rsidRPr="001A2112" w:rsidRDefault="007B03F7" w:rsidP="007B03F7">
      <w:pPr>
        <w:pStyle w:val="Caption"/>
      </w:pPr>
      <w:bookmarkStart w:id="40" w:name="_Ref218786214"/>
      <w:r w:rsidRPr="001A2112">
        <w:t xml:space="preserve">Table </w:t>
      </w:r>
      <w:r w:rsidRPr="001A2112">
        <w:fldChar w:fldCharType="begin"/>
      </w:r>
      <w:r w:rsidRPr="001A2112">
        <w:instrText>SEQ Table \* ARABIC</w:instrText>
      </w:r>
      <w:r w:rsidRPr="001A2112">
        <w:fldChar w:fldCharType="separate"/>
      </w:r>
      <w:r w:rsidR="007D33FD" w:rsidRPr="001A2112">
        <w:rPr>
          <w:noProof/>
        </w:rPr>
        <w:t>9</w:t>
      </w:r>
      <w:r w:rsidRPr="001A2112">
        <w:fldChar w:fldCharType="end"/>
      </w:r>
      <w:bookmarkEnd w:id="40"/>
      <w:r w:rsidRPr="001A2112">
        <w:t>: Results of the indirect comparison of overall survival (adjusted and unadjusted)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Results of the indirect comparison of overall survival (adjusted and unadjusted)"/>
      </w:tblPr>
      <w:tblGrid>
        <w:gridCol w:w="1161"/>
        <w:gridCol w:w="990"/>
        <w:gridCol w:w="1325"/>
        <w:gridCol w:w="1197"/>
        <w:gridCol w:w="1419"/>
        <w:gridCol w:w="905"/>
        <w:gridCol w:w="2020"/>
      </w:tblGrid>
      <w:tr w:rsidR="007B03F7" w:rsidRPr="001A2112" w14:paraId="2828B098" w14:textId="77777777">
        <w:trPr>
          <w:cantSplit/>
          <w:trHeight w:val="494"/>
          <w:tblHeader/>
        </w:trPr>
        <w:tc>
          <w:tcPr>
            <w:tcW w:w="643" w:type="pct"/>
            <w:vMerge w:val="restart"/>
            <w:vAlign w:val="center"/>
          </w:tcPr>
          <w:p w14:paraId="548C78C6" w14:textId="77777777" w:rsidR="007B03F7" w:rsidRPr="001A2112" w:rsidRDefault="007B03F7">
            <w:pPr>
              <w:pStyle w:val="In-tableHeading"/>
              <w:rPr>
                <w:szCs w:val="20"/>
                <w:lang w:val="en-AU"/>
              </w:rPr>
            </w:pPr>
            <w:r w:rsidRPr="001A2112">
              <w:rPr>
                <w:szCs w:val="20"/>
                <w:lang w:val="en-AU"/>
              </w:rPr>
              <w:t>OS Analysis</w:t>
            </w:r>
          </w:p>
        </w:tc>
        <w:tc>
          <w:tcPr>
            <w:tcW w:w="1284" w:type="pct"/>
            <w:gridSpan w:val="2"/>
            <w:vAlign w:val="center"/>
          </w:tcPr>
          <w:p w14:paraId="2C0238BF" w14:textId="77777777" w:rsidR="007B03F7" w:rsidRPr="001A2112" w:rsidRDefault="007B03F7">
            <w:pPr>
              <w:pStyle w:val="In-tableHeading"/>
              <w:jc w:val="center"/>
              <w:rPr>
                <w:szCs w:val="20"/>
                <w:lang w:val="en-AU"/>
              </w:rPr>
            </w:pPr>
            <w:r w:rsidRPr="001A2112">
              <w:rPr>
                <w:szCs w:val="20"/>
              </w:rPr>
              <w:t>Loncastuximab tesirine</w:t>
            </w:r>
          </w:p>
        </w:tc>
        <w:tc>
          <w:tcPr>
            <w:tcW w:w="1451" w:type="pct"/>
            <w:gridSpan w:val="2"/>
            <w:vAlign w:val="center"/>
          </w:tcPr>
          <w:p w14:paraId="6C47B1AE" w14:textId="77777777" w:rsidR="007B03F7" w:rsidRPr="001A2112" w:rsidRDefault="007B03F7">
            <w:pPr>
              <w:pStyle w:val="In-tableHeading"/>
              <w:jc w:val="center"/>
              <w:rPr>
                <w:szCs w:val="20"/>
                <w:lang w:val="en-AU"/>
              </w:rPr>
            </w:pPr>
            <w:r w:rsidRPr="001A2112">
              <w:rPr>
                <w:szCs w:val="20"/>
              </w:rPr>
              <w:t>Chemoimmunotherapy</w:t>
            </w:r>
          </w:p>
        </w:tc>
        <w:tc>
          <w:tcPr>
            <w:tcW w:w="502" w:type="pct"/>
            <w:vMerge w:val="restart"/>
            <w:vAlign w:val="center"/>
          </w:tcPr>
          <w:p w14:paraId="15784631" w14:textId="77777777" w:rsidR="007B03F7" w:rsidRPr="001A2112" w:rsidRDefault="007B03F7">
            <w:pPr>
              <w:pStyle w:val="In-tableHeading"/>
              <w:jc w:val="center"/>
              <w:rPr>
                <w:szCs w:val="20"/>
                <w:lang w:val="en-AU"/>
              </w:rPr>
            </w:pPr>
            <w:r w:rsidRPr="001A2112">
              <w:rPr>
                <w:szCs w:val="20"/>
                <w:lang w:val="en-AU"/>
              </w:rPr>
              <w:t>Difference in median, months</w:t>
            </w:r>
          </w:p>
        </w:tc>
        <w:tc>
          <w:tcPr>
            <w:tcW w:w="1120" w:type="pct"/>
            <w:vMerge w:val="restart"/>
            <w:vAlign w:val="center"/>
          </w:tcPr>
          <w:p w14:paraId="42298185" w14:textId="77777777" w:rsidR="007B03F7" w:rsidRPr="001A2112" w:rsidRDefault="007B03F7">
            <w:pPr>
              <w:spacing w:before="40" w:after="40"/>
              <w:ind w:left="102" w:right="102"/>
              <w:jc w:val="center"/>
              <w:rPr>
                <w:rFonts w:ascii="Arial Narrow" w:eastAsia="Arial" w:hAnsi="Arial Narrow"/>
                <w:b/>
                <w:color w:val="111111"/>
                <w:sz w:val="20"/>
                <w:szCs w:val="20"/>
              </w:rPr>
            </w:pPr>
            <w:r w:rsidRPr="001A2112">
              <w:rPr>
                <w:rFonts w:ascii="Arial Narrow" w:eastAsia="Arial" w:hAnsi="Arial Narrow"/>
                <w:b/>
                <w:color w:val="111111"/>
                <w:sz w:val="20"/>
                <w:szCs w:val="20"/>
              </w:rPr>
              <w:t>Loncastuximab tesirine vs chemoimmunotherapy</w:t>
            </w:r>
          </w:p>
          <w:p w14:paraId="4D5A9C3D" w14:textId="77777777" w:rsidR="007B03F7" w:rsidRPr="001A2112" w:rsidRDefault="007B03F7">
            <w:pPr>
              <w:pStyle w:val="In-tableHeading"/>
              <w:jc w:val="center"/>
              <w:rPr>
                <w:szCs w:val="20"/>
                <w:lang w:val="en-AU"/>
              </w:rPr>
            </w:pPr>
            <w:r w:rsidRPr="001A2112">
              <w:rPr>
                <w:rFonts w:eastAsia="Arial" w:cs="Arial"/>
                <w:color w:val="111111"/>
                <w:szCs w:val="20"/>
              </w:rPr>
              <w:t>HR (95% CI)</w:t>
            </w:r>
          </w:p>
        </w:tc>
      </w:tr>
      <w:tr w:rsidR="007B03F7" w:rsidRPr="001A2112" w14:paraId="78FCACA1" w14:textId="77777777">
        <w:trPr>
          <w:cantSplit/>
        </w:trPr>
        <w:tc>
          <w:tcPr>
            <w:tcW w:w="643" w:type="pct"/>
            <w:vMerge/>
            <w:vAlign w:val="center"/>
          </w:tcPr>
          <w:p w14:paraId="3C0B884B" w14:textId="77777777" w:rsidR="007B03F7" w:rsidRPr="001A2112" w:rsidRDefault="007B03F7">
            <w:pPr>
              <w:pStyle w:val="TableText0"/>
              <w:rPr>
                <w:szCs w:val="20"/>
              </w:rPr>
            </w:pPr>
          </w:p>
        </w:tc>
        <w:tc>
          <w:tcPr>
            <w:tcW w:w="549" w:type="pct"/>
            <w:vAlign w:val="center"/>
          </w:tcPr>
          <w:p w14:paraId="21786D41" w14:textId="77777777" w:rsidR="007B03F7" w:rsidRPr="001A2112" w:rsidRDefault="007B03F7">
            <w:pPr>
              <w:pStyle w:val="TableText0"/>
              <w:jc w:val="center"/>
              <w:rPr>
                <w:szCs w:val="20"/>
              </w:rPr>
            </w:pPr>
            <w:r w:rsidRPr="001A2112">
              <w:rPr>
                <w:szCs w:val="20"/>
              </w:rPr>
              <w:t>n with event / N/ESS (%)</w:t>
            </w:r>
          </w:p>
        </w:tc>
        <w:tc>
          <w:tcPr>
            <w:tcW w:w="735" w:type="pct"/>
            <w:vAlign w:val="center"/>
          </w:tcPr>
          <w:p w14:paraId="24041F72" w14:textId="77777777" w:rsidR="007B03F7" w:rsidRPr="001A2112" w:rsidRDefault="007B03F7">
            <w:pPr>
              <w:pStyle w:val="TableText0"/>
              <w:jc w:val="center"/>
              <w:rPr>
                <w:szCs w:val="20"/>
              </w:rPr>
            </w:pPr>
            <w:r w:rsidRPr="001A2112">
              <w:rPr>
                <w:szCs w:val="20"/>
              </w:rPr>
              <w:t>Median (95% CI)</w:t>
            </w:r>
          </w:p>
        </w:tc>
        <w:tc>
          <w:tcPr>
            <w:tcW w:w="664" w:type="pct"/>
            <w:vAlign w:val="center"/>
          </w:tcPr>
          <w:p w14:paraId="4D37212B" w14:textId="77777777" w:rsidR="007B03F7" w:rsidRPr="001A2112" w:rsidRDefault="007B03F7">
            <w:pPr>
              <w:pStyle w:val="TableText0"/>
              <w:jc w:val="center"/>
              <w:rPr>
                <w:szCs w:val="20"/>
              </w:rPr>
            </w:pPr>
            <w:r w:rsidRPr="001A2112">
              <w:rPr>
                <w:szCs w:val="20"/>
              </w:rPr>
              <w:t>n with event / N (%)</w:t>
            </w:r>
          </w:p>
        </w:tc>
        <w:tc>
          <w:tcPr>
            <w:tcW w:w="787" w:type="pct"/>
            <w:vAlign w:val="center"/>
          </w:tcPr>
          <w:p w14:paraId="570056C5" w14:textId="77777777" w:rsidR="007B03F7" w:rsidRPr="001A2112" w:rsidRDefault="007B03F7">
            <w:pPr>
              <w:pStyle w:val="TableText0"/>
              <w:jc w:val="center"/>
              <w:rPr>
                <w:szCs w:val="20"/>
              </w:rPr>
            </w:pPr>
            <w:r w:rsidRPr="001A2112">
              <w:rPr>
                <w:szCs w:val="20"/>
              </w:rPr>
              <w:t>Median (95% CI)</w:t>
            </w:r>
          </w:p>
        </w:tc>
        <w:tc>
          <w:tcPr>
            <w:tcW w:w="502" w:type="pct"/>
            <w:vMerge/>
            <w:vAlign w:val="center"/>
          </w:tcPr>
          <w:p w14:paraId="430DAFD7" w14:textId="77777777" w:rsidR="007B03F7" w:rsidRPr="001A2112" w:rsidRDefault="007B03F7">
            <w:pPr>
              <w:pStyle w:val="TableText0"/>
              <w:jc w:val="center"/>
              <w:rPr>
                <w:szCs w:val="20"/>
              </w:rPr>
            </w:pPr>
          </w:p>
        </w:tc>
        <w:tc>
          <w:tcPr>
            <w:tcW w:w="1120" w:type="pct"/>
            <w:vMerge/>
            <w:vAlign w:val="center"/>
          </w:tcPr>
          <w:p w14:paraId="7F1F90A3" w14:textId="77777777" w:rsidR="007B03F7" w:rsidRPr="001A2112" w:rsidRDefault="007B03F7">
            <w:pPr>
              <w:pStyle w:val="TableText0"/>
              <w:jc w:val="center"/>
              <w:rPr>
                <w:szCs w:val="20"/>
              </w:rPr>
            </w:pPr>
          </w:p>
        </w:tc>
      </w:tr>
      <w:tr w:rsidR="007B03F7" w:rsidRPr="001A2112" w14:paraId="08DE8716" w14:textId="77777777">
        <w:trPr>
          <w:cantSplit/>
        </w:trPr>
        <w:tc>
          <w:tcPr>
            <w:tcW w:w="643" w:type="pct"/>
            <w:vAlign w:val="center"/>
          </w:tcPr>
          <w:p w14:paraId="1077A097" w14:textId="77777777" w:rsidR="007B03F7" w:rsidRPr="001A2112" w:rsidRDefault="007B03F7">
            <w:pPr>
              <w:pStyle w:val="TableText0"/>
              <w:rPr>
                <w:szCs w:val="20"/>
              </w:rPr>
            </w:pPr>
            <w:r w:rsidRPr="001A2112">
              <w:rPr>
                <w:szCs w:val="20"/>
              </w:rPr>
              <w:t>Naïve unadjusted (LOTIS-2)</w:t>
            </w:r>
          </w:p>
        </w:tc>
        <w:tc>
          <w:tcPr>
            <w:tcW w:w="549" w:type="pct"/>
            <w:vAlign w:val="center"/>
          </w:tcPr>
          <w:p w14:paraId="58587D52" w14:textId="77777777" w:rsidR="007B03F7" w:rsidRPr="001A2112" w:rsidRDefault="007B03F7">
            <w:pPr>
              <w:pStyle w:val="TableText0"/>
              <w:jc w:val="center"/>
              <w:rPr>
                <w:szCs w:val="20"/>
              </w:rPr>
            </w:pPr>
            <w:r w:rsidRPr="001A2112">
              <w:rPr>
                <w:szCs w:val="20"/>
              </w:rPr>
              <w:t>54/80 (67.5)</w:t>
            </w:r>
          </w:p>
        </w:tc>
        <w:tc>
          <w:tcPr>
            <w:tcW w:w="735" w:type="pct"/>
            <w:vAlign w:val="center"/>
          </w:tcPr>
          <w:p w14:paraId="55CCA308" w14:textId="77777777" w:rsidR="007B03F7" w:rsidRPr="001A2112" w:rsidRDefault="007B03F7">
            <w:pPr>
              <w:pStyle w:val="TableText0"/>
              <w:jc w:val="center"/>
              <w:rPr>
                <w:szCs w:val="20"/>
              </w:rPr>
            </w:pPr>
            <w:r w:rsidRPr="001A2112">
              <w:rPr>
                <w:szCs w:val="20"/>
              </w:rPr>
              <w:t>10.12 (6.14, 12.09)</w:t>
            </w:r>
          </w:p>
        </w:tc>
        <w:tc>
          <w:tcPr>
            <w:tcW w:w="664" w:type="pct"/>
            <w:vAlign w:val="center"/>
          </w:tcPr>
          <w:p w14:paraId="2697477E" w14:textId="77777777" w:rsidR="007B03F7" w:rsidRPr="001A2112" w:rsidRDefault="007B03F7">
            <w:pPr>
              <w:pStyle w:val="TableText0"/>
              <w:jc w:val="center"/>
              <w:rPr>
                <w:szCs w:val="20"/>
              </w:rPr>
            </w:pPr>
            <w:r w:rsidRPr="001A2112">
              <w:rPr>
                <w:szCs w:val="20"/>
              </w:rPr>
              <w:t>201/266 (75.6)</w:t>
            </w:r>
          </w:p>
        </w:tc>
        <w:tc>
          <w:tcPr>
            <w:tcW w:w="787" w:type="pct"/>
            <w:vAlign w:val="center"/>
          </w:tcPr>
          <w:p w14:paraId="149E8198" w14:textId="77777777" w:rsidR="007B03F7" w:rsidRPr="001A2112" w:rsidRDefault="007B03F7">
            <w:pPr>
              <w:pStyle w:val="TableText0"/>
              <w:jc w:val="center"/>
              <w:rPr>
                <w:szCs w:val="20"/>
              </w:rPr>
            </w:pPr>
            <w:r w:rsidRPr="001A2112">
              <w:rPr>
                <w:szCs w:val="20"/>
              </w:rPr>
              <w:t>5.85 (4.80, 7.14)</w:t>
            </w:r>
          </w:p>
        </w:tc>
        <w:tc>
          <w:tcPr>
            <w:tcW w:w="502" w:type="pct"/>
            <w:vAlign w:val="center"/>
          </w:tcPr>
          <w:p w14:paraId="1FDE6F60" w14:textId="77777777" w:rsidR="007B03F7" w:rsidRPr="001A2112" w:rsidRDefault="007B03F7">
            <w:pPr>
              <w:pStyle w:val="TableText0"/>
              <w:jc w:val="center"/>
              <w:rPr>
                <w:szCs w:val="20"/>
              </w:rPr>
            </w:pPr>
            <w:r w:rsidRPr="001A2112">
              <w:rPr>
                <w:bCs w:val="0"/>
                <w:szCs w:val="20"/>
              </w:rPr>
              <w:t>4.27</w:t>
            </w:r>
          </w:p>
        </w:tc>
        <w:tc>
          <w:tcPr>
            <w:tcW w:w="1120" w:type="pct"/>
            <w:vAlign w:val="center"/>
          </w:tcPr>
          <w:p w14:paraId="33637078" w14:textId="77777777" w:rsidR="007B03F7" w:rsidRPr="001A2112" w:rsidRDefault="007B03F7">
            <w:pPr>
              <w:pStyle w:val="TableText0"/>
              <w:jc w:val="center"/>
              <w:rPr>
                <w:szCs w:val="20"/>
              </w:rPr>
            </w:pPr>
            <w:r w:rsidRPr="001A2112">
              <w:rPr>
                <w:b/>
                <w:szCs w:val="20"/>
              </w:rPr>
              <w:t>0.68 (0.50, 0.92)</w:t>
            </w:r>
          </w:p>
        </w:tc>
      </w:tr>
      <w:tr w:rsidR="007B03F7" w:rsidRPr="001A2112" w14:paraId="3CE7F656" w14:textId="77777777">
        <w:trPr>
          <w:cantSplit/>
        </w:trPr>
        <w:tc>
          <w:tcPr>
            <w:tcW w:w="643" w:type="pct"/>
            <w:vAlign w:val="center"/>
          </w:tcPr>
          <w:p w14:paraId="5BF10226" w14:textId="77777777" w:rsidR="007B03F7" w:rsidRPr="001A2112" w:rsidRDefault="007B03F7">
            <w:pPr>
              <w:pStyle w:val="TableText0"/>
              <w:rPr>
                <w:szCs w:val="20"/>
              </w:rPr>
            </w:pPr>
            <w:r w:rsidRPr="001A2112">
              <w:rPr>
                <w:szCs w:val="20"/>
              </w:rPr>
              <w:t>Weighted (LOTIS-2)</w:t>
            </w:r>
          </w:p>
        </w:tc>
        <w:tc>
          <w:tcPr>
            <w:tcW w:w="549" w:type="pct"/>
            <w:vAlign w:val="center"/>
          </w:tcPr>
          <w:p w14:paraId="47EC5D9F" w14:textId="77777777" w:rsidR="007B03F7" w:rsidRPr="001A2112" w:rsidRDefault="007B03F7">
            <w:pPr>
              <w:pStyle w:val="TableText0"/>
              <w:jc w:val="center"/>
              <w:rPr>
                <w:szCs w:val="20"/>
              </w:rPr>
            </w:pPr>
            <w:r w:rsidRPr="001A2112">
              <w:rPr>
                <w:szCs w:val="20"/>
              </w:rPr>
              <w:t>52/78.1 (66.6)</w:t>
            </w:r>
          </w:p>
        </w:tc>
        <w:tc>
          <w:tcPr>
            <w:tcW w:w="735" w:type="pct"/>
            <w:vAlign w:val="center"/>
          </w:tcPr>
          <w:p w14:paraId="51D0733A" w14:textId="77777777" w:rsidR="007B03F7" w:rsidRPr="001A2112" w:rsidRDefault="007B03F7">
            <w:pPr>
              <w:pStyle w:val="TableText0"/>
              <w:jc w:val="center"/>
              <w:rPr>
                <w:szCs w:val="20"/>
              </w:rPr>
            </w:pPr>
            <w:r w:rsidRPr="001A2112">
              <w:rPr>
                <w:szCs w:val="20"/>
              </w:rPr>
              <w:t>10.12 (6.34, 13.63)</w:t>
            </w:r>
          </w:p>
        </w:tc>
        <w:tc>
          <w:tcPr>
            <w:tcW w:w="664" w:type="pct"/>
            <w:vAlign w:val="center"/>
          </w:tcPr>
          <w:p w14:paraId="44E16970" w14:textId="77777777" w:rsidR="007B03F7" w:rsidRPr="001A2112" w:rsidRDefault="007B03F7">
            <w:pPr>
              <w:pStyle w:val="TableText0"/>
              <w:jc w:val="center"/>
              <w:rPr>
                <w:szCs w:val="20"/>
              </w:rPr>
            </w:pPr>
            <w:r w:rsidRPr="001A2112">
              <w:rPr>
                <w:szCs w:val="20"/>
              </w:rPr>
              <w:t>201/266 (75.6)</w:t>
            </w:r>
          </w:p>
        </w:tc>
        <w:tc>
          <w:tcPr>
            <w:tcW w:w="787" w:type="pct"/>
            <w:vAlign w:val="center"/>
          </w:tcPr>
          <w:p w14:paraId="1696C0B6" w14:textId="77777777" w:rsidR="007B03F7" w:rsidRPr="001A2112" w:rsidRDefault="007B03F7">
            <w:pPr>
              <w:pStyle w:val="TableText0"/>
              <w:jc w:val="center"/>
              <w:rPr>
                <w:szCs w:val="20"/>
              </w:rPr>
            </w:pPr>
            <w:r w:rsidRPr="001A2112">
              <w:rPr>
                <w:szCs w:val="20"/>
              </w:rPr>
              <w:t>5.85 (4.80, 7.14)</w:t>
            </w:r>
          </w:p>
        </w:tc>
        <w:tc>
          <w:tcPr>
            <w:tcW w:w="502" w:type="pct"/>
            <w:vAlign w:val="center"/>
          </w:tcPr>
          <w:p w14:paraId="306BC37C" w14:textId="77777777" w:rsidR="007B03F7" w:rsidRPr="001A2112" w:rsidRDefault="007B03F7">
            <w:pPr>
              <w:pStyle w:val="TableText0"/>
              <w:jc w:val="center"/>
              <w:rPr>
                <w:szCs w:val="20"/>
              </w:rPr>
            </w:pPr>
            <w:r w:rsidRPr="001A2112">
              <w:rPr>
                <w:rFonts w:eastAsia="Arial"/>
                <w:color w:val="000000"/>
                <w:szCs w:val="20"/>
              </w:rPr>
              <w:t>4.27</w:t>
            </w:r>
          </w:p>
        </w:tc>
        <w:tc>
          <w:tcPr>
            <w:tcW w:w="1120" w:type="pct"/>
            <w:vAlign w:val="center"/>
          </w:tcPr>
          <w:p w14:paraId="31373CD2" w14:textId="77777777" w:rsidR="007B03F7" w:rsidRPr="001A2112" w:rsidRDefault="007B03F7">
            <w:pPr>
              <w:pStyle w:val="Sourcetabletext"/>
              <w:rPr>
                <w:rFonts w:ascii="Arial Narrow" w:eastAsia="Arial" w:hAnsi="Arial Narrow"/>
                <w:color w:val="000000"/>
                <w:szCs w:val="20"/>
              </w:rPr>
            </w:pPr>
            <w:r w:rsidRPr="001A2112">
              <w:rPr>
                <w:rFonts w:ascii="Arial Narrow" w:eastAsia="Arial" w:hAnsi="Arial Narrow"/>
                <w:color w:val="000000"/>
                <w:szCs w:val="20"/>
              </w:rPr>
              <w:t xml:space="preserve">Standard: </w:t>
            </w:r>
            <w:r w:rsidRPr="001A2112">
              <w:rPr>
                <w:rFonts w:ascii="Arial Narrow" w:eastAsia="Arial" w:hAnsi="Arial Narrow"/>
                <w:b/>
                <w:bCs/>
                <w:color w:val="000000"/>
                <w:szCs w:val="20"/>
              </w:rPr>
              <w:t>0.66 (0.49, 0.88)</w:t>
            </w:r>
          </w:p>
          <w:p w14:paraId="2F2516C9" w14:textId="77777777" w:rsidR="007B03F7" w:rsidRPr="001A2112" w:rsidRDefault="007B03F7">
            <w:pPr>
              <w:pStyle w:val="TableText0"/>
              <w:jc w:val="center"/>
              <w:rPr>
                <w:szCs w:val="20"/>
              </w:rPr>
            </w:pPr>
            <w:r w:rsidRPr="001A2112">
              <w:rPr>
                <w:rFonts w:eastAsia="Arial"/>
                <w:color w:val="000000"/>
                <w:szCs w:val="20"/>
              </w:rPr>
              <w:t xml:space="preserve">Bootstrap: </w:t>
            </w:r>
            <w:r w:rsidRPr="001A2112">
              <w:rPr>
                <w:rFonts w:eastAsia="Arial"/>
                <w:b/>
                <w:color w:val="000000"/>
                <w:szCs w:val="20"/>
              </w:rPr>
              <w:t>0.66 (0.50, 0.85)</w:t>
            </w:r>
          </w:p>
        </w:tc>
      </w:tr>
    </w:tbl>
    <w:p w14:paraId="29E20880" w14:textId="6052A435" w:rsidR="007B03F7" w:rsidRPr="001A2112" w:rsidRDefault="007B03F7" w:rsidP="007B03F7">
      <w:pPr>
        <w:pStyle w:val="TableFigureFooter"/>
      </w:pPr>
      <w:r w:rsidRPr="001A2112">
        <w:rPr>
          <w:b/>
        </w:rPr>
        <w:t>Bold</w:t>
      </w:r>
      <w:r w:rsidRPr="001A2112">
        <w:t xml:space="preserve"> type indicates statistically significant result. </w:t>
      </w:r>
    </w:p>
    <w:p w14:paraId="5F6CE65F" w14:textId="77777777" w:rsidR="007B03F7" w:rsidRPr="001A2112" w:rsidRDefault="007B03F7" w:rsidP="007B03F7">
      <w:pPr>
        <w:pStyle w:val="TableFigureFooter"/>
      </w:pPr>
      <w:r w:rsidRPr="001A2112">
        <w:t>Source: Table 2-32, p96 of the submission.</w:t>
      </w:r>
    </w:p>
    <w:p w14:paraId="6FCEBC7A" w14:textId="77777777" w:rsidR="007B03F7" w:rsidRPr="001A2112" w:rsidRDefault="007B03F7" w:rsidP="007B03F7">
      <w:pPr>
        <w:pStyle w:val="TableFigureFooter"/>
      </w:pPr>
      <w:r w:rsidRPr="001A2112">
        <w:t>CI = confidence interval; ESS = effective sample size; HR = hazard ratio; n =number of participants with event; N = number of participants; OS = overall survival.</w:t>
      </w:r>
    </w:p>
    <w:bookmarkStart w:id="41" w:name="_Ref218786371"/>
    <w:p w14:paraId="44213A55" w14:textId="5C5A5D7D" w:rsidR="007B03F7" w:rsidRPr="001A2112" w:rsidRDefault="006D5357" w:rsidP="007B03F7">
      <w:pPr>
        <w:pStyle w:val="3-BodyText"/>
        <w:numPr>
          <w:ilvl w:val="1"/>
          <w:numId w:val="1"/>
        </w:numPr>
      </w:pPr>
      <w:r w:rsidRPr="001A2112">
        <w:fldChar w:fldCharType="begin"/>
      </w:r>
      <w:r w:rsidRPr="001A2112">
        <w:instrText xml:space="preserve"> REF _Ref219881476 \h </w:instrText>
      </w:r>
      <w:r w:rsidR="001A2112" w:rsidRPr="001A2112">
        <w:instrText xml:space="preserve"> \* MERGEFORMAT </w:instrText>
      </w:r>
      <w:r w:rsidRPr="001A2112">
        <w:fldChar w:fldCharType="separate"/>
      </w:r>
      <w:r w:rsidRPr="001A2112">
        <w:t xml:space="preserve">Figure </w:t>
      </w:r>
      <w:r w:rsidRPr="001A2112">
        <w:rPr>
          <w:noProof/>
        </w:rPr>
        <w:t>5</w:t>
      </w:r>
      <w:r w:rsidRPr="001A2112">
        <w:fldChar w:fldCharType="end"/>
      </w:r>
      <w:r w:rsidR="007B03F7" w:rsidRPr="001A2112">
        <w:t xml:space="preserve"> presents the Kaplan-Meier plots for OS for the MAIC populations.</w:t>
      </w:r>
    </w:p>
    <w:p w14:paraId="49C7A2A6" w14:textId="1897DC26" w:rsidR="007B03F7" w:rsidRPr="001A2112" w:rsidRDefault="007B03F7" w:rsidP="0043618F">
      <w:pPr>
        <w:pStyle w:val="Caption"/>
      </w:pPr>
      <w:bookmarkStart w:id="42" w:name="_Ref219881476"/>
      <w:r w:rsidRPr="001A2112">
        <w:lastRenderedPageBreak/>
        <w:t xml:space="preserve">Figure </w:t>
      </w:r>
      <w:r w:rsidRPr="001A2112">
        <w:fldChar w:fldCharType="begin"/>
      </w:r>
      <w:r w:rsidRPr="001A2112">
        <w:instrText>SEQ Figure \* ARABIC</w:instrText>
      </w:r>
      <w:r w:rsidRPr="001A2112">
        <w:fldChar w:fldCharType="separate"/>
      </w:r>
      <w:r w:rsidR="00FF73F1">
        <w:rPr>
          <w:noProof/>
        </w:rPr>
        <w:t>5</w:t>
      </w:r>
      <w:r w:rsidRPr="001A2112">
        <w:fldChar w:fldCharType="end"/>
      </w:r>
      <w:bookmarkEnd w:id="41"/>
      <w:bookmarkEnd w:id="42"/>
      <w:r w:rsidRPr="001A2112">
        <w:t>: Kaplan-Meier plots for OS for the MAIC populations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9026"/>
      </w:tblGrid>
      <w:tr w:rsidR="007B03F7" w:rsidRPr="001A2112" w14:paraId="40285C33" w14:textId="77777777">
        <w:tc>
          <w:tcPr>
            <w:tcW w:w="9026" w:type="dxa"/>
          </w:tcPr>
          <w:p w14:paraId="0AB796FF" w14:textId="77777777" w:rsidR="007B03F7" w:rsidRPr="001A2112" w:rsidRDefault="007B03F7" w:rsidP="0043618F">
            <w:pPr>
              <w:pStyle w:val="TableFigureFooter"/>
              <w:keepNext/>
            </w:pPr>
            <w:r w:rsidRPr="001A2112">
              <w:rPr>
                <w:noProof/>
                <w:shd w:val="clear" w:color="auto" w:fill="FFFFFF"/>
              </w:rPr>
              <w:drawing>
                <wp:inline distT="0" distB="0" distL="0" distR="0" wp14:anchorId="49692985" wp14:editId="2BEFF072">
                  <wp:extent cx="4876800" cy="3905250"/>
                  <wp:effectExtent l="0" t="0" r="0" b="0"/>
                  <wp:docPr id="23" name="Picture 23" descr="Figure 5: Kaplan-Meier plots for OS for the MAIC pop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5: Kaplan-Meier plots for OS for the MAIC population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6800" cy="3905250"/>
                          </a:xfrm>
                          <a:prstGeom prst="rect">
                            <a:avLst/>
                          </a:prstGeom>
                          <a:noFill/>
                          <a:ln>
                            <a:noFill/>
                          </a:ln>
                        </pic:spPr>
                      </pic:pic>
                    </a:graphicData>
                  </a:graphic>
                </wp:inline>
              </w:drawing>
            </w:r>
          </w:p>
        </w:tc>
      </w:tr>
    </w:tbl>
    <w:p w14:paraId="6765E6C5" w14:textId="77777777" w:rsidR="007B03F7" w:rsidRPr="001A2112" w:rsidRDefault="007B03F7" w:rsidP="0043618F">
      <w:pPr>
        <w:pStyle w:val="TableFigureFooter"/>
        <w:keepNext/>
      </w:pPr>
      <w:r w:rsidRPr="001A2112">
        <w:t>Source: Figures 2-13 and 2-14, p95 of the submission.</w:t>
      </w:r>
    </w:p>
    <w:p w14:paraId="4B52F007" w14:textId="77777777" w:rsidR="007B03F7" w:rsidRPr="001A2112" w:rsidRDefault="007B03F7" w:rsidP="0043618F">
      <w:pPr>
        <w:pStyle w:val="TableFigureFooter"/>
        <w:keepNext/>
      </w:pPr>
      <w:r w:rsidRPr="001A2112">
        <w:t xml:space="preserve">CI = confidence interval; CT = chemotherapy; HR = hazard ratio; </w:t>
      </w:r>
      <w:proofErr w:type="spellStart"/>
      <w:r w:rsidRPr="001A2112">
        <w:t>Lonca</w:t>
      </w:r>
      <w:proofErr w:type="spellEnd"/>
      <w:r w:rsidRPr="001A2112">
        <w:t xml:space="preserve"> = </w:t>
      </w:r>
      <w:proofErr w:type="spellStart"/>
      <w:r w:rsidRPr="001A2112">
        <w:t>loncastuximab</w:t>
      </w:r>
      <w:proofErr w:type="spellEnd"/>
      <w:r w:rsidRPr="001A2112">
        <w:t xml:space="preserve"> </w:t>
      </w:r>
      <w:proofErr w:type="spellStart"/>
      <w:r w:rsidRPr="001A2112">
        <w:t>tesirine</w:t>
      </w:r>
      <w:proofErr w:type="spellEnd"/>
      <w:r w:rsidRPr="001A2112">
        <w:t xml:space="preserve">; OS = overall survival; </w:t>
      </w:r>
      <w:proofErr w:type="spellStart"/>
      <w:r w:rsidRPr="001A2112">
        <w:t>unadj</w:t>
      </w:r>
      <w:proofErr w:type="spellEnd"/>
      <w:r w:rsidRPr="001A2112">
        <w:t xml:space="preserve"> = unadjusted</w:t>
      </w:r>
    </w:p>
    <w:p w14:paraId="47CF1BED" w14:textId="77777777" w:rsidR="007B03F7" w:rsidRPr="001A2112" w:rsidRDefault="007B03F7" w:rsidP="007B03F7">
      <w:pPr>
        <w:pStyle w:val="TableFigureFooter"/>
      </w:pPr>
    </w:p>
    <w:p w14:paraId="6F6F35B3" w14:textId="77777777" w:rsidR="007B03F7" w:rsidRPr="001A2112" w:rsidRDefault="007B03F7" w:rsidP="007B03F7">
      <w:pPr>
        <w:pStyle w:val="3-BodyText"/>
        <w:numPr>
          <w:ilvl w:val="1"/>
          <w:numId w:val="1"/>
        </w:numPr>
        <w:rPr>
          <w:color w:val="0066FF"/>
        </w:rPr>
      </w:pPr>
      <w:r w:rsidRPr="001A2112">
        <w:t>The MAIC estimated that patients treated with loncastuximab tesirine gained a 4.27-month survival benefit over patients treated with chemoimmunotherapy (median OS: 10.23 months [95% CI: 6.34, 13.63] versus 5.85 months [95% CI: 4.80, 7.14]). The hazard ratios (HR)s were statistically significant, favouring loncastuximab tesirine in all analyses, with the adjusted analysis estimating a 34% reduced risk of death for patients treated with loncastuximab tesirine compared to patients receiving chemoimmunotherapy (HR 0.66 [95% CI: 0.49, 0.88]).</w:t>
      </w:r>
    </w:p>
    <w:p w14:paraId="2698285A" w14:textId="5D8BA558" w:rsidR="00934988" w:rsidRPr="001A2112" w:rsidRDefault="007B03F7" w:rsidP="007B03F7">
      <w:pPr>
        <w:pStyle w:val="3-BodyText"/>
        <w:rPr>
          <w:rStyle w:val="CommentReference"/>
          <w:b w:val="0"/>
          <w:color w:val="0066FF"/>
        </w:rPr>
      </w:pPr>
      <w:bookmarkStart w:id="43" w:name="_Hlk218961332"/>
      <w:r w:rsidRPr="001A2112">
        <w:t xml:space="preserve">The </w:t>
      </w:r>
      <w:r w:rsidR="00AC28A1" w:rsidRPr="00D57480">
        <w:t>Sub-Committee</w:t>
      </w:r>
      <w:r w:rsidR="00563A07" w:rsidRPr="00D57480">
        <w:t>s</w:t>
      </w:r>
      <w:r w:rsidR="00AC28A1" w:rsidRPr="00D57480">
        <w:t xml:space="preserve"> considered the</w:t>
      </w:r>
      <w:r w:rsidR="00AC28A1">
        <w:rPr>
          <w:i/>
          <w:iCs/>
        </w:rPr>
        <w:t xml:space="preserve"> </w:t>
      </w:r>
      <w:r w:rsidRPr="001A2112">
        <w:t>results of the MAIC were uncertain. While all indirect OS estimates favoured loncastuximab tesirine over chemoimmunotherapy and were statistically significant, the significant differences between the source studies make the results difficult to interpret, specifically: (i) the improvements in clinical practice and patient outcomes over the decade between CORAL and LOTIS-2, and (ii) differences in the study populations, outcome definitions and assessments, introduce uncertainty in the interpretation of the results and generalisability to the proposed PBS population, particularly for older patients. Additionally, as no safety data were reported in the CORAL extension studies, no comparison was possible on safety</w:t>
      </w:r>
      <w:bookmarkEnd w:id="43"/>
      <w:r w:rsidRPr="001A2112">
        <w:t>.</w:t>
      </w:r>
    </w:p>
    <w:p w14:paraId="1452C351" w14:textId="0D19F1B0" w:rsidR="00B60939" w:rsidRPr="000B298F" w:rsidRDefault="00B60939" w:rsidP="000B298F">
      <w:pPr>
        <w:pStyle w:val="4-SubsectionHeading"/>
      </w:pPr>
      <w:bookmarkStart w:id="44" w:name="_Toc22897642"/>
      <w:bookmarkStart w:id="45" w:name="_Toc219880985"/>
      <w:r w:rsidRPr="000B298F">
        <w:lastRenderedPageBreak/>
        <w:t>Comparative harms</w:t>
      </w:r>
      <w:bookmarkEnd w:id="44"/>
      <w:bookmarkEnd w:id="45"/>
    </w:p>
    <w:p w14:paraId="36E5A9C2" w14:textId="77777777" w:rsidR="007B03F7" w:rsidRPr="001A2112" w:rsidRDefault="007B03F7" w:rsidP="007B03F7">
      <w:pPr>
        <w:pStyle w:val="3-BodyText"/>
        <w:numPr>
          <w:ilvl w:val="1"/>
          <w:numId w:val="1"/>
        </w:numPr>
        <w:rPr>
          <w:color w:val="0066FF"/>
        </w:rPr>
      </w:pPr>
      <w:bookmarkStart w:id="46" w:name="_Toc22897643"/>
      <w:r w:rsidRPr="001A2112">
        <w:t xml:space="preserve">Based on a median treatment duration of 45 days, almost all patients (98.6%) had at least one treatment-emergent adverse event (TEAE) and 81.4% had an adverse event (AE) that </w:t>
      </w:r>
      <w:proofErr w:type="gramStart"/>
      <w:r w:rsidRPr="001A2112">
        <w:t>was considered to be</w:t>
      </w:r>
      <w:proofErr w:type="gramEnd"/>
      <w:r w:rsidRPr="001A2112">
        <w:t xml:space="preserve"> treatment-related. Men reported slightly more Grade ≥ 3 TEAEs than women (78.8% versus 66.7%, respectively), more serious adverse events (SAEs) (45.9% versus 30.0%) and more AEs resulting in death (6 versus 2); however, fewer males than females had a dose reduction or delay (48.2% versus 56.7%). AE rates were similar across age groups (&lt; 65, 65-75 and ≥ 75 years). There were 8 (5.5%) AEs with a fatal outcome, none of which </w:t>
      </w:r>
      <w:proofErr w:type="gramStart"/>
      <w:r w:rsidRPr="001A2112">
        <w:t>were considered to be</w:t>
      </w:r>
      <w:proofErr w:type="gramEnd"/>
      <w:r w:rsidRPr="001A2112">
        <w:t xml:space="preserve"> </w:t>
      </w:r>
      <w:proofErr w:type="gramStart"/>
      <w:r w:rsidRPr="001A2112">
        <w:t>treatment-related</w:t>
      </w:r>
      <w:proofErr w:type="gramEnd"/>
      <w:r w:rsidRPr="001A2112">
        <w:t>.</w:t>
      </w:r>
    </w:p>
    <w:p w14:paraId="23AE39CA" w14:textId="75100B5A" w:rsidR="007B03F7" w:rsidRPr="001A2112" w:rsidRDefault="007B03F7" w:rsidP="007B03F7">
      <w:pPr>
        <w:pStyle w:val="3-BodyText"/>
        <w:numPr>
          <w:ilvl w:val="1"/>
          <w:numId w:val="1"/>
        </w:numPr>
      </w:pPr>
      <w:r w:rsidRPr="001A2112">
        <w:t xml:space="preserve">The most common TEAEs were gamma-glutamyl transferase (GGT) elevation (42.1%), </w:t>
      </w:r>
      <w:r w:rsidR="00102240" w:rsidRPr="001A2112">
        <w:t>neutropenia</w:t>
      </w:r>
      <w:r w:rsidRPr="001A2112">
        <w:t xml:space="preserve"> (40.0%), thrombocytopenia (33.1%), fatigue (27.6%), anaemia (26.2%), nausea (23.4%), cough (22.8%), increased blood alkaline phosphatase (20.0%), peripheral oedema (20.0%), pyrexia (19.3%), diarrhoea (17.2%), increased aspartate aminotransferase (AST) (15.9%), increased alanine aminotransferase (ALT) (15.2%), hypokalaemia (15.9%), hypophosphataemia (15.9%), decreased appetite (15.2%), leukopenia (14.5%), hypomagnesaemia (13.8%), rash (13.1%), vomiting (13.1%), pruritus (13.1%), constipation (11.7%), dyspnoea (11.7%), abdominal pain (11.7%), insomnia (11.0%), pleural effusion (11.0%), erythema (10.3%), headache (10.3%), and photosensitivity reaction (10.3%).</w:t>
      </w:r>
    </w:p>
    <w:p w14:paraId="6DEBCAB4" w14:textId="77777777" w:rsidR="007B03F7" w:rsidRPr="001A2112" w:rsidRDefault="007B03F7" w:rsidP="007B03F7">
      <w:pPr>
        <w:pStyle w:val="3-BodyText"/>
        <w:numPr>
          <w:ilvl w:val="1"/>
          <w:numId w:val="1"/>
        </w:numPr>
      </w:pPr>
      <w:r w:rsidRPr="001A2112">
        <w:t>GGT elevation was the most common treatment-related adverse event (TRAE) leading to dose reduction (2.1%). The most common TRAEs leading to dose delay were GGT elevation (17.9%), neutropenia (11.7%) and thrombocytopenia (5.5%). The most common TRAEs leading to treatment discontinuation were GGT elevation (11.7%), peripheral oedema (2.8%) and localised oedema (2.1%).</w:t>
      </w:r>
    </w:p>
    <w:p w14:paraId="7E44BA96" w14:textId="11C16119" w:rsidR="007B03F7" w:rsidRPr="001A2112" w:rsidRDefault="007B03F7" w:rsidP="007B03F7">
      <w:pPr>
        <w:pStyle w:val="3-BodyText"/>
        <w:numPr>
          <w:ilvl w:val="1"/>
          <w:numId w:val="1"/>
        </w:numPr>
      </w:pPr>
      <w:r w:rsidRPr="001A2112">
        <w:fldChar w:fldCharType="begin"/>
      </w:r>
      <w:r w:rsidRPr="001A2112">
        <w:instrText xml:space="preserve"> REF _Ref218856007 \h </w:instrText>
      </w:r>
      <w:r w:rsidR="001A2112" w:rsidRPr="001A2112">
        <w:instrText xml:space="preserve"> \* MERGEFORMAT </w:instrText>
      </w:r>
      <w:r w:rsidRPr="001A2112">
        <w:fldChar w:fldCharType="separate"/>
      </w:r>
      <w:r w:rsidR="007D33FD" w:rsidRPr="001A2112">
        <w:t xml:space="preserve">Table </w:t>
      </w:r>
      <w:r w:rsidR="007D33FD" w:rsidRPr="001A2112">
        <w:rPr>
          <w:noProof/>
        </w:rPr>
        <w:t>10</w:t>
      </w:r>
      <w:r w:rsidRPr="001A2112">
        <w:fldChar w:fldCharType="end"/>
      </w:r>
      <w:r w:rsidRPr="001A2112">
        <w:t xml:space="preserve"> summarises the AEs of special interest reported in LOTIS-2.</w:t>
      </w:r>
    </w:p>
    <w:p w14:paraId="2DB6FED6" w14:textId="77777777" w:rsidR="007B03F7" w:rsidRPr="001A2112" w:rsidRDefault="007B03F7" w:rsidP="007B03F7">
      <w:pPr>
        <w:pStyle w:val="3-BodyText"/>
        <w:numPr>
          <w:ilvl w:val="0"/>
          <w:numId w:val="0"/>
        </w:numPr>
        <w:ind w:left="720"/>
      </w:pPr>
    </w:p>
    <w:p w14:paraId="605B1269" w14:textId="0841EFE9" w:rsidR="007B03F7" w:rsidRPr="001A2112" w:rsidRDefault="007B03F7" w:rsidP="007B03F7">
      <w:pPr>
        <w:pStyle w:val="Caption"/>
      </w:pPr>
      <w:bookmarkStart w:id="47" w:name="_Ref218856007"/>
      <w:r w:rsidRPr="001A2112">
        <w:t xml:space="preserve">Table </w:t>
      </w:r>
      <w:r w:rsidRPr="001A2112">
        <w:fldChar w:fldCharType="begin"/>
      </w:r>
      <w:r w:rsidRPr="001A2112">
        <w:instrText>SEQ Table \* ARABIC</w:instrText>
      </w:r>
      <w:r w:rsidRPr="001A2112">
        <w:fldChar w:fldCharType="separate"/>
      </w:r>
      <w:r w:rsidR="007D33FD" w:rsidRPr="001A2112">
        <w:rPr>
          <w:noProof/>
        </w:rPr>
        <w:t>10</w:t>
      </w:r>
      <w:r w:rsidRPr="001A2112">
        <w:fldChar w:fldCharType="end"/>
      </w:r>
      <w:bookmarkEnd w:id="47"/>
      <w:r w:rsidRPr="001A2112">
        <w:t>: AEs of special interest in LOTIS-2</w:t>
      </w:r>
    </w:p>
    <w:tbl>
      <w:tblPr>
        <w:tblStyle w:val="PBACtable"/>
        <w:tblW w:w="5000" w:type="pct"/>
        <w:tblLook w:val="04A0" w:firstRow="1" w:lastRow="0" w:firstColumn="1" w:lastColumn="0" w:noHBand="0" w:noVBand="1"/>
        <w:tblCaption w:val="Table 10: AEs of special interest in LOTIS-2"/>
      </w:tblPr>
      <w:tblGrid>
        <w:gridCol w:w="2461"/>
        <w:gridCol w:w="1731"/>
        <w:gridCol w:w="1609"/>
        <w:gridCol w:w="1609"/>
        <w:gridCol w:w="1607"/>
      </w:tblGrid>
      <w:tr w:rsidR="007B03F7" w:rsidRPr="001A2112" w14:paraId="0205A3AA" w14:textId="77777777">
        <w:tc>
          <w:tcPr>
            <w:tcW w:w="1365" w:type="pct"/>
          </w:tcPr>
          <w:p w14:paraId="20DE289A" w14:textId="77777777" w:rsidR="007B03F7" w:rsidRPr="001A2112" w:rsidRDefault="007B03F7">
            <w:pPr>
              <w:pStyle w:val="TableFigureHeading"/>
            </w:pPr>
            <w:r w:rsidRPr="001A2112">
              <w:t>AE category</w:t>
            </w:r>
          </w:p>
        </w:tc>
        <w:tc>
          <w:tcPr>
            <w:tcW w:w="960" w:type="pct"/>
          </w:tcPr>
          <w:p w14:paraId="05C8695A" w14:textId="77777777" w:rsidR="007B03F7" w:rsidRPr="001A2112" w:rsidRDefault="007B03F7">
            <w:pPr>
              <w:pStyle w:val="TableFigureHeading"/>
              <w:jc w:val="center"/>
            </w:pPr>
            <w:r w:rsidRPr="001A2112">
              <w:t>Pleural effusion</w:t>
            </w:r>
          </w:p>
          <w:p w14:paraId="747E4728" w14:textId="77777777" w:rsidR="007B03F7" w:rsidRPr="001A2112" w:rsidRDefault="007B03F7">
            <w:pPr>
              <w:pStyle w:val="TableFigureHeading"/>
              <w:jc w:val="center"/>
            </w:pPr>
            <w:r w:rsidRPr="001A2112">
              <w:t>n (%)</w:t>
            </w:r>
          </w:p>
        </w:tc>
        <w:tc>
          <w:tcPr>
            <w:tcW w:w="892" w:type="pct"/>
          </w:tcPr>
          <w:p w14:paraId="2B7CC2D7" w14:textId="77777777" w:rsidR="007B03F7" w:rsidRPr="001A2112" w:rsidRDefault="007B03F7">
            <w:pPr>
              <w:pStyle w:val="TableFigureHeading"/>
              <w:jc w:val="center"/>
            </w:pPr>
            <w:r w:rsidRPr="001A2112">
              <w:t>Pericardial effusion n (%)</w:t>
            </w:r>
          </w:p>
        </w:tc>
        <w:tc>
          <w:tcPr>
            <w:tcW w:w="892" w:type="pct"/>
          </w:tcPr>
          <w:p w14:paraId="6C4B8EF0" w14:textId="77777777" w:rsidR="007B03F7" w:rsidRPr="001A2112" w:rsidRDefault="007B03F7">
            <w:pPr>
              <w:pStyle w:val="TableFigureHeading"/>
              <w:jc w:val="center"/>
            </w:pPr>
            <w:r w:rsidRPr="001A2112">
              <w:t>Peripheral oedema n (%)</w:t>
            </w:r>
          </w:p>
        </w:tc>
        <w:tc>
          <w:tcPr>
            <w:tcW w:w="892" w:type="pct"/>
          </w:tcPr>
          <w:p w14:paraId="29B78F6A" w14:textId="77777777" w:rsidR="007B03F7" w:rsidRPr="001A2112" w:rsidRDefault="007B03F7">
            <w:pPr>
              <w:pStyle w:val="TableFigureHeading"/>
              <w:jc w:val="center"/>
            </w:pPr>
            <w:r w:rsidRPr="001A2112">
              <w:t>Photosensitivity reaction n (%)</w:t>
            </w:r>
          </w:p>
        </w:tc>
      </w:tr>
      <w:tr w:rsidR="007B03F7" w:rsidRPr="001A2112" w14:paraId="643C0385" w14:textId="77777777">
        <w:tc>
          <w:tcPr>
            <w:tcW w:w="1365" w:type="pct"/>
          </w:tcPr>
          <w:p w14:paraId="2D644F2E" w14:textId="77777777" w:rsidR="007B03F7" w:rsidRPr="001A2112" w:rsidRDefault="007B03F7">
            <w:pPr>
              <w:pStyle w:val="TableText0"/>
            </w:pPr>
            <w:r w:rsidRPr="001A2112">
              <w:t>All TEAEs</w:t>
            </w:r>
          </w:p>
        </w:tc>
        <w:tc>
          <w:tcPr>
            <w:tcW w:w="960" w:type="pct"/>
          </w:tcPr>
          <w:p w14:paraId="7C3E67CF" w14:textId="77777777" w:rsidR="007B03F7" w:rsidRPr="001A2112" w:rsidRDefault="007B03F7">
            <w:pPr>
              <w:pStyle w:val="TableText0"/>
              <w:jc w:val="center"/>
            </w:pPr>
            <w:r w:rsidRPr="001A2112">
              <w:t>16 (11.0)</w:t>
            </w:r>
          </w:p>
        </w:tc>
        <w:tc>
          <w:tcPr>
            <w:tcW w:w="892" w:type="pct"/>
          </w:tcPr>
          <w:p w14:paraId="012167B7" w14:textId="77777777" w:rsidR="007B03F7" w:rsidRPr="001A2112" w:rsidRDefault="007B03F7">
            <w:pPr>
              <w:pStyle w:val="TableText0"/>
              <w:jc w:val="center"/>
            </w:pPr>
            <w:r w:rsidRPr="001A2112">
              <w:t>4 (2.8)</w:t>
            </w:r>
          </w:p>
        </w:tc>
        <w:tc>
          <w:tcPr>
            <w:tcW w:w="892" w:type="pct"/>
          </w:tcPr>
          <w:p w14:paraId="7994802A" w14:textId="77777777" w:rsidR="007B03F7" w:rsidRPr="001A2112" w:rsidRDefault="007B03F7">
            <w:pPr>
              <w:pStyle w:val="TableText0"/>
              <w:jc w:val="center"/>
            </w:pPr>
            <w:r w:rsidRPr="001A2112">
              <w:t>29 (20.0)</w:t>
            </w:r>
          </w:p>
        </w:tc>
        <w:tc>
          <w:tcPr>
            <w:tcW w:w="892" w:type="pct"/>
          </w:tcPr>
          <w:p w14:paraId="5105BD4D" w14:textId="77777777" w:rsidR="007B03F7" w:rsidRPr="001A2112" w:rsidRDefault="007B03F7">
            <w:pPr>
              <w:pStyle w:val="TableText0"/>
              <w:jc w:val="center"/>
            </w:pPr>
            <w:r w:rsidRPr="001A2112">
              <w:t>15 (10.3)</w:t>
            </w:r>
          </w:p>
        </w:tc>
      </w:tr>
      <w:tr w:rsidR="007B03F7" w:rsidRPr="001A2112" w14:paraId="0D68859D" w14:textId="77777777">
        <w:tc>
          <w:tcPr>
            <w:tcW w:w="1365" w:type="pct"/>
          </w:tcPr>
          <w:p w14:paraId="6D5FE945" w14:textId="77777777" w:rsidR="007B03F7" w:rsidRPr="001A2112" w:rsidRDefault="007B03F7">
            <w:pPr>
              <w:pStyle w:val="TableText0"/>
              <w:ind w:left="170"/>
            </w:pPr>
            <w:r w:rsidRPr="001A2112">
              <w:t>TEAEs Grade ≥ 3</w:t>
            </w:r>
          </w:p>
        </w:tc>
        <w:tc>
          <w:tcPr>
            <w:tcW w:w="960" w:type="pct"/>
          </w:tcPr>
          <w:p w14:paraId="1384E1BF" w14:textId="77777777" w:rsidR="007B03F7" w:rsidRPr="001A2112" w:rsidRDefault="007B03F7">
            <w:pPr>
              <w:pStyle w:val="TableText0"/>
              <w:jc w:val="center"/>
            </w:pPr>
            <w:r w:rsidRPr="001A2112">
              <w:t>3 (2.1)</w:t>
            </w:r>
          </w:p>
        </w:tc>
        <w:tc>
          <w:tcPr>
            <w:tcW w:w="892" w:type="pct"/>
          </w:tcPr>
          <w:p w14:paraId="6BD52298" w14:textId="77777777" w:rsidR="007B03F7" w:rsidRPr="001A2112" w:rsidRDefault="007B03F7">
            <w:pPr>
              <w:pStyle w:val="TableText0"/>
              <w:jc w:val="center"/>
            </w:pPr>
            <w:r w:rsidRPr="001A2112">
              <w:t>3 (2.1)</w:t>
            </w:r>
          </w:p>
        </w:tc>
        <w:tc>
          <w:tcPr>
            <w:tcW w:w="892" w:type="pct"/>
          </w:tcPr>
          <w:p w14:paraId="6A9D02A0" w14:textId="77777777" w:rsidR="007B03F7" w:rsidRPr="001A2112" w:rsidRDefault="007B03F7">
            <w:pPr>
              <w:pStyle w:val="TableText0"/>
              <w:jc w:val="center"/>
            </w:pPr>
            <w:r w:rsidRPr="001A2112">
              <w:t>2 (1.4)</w:t>
            </w:r>
          </w:p>
        </w:tc>
        <w:tc>
          <w:tcPr>
            <w:tcW w:w="892" w:type="pct"/>
          </w:tcPr>
          <w:p w14:paraId="247A9310" w14:textId="77777777" w:rsidR="007B03F7" w:rsidRPr="001A2112" w:rsidRDefault="007B03F7">
            <w:pPr>
              <w:pStyle w:val="TableText0"/>
              <w:jc w:val="center"/>
            </w:pPr>
            <w:r w:rsidRPr="001A2112">
              <w:t>3 (2.1)</w:t>
            </w:r>
          </w:p>
        </w:tc>
      </w:tr>
      <w:tr w:rsidR="007B03F7" w:rsidRPr="001A2112" w14:paraId="2476FA71" w14:textId="77777777">
        <w:tc>
          <w:tcPr>
            <w:tcW w:w="1365" w:type="pct"/>
          </w:tcPr>
          <w:p w14:paraId="7DDA7F5E" w14:textId="77777777" w:rsidR="007B03F7" w:rsidRPr="001A2112" w:rsidRDefault="007B03F7">
            <w:pPr>
              <w:pStyle w:val="TableText0"/>
              <w:ind w:left="170"/>
            </w:pPr>
            <w:r w:rsidRPr="001A2112">
              <w:t>SAE</w:t>
            </w:r>
          </w:p>
        </w:tc>
        <w:tc>
          <w:tcPr>
            <w:tcW w:w="960" w:type="pct"/>
          </w:tcPr>
          <w:p w14:paraId="42554736" w14:textId="77777777" w:rsidR="007B03F7" w:rsidRPr="001A2112" w:rsidRDefault="007B03F7">
            <w:pPr>
              <w:pStyle w:val="TableText0"/>
              <w:jc w:val="center"/>
            </w:pPr>
            <w:r w:rsidRPr="001A2112">
              <w:t>3 (2.1)</w:t>
            </w:r>
          </w:p>
        </w:tc>
        <w:tc>
          <w:tcPr>
            <w:tcW w:w="892" w:type="pct"/>
          </w:tcPr>
          <w:p w14:paraId="5C99CB71" w14:textId="77777777" w:rsidR="007B03F7" w:rsidRPr="001A2112" w:rsidRDefault="007B03F7">
            <w:pPr>
              <w:pStyle w:val="TableText0"/>
              <w:jc w:val="center"/>
            </w:pPr>
            <w:r w:rsidRPr="001A2112">
              <w:t>2 (1.4)</w:t>
            </w:r>
          </w:p>
        </w:tc>
        <w:tc>
          <w:tcPr>
            <w:tcW w:w="892" w:type="pct"/>
          </w:tcPr>
          <w:p w14:paraId="131E8C50" w14:textId="77777777" w:rsidR="007B03F7" w:rsidRPr="001A2112" w:rsidRDefault="007B03F7">
            <w:pPr>
              <w:pStyle w:val="TableText0"/>
              <w:jc w:val="center"/>
            </w:pPr>
            <w:r w:rsidRPr="001A2112">
              <w:t>1 (0.7)</w:t>
            </w:r>
          </w:p>
        </w:tc>
        <w:tc>
          <w:tcPr>
            <w:tcW w:w="892" w:type="pct"/>
          </w:tcPr>
          <w:p w14:paraId="15F99FDF" w14:textId="77777777" w:rsidR="007B03F7" w:rsidRPr="001A2112" w:rsidRDefault="007B03F7">
            <w:pPr>
              <w:pStyle w:val="TableText0"/>
              <w:jc w:val="center"/>
            </w:pPr>
            <w:r w:rsidRPr="001A2112">
              <w:t>0</w:t>
            </w:r>
          </w:p>
        </w:tc>
      </w:tr>
      <w:tr w:rsidR="007B03F7" w:rsidRPr="001A2112" w14:paraId="2E9390F7" w14:textId="77777777">
        <w:tc>
          <w:tcPr>
            <w:tcW w:w="1365" w:type="pct"/>
          </w:tcPr>
          <w:p w14:paraId="03727F05" w14:textId="77777777" w:rsidR="007B03F7" w:rsidRPr="001A2112" w:rsidRDefault="007B03F7">
            <w:pPr>
              <w:pStyle w:val="TableText0"/>
            </w:pPr>
            <w:r w:rsidRPr="001A2112">
              <w:t>TRAEs</w:t>
            </w:r>
          </w:p>
        </w:tc>
        <w:tc>
          <w:tcPr>
            <w:tcW w:w="960" w:type="pct"/>
          </w:tcPr>
          <w:p w14:paraId="5A7F9E9C" w14:textId="77777777" w:rsidR="007B03F7" w:rsidRPr="001A2112" w:rsidRDefault="007B03F7">
            <w:pPr>
              <w:pStyle w:val="TableText0"/>
              <w:jc w:val="center"/>
            </w:pPr>
            <w:r w:rsidRPr="001A2112">
              <w:t>13 (9.0)</w:t>
            </w:r>
          </w:p>
        </w:tc>
        <w:tc>
          <w:tcPr>
            <w:tcW w:w="892" w:type="pct"/>
          </w:tcPr>
          <w:p w14:paraId="6CF49E8F" w14:textId="77777777" w:rsidR="007B03F7" w:rsidRPr="001A2112" w:rsidRDefault="007B03F7">
            <w:pPr>
              <w:pStyle w:val="TableText0"/>
              <w:jc w:val="center"/>
            </w:pPr>
            <w:r w:rsidRPr="001A2112">
              <w:t>4 (2.8)</w:t>
            </w:r>
          </w:p>
        </w:tc>
        <w:tc>
          <w:tcPr>
            <w:tcW w:w="892" w:type="pct"/>
          </w:tcPr>
          <w:p w14:paraId="7F73D69F" w14:textId="77777777" w:rsidR="007B03F7" w:rsidRPr="001A2112" w:rsidRDefault="007B03F7">
            <w:pPr>
              <w:pStyle w:val="TableText0"/>
              <w:jc w:val="center"/>
            </w:pPr>
            <w:r w:rsidRPr="001A2112">
              <w:t>20 (13.8)</w:t>
            </w:r>
          </w:p>
        </w:tc>
        <w:tc>
          <w:tcPr>
            <w:tcW w:w="892" w:type="pct"/>
          </w:tcPr>
          <w:p w14:paraId="19FD8993" w14:textId="77777777" w:rsidR="007B03F7" w:rsidRPr="001A2112" w:rsidRDefault="007B03F7">
            <w:pPr>
              <w:pStyle w:val="TableText0"/>
              <w:jc w:val="center"/>
            </w:pPr>
            <w:r w:rsidRPr="001A2112">
              <w:t>15 (10.3)</w:t>
            </w:r>
          </w:p>
        </w:tc>
      </w:tr>
      <w:tr w:rsidR="007B03F7" w:rsidRPr="001A2112" w14:paraId="6DCDC8B6" w14:textId="77777777">
        <w:tc>
          <w:tcPr>
            <w:tcW w:w="1365" w:type="pct"/>
          </w:tcPr>
          <w:p w14:paraId="6E2D0EEC" w14:textId="77777777" w:rsidR="007B03F7" w:rsidRPr="001A2112" w:rsidRDefault="007B03F7">
            <w:pPr>
              <w:pStyle w:val="TableText0"/>
              <w:ind w:left="170"/>
            </w:pPr>
            <w:r w:rsidRPr="001A2112">
              <w:t>TRAE Grade ≥ 3</w:t>
            </w:r>
          </w:p>
        </w:tc>
        <w:tc>
          <w:tcPr>
            <w:tcW w:w="960" w:type="pct"/>
          </w:tcPr>
          <w:p w14:paraId="51A2609B" w14:textId="77777777" w:rsidR="007B03F7" w:rsidRPr="001A2112" w:rsidRDefault="007B03F7">
            <w:pPr>
              <w:pStyle w:val="TableText0"/>
              <w:jc w:val="center"/>
            </w:pPr>
            <w:r w:rsidRPr="001A2112">
              <w:t>3 (2.1)</w:t>
            </w:r>
          </w:p>
        </w:tc>
        <w:tc>
          <w:tcPr>
            <w:tcW w:w="892" w:type="pct"/>
          </w:tcPr>
          <w:p w14:paraId="5D60F14D" w14:textId="77777777" w:rsidR="007B03F7" w:rsidRPr="001A2112" w:rsidRDefault="007B03F7">
            <w:pPr>
              <w:pStyle w:val="TableText0"/>
              <w:jc w:val="center"/>
            </w:pPr>
            <w:r w:rsidRPr="001A2112">
              <w:t>3 (2.1)</w:t>
            </w:r>
          </w:p>
        </w:tc>
        <w:tc>
          <w:tcPr>
            <w:tcW w:w="892" w:type="pct"/>
          </w:tcPr>
          <w:p w14:paraId="6B15EC63" w14:textId="77777777" w:rsidR="007B03F7" w:rsidRPr="001A2112" w:rsidRDefault="007B03F7">
            <w:pPr>
              <w:pStyle w:val="TableText0"/>
              <w:jc w:val="center"/>
            </w:pPr>
            <w:r w:rsidRPr="001A2112">
              <w:t>2 (1.4)</w:t>
            </w:r>
          </w:p>
        </w:tc>
        <w:tc>
          <w:tcPr>
            <w:tcW w:w="892" w:type="pct"/>
          </w:tcPr>
          <w:p w14:paraId="431A94DD" w14:textId="77777777" w:rsidR="007B03F7" w:rsidRPr="001A2112" w:rsidRDefault="007B03F7">
            <w:pPr>
              <w:pStyle w:val="TableText0"/>
              <w:jc w:val="center"/>
            </w:pPr>
            <w:r w:rsidRPr="001A2112">
              <w:t>3 (2.1)</w:t>
            </w:r>
          </w:p>
        </w:tc>
      </w:tr>
      <w:tr w:rsidR="007B03F7" w:rsidRPr="001A2112" w14:paraId="1D470FEE" w14:textId="77777777">
        <w:tc>
          <w:tcPr>
            <w:tcW w:w="1365" w:type="pct"/>
          </w:tcPr>
          <w:p w14:paraId="0A99D393" w14:textId="77777777" w:rsidR="007B03F7" w:rsidRPr="001A2112" w:rsidRDefault="007B03F7">
            <w:pPr>
              <w:pStyle w:val="TableText0"/>
              <w:ind w:left="170"/>
            </w:pPr>
            <w:r w:rsidRPr="001A2112">
              <w:t>Treatment-related SAEs</w:t>
            </w:r>
          </w:p>
        </w:tc>
        <w:tc>
          <w:tcPr>
            <w:tcW w:w="960" w:type="pct"/>
          </w:tcPr>
          <w:p w14:paraId="4A565FC8" w14:textId="77777777" w:rsidR="007B03F7" w:rsidRPr="001A2112" w:rsidRDefault="007B03F7">
            <w:pPr>
              <w:pStyle w:val="TableText0"/>
              <w:jc w:val="center"/>
            </w:pPr>
            <w:r w:rsidRPr="001A2112">
              <w:t>2 (1.4)</w:t>
            </w:r>
          </w:p>
        </w:tc>
        <w:tc>
          <w:tcPr>
            <w:tcW w:w="892" w:type="pct"/>
          </w:tcPr>
          <w:p w14:paraId="6EA54A07" w14:textId="77777777" w:rsidR="007B03F7" w:rsidRPr="001A2112" w:rsidRDefault="007B03F7">
            <w:pPr>
              <w:pStyle w:val="TableText0"/>
              <w:jc w:val="center"/>
            </w:pPr>
            <w:r w:rsidRPr="001A2112">
              <w:t>2 (1.4)</w:t>
            </w:r>
          </w:p>
        </w:tc>
        <w:tc>
          <w:tcPr>
            <w:tcW w:w="892" w:type="pct"/>
          </w:tcPr>
          <w:p w14:paraId="5615EE98" w14:textId="77777777" w:rsidR="007B03F7" w:rsidRPr="001A2112" w:rsidRDefault="007B03F7">
            <w:pPr>
              <w:pStyle w:val="TableText0"/>
              <w:jc w:val="center"/>
            </w:pPr>
            <w:r w:rsidRPr="001A2112">
              <w:t>1 (0.7)</w:t>
            </w:r>
          </w:p>
        </w:tc>
        <w:tc>
          <w:tcPr>
            <w:tcW w:w="892" w:type="pct"/>
          </w:tcPr>
          <w:p w14:paraId="226F2765" w14:textId="77777777" w:rsidR="007B03F7" w:rsidRPr="001A2112" w:rsidRDefault="007B03F7">
            <w:pPr>
              <w:pStyle w:val="TableText0"/>
              <w:jc w:val="center"/>
            </w:pPr>
            <w:r w:rsidRPr="001A2112">
              <w:t>0</w:t>
            </w:r>
          </w:p>
        </w:tc>
      </w:tr>
      <w:tr w:rsidR="007B03F7" w:rsidRPr="001A2112" w14:paraId="4F03F3F2" w14:textId="77777777">
        <w:tc>
          <w:tcPr>
            <w:tcW w:w="1365" w:type="pct"/>
          </w:tcPr>
          <w:p w14:paraId="4A3AE6D1" w14:textId="77777777" w:rsidR="007B03F7" w:rsidRPr="001A2112" w:rsidRDefault="007B03F7">
            <w:pPr>
              <w:pStyle w:val="TableText0"/>
              <w:ind w:left="170"/>
            </w:pPr>
            <w:r w:rsidRPr="001A2112">
              <w:t>Fatal TRAEs</w:t>
            </w:r>
          </w:p>
        </w:tc>
        <w:tc>
          <w:tcPr>
            <w:tcW w:w="960" w:type="pct"/>
          </w:tcPr>
          <w:p w14:paraId="50B5B318" w14:textId="77777777" w:rsidR="007B03F7" w:rsidRPr="001A2112" w:rsidRDefault="007B03F7">
            <w:pPr>
              <w:pStyle w:val="TableText0"/>
              <w:jc w:val="center"/>
            </w:pPr>
            <w:r w:rsidRPr="001A2112">
              <w:t>0</w:t>
            </w:r>
          </w:p>
        </w:tc>
        <w:tc>
          <w:tcPr>
            <w:tcW w:w="892" w:type="pct"/>
          </w:tcPr>
          <w:p w14:paraId="65A49162" w14:textId="77777777" w:rsidR="007B03F7" w:rsidRPr="001A2112" w:rsidRDefault="007B03F7">
            <w:pPr>
              <w:pStyle w:val="TableText0"/>
              <w:jc w:val="center"/>
            </w:pPr>
            <w:r w:rsidRPr="001A2112">
              <w:t>0</w:t>
            </w:r>
          </w:p>
        </w:tc>
        <w:tc>
          <w:tcPr>
            <w:tcW w:w="892" w:type="pct"/>
          </w:tcPr>
          <w:p w14:paraId="756A4B7E" w14:textId="77777777" w:rsidR="007B03F7" w:rsidRPr="001A2112" w:rsidRDefault="007B03F7">
            <w:pPr>
              <w:pStyle w:val="TableText0"/>
              <w:jc w:val="center"/>
            </w:pPr>
            <w:r w:rsidRPr="001A2112">
              <w:t>0</w:t>
            </w:r>
          </w:p>
        </w:tc>
        <w:tc>
          <w:tcPr>
            <w:tcW w:w="892" w:type="pct"/>
          </w:tcPr>
          <w:p w14:paraId="09DF1A63" w14:textId="77777777" w:rsidR="007B03F7" w:rsidRPr="001A2112" w:rsidRDefault="007B03F7">
            <w:pPr>
              <w:pStyle w:val="TableText0"/>
              <w:jc w:val="center"/>
            </w:pPr>
            <w:r w:rsidRPr="001A2112">
              <w:t>0</w:t>
            </w:r>
          </w:p>
        </w:tc>
      </w:tr>
    </w:tbl>
    <w:p w14:paraId="65B27CA7" w14:textId="77777777" w:rsidR="007B03F7" w:rsidRPr="001A2112" w:rsidRDefault="007B03F7" w:rsidP="007B03F7">
      <w:pPr>
        <w:pStyle w:val="TableFigureFooter"/>
      </w:pPr>
      <w:r w:rsidRPr="001A2112">
        <w:t>Source: Table 2-26, p88 of the submission.</w:t>
      </w:r>
    </w:p>
    <w:p w14:paraId="0B650889" w14:textId="77777777" w:rsidR="007B03F7" w:rsidRPr="001A2112" w:rsidRDefault="007B03F7" w:rsidP="007B03F7">
      <w:pPr>
        <w:pStyle w:val="TableFigureFooter"/>
        <w:rPr>
          <w:rFonts w:asciiTheme="minorHAnsi" w:eastAsiaTheme="minorHAnsi" w:hAnsiTheme="minorHAnsi" w:cstheme="minorBidi"/>
          <w:snapToGrid/>
          <w:color w:val="0066FF"/>
          <w:sz w:val="24"/>
        </w:rPr>
      </w:pPr>
      <w:r w:rsidRPr="001A2112">
        <w:t>AE = adverse event; n = number of participants reporting data; SAE = serious adverse event; TEAE = treatment-emergent adverse event; TRAE = treatment-related adverse event.</w:t>
      </w:r>
    </w:p>
    <w:p w14:paraId="3E051888" w14:textId="77777777" w:rsidR="007B03F7" w:rsidRPr="001A2112" w:rsidRDefault="007B03F7" w:rsidP="007B03F7">
      <w:pPr>
        <w:pStyle w:val="3-BodyText"/>
        <w:numPr>
          <w:ilvl w:val="1"/>
          <w:numId w:val="1"/>
        </w:numPr>
        <w:rPr>
          <w:color w:val="0066FF"/>
        </w:rPr>
      </w:pPr>
      <w:r w:rsidRPr="001A2112">
        <w:t xml:space="preserve">AEs to 3L therapies were not reported in the CORAL extension studies; however, key AEs reported in the CORAL RCT were summarised in </w:t>
      </w:r>
      <w:proofErr w:type="spellStart"/>
      <w:r w:rsidRPr="001A2112">
        <w:t>Gisselbrecht</w:t>
      </w:r>
      <w:proofErr w:type="spellEnd"/>
      <w:r w:rsidRPr="001A2112">
        <w:t xml:space="preserve"> 2010 and reported in the Epcoritamab 2024 PSD. As AE data from the CORAL studies were sparse, and related to a higher line of therapy, AE data reported for the R-</w:t>
      </w:r>
      <w:proofErr w:type="spellStart"/>
      <w:r w:rsidRPr="001A2112">
        <w:t>GemOx</w:t>
      </w:r>
      <w:proofErr w:type="spellEnd"/>
      <w:r w:rsidRPr="001A2112">
        <w:t xml:space="preserve"> arm of STARGLO </w:t>
      </w:r>
      <w:r w:rsidRPr="001A2112">
        <w:lastRenderedPageBreak/>
        <w:t>were extracted during the evaluation from Abramson 2024 and the Glofitamab 2025 PSD, and presented below for added context. STARGLO reported limited data for patients receiving third- and further lines of therapy.</w:t>
      </w:r>
    </w:p>
    <w:p w14:paraId="648AEC0D" w14:textId="20F01039" w:rsidR="007B03F7" w:rsidRPr="001A2112" w:rsidRDefault="007B03F7" w:rsidP="007B03F7">
      <w:pPr>
        <w:pStyle w:val="3-BodyText"/>
        <w:numPr>
          <w:ilvl w:val="1"/>
          <w:numId w:val="1"/>
        </w:numPr>
        <w:rPr>
          <w:color w:val="0066FF"/>
        </w:rPr>
      </w:pPr>
      <w:r w:rsidRPr="001A2112">
        <w:fldChar w:fldCharType="begin"/>
      </w:r>
      <w:r w:rsidRPr="001A2112">
        <w:instrText xml:space="preserve"> REF _Ref218855690 \h  \* MERGEFORMAT </w:instrText>
      </w:r>
      <w:r w:rsidRPr="001A2112">
        <w:fldChar w:fldCharType="separate"/>
      </w:r>
      <w:r w:rsidR="007D33FD" w:rsidRPr="001A2112">
        <w:t xml:space="preserve">Table </w:t>
      </w:r>
      <w:r w:rsidR="007D33FD" w:rsidRPr="001A2112">
        <w:rPr>
          <w:noProof/>
        </w:rPr>
        <w:t>11</w:t>
      </w:r>
      <w:r w:rsidRPr="001A2112">
        <w:fldChar w:fldCharType="end"/>
      </w:r>
      <w:r w:rsidRPr="001A2112">
        <w:t xml:space="preserve"> presents a naïve comparison of AEs between loncastuximab tesirine and chemoimmunotherapy.</w:t>
      </w:r>
    </w:p>
    <w:p w14:paraId="408E95F9" w14:textId="2561617C" w:rsidR="007B03F7" w:rsidRPr="001A2112" w:rsidRDefault="007B03F7" w:rsidP="007B03F7">
      <w:pPr>
        <w:pStyle w:val="Caption"/>
      </w:pPr>
      <w:bookmarkStart w:id="48" w:name="_Ref218855690"/>
      <w:r w:rsidRPr="001A2112">
        <w:t xml:space="preserve">Table </w:t>
      </w:r>
      <w:r w:rsidRPr="001A2112">
        <w:fldChar w:fldCharType="begin"/>
      </w:r>
      <w:r w:rsidRPr="001A2112">
        <w:instrText>SEQ Table \* ARABIC</w:instrText>
      </w:r>
      <w:r w:rsidRPr="001A2112">
        <w:fldChar w:fldCharType="separate"/>
      </w:r>
      <w:r w:rsidR="007D33FD" w:rsidRPr="001A2112">
        <w:rPr>
          <w:noProof/>
        </w:rPr>
        <w:t>11</w:t>
      </w:r>
      <w:r w:rsidRPr="001A2112">
        <w:fldChar w:fldCharType="end"/>
      </w:r>
      <w:bookmarkEnd w:id="48"/>
      <w:r w:rsidRPr="001A2112">
        <w:t>: Naïve comparison of AEs between loncastuximab tesirine and chemoimmunotherapy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20" w:firstRow="1" w:lastRow="0" w:firstColumn="0" w:lastColumn="0" w:noHBand="0" w:noVBand="0"/>
        <w:tblCaption w:val="Table 11: Naïve comparison of AEs between loncastuximab tesirine and chemoimmunotherapy"/>
      </w:tblPr>
      <w:tblGrid>
        <w:gridCol w:w="3115"/>
        <w:gridCol w:w="1417"/>
        <w:gridCol w:w="1621"/>
        <w:gridCol w:w="1432"/>
        <w:gridCol w:w="1432"/>
      </w:tblGrid>
      <w:tr w:rsidR="007B03F7" w:rsidRPr="001A2112" w14:paraId="2A1A5350" w14:textId="77777777">
        <w:trPr>
          <w:trHeight w:val="283"/>
        </w:trPr>
        <w:tc>
          <w:tcPr>
            <w:tcW w:w="1727" w:type="pct"/>
          </w:tcPr>
          <w:p w14:paraId="391C56D6" w14:textId="77777777" w:rsidR="007B03F7" w:rsidRPr="001A2112" w:rsidRDefault="007B03F7">
            <w:pPr>
              <w:pStyle w:val="TableText0"/>
            </w:pPr>
          </w:p>
        </w:tc>
        <w:tc>
          <w:tcPr>
            <w:tcW w:w="786" w:type="pct"/>
          </w:tcPr>
          <w:p w14:paraId="0F3C205E" w14:textId="77777777" w:rsidR="007B03F7" w:rsidRPr="001A2112" w:rsidRDefault="007B03F7">
            <w:pPr>
              <w:pStyle w:val="TableText0"/>
              <w:jc w:val="center"/>
              <w:rPr>
                <w:b/>
                <w:bCs w:val="0"/>
              </w:rPr>
            </w:pPr>
            <w:r w:rsidRPr="001A2112">
              <w:rPr>
                <w:b/>
                <w:bCs w:val="0"/>
              </w:rPr>
              <w:t>Loncastuximab tesirine</w:t>
            </w:r>
          </w:p>
        </w:tc>
        <w:tc>
          <w:tcPr>
            <w:tcW w:w="2488" w:type="pct"/>
            <w:gridSpan w:val="3"/>
          </w:tcPr>
          <w:p w14:paraId="10B27AB6" w14:textId="77777777" w:rsidR="007B03F7" w:rsidRPr="001A2112" w:rsidRDefault="007B03F7">
            <w:pPr>
              <w:pStyle w:val="TableText0"/>
              <w:jc w:val="center"/>
              <w:rPr>
                <w:b/>
                <w:bCs w:val="0"/>
              </w:rPr>
            </w:pPr>
            <w:r w:rsidRPr="001A2112">
              <w:rPr>
                <w:b/>
                <w:bCs w:val="0"/>
              </w:rPr>
              <w:t>Chemoimmunotherapy</w:t>
            </w:r>
          </w:p>
        </w:tc>
      </w:tr>
      <w:tr w:rsidR="007B03F7" w:rsidRPr="001A2112" w14:paraId="73D35A68" w14:textId="77777777">
        <w:trPr>
          <w:trHeight w:val="283"/>
        </w:trPr>
        <w:tc>
          <w:tcPr>
            <w:tcW w:w="1727" w:type="pct"/>
            <w:vAlign w:val="center"/>
          </w:tcPr>
          <w:p w14:paraId="4EFAEA92" w14:textId="77777777" w:rsidR="007B03F7" w:rsidRPr="001A2112" w:rsidRDefault="007B03F7">
            <w:pPr>
              <w:pStyle w:val="TableText0"/>
              <w:rPr>
                <w:b/>
                <w:bCs w:val="0"/>
              </w:rPr>
            </w:pPr>
            <w:r w:rsidRPr="001A2112">
              <w:rPr>
                <w:b/>
                <w:bCs w:val="0"/>
              </w:rPr>
              <w:t>AE category, n (%)</w:t>
            </w:r>
          </w:p>
        </w:tc>
        <w:tc>
          <w:tcPr>
            <w:tcW w:w="786" w:type="pct"/>
            <w:vAlign w:val="bottom"/>
          </w:tcPr>
          <w:p w14:paraId="0B05B9F6" w14:textId="77777777" w:rsidR="007B03F7" w:rsidRPr="001A2112" w:rsidRDefault="007B03F7">
            <w:pPr>
              <w:pStyle w:val="TableText0"/>
              <w:jc w:val="center"/>
              <w:rPr>
                <w:b/>
                <w:bCs w:val="0"/>
              </w:rPr>
            </w:pPr>
            <w:r w:rsidRPr="001A2112">
              <w:rPr>
                <w:b/>
                <w:bCs w:val="0"/>
              </w:rPr>
              <w:t>LOTIS-2</w:t>
            </w:r>
          </w:p>
          <w:p w14:paraId="75BBBA73" w14:textId="77777777" w:rsidR="007B03F7" w:rsidRPr="001A2112" w:rsidRDefault="007B03F7">
            <w:pPr>
              <w:pStyle w:val="TableText0"/>
              <w:jc w:val="center"/>
              <w:rPr>
                <w:b/>
                <w:bCs w:val="0"/>
              </w:rPr>
            </w:pPr>
            <w:r w:rsidRPr="001A2112">
              <w:rPr>
                <w:b/>
                <w:bCs w:val="0"/>
              </w:rPr>
              <w:t>3L+</w:t>
            </w:r>
          </w:p>
          <w:p w14:paraId="3DECD4CC" w14:textId="77777777" w:rsidR="007B03F7" w:rsidRPr="001A2112" w:rsidRDefault="007B03F7">
            <w:pPr>
              <w:pStyle w:val="TableText0"/>
              <w:jc w:val="center"/>
              <w:rPr>
                <w:b/>
                <w:bCs w:val="0"/>
              </w:rPr>
            </w:pPr>
            <w:r w:rsidRPr="001A2112">
              <w:rPr>
                <w:b/>
                <w:bCs w:val="0"/>
              </w:rPr>
              <w:t>N=145</w:t>
            </w:r>
          </w:p>
        </w:tc>
        <w:tc>
          <w:tcPr>
            <w:tcW w:w="899" w:type="pct"/>
          </w:tcPr>
          <w:p w14:paraId="41AC7C3D" w14:textId="77777777" w:rsidR="007B03F7" w:rsidRPr="001A2112" w:rsidRDefault="007B03F7">
            <w:pPr>
              <w:pStyle w:val="TableText0"/>
              <w:jc w:val="center"/>
              <w:rPr>
                <w:b/>
                <w:bCs w:val="0"/>
              </w:rPr>
            </w:pPr>
            <w:r w:rsidRPr="001A2112">
              <w:rPr>
                <w:b/>
                <w:bCs w:val="0"/>
              </w:rPr>
              <w:t>R-ICE and R-DHAP</w:t>
            </w:r>
          </w:p>
          <w:p w14:paraId="1126F9BE" w14:textId="77777777" w:rsidR="007B03F7" w:rsidRPr="001A2112" w:rsidRDefault="007B03F7">
            <w:pPr>
              <w:pStyle w:val="TableText0"/>
              <w:jc w:val="center"/>
              <w:rPr>
                <w:b/>
                <w:bCs w:val="0"/>
              </w:rPr>
            </w:pPr>
            <w:r w:rsidRPr="001A2112">
              <w:rPr>
                <w:b/>
                <w:bCs w:val="0"/>
              </w:rPr>
              <w:t>CORAL RCT</w:t>
            </w:r>
          </w:p>
          <w:p w14:paraId="1F47AFBD" w14:textId="77777777" w:rsidR="007B03F7" w:rsidRPr="001A2112" w:rsidRDefault="007B03F7">
            <w:pPr>
              <w:pStyle w:val="TableText0"/>
              <w:jc w:val="center"/>
              <w:rPr>
                <w:b/>
                <w:bCs w:val="0"/>
              </w:rPr>
            </w:pPr>
            <w:r w:rsidRPr="001A2112">
              <w:rPr>
                <w:b/>
                <w:bCs w:val="0"/>
              </w:rPr>
              <w:t>2L</w:t>
            </w:r>
          </w:p>
          <w:p w14:paraId="1C2DA49A" w14:textId="77777777" w:rsidR="007B03F7" w:rsidRPr="001A2112" w:rsidRDefault="007B03F7">
            <w:pPr>
              <w:pStyle w:val="TableText0"/>
              <w:jc w:val="center"/>
              <w:rPr>
                <w:b/>
                <w:bCs w:val="0"/>
              </w:rPr>
            </w:pPr>
            <w:r w:rsidRPr="001A2112">
              <w:rPr>
                <w:b/>
                <w:bCs w:val="0"/>
              </w:rPr>
              <w:t>N=388</w:t>
            </w:r>
          </w:p>
        </w:tc>
        <w:tc>
          <w:tcPr>
            <w:tcW w:w="794" w:type="pct"/>
          </w:tcPr>
          <w:p w14:paraId="1E10719A" w14:textId="77777777" w:rsidR="007B03F7" w:rsidRPr="001A2112" w:rsidRDefault="007B03F7">
            <w:pPr>
              <w:pStyle w:val="TableText0"/>
              <w:jc w:val="center"/>
              <w:rPr>
                <w:b/>
                <w:bCs w:val="0"/>
              </w:rPr>
            </w:pPr>
            <w:r w:rsidRPr="001A2112">
              <w:rPr>
                <w:b/>
                <w:bCs w:val="0"/>
              </w:rPr>
              <w:t>R-</w:t>
            </w:r>
            <w:proofErr w:type="spellStart"/>
            <w:r w:rsidRPr="001A2112">
              <w:rPr>
                <w:b/>
                <w:bCs w:val="0"/>
              </w:rPr>
              <w:t>GemOx</w:t>
            </w:r>
            <w:proofErr w:type="spellEnd"/>
          </w:p>
          <w:p w14:paraId="77E2E99F" w14:textId="77777777" w:rsidR="007B03F7" w:rsidRPr="001A2112" w:rsidRDefault="007B03F7">
            <w:pPr>
              <w:pStyle w:val="TableText0"/>
              <w:jc w:val="center"/>
              <w:rPr>
                <w:b/>
                <w:bCs w:val="0"/>
                <w:vertAlign w:val="superscript"/>
              </w:rPr>
            </w:pPr>
            <w:r w:rsidRPr="001A2112">
              <w:rPr>
                <w:b/>
                <w:bCs w:val="0"/>
              </w:rPr>
              <w:t xml:space="preserve">STARGLO </w:t>
            </w:r>
            <w:proofErr w:type="spellStart"/>
            <w:r w:rsidRPr="001A2112">
              <w:rPr>
                <w:b/>
                <w:bCs w:val="0"/>
              </w:rPr>
              <w:t>RCT</w:t>
            </w:r>
            <w:r w:rsidRPr="001A2112">
              <w:rPr>
                <w:b/>
                <w:bCs w:val="0"/>
                <w:vertAlign w:val="superscript"/>
              </w:rPr>
              <w:t>a</w:t>
            </w:r>
            <w:proofErr w:type="spellEnd"/>
          </w:p>
          <w:p w14:paraId="5729804E" w14:textId="77777777" w:rsidR="007B03F7" w:rsidRPr="001A2112" w:rsidRDefault="007B03F7">
            <w:pPr>
              <w:pStyle w:val="TableText0"/>
              <w:jc w:val="center"/>
              <w:rPr>
                <w:b/>
                <w:bCs w:val="0"/>
              </w:rPr>
            </w:pPr>
            <w:r w:rsidRPr="001A2112">
              <w:rPr>
                <w:b/>
                <w:bCs w:val="0"/>
              </w:rPr>
              <w:t>2L+</w:t>
            </w:r>
          </w:p>
          <w:p w14:paraId="6E2C20CD" w14:textId="77777777" w:rsidR="007B03F7" w:rsidRPr="001A2112" w:rsidRDefault="007B03F7">
            <w:pPr>
              <w:pStyle w:val="TableText0"/>
              <w:jc w:val="center"/>
              <w:rPr>
                <w:b/>
                <w:bCs w:val="0"/>
              </w:rPr>
            </w:pPr>
            <w:r w:rsidRPr="001A2112">
              <w:rPr>
                <w:b/>
                <w:bCs w:val="0"/>
              </w:rPr>
              <w:t>N=88</w:t>
            </w:r>
          </w:p>
        </w:tc>
        <w:tc>
          <w:tcPr>
            <w:tcW w:w="794" w:type="pct"/>
          </w:tcPr>
          <w:p w14:paraId="2DF34AF7" w14:textId="77777777" w:rsidR="007B03F7" w:rsidRPr="001A2112" w:rsidRDefault="007B03F7">
            <w:pPr>
              <w:pStyle w:val="TableText0"/>
              <w:jc w:val="center"/>
              <w:rPr>
                <w:b/>
                <w:bCs w:val="0"/>
              </w:rPr>
            </w:pPr>
            <w:r w:rsidRPr="001A2112">
              <w:rPr>
                <w:b/>
                <w:bCs w:val="0"/>
              </w:rPr>
              <w:t>R-</w:t>
            </w:r>
            <w:proofErr w:type="spellStart"/>
            <w:r w:rsidRPr="001A2112">
              <w:rPr>
                <w:b/>
                <w:bCs w:val="0"/>
              </w:rPr>
              <w:t>GemOx</w:t>
            </w:r>
            <w:proofErr w:type="spellEnd"/>
          </w:p>
          <w:p w14:paraId="698FAE2F" w14:textId="77777777" w:rsidR="007B03F7" w:rsidRPr="001A2112" w:rsidRDefault="007B03F7">
            <w:pPr>
              <w:pStyle w:val="TableText0"/>
              <w:jc w:val="center"/>
              <w:rPr>
                <w:b/>
                <w:bCs w:val="0"/>
              </w:rPr>
            </w:pPr>
            <w:r w:rsidRPr="001A2112">
              <w:rPr>
                <w:b/>
                <w:bCs w:val="0"/>
              </w:rPr>
              <w:t>STARGLO RCT</w:t>
            </w:r>
          </w:p>
          <w:p w14:paraId="481A33B7" w14:textId="77777777" w:rsidR="007B03F7" w:rsidRPr="001A2112" w:rsidRDefault="007B03F7">
            <w:pPr>
              <w:pStyle w:val="TableText0"/>
              <w:jc w:val="center"/>
              <w:rPr>
                <w:b/>
                <w:bCs w:val="0"/>
              </w:rPr>
            </w:pPr>
            <w:r w:rsidRPr="001A2112">
              <w:rPr>
                <w:b/>
                <w:bCs w:val="0"/>
              </w:rPr>
              <w:t>3L+ subgroup</w:t>
            </w:r>
          </w:p>
          <w:p w14:paraId="303EC9E0" w14:textId="77777777" w:rsidR="007B03F7" w:rsidRPr="001A2112" w:rsidRDefault="007B03F7">
            <w:pPr>
              <w:pStyle w:val="TableText0"/>
              <w:jc w:val="center"/>
              <w:rPr>
                <w:b/>
                <w:bCs w:val="0"/>
              </w:rPr>
            </w:pPr>
            <w:r w:rsidRPr="001A2112">
              <w:rPr>
                <w:b/>
                <w:bCs w:val="0"/>
              </w:rPr>
              <w:t>n=33</w:t>
            </w:r>
          </w:p>
        </w:tc>
      </w:tr>
      <w:tr w:rsidR="007B03F7" w:rsidRPr="001A2112" w14:paraId="0543180B" w14:textId="77777777">
        <w:trPr>
          <w:trHeight w:val="283"/>
        </w:trPr>
        <w:tc>
          <w:tcPr>
            <w:tcW w:w="1727" w:type="pct"/>
            <w:vAlign w:val="center"/>
          </w:tcPr>
          <w:p w14:paraId="0E40454A" w14:textId="77777777" w:rsidR="007B03F7" w:rsidRPr="001A2112" w:rsidRDefault="007B03F7">
            <w:pPr>
              <w:pStyle w:val="TableText0"/>
            </w:pPr>
            <w:r w:rsidRPr="001A2112">
              <w:t>Any TEAE</w:t>
            </w:r>
          </w:p>
        </w:tc>
        <w:tc>
          <w:tcPr>
            <w:tcW w:w="786" w:type="pct"/>
            <w:vAlign w:val="center"/>
          </w:tcPr>
          <w:p w14:paraId="52AEE4F3" w14:textId="77777777" w:rsidR="007B03F7" w:rsidRPr="001A2112" w:rsidRDefault="007B03F7">
            <w:pPr>
              <w:pStyle w:val="TableText0"/>
              <w:jc w:val="center"/>
            </w:pPr>
            <w:r w:rsidRPr="001A2112">
              <w:t>143 (98.6)</w:t>
            </w:r>
          </w:p>
        </w:tc>
        <w:tc>
          <w:tcPr>
            <w:tcW w:w="899" w:type="pct"/>
            <w:vAlign w:val="center"/>
          </w:tcPr>
          <w:p w14:paraId="1A92198B" w14:textId="77777777" w:rsidR="007B03F7" w:rsidRPr="001A2112" w:rsidRDefault="007B03F7">
            <w:pPr>
              <w:pStyle w:val="TableText0"/>
              <w:jc w:val="center"/>
            </w:pPr>
            <w:r w:rsidRPr="001A2112">
              <w:t>NR</w:t>
            </w:r>
          </w:p>
        </w:tc>
        <w:tc>
          <w:tcPr>
            <w:tcW w:w="794" w:type="pct"/>
            <w:vAlign w:val="center"/>
          </w:tcPr>
          <w:p w14:paraId="71EAA61C" w14:textId="77777777" w:rsidR="007B03F7" w:rsidRPr="001A2112" w:rsidRDefault="007B03F7">
            <w:pPr>
              <w:pStyle w:val="TableText0"/>
              <w:jc w:val="center"/>
            </w:pPr>
            <w:r w:rsidRPr="001A2112">
              <w:t>84 (95.5)</w:t>
            </w:r>
          </w:p>
        </w:tc>
        <w:tc>
          <w:tcPr>
            <w:tcW w:w="794" w:type="pct"/>
            <w:vAlign w:val="center"/>
          </w:tcPr>
          <w:p w14:paraId="51F37E5A" w14:textId="77777777" w:rsidR="007B03F7" w:rsidRPr="001A2112" w:rsidRDefault="007B03F7">
            <w:pPr>
              <w:pStyle w:val="TableText0"/>
              <w:jc w:val="center"/>
            </w:pPr>
            <w:r w:rsidRPr="001A2112">
              <w:t>30 (90.9)</w:t>
            </w:r>
          </w:p>
        </w:tc>
      </w:tr>
      <w:tr w:rsidR="007B03F7" w:rsidRPr="001A2112" w14:paraId="602C688F" w14:textId="77777777">
        <w:trPr>
          <w:trHeight w:val="283"/>
        </w:trPr>
        <w:tc>
          <w:tcPr>
            <w:tcW w:w="1727" w:type="pct"/>
            <w:vAlign w:val="center"/>
          </w:tcPr>
          <w:p w14:paraId="79FE0D33" w14:textId="77777777" w:rsidR="007B03F7" w:rsidRPr="001A2112" w:rsidRDefault="007B03F7">
            <w:pPr>
              <w:pStyle w:val="TableText0"/>
              <w:ind w:left="170"/>
            </w:pPr>
            <w:r w:rsidRPr="001A2112">
              <w:t>Grade ≥ 3 TEAE</w:t>
            </w:r>
          </w:p>
        </w:tc>
        <w:tc>
          <w:tcPr>
            <w:tcW w:w="786" w:type="pct"/>
            <w:vAlign w:val="center"/>
          </w:tcPr>
          <w:p w14:paraId="224D4801" w14:textId="77777777" w:rsidR="007B03F7" w:rsidRPr="001A2112" w:rsidRDefault="007B03F7">
            <w:pPr>
              <w:pStyle w:val="TableText0"/>
              <w:jc w:val="center"/>
            </w:pPr>
            <w:r w:rsidRPr="001A2112">
              <w:t>107 (73.8)</w:t>
            </w:r>
          </w:p>
        </w:tc>
        <w:tc>
          <w:tcPr>
            <w:tcW w:w="899" w:type="pct"/>
            <w:vAlign w:val="center"/>
          </w:tcPr>
          <w:p w14:paraId="09D00630" w14:textId="77777777" w:rsidR="007B03F7" w:rsidRPr="001A2112" w:rsidRDefault="007B03F7">
            <w:pPr>
              <w:pStyle w:val="TableText0"/>
              <w:jc w:val="center"/>
            </w:pPr>
            <w:r w:rsidRPr="001A2112">
              <w:t>NR</w:t>
            </w:r>
          </w:p>
        </w:tc>
        <w:tc>
          <w:tcPr>
            <w:tcW w:w="794" w:type="pct"/>
            <w:vAlign w:val="center"/>
          </w:tcPr>
          <w:p w14:paraId="0C8A1F48" w14:textId="77777777" w:rsidR="007B03F7" w:rsidRPr="001A2112" w:rsidRDefault="007B03F7">
            <w:pPr>
              <w:pStyle w:val="TableText0"/>
              <w:jc w:val="center"/>
            </w:pPr>
            <w:r w:rsidRPr="001A2112">
              <w:t>36 (40.1)</w:t>
            </w:r>
          </w:p>
        </w:tc>
        <w:tc>
          <w:tcPr>
            <w:tcW w:w="794" w:type="pct"/>
            <w:vAlign w:val="center"/>
          </w:tcPr>
          <w:p w14:paraId="29DEB758" w14:textId="77777777" w:rsidR="007B03F7" w:rsidRPr="001A2112" w:rsidRDefault="007B03F7">
            <w:pPr>
              <w:pStyle w:val="TableText0"/>
              <w:jc w:val="center"/>
            </w:pPr>
            <w:r w:rsidRPr="001A2112">
              <w:t>13 (39.4)</w:t>
            </w:r>
          </w:p>
        </w:tc>
      </w:tr>
      <w:tr w:rsidR="007B03F7" w:rsidRPr="001A2112" w14:paraId="5C56A01F" w14:textId="77777777">
        <w:trPr>
          <w:trHeight w:val="283"/>
        </w:trPr>
        <w:tc>
          <w:tcPr>
            <w:tcW w:w="1727" w:type="pct"/>
            <w:vAlign w:val="center"/>
          </w:tcPr>
          <w:p w14:paraId="22B41BA1" w14:textId="77777777" w:rsidR="007B03F7" w:rsidRPr="001A2112" w:rsidRDefault="007B03F7">
            <w:pPr>
              <w:pStyle w:val="TableText0"/>
              <w:ind w:left="170"/>
            </w:pPr>
            <w:r w:rsidRPr="001A2112">
              <w:t>Serious TEAE</w:t>
            </w:r>
          </w:p>
        </w:tc>
        <w:tc>
          <w:tcPr>
            <w:tcW w:w="786" w:type="pct"/>
            <w:vAlign w:val="center"/>
          </w:tcPr>
          <w:p w14:paraId="7294B59E" w14:textId="77777777" w:rsidR="007B03F7" w:rsidRPr="001A2112" w:rsidRDefault="007B03F7">
            <w:pPr>
              <w:pStyle w:val="TableText0"/>
              <w:jc w:val="center"/>
            </w:pPr>
            <w:r w:rsidRPr="001A2112">
              <w:t>57 (39.3)</w:t>
            </w:r>
          </w:p>
        </w:tc>
        <w:tc>
          <w:tcPr>
            <w:tcW w:w="899" w:type="pct"/>
            <w:vAlign w:val="center"/>
          </w:tcPr>
          <w:p w14:paraId="4E086F33" w14:textId="77777777" w:rsidR="007B03F7" w:rsidRPr="001A2112" w:rsidRDefault="007B03F7">
            <w:pPr>
              <w:pStyle w:val="TableText0"/>
              <w:jc w:val="center"/>
            </w:pPr>
            <w:r w:rsidRPr="001A2112">
              <w:t>126 (32.5)</w:t>
            </w:r>
          </w:p>
        </w:tc>
        <w:tc>
          <w:tcPr>
            <w:tcW w:w="794" w:type="pct"/>
            <w:vAlign w:val="center"/>
          </w:tcPr>
          <w:p w14:paraId="349EDAA9" w14:textId="77777777" w:rsidR="007B03F7" w:rsidRPr="001A2112" w:rsidRDefault="007B03F7">
            <w:pPr>
              <w:pStyle w:val="TableText0"/>
              <w:jc w:val="center"/>
            </w:pPr>
            <w:r w:rsidRPr="001A2112">
              <w:t>15 (17.0)</w:t>
            </w:r>
          </w:p>
        </w:tc>
        <w:tc>
          <w:tcPr>
            <w:tcW w:w="794" w:type="pct"/>
            <w:vAlign w:val="center"/>
          </w:tcPr>
          <w:p w14:paraId="4D3744C9" w14:textId="77777777" w:rsidR="007B03F7" w:rsidRPr="001A2112" w:rsidRDefault="007B03F7">
            <w:pPr>
              <w:pStyle w:val="TableText0"/>
              <w:jc w:val="center"/>
            </w:pPr>
            <w:r w:rsidRPr="001A2112">
              <w:t>NR</w:t>
            </w:r>
          </w:p>
        </w:tc>
      </w:tr>
      <w:tr w:rsidR="007B03F7" w:rsidRPr="001A2112" w14:paraId="3DB20BE8" w14:textId="77777777">
        <w:trPr>
          <w:trHeight w:val="283"/>
        </w:trPr>
        <w:tc>
          <w:tcPr>
            <w:tcW w:w="1727" w:type="pct"/>
            <w:vAlign w:val="center"/>
          </w:tcPr>
          <w:p w14:paraId="02499B95" w14:textId="77777777" w:rsidR="007B03F7" w:rsidRPr="001A2112" w:rsidRDefault="007B03F7">
            <w:pPr>
              <w:pStyle w:val="TableText0"/>
              <w:ind w:left="170"/>
            </w:pPr>
            <w:r w:rsidRPr="001A2112">
              <w:t>TEAE leading to discontinuation</w:t>
            </w:r>
          </w:p>
        </w:tc>
        <w:tc>
          <w:tcPr>
            <w:tcW w:w="786" w:type="pct"/>
            <w:vAlign w:val="center"/>
          </w:tcPr>
          <w:p w14:paraId="5CE26032" w14:textId="77777777" w:rsidR="007B03F7" w:rsidRPr="001A2112" w:rsidRDefault="007B03F7">
            <w:pPr>
              <w:pStyle w:val="TableText0"/>
              <w:jc w:val="center"/>
            </w:pPr>
            <w:r w:rsidRPr="001A2112">
              <w:t>36 (24.8)</w:t>
            </w:r>
          </w:p>
        </w:tc>
        <w:tc>
          <w:tcPr>
            <w:tcW w:w="899" w:type="pct"/>
            <w:vAlign w:val="center"/>
          </w:tcPr>
          <w:p w14:paraId="7391396D" w14:textId="77777777" w:rsidR="007B03F7" w:rsidRPr="001A2112" w:rsidRDefault="007B03F7">
            <w:pPr>
              <w:pStyle w:val="TableText0"/>
              <w:jc w:val="center"/>
            </w:pPr>
            <w:r w:rsidRPr="001A2112">
              <w:t>NR</w:t>
            </w:r>
          </w:p>
        </w:tc>
        <w:tc>
          <w:tcPr>
            <w:tcW w:w="794" w:type="pct"/>
            <w:vAlign w:val="center"/>
          </w:tcPr>
          <w:p w14:paraId="25550495" w14:textId="77777777" w:rsidR="007B03F7" w:rsidRPr="001A2112" w:rsidRDefault="007B03F7">
            <w:pPr>
              <w:pStyle w:val="TableText0"/>
              <w:jc w:val="center"/>
            </w:pPr>
            <w:r w:rsidRPr="001A2112">
              <w:t>11 (12.5)</w:t>
            </w:r>
          </w:p>
        </w:tc>
        <w:tc>
          <w:tcPr>
            <w:tcW w:w="794" w:type="pct"/>
            <w:vAlign w:val="center"/>
          </w:tcPr>
          <w:p w14:paraId="499D96E1" w14:textId="77777777" w:rsidR="007B03F7" w:rsidRPr="001A2112" w:rsidRDefault="007B03F7">
            <w:pPr>
              <w:pStyle w:val="TableText0"/>
              <w:jc w:val="center"/>
            </w:pPr>
            <w:r w:rsidRPr="001A2112">
              <w:t>NR</w:t>
            </w:r>
          </w:p>
        </w:tc>
      </w:tr>
      <w:tr w:rsidR="007B03F7" w:rsidRPr="001A2112" w14:paraId="57CA0634" w14:textId="77777777">
        <w:trPr>
          <w:trHeight w:val="283"/>
        </w:trPr>
        <w:tc>
          <w:tcPr>
            <w:tcW w:w="1727" w:type="pct"/>
            <w:vAlign w:val="center"/>
          </w:tcPr>
          <w:p w14:paraId="727F98C6" w14:textId="77777777" w:rsidR="007B03F7" w:rsidRPr="001A2112" w:rsidRDefault="007B03F7">
            <w:pPr>
              <w:pStyle w:val="TableText0"/>
              <w:ind w:left="170"/>
            </w:pPr>
            <w:r w:rsidRPr="001A2112">
              <w:t>TEAE leading to death</w:t>
            </w:r>
          </w:p>
        </w:tc>
        <w:tc>
          <w:tcPr>
            <w:tcW w:w="786" w:type="pct"/>
            <w:vAlign w:val="center"/>
          </w:tcPr>
          <w:p w14:paraId="2414C770" w14:textId="77777777" w:rsidR="007B03F7" w:rsidRPr="001A2112" w:rsidRDefault="007B03F7">
            <w:pPr>
              <w:pStyle w:val="TableText0"/>
              <w:jc w:val="center"/>
            </w:pPr>
            <w:r w:rsidRPr="001A2112">
              <w:t>8 (5.5)</w:t>
            </w:r>
          </w:p>
        </w:tc>
        <w:tc>
          <w:tcPr>
            <w:tcW w:w="899" w:type="pct"/>
            <w:vAlign w:val="center"/>
          </w:tcPr>
          <w:p w14:paraId="4C33CF8E" w14:textId="77777777" w:rsidR="007B03F7" w:rsidRPr="001A2112" w:rsidRDefault="007B03F7">
            <w:pPr>
              <w:pStyle w:val="TableText0"/>
              <w:jc w:val="center"/>
            </w:pPr>
            <w:r w:rsidRPr="001A2112">
              <w:t>NR</w:t>
            </w:r>
          </w:p>
        </w:tc>
        <w:tc>
          <w:tcPr>
            <w:tcW w:w="794" w:type="pct"/>
            <w:vAlign w:val="center"/>
          </w:tcPr>
          <w:p w14:paraId="7AAE5971" w14:textId="77777777" w:rsidR="007B03F7" w:rsidRPr="001A2112" w:rsidRDefault="007B03F7">
            <w:pPr>
              <w:pStyle w:val="TableText0"/>
              <w:jc w:val="center"/>
            </w:pPr>
            <w:r w:rsidRPr="001A2112">
              <w:t>4 (4.5)</w:t>
            </w:r>
          </w:p>
        </w:tc>
        <w:tc>
          <w:tcPr>
            <w:tcW w:w="794" w:type="pct"/>
            <w:vAlign w:val="center"/>
          </w:tcPr>
          <w:p w14:paraId="0DAA429C" w14:textId="77777777" w:rsidR="007B03F7" w:rsidRPr="001A2112" w:rsidRDefault="007B03F7">
            <w:pPr>
              <w:pStyle w:val="TableText0"/>
              <w:jc w:val="center"/>
            </w:pPr>
            <w:r w:rsidRPr="001A2112">
              <w:t>3 (9.1)</w:t>
            </w:r>
          </w:p>
        </w:tc>
      </w:tr>
      <w:tr w:rsidR="007B03F7" w:rsidRPr="001A2112" w14:paraId="1885C988" w14:textId="77777777">
        <w:trPr>
          <w:trHeight w:val="283"/>
        </w:trPr>
        <w:tc>
          <w:tcPr>
            <w:tcW w:w="1727" w:type="pct"/>
            <w:vAlign w:val="center"/>
          </w:tcPr>
          <w:p w14:paraId="7C5CE72F" w14:textId="77777777" w:rsidR="007B03F7" w:rsidRPr="001A2112" w:rsidRDefault="007B03F7">
            <w:pPr>
              <w:pStyle w:val="TableText0"/>
            </w:pPr>
            <w:r w:rsidRPr="001A2112">
              <w:t>Any TRAE</w:t>
            </w:r>
          </w:p>
        </w:tc>
        <w:tc>
          <w:tcPr>
            <w:tcW w:w="786" w:type="pct"/>
            <w:vAlign w:val="center"/>
          </w:tcPr>
          <w:p w14:paraId="131DDE4D" w14:textId="77777777" w:rsidR="007B03F7" w:rsidRPr="001A2112" w:rsidRDefault="007B03F7">
            <w:pPr>
              <w:pStyle w:val="TableText0"/>
              <w:jc w:val="center"/>
            </w:pPr>
            <w:r w:rsidRPr="001A2112">
              <w:t>118 (81.4)</w:t>
            </w:r>
          </w:p>
        </w:tc>
        <w:tc>
          <w:tcPr>
            <w:tcW w:w="899" w:type="pct"/>
            <w:vAlign w:val="center"/>
          </w:tcPr>
          <w:p w14:paraId="7BE5FCEC" w14:textId="77777777" w:rsidR="007B03F7" w:rsidRPr="001A2112" w:rsidRDefault="007B03F7">
            <w:pPr>
              <w:pStyle w:val="TableText0"/>
              <w:jc w:val="center"/>
            </w:pPr>
            <w:r w:rsidRPr="001A2112">
              <w:t>NR</w:t>
            </w:r>
          </w:p>
        </w:tc>
        <w:tc>
          <w:tcPr>
            <w:tcW w:w="794" w:type="pct"/>
            <w:vAlign w:val="center"/>
          </w:tcPr>
          <w:p w14:paraId="4124D87B" w14:textId="77777777" w:rsidR="007B03F7" w:rsidRPr="001A2112" w:rsidRDefault="007B03F7">
            <w:pPr>
              <w:pStyle w:val="TableText0"/>
              <w:jc w:val="center"/>
            </w:pPr>
            <w:r w:rsidRPr="001A2112">
              <w:t>58 (65.9)</w:t>
            </w:r>
          </w:p>
        </w:tc>
        <w:tc>
          <w:tcPr>
            <w:tcW w:w="794" w:type="pct"/>
            <w:vAlign w:val="center"/>
          </w:tcPr>
          <w:p w14:paraId="3D91AC25" w14:textId="77777777" w:rsidR="007B03F7" w:rsidRPr="001A2112" w:rsidRDefault="007B03F7">
            <w:pPr>
              <w:pStyle w:val="TableText0"/>
              <w:jc w:val="center"/>
            </w:pPr>
            <w:r w:rsidRPr="001A2112">
              <w:t>NR</w:t>
            </w:r>
          </w:p>
        </w:tc>
      </w:tr>
      <w:tr w:rsidR="007B03F7" w:rsidRPr="001A2112" w14:paraId="59A69750" w14:textId="77777777">
        <w:trPr>
          <w:trHeight w:val="283"/>
        </w:trPr>
        <w:tc>
          <w:tcPr>
            <w:tcW w:w="1727" w:type="pct"/>
            <w:vAlign w:val="center"/>
          </w:tcPr>
          <w:p w14:paraId="5F9121D3" w14:textId="77777777" w:rsidR="007B03F7" w:rsidRPr="001A2112" w:rsidRDefault="007B03F7">
            <w:pPr>
              <w:pStyle w:val="TableText0"/>
              <w:ind w:left="170"/>
            </w:pPr>
            <w:r w:rsidRPr="001A2112">
              <w:t>Grade ≥ 3 TRAE</w:t>
            </w:r>
          </w:p>
        </w:tc>
        <w:tc>
          <w:tcPr>
            <w:tcW w:w="786" w:type="pct"/>
            <w:vAlign w:val="center"/>
          </w:tcPr>
          <w:p w14:paraId="5DCB7710" w14:textId="77777777" w:rsidR="007B03F7" w:rsidRPr="001A2112" w:rsidRDefault="007B03F7">
            <w:pPr>
              <w:pStyle w:val="TableText0"/>
              <w:jc w:val="center"/>
            </w:pPr>
            <w:r w:rsidRPr="001A2112">
              <w:t>75 (51.7)</w:t>
            </w:r>
          </w:p>
        </w:tc>
        <w:tc>
          <w:tcPr>
            <w:tcW w:w="899" w:type="pct"/>
            <w:vAlign w:val="center"/>
          </w:tcPr>
          <w:p w14:paraId="61A391BA" w14:textId="77777777" w:rsidR="007B03F7" w:rsidRPr="001A2112" w:rsidRDefault="007B03F7">
            <w:pPr>
              <w:pStyle w:val="TableText0"/>
              <w:jc w:val="center"/>
            </w:pPr>
            <w:r w:rsidRPr="001A2112">
              <w:t>NR</w:t>
            </w:r>
          </w:p>
        </w:tc>
        <w:tc>
          <w:tcPr>
            <w:tcW w:w="794" w:type="pct"/>
            <w:vAlign w:val="center"/>
          </w:tcPr>
          <w:p w14:paraId="5B1A8282" w14:textId="77777777" w:rsidR="007B03F7" w:rsidRPr="001A2112" w:rsidRDefault="007B03F7">
            <w:pPr>
              <w:pStyle w:val="TableText0"/>
              <w:jc w:val="center"/>
            </w:pPr>
            <w:r w:rsidRPr="001A2112">
              <w:t>20 (22.7)</w:t>
            </w:r>
          </w:p>
        </w:tc>
        <w:tc>
          <w:tcPr>
            <w:tcW w:w="794" w:type="pct"/>
            <w:vAlign w:val="center"/>
          </w:tcPr>
          <w:p w14:paraId="230D8B52" w14:textId="77777777" w:rsidR="007B03F7" w:rsidRPr="001A2112" w:rsidRDefault="007B03F7">
            <w:pPr>
              <w:pStyle w:val="TableText0"/>
              <w:jc w:val="center"/>
            </w:pPr>
            <w:r w:rsidRPr="001A2112">
              <w:t>NR</w:t>
            </w:r>
          </w:p>
        </w:tc>
      </w:tr>
      <w:tr w:rsidR="007B03F7" w:rsidRPr="001A2112" w14:paraId="01A362A6" w14:textId="77777777">
        <w:trPr>
          <w:trHeight w:val="283"/>
        </w:trPr>
        <w:tc>
          <w:tcPr>
            <w:tcW w:w="1727" w:type="pct"/>
            <w:vAlign w:val="center"/>
          </w:tcPr>
          <w:p w14:paraId="6707BFB0" w14:textId="77777777" w:rsidR="007B03F7" w:rsidRPr="001A2112" w:rsidRDefault="007B03F7">
            <w:pPr>
              <w:pStyle w:val="TableText0"/>
              <w:ind w:left="170"/>
            </w:pPr>
            <w:r w:rsidRPr="001A2112">
              <w:t>Serious TRAE</w:t>
            </w:r>
          </w:p>
        </w:tc>
        <w:tc>
          <w:tcPr>
            <w:tcW w:w="786" w:type="pct"/>
            <w:vAlign w:val="center"/>
          </w:tcPr>
          <w:p w14:paraId="2F51A4CC" w14:textId="77777777" w:rsidR="007B03F7" w:rsidRPr="001A2112" w:rsidRDefault="007B03F7">
            <w:pPr>
              <w:pStyle w:val="TableText0"/>
              <w:jc w:val="center"/>
            </w:pPr>
            <w:r w:rsidRPr="001A2112">
              <w:t>22 (15.2)</w:t>
            </w:r>
          </w:p>
        </w:tc>
        <w:tc>
          <w:tcPr>
            <w:tcW w:w="899" w:type="pct"/>
            <w:vAlign w:val="center"/>
          </w:tcPr>
          <w:p w14:paraId="6A2BE220" w14:textId="77777777" w:rsidR="007B03F7" w:rsidRPr="001A2112" w:rsidRDefault="007B03F7">
            <w:pPr>
              <w:pStyle w:val="TableText0"/>
              <w:jc w:val="center"/>
            </w:pPr>
            <w:r w:rsidRPr="001A2112">
              <w:t>NR</w:t>
            </w:r>
          </w:p>
        </w:tc>
        <w:tc>
          <w:tcPr>
            <w:tcW w:w="794" w:type="pct"/>
            <w:vAlign w:val="center"/>
          </w:tcPr>
          <w:p w14:paraId="308ED26C" w14:textId="77777777" w:rsidR="007B03F7" w:rsidRPr="001A2112" w:rsidRDefault="007B03F7">
            <w:pPr>
              <w:pStyle w:val="TableText0"/>
              <w:jc w:val="center"/>
            </w:pPr>
            <w:r w:rsidRPr="001A2112">
              <w:t>7 (8.0)</w:t>
            </w:r>
          </w:p>
        </w:tc>
        <w:tc>
          <w:tcPr>
            <w:tcW w:w="794" w:type="pct"/>
            <w:vAlign w:val="center"/>
          </w:tcPr>
          <w:p w14:paraId="722B492E" w14:textId="77777777" w:rsidR="007B03F7" w:rsidRPr="001A2112" w:rsidRDefault="007B03F7">
            <w:pPr>
              <w:pStyle w:val="TableText0"/>
              <w:jc w:val="center"/>
            </w:pPr>
            <w:r w:rsidRPr="001A2112">
              <w:t>NR</w:t>
            </w:r>
          </w:p>
        </w:tc>
      </w:tr>
      <w:tr w:rsidR="007B03F7" w:rsidRPr="001A2112" w14:paraId="03407628" w14:textId="77777777">
        <w:trPr>
          <w:trHeight w:val="283"/>
        </w:trPr>
        <w:tc>
          <w:tcPr>
            <w:tcW w:w="1727" w:type="pct"/>
            <w:vAlign w:val="center"/>
          </w:tcPr>
          <w:p w14:paraId="740C345F" w14:textId="77777777" w:rsidR="007B03F7" w:rsidRPr="001A2112" w:rsidRDefault="007B03F7">
            <w:pPr>
              <w:pStyle w:val="TableText0"/>
              <w:ind w:left="170"/>
            </w:pPr>
            <w:r w:rsidRPr="001A2112">
              <w:t>TRAE leading to death</w:t>
            </w:r>
          </w:p>
        </w:tc>
        <w:tc>
          <w:tcPr>
            <w:tcW w:w="786" w:type="pct"/>
            <w:vAlign w:val="center"/>
          </w:tcPr>
          <w:p w14:paraId="134217F4" w14:textId="77777777" w:rsidR="007B03F7" w:rsidRPr="001A2112" w:rsidRDefault="007B03F7">
            <w:pPr>
              <w:pStyle w:val="TableText0"/>
              <w:jc w:val="center"/>
            </w:pPr>
            <w:r w:rsidRPr="001A2112">
              <w:t>0</w:t>
            </w:r>
          </w:p>
        </w:tc>
        <w:tc>
          <w:tcPr>
            <w:tcW w:w="899" w:type="pct"/>
            <w:vAlign w:val="center"/>
          </w:tcPr>
          <w:p w14:paraId="699D98D2" w14:textId="77777777" w:rsidR="007B03F7" w:rsidRPr="001A2112" w:rsidRDefault="007B03F7">
            <w:pPr>
              <w:pStyle w:val="TableText0"/>
              <w:jc w:val="center"/>
            </w:pPr>
            <w:r w:rsidRPr="001A2112">
              <w:t>4 (1.0)</w:t>
            </w:r>
          </w:p>
        </w:tc>
        <w:tc>
          <w:tcPr>
            <w:tcW w:w="794" w:type="pct"/>
            <w:vAlign w:val="center"/>
          </w:tcPr>
          <w:p w14:paraId="5DFC9E6F" w14:textId="77777777" w:rsidR="007B03F7" w:rsidRPr="001A2112" w:rsidRDefault="007B03F7">
            <w:pPr>
              <w:pStyle w:val="TableText0"/>
              <w:jc w:val="center"/>
            </w:pPr>
            <w:r w:rsidRPr="001A2112">
              <w:t>1 (1.1)</w:t>
            </w:r>
          </w:p>
        </w:tc>
        <w:tc>
          <w:tcPr>
            <w:tcW w:w="794" w:type="pct"/>
            <w:vAlign w:val="center"/>
          </w:tcPr>
          <w:p w14:paraId="3F56E29D" w14:textId="77777777" w:rsidR="007B03F7" w:rsidRPr="001A2112" w:rsidRDefault="007B03F7">
            <w:pPr>
              <w:pStyle w:val="TableText0"/>
              <w:jc w:val="center"/>
            </w:pPr>
            <w:r w:rsidRPr="001A2112">
              <w:t>NR</w:t>
            </w:r>
          </w:p>
        </w:tc>
      </w:tr>
      <w:tr w:rsidR="007B03F7" w:rsidRPr="001A2112" w14:paraId="67F857A3" w14:textId="77777777">
        <w:trPr>
          <w:trHeight w:val="283"/>
        </w:trPr>
        <w:tc>
          <w:tcPr>
            <w:tcW w:w="5000" w:type="pct"/>
            <w:gridSpan w:val="5"/>
            <w:vAlign w:val="center"/>
          </w:tcPr>
          <w:p w14:paraId="5B019D31" w14:textId="77777777" w:rsidR="007B03F7" w:rsidRPr="001A2112" w:rsidRDefault="007B03F7">
            <w:pPr>
              <w:pStyle w:val="TableText0"/>
            </w:pPr>
            <w:r w:rsidRPr="001A2112">
              <w:t>Most common Grade ≥ 3 TEAEs</w:t>
            </w:r>
          </w:p>
        </w:tc>
      </w:tr>
      <w:tr w:rsidR="007B03F7" w:rsidRPr="001A2112" w14:paraId="0CEABA51" w14:textId="77777777">
        <w:trPr>
          <w:trHeight w:val="283"/>
        </w:trPr>
        <w:tc>
          <w:tcPr>
            <w:tcW w:w="1727" w:type="pct"/>
            <w:vAlign w:val="center"/>
          </w:tcPr>
          <w:p w14:paraId="3D46FC34" w14:textId="77777777" w:rsidR="007B03F7" w:rsidRPr="001A2112" w:rsidRDefault="007B03F7">
            <w:pPr>
              <w:pStyle w:val="TableText0"/>
            </w:pPr>
            <w:r w:rsidRPr="001A2112">
              <w:t>Thrombocytopenia</w:t>
            </w:r>
          </w:p>
        </w:tc>
        <w:tc>
          <w:tcPr>
            <w:tcW w:w="786" w:type="pct"/>
            <w:vAlign w:val="center"/>
          </w:tcPr>
          <w:p w14:paraId="6746379F" w14:textId="77777777" w:rsidR="007B03F7" w:rsidRPr="001A2112" w:rsidRDefault="007B03F7">
            <w:pPr>
              <w:pStyle w:val="TableText0"/>
              <w:jc w:val="center"/>
            </w:pPr>
            <w:r w:rsidRPr="001A2112">
              <w:t>26 (17.9)</w:t>
            </w:r>
          </w:p>
        </w:tc>
        <w:tc>
          <w:tcPr>
            <w:tcW w:w="899" w:type="pct"/>
            <w:vAlign w:val="center"/>
          </w:tcPr>
          <w:p w14:paraId="0BD0BBB6" w14:textId="77777777" w:rsidR="007B03F7" w:rsidRPr="001A2112" w:rsidRDefault="007B03F7">
            <w:pPr>
              <w:pStyle w:val="TableText0"/>
              <w:jc w:val="center"/>
            </w:pPr>
            <w:r w:rsidRPr="001A2112">
              <w:t>NR</w:t>
            </w:r>
          </w:p>
        </w:tc>
        <w:tc>
          <w:tcPr>
            <w:tcW w:w="794" w:type="pct"/>
            <w:vAlign w:val="center"/>
          </w:tcPr>
          <w:p w14:paraId="61BDECA3" w14:textId="77777777" w:rsidR="007B03F7" w:rsidRPr="001A2112" w:rsidRDefault="007B03F7">
            <w:pPr>
              <w:pStyle w:val="TableText0"/>
              <w:jc w:val="center"/>
              <w:rPr>
                <w:vertAlign w:val="superscript"/>
              </w:rPr>
            </w:pPr>
            <w:r w:rsidRPr="001A2112">
              <w:t>6 (6.8)</w:t>
            </w:r>
          </w:p>
        </w:tc>
        <w:tc>
          <w:tcPr>
            <w:tcW w:w="794" w:type="pct"/>
            <w:vAlign w:val="center"/>
          </w:tcPr>
          <w:p w14:paraId="4E2C19E8" w14:textId="77777777" w:rsidR="007B03F7" w:rsidRPr="001A2112" w:rsidRDefault="007B03F7">
            <w:pPr>
              <w:pStyle w:val="TableText0"/>
              <w:jc w:val="center"/>
            </w:pPr>
            <w:r w:rsidRPr="001A2112">
              <w:t>NR</w:t>
            </w:r>
          </w:p>
        </w:tc>
      </w:tr>
      <w:tr w:rsidR="007B03F7" w:rsidRPr="001A2112" w14:paraId="0B2AC541" w14:textId="77777777">
        <w:trPr>
          <w:trHeight w:val="283"/>
        </w:trPr>
        <w:tc>
          <w:tcPr>
            <w:tcW w:w="1727" w:type="pct"/>
            <w:vAlign w:val="center"/>
          </w:tcPr>
          <w:p w14:paraId="23FA7185" w14:textId="77777777" w:rsidR="007B03F7" w:rsidRPr="001A2112" w:rsidRDefault="007B03F7">
            <w:pPr>
              <w:pStyle w:val="TableText0"/>
              <w:ind w:left="170"/>
            </w:pPr>
            <w:r w:rsidRPr="001A2112">
              <w:t>Any thrombocytopenia (Grade ≥ 1)</w:t>
            </w:r>
          </w:p>
        </w:tc>
        <w:tc>
          <w:tcPr>
            <w:tcW w:w="786" w:type="pct"/>
            <w:vAlign w:val="center"/>
          </w:tcPr>
          <w:p w14:paraId="59E1C8B7" w14:textId="77777777" w:rsidR="007B03F7" w:rsidRPr="001A2112" w:rsidRDefault="007B03F7">
            <w:pPr>
              <w:pStyle w:val="TableText0"/>
              <w:jc w:val="center"/>
            </w:pPr>
            <w:r w:rsidRPr="001A2112">
              <w:t>48 (33.1)</w:t>
            </w:r>
          </w:p>
        </w:tc>
        <w:tc>
          <w:tcPr>
            <w:tcW w:w="899" w:type="pct"/>
            <w:vAlign w:val="center"/>
          </w:tcPr>
          <w:p w14:paraId="45DE06AC" w14:textId="77777777" w:rsidR="007B03F7" w:rsidRPr="001A2112" w:rsidRDefault="007B03F7">
            <w:pPr>
              <w:pStyle w:val="TableText0"/>
              <w:jc w:val="center"/>
            </w:pPr>
            <w:r w:rsidRPr="001A2112">
              <w:t>178 (45.9)*</w:t>
            </w:r>
          </w:p>
        </w:tc>
        <w:tc>
          <w:tcPr>
            <w:tcW w:w="794" w:type="pct"/>
            <w:vAlign w:val="center"/>
          </w:tcPr>
          <w:p w14:paraId="71B2C76D" w14:textId="77777777" w:rsidR="007B03F7" w:rsidRPr="001A2112" w:rsidRDefault="007B03F7">
            <w:pPr>
              <w:pStyle w:val="TableText0"/>
              <w:jc w:val="center"/>
            </w:pPr>
            <w:r w:rsidRPr="001A2112">
              <w:t>42 (47.7)</w:t>
            </w:r>
            <w:r w:rsidRPr="001A2112">
              <w:rPr>
                <w:vertAlign w:val="superscript"/>
              </w:rPr>
              <w:t>b</w:t>
            </w:r>
          </w:p>
        </w:tc>
        <w:tc>
          <w:tcPr>
            <w:tcW w:w="794" w:type="pct"/>
            <w:vAlign w:val="center"/>
          </w:tcPr>
          <w:p w14:paraId="7299A3B8" w14:textId="77777777" w:rsidR="007B03F7" w:rsidRPr="001A2112" w:rsidRDefault="007B03F7">
            <w:pPr>
              <w:pStyle w:val="TableText0"/>
              <w:jc w:val="center"/>
            </w:pPr>
            <w:r w:rsidRPr="001A2112">
              <w:t>NR</w:t>
            </w:r>
          </w:p>
        </w:tc>
      </w:tr>
      <w:tr w:rsidR="007B03F7" w:rsidRPr="001A2112" w14:paraId="510DB8DF" w14:textId="77777777">
        <w:trPr>
          <w:trHeight w:val="283"/>
        </w:trPr>
        <w:tc>
          <w:tcPr>
            <w:tcW w:w="1727" w:type="pct"/>
            <w:vAlign w:val="center"/>
          </w:tcPr>
          <w:p w14:paraId="02DE0863" w14:textId="77777777" w:rsidR="007B03F7" w:rsidRPr="001A2112" w:rsidRDefault="007B03F7">
            <w:pPr>
              <w:pStyle w:val="TableText0"/>
            </w:pPr>
            <w:r w:rsidRPr="001A2112">
              <w:t>Infection with neutropenia</w:t>
            </w:r>
          </w:p>
        </w:tc>
        <w:tc>
          <w:tcPr>
            <w:tcW w:w="786" w:type="pct"/>
            <w:vAlign w:val="center"/>
          </w:tcPr>
          <w:p w14:paraId="1AF4732B" w14:textId="77777777" w:rsidR="007B03F7" w:rsidRPr="001A2112" w:rsidRDefault="007B03F7">
            <w:pPr>
              <w:pStyle w:val="TableText0"/>
              <w:jc w:val="center"/>
            </w:pPr>
            <w:r w:rsidRPr="001A2112">
              <w:t>NR</w:t>
            </w:r>
          </w:p>
        </w:tc>
        <w:tc>
          <w:tcPr>
            <w:tcW w:w="899" w:type="pct"/>
            <w:vAlign w:val="center"/>
          </w:tcPr>
          <w:p w14:paraId="2EF2EAC0" w14:textId="77777777" w:rsidR="007B03F7" w:rsidRPr="001A2112" w:rsidRDefault="007B03F7">
            <w:pPr>
              <w:pStyle w:val="TableText0"/>
              <w:jc w:val="center"/>
            </w:pPr>
            <w:r w:rsidRPr="001A2112">
              <w:t>64 (16.5)</w:t>
            </w:r>
          </w:p>
        </w:tc>
        <w:tc>
          <w:tcPr>
            <w:tcW w:w="794" w:type="pct"/>
            <w:vAlign w:val="center"/>
          </w:tcPr>
          <w:p w14:paraId="3824A616" w14:textId="77777777" w:rsidR="007B03F7" w:rsidRPr="001A2112" w:rsidRDefault="007B03F7">
            <w:pPr>
              <w:pStyle w:val="TableText0"/>
              <w:jc w:val="center"/>
            </w:pPr>
            <w:r w:rsidRPr="001A2112">
              <w:t>NR</w:t>
            </w:r>
          </w:p>
        </w:tc>
        <w:tc>
          <w:tcPr>
            <w:tcW w:w="794" w:type="pct"/>
            <w:vAlign w:val="center"/>
          </w:tcPr>
          <w:p w14:paraId="710467C4" w14:textId="77777777" w:rsidR="007B03F7" w:rsidRPr="001A2112" w:rsidRDefault="007B03F7">
            <w:pPr>
              <w:pStyle w:val="TableText0"/>
              <w:jc w:val="center"/>
            </w:pPr>
            <w:r w:rsidRPr="001A2112">
              <w:t>NR</w:t>
            </w:r>
          </w:p>
        </w:tc>
      </w:tr>
      <w:tr w:rsidR="007B03F7" w:rsidRPr="001A2112" w14:paraId="1A16EB2B" w14:textId="77777777">
        <w:trPr>
          <w:trHeight w:val="283"/>
        </w:trPr>
        <w:tc>
          <w:tcPr>
            <w:tcW w:w="1727" w:type="pct"/>
            <w:vAlign w:val="center"/>
          </w:tcPr>
          <w:p w14:paraId="167A27CB" w14:textId="77777777" w:rsidR="007B03F7" w:rsidRPr="001A2112" w:rsidRDefault="007B03F7">
            <w:pPr>
              <w:pStyle w:val="TableText0"/>
            </w:pPr>
            <w:r w:rsidRPr="001A2112">
              <w:t>Infection without neutropenia</w:t>
            </w:r>
          </w:p>
        </w:tc>
        <w:tc>
          <w:tcPr>
            <w:tcW w:w="786" w:type="pct"/>
            <w:vAlign w:val="center"/>
          </w:tcPr>
          <w:p w14:paraId="675555FC" w14:textId="77777777" w:rsidR="007B03F7" w:rsidRPr="001A2112" w:rsidRDefault="007B03F7">
            <w:pPr>
              <w:pStyle w:val="TableText0"/>
              <w:jc w:val="center"/>
            </w:pPr>
            <w:r w:rsidRPr="001A2112">
              <w:t>NR</w:t>
            </w:r>
          </w:p>
        </w:tc>
        <w:tc>
          <w:tcPr>
            <w:tcW w:w="899" w:type="pct"/>
            <w:vAlign w:val="center"/>
          </w:tcPr>
          <w:p w14:paraId="4FD08A13" w14:textId="77777777" w:rsidR="007B03F7" w:rsidRPr="001A2112" w:rsidRDefault="007B03F7">
            <w:pPr>
              <w:pStyle w:val="TableText0"/>
              <w:jc w:val="center"/>
            </w:pPr>
            <w:r w:rsidRPr="001A2112">
              <w:t>26 (6.7)</w:t>
            </w:r>
          </w:p>
        </w:tc>
        <w:tc>
          <w:tcPr>
            <w:tcW w:w="794" w:type="pct"/>
            <w:vAlign w:val="center"/>
          </w:tcPr>
          <w:p w14:paraId="0E4DD977" w14:textId="77777777" w:rsidR="007B03F7" w:rsidRPr="001A2112" w:rsidRDefault="007B03F7">
            <w:pPr>
              <w:pStyle w:val="TableText0"/>
              <w:jc w:val="center"/>
            </w:pPr>
            <w:r w:rsidRPr="001A2112">
              <w:t>NR</w:t>
            </w:r>
          </w:p>
        </w:tc>
        <w:tc>
          <w:tcPr>
            <w:tcW w:w="794" w:type="pct"/>
            <w:vAlign w:val="center"/>
          </w:tcPr>
          <w:p w14:paraId="5B9C668C" w14:textId="77777777" w:rsidR="007B03F7" w:rsidRPr="001A2112" w:rsidRDefault="007B03F7">
            <w:pPr>
              <w:pStyle w:val="TableText0"/>
              <w:jc w:val="center"/>
            </w:pPr>
            <w:r w:rsidRPr="001A2112">
              <w:t>NR</w:t>
            </w:r>
          </w:p>
        </w:tc>
      </w:tr>
      <w:tr w:rsidR="007B03F7" w:rsidRPr="001A2112" w14:paraId="1606CD54" w14:textId="77777777">
        <w:trPr>
          <w:trHeight w:val="283"/>
        </w:trPr>
        <w:tc>
          <w:tcPr>
            <w:tcW w:w="1727" w:type="pct"/>
            <w:vAlign w:val="center"/>
          </w:tcPr>
          <w:p w14:paraId="7C489015" w14:textId="77777777" w:rsidR="007B03F7" w:rsidRPr="001A2112" w:rsidRDefault="007B03F7">
            <w:pPr>
              <w:pStyle w:val="TableText0"/>
            </w:pPr>
            <w:r w:rsidRPr="001A2112">
              <w:t>Neutropenia</w:t>
            </w:r>
          </w:p>
        </w:tc>
        <w:tc>
          <w:tcPr>
            <w:tcW w:w="786" w:type="pct"/>
            <w:vAlign w:val="center"/>
          </w:tcPr>
          <w:p w14:paraId="06CC7011" w14:textId="77777777" w:rsidR="007B03F7" w:rsidRPr="001A2112" w:rsidRDefault="007B03F7">
            <w:pPr>
              <w:pStyle w:val="TableText0"/>
              <w:jc w:val="center"/>
            </w:pPr>
            <w:r w:rsidRPr="001A2112">
              <w:t>38 (26.2)</w:t>
            </w:r>
          </w:p>
        </w:tc>
        <w:tc>
          <w:tcPr>
            <w:tcW w:w="899" w:type="pct"/>
            <w:vAlign w:val="center"/>
          </w:tcPr>
          <w:p w14:paraId="6BF3E828" w14:textId="77777777" w:rsidR="007B03F7" w:rsidRPr="001A2112" w:rsidRDefault="007B03F7">
            <w:pPr>
              <w:pStyle w:val="TableText0"/>
              <w:jc w:val="center"/>
            </w:pPr>
            <w:r w:rsidRPr="001A2112">
              <w:t>NR</w:t>
            </w:r>
          </w:p>
        </w:tc>
        <w:tc>
          <w:tcPr>
            <w:tcW w:w="794" w:type="pct"/>
            <w:vAlign w:val="center"/>
          </w:tcPr>
          <w:p w14:paraId="071E3847" w14:textId="77777777" w:rsidR="007B03F7" w:rsidRPr="001A2112" w:rsidRDefault="007B03F7">
            <w:pPr>
              <w:pStyle w:val="TableText0"/>
              <w:jc w:val="center"/>
            </w:pPr>
            <w:r w:rsidRPr="001A2112">
              <w:t>6 (6.8)</w:t>
            </w:r>
          </w:p>
        </w:tc>
        <w:tc>
          <w:tcPr>
            <w:tcW w:w="794" w:type="pct"/>
            <w:vAlign w:val="center"/>
          </w:tcPr>
          <w:p w14:paraId="2D61A514" w14:textId="77777777" w:rsidR="007B03F7" w:rsidRPr="001A2112" w:rsidRDefault="007B03F7">
            <w:pPr>
              <w:pStyle w:val="TableText0"/>
              <w:jc w:val="center"/>
            </w:pPr>
            <w:r w:rsidRPr="001A2112">
              <w:t>NR</w:t>
            </w:r>
          </w:p>
        </w:tc>
      </w:tr>
      <w:tr w:rsidR="007B03F7" w:rsidRPr="001A2112" w14:paraId="757F4548" w14:textId="77777777">
        <w:trPr>
          <w:trHeight w:val="283"/>
        </w:trPr>
        <w:tc>
          <w:tcPr>
            <w:tcW w:w="1727" w:type="pct"/>
            <w:vAlign w:val="center"/>
          </w:tcPr>
          <w:p w14:paraId="1DFFD9EC" w14:textId="77777777" w:rsidR="007B03F7" w:rsidRPr="001A2112" w:rsidRDefault="007B03F7">
            <w:pPr>
              <w:pStyle w:val="TableText0"/>
              <w:ind w:left="170"/>
            </w:pPr>
            <w:r w:rsidRPr="001A2112">
              <w:t>Any neutropenia (Grade ≥ 1)</w:t>
            </w:r>
          </w:p>
        </w:tc>
        <w:tc>
          <w:tcPr>
            <w:tcW w:w="786" w:type="pct"/>
            <w:vAlign w:val="center"/>
          </w:tcPr>
          <w:p w14:paraId="7B57F45E" w14:textId="77777777" w:rsidR="007B03F7" w:rsidRPr="001A2112" w:rsidRDefault="007B03F7">
            <w:pPr>
              <w:pStyle w:val="TableText0"/>
              <w:jc w:val="center"/>
            </w:pPr>
            <w:r w:rsidRPr="001A2112">
              <w:t>58 (40.0)</w:t>
            </w:r>
          </w:p>
        </w:tc>
        <w:tc>
          <w:tcPr>
            <w:tcW w:w="899" w:type="pct"/>
            <w:vAlign w:val="center"/>
          </w:tcPr>
          <w:p w14:paraId="7846BED8" w14:textId="77777777" w:rsidR="007B03F7" w:rsidRPr="001A2112" w:rsidRDefault="007B03F7">
            <w:pPr>
              <w:pStyle w:val="TableText0"/>
              <w:jc w:val="center"/>
            </w:pPr>
            <w:r w:rsidRPr="001A2112">
              <w:t>NR</w:t>
            </w:r>
          </w:p>
        </w:tc>
        <w:tc>
          <w:tcPr>
            <w:tcW w:w="794" w:type="pct"/>
            <w:vAlign w:val="center"/>
          </w:tcPr>
          <w:p w14:paraId="4D1458AF" w14:textId="77777777" w:rsidR="007B03F7" w:rsidRPr="001A2112" w:rsidRDefault="007B03F7">
            <w:pPr>
              <w:pStyle w:val="TableText0"/>
              <w:jc w:val="center"/>
            </w:pPr>
            <w:r w:rsidRPr="001A2112">
              <w:t>27 (30.7)</w:t>
            </w:r>
            <w:r w:rsidRPr="001A2112">
              <w:rPr>
                <w:vertAlign w:val="superscript"/>
              </w:rPr>
              <w:t>c</w:t>
            </w:r>
          </w:p>
        </w:tc>
        <w:tc>
          <w:tcPr>
            <w:tcW w:w="794" w:type="pct"/>
            <w:vAlign w:val="center"/>
          </w:tcPr>
          <w:p w14:paraId="209B00ED" w14:textId="77777777" w:rsidR="007B03F7" w:rsidRPr="001A2112" w:rsidRDefault="007B03F7">
            <w:pPr>
              <w:pStyle w:val="TableText0"/>
              <w:jc w:val="center"/>
            </w:pPr>
            <w:r w:rsidRPr="001A2112">
              <w:t>NR</w:t>
            </w:r>
          </w:p>
        </w:tc>
      </w:tr>
      <w:tr w:rsidR="007B03F7" w:rsidRPr="001A2112" w14:paraId="083C1964" w14:textId="77777777">
        <w:trPr>
          <w:trHeight w:val="283"/>
        </w:trPr>
        <w:tc>
          <w:tcPr>
            <w:tcW w:w="1727" w:type="pct"/>
            <w:vAlign w:val="center"/>
          </w:tcPr>
          <w:p w14:paraId="2E91DC69" w14:textId="77777777" w:rsidR="007B03F7" w:rsidRPr="001A2112" w:rsidRDefault="007B03F7">
            <w:pPr>
              <w:pStyle w:val="TableText0"/>
            </w:pPr>
            <w:r w:rsidRPr="001A2112">
              <w:t>Renal events</w:t>
            </w:r>
          </w:p>
        </w:tc>
        <w:tc>
          <w:tcPr>
            <w:tcW w:w="786" w:type="pct"/>
            <w:vAlign w:val="center"/>
          </w:tcPr>
          <w:p w14:paraId="2CC1685C" w14:textId="77777777" w:rsidR="007B03F7" w:rsidRPr="001A2112" w:rsidRDefault="007B03F7">
            <w:pPr>
              <w:pStyle w:val="TableText0"/>
              <w:jc w:val="center"/>
            </w:pPr>
            <w:r w:rsidRPr="001A2112">
              <w:t>1 (0.7)</w:t>
            </w:r>
          </w:p>
        </w:tc>
        <w:tc>
          <w:tcPr>
            <w:tcW w:w="899" w:type="pct"/>
            <w:vAlign w:val="center"/>
          </w:tcPr>
          <w:p w14:paraId="12CD5E74" w14:textId="77777777" w:rsidR="007B03F7" w:rsidRPr="001A2112" w:rsidRDefault="007B03F7">
            <w:pPr>
              <w:pStyle w:val="TableText0"/>
              <w:jc w:val="center"/>
            </w:pPr>
            <w:r w:rsidRPr="001A2112">
              <w:t>13 (3.4)</w:t>
            </w:r>
          </w:p>
        </w:tc>
        <w:tc>
          <w:tcPr>
            <w:tcW w:w="794" w:type="pct"/>
            <w:vAlign w:val="center"/>
          </w:tcPr>
          <w:p w14:paraId="6BAD3120" w14:textId="77777777" w:rsidR="007B03F7" w:rsidRPr="001A2112" w:rsidRDefault="007B03F7">
            <w:pPr>
              <w:pStyle w:val="TableText0"/>
              <w:jc w:val="center"/>
            </w:pPr>
            <w:r w:rsidRPr="001A2112">
              <w:t>NR</w:t>
            </w:r>
          </w:p>
        </w:tc>
        <w:tc>
          <w:tcPr>
            <w:tcW w:w="794" w:type="pct"/>
            <w:vAlign w:val="center"/>
          </w:tcPr>
          <w:p w14:paraId="6E42802C" w14:textId="77777777" w:rsidR="007B03F7" w:rsidRPr="001A2112" w:rsidRDefault="007B03F7">
            <w:pPr>
              <w:pStyle w:val="TableText0"/>
              <w:jc w:val="center"/>
            </w:pPr>
            <w:r w:rsidRPr="001A2112">
              <w:t>NR</w:t>
            </w:r>
          </w:p>
        </w:tc>
      </w:tr>
    </w:tbl>
    <w:p w14:paraId="0B1878B0" w14:textId="77777777" w:rsidR="007B03F7" w:rsidRPr="001A2112" w:rsidRDefault="007B03F7" w:rsidP="007B03F7">
      <w:pPr>
        <w:pStyle w:val="TableFigureFooter"/>
      </w:pPr>
      <w:r w:rsidRPr="001A2112">
        <w:t xml:space="preserve">Source: Attachment 2.3 LOTIS-2 CSR, Table 12-6, p122, Table 14.3.3.4.13, page 459, Table 14.3.3.4.7, p 452, Table 14.3.3.4.5, pp448-450, Table 14.3.3.4.9, p 455; Table 14, Epcoritamab PSD November 2024, Table A4, </w:t>
      </w:r>
      <w:proofErr w:type="spellStart"/>
      <w:r w:rsidRPr="001A2112">
        <w:t>Gisseblrecht</w:t>
      </w:r>
      <w:proofErr w:type="spellEnd"/>
      <w:r w:rsidRPr="001A2112">
        <w:t xml:space="preserve"> 2010, Table 14; Glofitamab PSD July 2025, Table 7 and Abramson 2024</w:t>
      </w:r>
      <w:r w:rsidRPr="001A2112">
        <w:rPr>
          <w:vertAlign w:val="superscript"/>
        </w:rPr>
        <w:t>d</w:t>
      </w:r>
      <w:r w:rsidRPr="001A2112">
        <w:t>, Table 3 and Table S11.</w:t>
      </w:r>
    </w:p>
    <w:p w14:paraId="44DAA1AC" w14:textId="5F4CF80C" w:rsidR="007B03F7" w:rsidRPr="001A2112" w:rsidRDefault="007B03F7" w:rsidP="007B03F7">
      <w:pPr>
        <w:pStyle w:val="TableFigureFooter"/>
      </w:pPr>
      <w:r w:rsidRPr="001A2112">
        <w:t xml:space="preserve">2L = second-line; 2L+ = second and further lines; 3L+ = third and further lines of therapy; </w:t>
      </w:r>
      <w:r w:rsidRPr="001A2112">
        <w:rPr>
          <w:rFonts w:eastAsia="Calibri"/>
        </w:rPr>
        <w:t>AE = adverse event; n = number of participants in subgroup; N = number of participants reporting data; SAE = serious adverse event; RCT = randomised controlled trial;</w:t>
      </w:r>
      <w:r w:rsidRPr="001A2112">
        <w:t xml:space="preserve"> R-DHAP = rituximab, cisplatin, cytarabine, dexamethasone; R-</w:t>
      </w:r>
      <w:proofErr w:type="spellStart"/>
      <w:r w:rsidRPr="001A2112">
        <w:t>GemOx</w:t>
      </w:r>
      <w:proofErr w:type="spellEnd"/>
      <w:r w:rsidRPr="001A2112">
        <w:t xml:space="preserve"> = Rituximab, Gemcitabine, Oxaliplatin; R-ICE = rituximab, ifosfamide, cytarabine, etoposide;</w:t>
      </w:r>
      <w:r w:rsidR="00100C70">
        <w:t xml:space="preserve"> </w:t>
      </w:r>
      <w:r w:rsidRPr="001A2112">
        <w:rPr>
          <w:rFonts w:eastAsia="Calibri"/>
        </w:rPr>
        <w:t>TEAE = treatment-emergent adverse event; TRAE = treatment-related adverse event.</w:t>
      </w:r>
    </w:p>
    <w:p w14:paraId="127923FF" w14:textId="77777777" w:rsidR="007B03F7" w:rsidRPr="001A2112" w:rsidRDefault="007B03F7" w:rsidP="007B03F7">
      <w:pPr>
        <w:pStyle w:val="TableFigureFooter"/>
      </w:pPr>
      <w:r w:rsidRPr="001A2112">
        <w:t>Note: * reported as platelet transfusion</w:t>
      </w:r>
      <w:r w:rsidRPr="001A2112">
        <w:br/>
        <w:t>TEAE, treatment-emergent adverse event; TRAE, treatment-related adverse event; NR, not reported</w:t>
      </w:r>
    </w:p>
    <w:p w14:paraId="4C669F50" w14:textId="77777777" w:rsidR="007B03F7" w:rsidRPr="001A2112" w:rsidRDefault="007B03F7" w:rsidP="007B03F7">
      <w:pPr>
        <w:pStyle w:val="TableFigureFooter"/>
      </w:pPr>
      <w:r w:rsidRPr="001A2112">
        <w:rPr>
          <w:vertAlign w:val="superscript"/>
        </w:rPr>
        <w:t>a</w:t>
      </w:r>
      <w:r w:rsidRPr="001A2112">
        <w:rPr>
          <w:vertAlign w:val="superscript"/>
        </w:rPr>
        <w:tab/>
      </w:r>
      <w:r w:rsidRPr="001A2112">
        <w:t xml:space="preserve">STARGLO population was R/R DLBCL patients ineligible for ASCT after </w:t>
      </w:r>
      <w:r w:rsidRPr="001A2112">
        <w:rPr>
          <w:rFonts w:cstheme="minorHAnsi"/>
        </w:rPr>
        <w:t>≥</w:t>
      </w:r>
      <w:r w:rsidRPr="001A2112">
        <w:t xml:space="preserve"> 1 prior line of systemic therapy</w:t>
      </w:r>
    </w:p>
    <w:p w14:paraId="17FAAA50" w14:textId="77777777" w:rsidR="007B03F7" w:rsidRPr="001A2112" w:rsidRDefault="007B03F7" w:rsidP="007B03F7">
      <w:pPr>
        <w:pStyle w:val="TableFigureFooter"/>
      </w:pPr>
      <w:r w:rsidRPr="001A2112">
        <w:rPr>
          <w:vertAlign w:val="superscript"/>
        </w:rPr>
        <w:t>b</w:t>
      </w:r>
      <w:r w:rsidRPr="001A2112">
        <w:tab/>
        <w:t>TEAE Thrombocytopenia including decreased platelet count</w:t>
      </w:r>
    </w:p>
    <w:p w14:paraId="06648845" w14:textId="77777777" w:rsidR="007B03F7" w:rsidRPr="001A2112" w:rsidRDefault="007B03F7" w:rsidP="007B03F7">
      <w:pPr>
        <w:pStyle w:val="TableFigureFooter"/>
      </w:pPr>
      <w:r w:rsidRPr="001A2112">
        <w:rPr>
          <w:vertAlign w:val="superscript"/>
        </w:rPr>
        <w:t>c</w:t>
      </w:r>
      <w:r w:rsidRPr="001A2112">
        <w:tab/>
        <w:t>Defined as neutropenia and neutrophil count decrease</w:t>
      </w:r>
    </w:p>
    <w:p w14:paraId="59CC844D" w14:textId="77777777" w:rsidR="007B03F7" w:rsidRPr="001A2112" w:rsidRDefault="007B03F7" w:rsidP="007B03F7">
      <w:pPr>
        <w:pStyle w:val="TableFigureFooter"/>
        <w:ind w:left="165" w:hanging="165"/>
      </w:pPr>
      <w:r w:rsidRPr="001A2112">
        <w:rPr>
          <w:vertAlign w:val="superscript"/>
        </w:rPr>
        <w:t>d</w:t>
      </w:r>
      <w:r w:rsidRPr="001A2112">
        <w:t xml:space="preserve"> </w:t>
      </w:r>
      <w:r w:rsidRPr="001A2112">
        <w:tab/>
        <w:t>Abramson et al. 2024. Glofitamab plus gemcitabine and oxaliplatin (</w:t>
      </w:r>
      <w:proofErr w:type="spellStart"/>
      <w:r w:rsidRPr="001A2112">
        <w:t>GemOx</w:t>
      </w:r>
      <w:proofErr w:type="spellEnd"/>
      <w:r w:rsidRPr="001A2112">
        <w:t>) versus rituximab-</w:t>
      </w:r>
      <w:proofErr w:type="spellStart"/>
      <w:r w:rsidRPr="001A2112">
        <w:t>GemOx</w:t>
      </w:r>
      <w:proofErr w:type="spellEnd"/>
      <w:r w:rsidRPr="001A2112">
        <w:t xml:space="preserve"> for relapsed or refractory diffuse large B-cell lymphoma (STARGLO): a global phase 3, randomised, open-label trial. The Lancet, Volume 404, Issue 10466, 1940 - 1954</w:t>
      </w:r>
    </w:p>
    <w:p w14:paraId="15FC5185" w14:textId="0384C05E" w:rsidR="007B03F7" w:rsidRPr="001A2112" w:rsidRDefault="007B03F7" w:rsidP="007B03F7">
      <w:pPr>
        <w:pStyle w:val="3-BodyText"/>
        <w:numPr>
          <w:ilvl w:val="1"/>
          <w:numId w:val="1"/>
        </w:numPr>
      </w:pPr>
      <w:r w:rsidRPr="001A2112">
        <w:t>LOTIS-2 patients treated with loncastuximab tesirine had higher rates of Grade ≥ 3 TEAEs compared to STARGLO patients treated with R-</w:t>
      </w:r>
      <w:proofErr w:type="spellStart"/>
      <w:r w:rsidRPr="001A2112">
        <w:t>GemOx</w:t>
      </w:r>
      <w:proofErr w:type="spellEnd"/>
      <w:r w:rsidRPr="001A2112">
        <w:t xml:space="preserve"> (73.8% versus 40.1%), and higher rates of SAEs compared to CORAL and STARGLO (39% versus 32% and 17%, respectively). More patients discontinued loncastuximab tesirine due to an AE than R-</w:t>
      </w:r>
      <w:proofErr w:type="spellStart"/>
      <w:r w:rsidRPr="001A2112">
        <w:t>GemOx</w:t>
      </w:r>
      <w:proofErr w:type="spellEnd"/>
      <w:r w:rsidRPr="001A2112">
        <w:t xml:space="preserve"> (24.8% versus 12.5%). Due to different definitions and reporting for some AEs, </w:t>
      </w:r>
      <w:r w:rsidRPr="001A2112">
        <w:lastRenderedPageBreak/>
        <w:t xml:space="preserve">such as thrombocytopenia and neutropenia, comparisons are made with caution; however, patients treated with loncastuximab tesirine had lower overall rates of thrombocytopenia, but higher rates of Grade ≥ 3 thrombocytopenia, higher rates of neutropenia and lower rates of renal events compared to chemoimmunotherapy. Based on these results, </w:t>
      </w:r>
      <w:r w:rsidR="006C71AA" w:rsidRPr="00D57480">
        <w:t>the evaluation considered</w:t>
      </w:r>
      <w:r w:rsidR="006C71AA">
        <w:t xml:space="preserve"> </w:t>
      </w:r>
      <w:r w:rsidRPr="001A2112">
        <w:t>loncastuximab tesirine may have an inferior safety profile compared to chemoimmunotherapy.</w:t>
      </w:r>
    </w:p>
    <w:p w14:paraId="04908C7F" w14:textId="415B9B7D" w:rsidR="007F1017" w:rsidRPr="000B298F" w:rsidRDefault="007F1017" w:rsidP="000B298F">
      <w:pPr>
        <w:pStyle w:val="4-SubsectionHeading"/>
      </w:pPr>
      <w:bookmarkStart w:id="49" w:name="_Toc219880986"/>
      <w:r w:rsidRPr="000B298F">
        <w:t>Benefits/harms</w:t>
      </w:r>
      <w:bookmarkEnd w:id="46"/>
      <w:bookmarkEnd w:id="49"/>
    </w:p>
    <w:p w14:paraId="0EC6C8EB" w14:textId="42B6CA02" w:rsidR="002F0974" w:rsidRPr="001A2112" w:rsidRDefault="002F0974" w:rsidP="002F0974">
      <w:pPr>
        <w:pStyle w:val="3-BodyText"/>
        <w:numPr>
          <w:ilvl w:val="1"/>
          <w:numId w:val="1"/>
        </w:numPr>
      </w:pPr>
      <w:r w:rsidRPr="001A2112">
        <w:t xml:space="preserve">The naïve indirect comparison and the MAIC presented in the submission did not allow for a quantitative comparison of the harms of loncastuximab tesirine and chemoimmunotherapy. Accordingly, a benefits/harms table has not been presented. The comparative benefits for loncastuximab tesirine versus chemotherapy in patients with R/R DLBCL after second line treatment however can be drawn from </w:t>
      </w:r>
      <w:r w:rsidRPr="001A2112">
        <w:fldChar w:fldCharType="begin"/>
      </w:r>
      <w:r w:rsidRPr="001A2112">
        <w:instrText xml:space="preserve"> REF _Ref218786214 \h </w:instrText>
      </w:r>
      <w:r w:rsidR="001A2112" w:rsidRPr="001A2112">
        <w:instrText xml:space="preserve"> \* MERGEFORMAT </w:instrText>
      </w:r>
      <w:r w:rsidRPr="001A2112">
        <w:fldChar w:fldCharType="separate"/>
      </w:r>
      <w:r w:rsidR="007D33FD" w:rsidRPr="001A2112">
        <w:t xml:space="preserve">Table </w:t>
      </w:r>
      <w:r w:rsidR="007D33FD" w:rsidRPr="001A2112">
        <w:rPr>
          <w:noProof/>
        </w:rPr>
        <w:t>9</w:t>
      </w:r>
      <w:r w:rsidRPr="001A2112">
        <w:fldChar w:fldCharType="end"/>
      </w:r>
      <w:r w:rsidRPr="001A2112">
        <w:t xml:space="preserve"> above and are summarised below.</w:t>
      </w:r>
    </w:p>
    <w:p w14:paraId="7B169EE8" w14:textId="77777777" w:rsidR="002F0974" w:rsidRPr="001A2112" w:rsidRDefault="002F0974" w:rsidP="002F0974">
      <w:pPr>
        <w:pStyle w:val="3-BodyText"/>
        <w:numPr>
          <w:ilvl w:val="1"/>
          <w:numId w:val="1"/>
        </w:numPr>
      </w:pPr>
      <w:proofErr w:type="gramStart"/>
      <w:r w:rsidRPr="001A2112">
        <w:t>On the basis of</w:t>
      </w:r>
      <w:proofErr w:type="gramEnd"/>
      <w:r w:rsidRPr="001A2112">
        <w:t xml:space="preserve"> the limited indirect evidence from the MAIC presented by the submission, the comparison of loncastuximab tesirine with chemoimmunotherapy resulted in:</w:t>
      </w:r>
    </w:p>
    <w:p w14:paraId="2DDB2BAF" w14:textId="77777777" w:rsidR="002F0974" w:rsidRPr="001A2112" w:rsidRDefault="002F0974" w:rsidP="002F0974">
      <w:pPr>
        <w:pStyle w:val="ListParagraph"/>
        <w:ind w:left="1134"/>
      </w:pPr>
      <w:r w:rsidRPr="001A2112">
        <w:t xml:space="preserve">Approximately 34% reduction in risk of death, with an increase in median OS of 4.3 months after a median follow-up of 7.8 months for LOTIS-2 and &gt; 30 months for the pooled CORAL extension studies. The submission did not indicate what difference in OS </w:t>
      </w:r>
      <w:proofErr w:type="gramStart"/>
      <w:r w:rsidRPr="001A2112">
        <w:t>was considered to be</w:t>
      </w:r>
      <w:proofErr w:type="gramEnd"/>
      <w:r w:rsidRPr="001A2112">
        <w:t xml:space="preserve"> clinically meaningful</w:t>
      </w:r>
      <w:r w:rsidRPr="001A2112">
        <w:rPr>
          <w:snapToGrid/>
        </w:rPr>
        <w:t>. </w:t>
      </w:r>
    </w:p>
    <w:p w14:paraId="4C27A6B9" w14:textId="77777777" w:rsidR="002F0974" w:rsidRPr="000B298F" w:rsidRDefault="002F0974" w:rsidP="000B298F">
      <w:pPr>
        <w:pStyle w:val="4-SubsectionHeading"/>
      </w:pPr>
      <w:bookmarkStart w:id="50" w:name="_Toc22897644"/>
      <w:bookmarkStart w:id="51" w:name="_Toc219124953"/>
      <w:bookmarkStart w:id="52" w:name="_Toc219880987"/>
      <w:r w:rsidRPr="000B298F">
        <w:t>Clinical claim</w:t>
      </w:r>
      <w:bookmarkEnd w:id="50"/>
      <w:bookmarkEnd w:id="51"/>
      <w:bookmarkEnd w:id="52"/>
    </w:p>
    <w:p w14:paraId="2833F25B" w14:textId="22087D56" w:rsidR="002F0974" w:rsidRPr="001A2112" w:rsidRDefault="002F0974" w:rsidP="002F0974">
      <w:pPr>
        <w:pStyle w:val="3-BodyText"/>
        <w:numPr>
          <w:ilvl w:val="1"/>
          <w:numId w:val="1"/>
        </w:numPr>
        <w:rPr>
          <w:rFonts w:eastAsia="Calibri"/>
        </w:rPr>
      </w:pPr>
      <w:r w:rsidRPr="001A2112">
        <w:rPr>
          <w:rFonts w:eastAsia="Calibri"/>
        </w:rPr>
        <w:t xml:space="preserve">The submission described </w:t>
      </w:r>
      <w:r w:rsidRPr="001A2112">
        <w:t>loncastuximab tesirine</w:t>
      </w:r>
      <w:r w:rsidRPr="001A2112">
        <w:rPr>
          <w:rFonts w:eastAsia="Calibri"/>
        </w:rPr>
        <w:t xml:space="preserve"> as superior in terms of effectiveness compared to </w:t>
      </w:r>
      <w:r w:rsidRPr="001A2112">
        <w:t>chemoimmunotherapy</w:t>
      </w:r>
      <w:r w:rsidRPr="001A2112">
        <w:rPr>
          <w:rFonts w:eastAsia="Calibri"/>
        </w:rPr>
        <w:t>. Th</w:t>
      </w:r>
      <w:r w:rsidR="0095387D">
        <w:rPr>
          <w:rFonts w:eastAsia="Calibri"/>
        </w:rPr>
        <w:t>e evaluation considered th</w:t>
      </w:r>
      <w:r w:rsidRPr="001A2112">
        <w:rPr>
          <w:rFonts w:eastAsia="Calibri"/>
        </w:rPr>
        <w:t>is claim was not adequately supported by evidence presented in the submission. The key issues were:</w:t>
      </w:r>
    </w:p>
    <w:p w14:paraId="6BE55D28" w14:textId="620F377E" w:rsidR="002F0974" w:rsidRPr="001A2112" w:rsidRDefault="002F0974" w:rsidP="002F0974">
      <w:pPr>
        <w:pStyle w:val="ListParagraph"/>
        <w:ind w:left="1134"/>
        <w:jc w:val="both"/>
        <w:rPr>
          <w:rFonts w:eastAsia="Calibri"/>
        </w:rPr>
      </w:pPr>
      <w:r w:rsidRPr="001A2112">
        <w:rPr>
          <w:rFonts w:eastAsia="Calibri"/>
        </w:rPr>
        <w:t>The pivotal evidence presented for loncastuximab tesirine was derived from a small, single arm, open label study, LOTIS-2. While the efficacy evidence was promising, the lack of RCT evidence adds a degree of uncertainty around the magnitude of the benefit.</w:t>
      </w:r>
      <w:r w:rsidR="00896FC8">
        <w:rPr>
          <w:rFonts w:eastAsia="Calibri"/>
        </w:rPr>
        <w:t xml:space="preserve"> </w:t>
      </w:r>
      <w:r w:rsidR="00CA7381" w:rsidRPr="00D57480">
        <w:rPr>
          <w:rFonts w:eastAsia="Calibri"/>
        </w:rPr>
        <w:t xml:space="preserve">The PSCR </w:t>
      </w:r>
      <w:r w:rsidR="007020E7" w:rsidRPr="00D57480">
        <w:rPr>
          <w:rFonts w:eastAsia="Calibri"/>
        </w:rPr>
        <w:t xml:space="preserve">stated that the use of single-arm studies is well established in </w:t>
      </w:r>
      <w:r w:rsidR="00727AC9" w:rsidRPr="00D57480">
        <w:rPr>
          <w:rFonts w:eastAsia="Calibri"/>
        </w:rPr>
        <w:t>R/R DLBCL</w:t>
      </w:r>
      <w:r w:rsidR="00C33CF8" w:rsidRPr="00D57480">
        <w:rPr>
          <w:rFonts w:eastAsia="Calibri"/>
        </w:rPr>
        <w:t xml:space="preserve"> and noted that in the absence of </w:t>
      </w:r>
      <w:r w:rsidR="005A33C2" w:rsidRPr="00D57480">
        <w:rPr>
          <w:rFonts w:eastAsia="Calibri"/>
        </w:rPr>
        <w:t xml:space="preserve">head to head evidence </w:t>
      </w:r>
      <w:r w:rsidR="00D116BF" w:rsidRPr="00D57480">
        <w:rPr>
          <w:rFonts w:eastAsia="Calibri"/>
        </w:rPr>
        <w:t>a</w:t>
      </w:r>
      <w:r w:rsidR="00444DB3" w:rsidRPr="00D57480">
        <w:rPr>
          <w:rFonts w:eastAsia="Calibri"/>
        </w:rPr>
        <w:t xml:space="preserve"> MAIC</w:t>
      </w:r>
      <w:r w:rsidR="00C32661" w:rsidRPr="00D57480">
        <w:rPr>
          <w:rFonts w:eastAsia="Calibri"/>
        </w:rPr>
        <w:t xml:space="preserve"> had been undertaken</w:t>
      </w:r>
      <w:r w:rsidR="0087221D" w:rsidRPr="00D57480">
        <w:rPr>
          <w:rFonts w:eastAsia="Calibri"/>
        </w:rPr>
        <w:t>.</w:t>
      </w:r>
      <w:r w:rsidR="0087221D">
        <w:rPr>
          <w:rFonts w:eastAsia="Calibri"/>
          <w:i/>
          <w:iCs/>
        </w:rPr>
        <w:t xml:space="preserve"> </w:t>
      </w:r>
    </w:p>
    <w:p w14:paraId="5933A80A" w14:textId="0FB073D5" w:rsidR="002F0974" w:rsidRPr="001A2112" w:rsidRDefault="002F0974" w:rsidP="002F0974">
      <w:pPr>
        <w:pStyle w:val="ListParagraph"/>
        <w:ind w:left="1134"/>
        <w:jc w:val="both"/>
        <w:rPr>
          <w:rFonts w:eastAsia="Calibri"/>
        </w:rPr>
      </w:pPr>
      <w:r w:rsidRPr="001A2112">
        <w:rPr>
          <w:rFonts w:eastAsia="Calibri"/>
        </w:rPr>
        <w:t>While chemoimmunotherapy, represented by R-ICE, was considered an appropriate comparator, the evidence for chemoimmunotherapy was derived from two observational extension studies to an RCT conducted in 2003-2008, where patients received standard of care regimens, including ‘ICE-type’ (18%), with or without rituximab. Chemoimmunotherapy was not standard of care at the time, hence the CORAL extension studies were not representative of contemporary 3L therapies, including R-ICE.</w:t>
      </w:r>
      <w:r w:rsidR="008252E1">
        <w:rPr>
          <w:rFonts w:eastAsia="Calibri"/>
        </w:rPr>
        <w:t xml:space="preserve"> </w:t>
      </w:r>
      <w:r w:rsidR="00FC4A7F" w:rsidRPr="00D57480">
        <w:t xml:space="preserve">As outlined in paragraph </w:t>
      </w:r>
      <w:r w:rsidR="002413A7" w:rsidRPr="00D57480">
        <w:fldChar w:fldCharType="begin"/>
      </w:r>
      <w:r w:rsidR="002413A7" w:rsidRPr="00D57480">
        <w:instrText xml:space="preserve"> REF _Ref221539247 \r \h </w:instrText>
      </w:r>
      <w:r w:rsidR="00D57480">
        <w:instrText xml:space="preserve"> \* MERGEFORMAT </w:instrText>
      </w:r>
      <w:r w:rsidR="002413A7" w:rsidRPr="00D57480">
        <w:fldChar w:fldCharType="separate"/>
      </w:r>
      <w:r w:rsidR="008C4274">
        <w:t>6.12</w:t>
      </w:r>
      <w:r w:rsidR="002413A7" w:rsidRPr="00D57480">
        <w:fldChar w:fldCharType="end"/>
      </w:r>
      <w:r w:rsidR="002413A7" w:rsidRPr="00D57480">
        <w:t>, t</w:t>
      </w:r>
      <w:r w:rsidR="00FC4A7F" w:rsidRPr="00D57480">
        <w:t xml:space="preserve">he Sub-Committees acknowledged that the CORAL extension studies </w:t>
      </w:r>
      <w:r w:rsidR="00F5137A" w:rsidRPr="00D57480">
        <w:t>may</w:t>
      </w:r>
      <w:r w:rsidR="00FC4A7F" w:rsidRPr="00D57480">
        <w:t xml:space="preserve"> not accurately reflect the current standard of care but advised that they are a reasonable representative of chemoimmunotherapy in this context.</w:t>
      </w:r>
    </w:p>
    <w:p w14:paraId="2DC25FAD" w14:textId="77777777" w:rsidR="002F0974" w:rsidRDefault="002F0974" w:rsidP="002F0974">
      <w:pPr>
        <w:pStyle w:val="ListParagraph"/>
        <w:ind w:left="1134"/>
        <w:jc w:val="both"/>
        <w:rPr>
          <w:rFonts w:eastAsia="Calibri"/>
        </w:rPr>
      </w:pPr>
      <w:r w:rsidRPr="001A2112">
        <w:rPr>
          <w:rFonts w:eastAsia="Calibri"/>
        </w:rPr>
        <w:lastRenderedPageBreak/>
        <w:t>The results of the MAIC included a statistically significant OS benefit and a higher point-estimate for ORR, however, the differences between LOTIS-2 and the CORAL extension studies introduce uncertainty to the magnitude of the benefit.</w:t>
      </w:r>
    </w:p>
    <w:p w14:paraId="67659268" w14:textId="78FBFD79" w:rsidR="00724849" w:rsidRPr="00D57480" w:rsidRDefault="006B1E27" w:rsidP="00724849">
      <w:pPr>
        <w:ind w:left="774"/>
        <w:rPr>
          <w:rFonts w:eastAsia="Calibri"/>
        </w:rPr>
      </w:pPr>
      <w:r w:rsidRPr="00D57480">
        <w:rPr>
          <w:rFonts w:eastAsia="Calibri"/>
        </w:rPr>
        <w:t>T</w:t>
      </w:r>
      <w:r w:rsidR="00A56DBC" w:rsidRPr="00D57480">
        <w:rPr>
          <w:rFonts w:eastAsia="Calibri"/>
        </w:rPr>
        <w:t xml:space="preserve">he Sub-Committees </w:t>
      </w:r>
      <w:r w:rsidR="00B81432" w:rsidRPr="00D57480">
        <w:rPr>
          <w:rFonts w:eastAsia="Calibri"/>
        </w:rPr>
        <w:t>agreed with the evaluation that</w:t>
      </w:r>
      <w:r w:rsidR="00CA10EE" w:rsidRPr="00D57480">
        <w:rPr>
          <w:rFonts w:eastAsia="Calibri"/>
        </w:rPr>
        <w:t xml:space="preserve"> both</w:t>
      </w:r>
      <w:r w:rsidR="00B81432" w:rsidRPr="00D57480">
        <w:rPr>
          <w:rFonts w:eastAsia="Calibri"/>
        </w:rPr>
        <w:t xml:space="preserve"> the </w:t>
      </w:r>
      <w:r w:rsidR="00122485" w:rsidRPr="00D57480">
        <w:rPr>
          <w:rFonts w:eastAsia="Calibri"/>
        </w:rPr>
        <w:t xml:space="preserve">pivotal trial evidence and </w:t>
      </w:r>
      <w:r w:rsidR="00CA10EE" w:rsidRPr="00D57480">
        <w:rPr>
          <w:rFonts w:eastAsia="Calibri"/>
        </w:rPr>
        <w:t xml:space="preserve">the </w:t>
      </w:r>
      <w:r w:rsidR="00122485" w:rsidRPr="00D57480">
        <w:rPr>
          <w:rFonts w:eastAsia="Calibri"/>
        </w:rPr>
        <w:t xml:space="preserve">MAIC </w:t>
      </w:r>
      <w:r w:rsidR="00CA10EE" w:rsidRPr="00D57480">
        <w:rPr>
          <w:rFonts w:eastAsia="Calibri"/>
        </w:rPr>
        <w:t>presented in</w:t>
      </w:r>
      <w:r w:rsidR="00122485" w:rsidRPr="00D57480">
        <w:rPr>
          <w:rFonts w:eastAsia="Calibri"/>
        </w:rPr>
        <w:t xml:space="preserve"> the</w:t>
      </w:r>
      <w:r w:rsidR="002F2E86" w:rsidRPr="00D57480">
        <w:rPr>
          <w:rFonts w:eastAsia="Calibri"/>
        </w:rPr>
        <w:t xml:space="preserve"> </w:t>
      </w:r>
      <w:r w:rsidR="00B81432" w:rsidRPr="00D57480">
        <w:rPr>
          <w:rFonts w:eastAsia="Calibri"/>
        </w:rPr>
        <w:t>submission</w:t>
      </w:r>
      <w:r w:rsidR="002F2E86" w:rsidRPr="00D57480">
        <w:rPr>
          <w:rFonts w:eastAsia="Calibri"/>
        </w:rPr>
        <w:t xml:space="preserve"> w</w:t>
      </w:r>
      <w:r w:rsidR="00CA10EE" w:rsidRPr="00D57480">
        <w:rPr>
          <w:rFonts w:eastAsia="Calibri"/>
        </w:rPr>
        <w:t>ere</w:t>
      </w:r>
      <w:r w:rsidR="00130F07" w:rsidRPr="00D57480">
        <w:rPr>
          <w:rFonts w:eastAsia="Calibri"/>
        </w:rPr>
        <w:t xml:space="preserve"> </w:t>
      </w:r>
      <w:r w:rsidR="00D64306" w:rsidRPr="00D57480">
        <w:rPr>
          <w:rFonts w:eastAsia="Calibri"/>
        </w:rPr>
        <w:t xml:space="preserve">associated with significant uncertainty. </w:t>
      </w:r>
      <w:r w:rsidR="002A2AC3" w:rsidRPr="00D57480">
        <w:rPr>
          <w:rFonts w:eastAsia="Calibri"/>
        </w:rPr>
        <w:t xml:space="preserve">However, acknowledging the </w:t>
      </w:r>
      <w:r w:rsidR="0096043A" w:rsidRPr="00D57480">
        <w:rPr>
          <w:rFonts w:eastAsia="Calibri"/>
        </w:rPr>
        <w:t xml:space="preserve">limitations of the evidence, </w:t>
      </w:r>
      <w:r w:rsidR="00923232" w:rsidRPr="00D57480">
        <w:rPr>
          <w:rFonts w:eastAsia="Calibri"/>
        </w:rPr>
        <w:t xml:space="preserve">the Sub-Committees considered </w:t>
      </w:r>
      <w:r w:rsidR="0096043A" w:rsidRPr="00D57480">
        <w:rPr>
          <w:rFonts w:eastAsia="Calibri"/>
        </w:rPr>
        <w:t xml:space="preserve">that an OS benefit was evident in this difficult to treat population. As such, the </w:t>
      </w:r>
      <w:r w:rsidR="0062028A" w:rsidRPr="00D57480">
        <w:rPr>
          <w:rFonts w:eastAsia="Calibri"/>
        </w:rPr>
        <w:t xml:space="preserve">Sub-Committees </w:t>
      </w:r>
      <w:r w:rsidR="003E377E" w:rsidRPr="00D57480">
        <w:rPr>
          <w:rFonts w:eastAsia="Calibri"/>
        </w:rPr>
        <w:t xml:space="preserve">considered the claim of superior efficacy was </w:t>
      </w:r>
      <w:r w:rsidR="0083789B" w:rsidRPr="00D57480">
        <w:rPr>
          <w:rFonts w:eastAsia="Calibri"/>
        </w:rPr>
        <w:t xml:space="preserve">highly uncertain but likely appropriate. </w:t>
      </w:r>
    </w:p>
    <w:p w14:paraId="6C200A60" w14:textId="77777777" w:rsidR="00B90834" w:rsidRPr="00B90834" w:rsidRDefault="002F0974" w:rsidP="002F0974">
      <w:pPr>
        <w:pStyle w:val="3-BodyText"/>
        <w:numPr>
          <w:ilvl w:val="1"/>
          <w:numId w:val="1"/>
        </w:numPr>
        <w:rPr>
          <w:rFonts w:eastAsia="Calibri"/>
        </w:rPr>
      </w:pPr>
      <w:r w:rsidRPr="001A2112">
        <w:rPr>
          <w:rFonts w:eastAsia="Calibri"/>
        </w:rPr>
        <w:t xml:space="preserve">The submission described </w:t>
      </w:r>
      <w:r w:rsidRPr="001A2112">
        <w:t>loncastuximab tesirine</w:t>
      </w:r>
      <w:r w:rsidRPr="001A2112">
        <w:rPr>
          <w:rFonts w:eastAsia="Calibri"/>
        </w:rPr>
        <w:t xml:space="preserve"> as superior in terms of safety compared to </w:t>
      </w:r>
      <w:r w:rsidRPr="001A2112">
        <w:t>chemoimmunotherapy</w:t>
      </w:r>
      <w:r w:rsidRPr="001A2112">
        <w:rPr>
          <w:rFonts w:eastAsia="Calibri"/>
        </w:rPr>
        <w:t xml:space="preserve">. </w:t>
      </w:r>
      <w:r w:rsidRPr="00D57480">
        <w:rPr>
          <w:rFonts w:eastAsia="Calibri"/>
        </w:rPr>
        <w:t>T</w:t>
      </w:r>
      <w:r w:rsidR="00851191" w:rsidRPr="00D57480">
        <w:rPr>
          <w:rFonts w:eastAsia="Calibri"/>
        </w:rPr>
        <w:t xml:space="preserve">he </w:t>
      </w:r>
      <w:r w:rsidR="00C115EB" w:rsidRPr="00D57480">
        <w:rPr>
          <w:rFonts w:eastAsia="Calibri"/>
        </w:rPr>
        <w:t>evaluation considered t</w:t>
      </w:r>
      <w:r w:rsidRPr="00D57480">
        <w:rPr>
          <w:rFonts w:eastAsia="Calibri"/>
        </w:rPr>
        <w:t>his claim was not adequately supported.</w:t>
      </w:r>
      <w:r w:rsidRPr="00D57480">
        <w:t xml:space="preserve"> Even though the safety data presented for chemoimmunotherapy were limited, patients in LOTIS-2 reported higher rates of AEs, including Grade </w:t>
      </w:r>
      <w:r w:rsidRPr="00D57480">
        <w:rPr>
          <w:rFonts w:cs="Calibri"/>
        </w:rPr>
        <w:t>≥</w:t>
      </w:r>
      <w:r w:rsidRPr="00D57480">
        <w:t xml:space="preserve"> 3 AEs, SAEs, and AEs leading to discontinuation, than what has been reported for chemoimmunotherapy in the literature</w:t>
      </w:r>
      <w:r w:rsidR="001D32BD" w:rsidRPr="00D57480">
        <w:t>. T</w:t>
      </w:r>
      <w:r w:rsidR="004532F2" w:rsidRPr="00D57480">
        <w:t>he evaluation considered t</w:t>
      </w:r>
      <w:r w:rsidR="001D32BD" w:rsidRPr="00D57480">
        <w:t xml:space="preserve">his suggests </w:t>
      </w:r>
      <w:r w:rsidRPr="00D57480">
        <w:t>an inferior safety profile for loncastuximab tesirine compared to chemoimmunotherapy.</w:t>
      </w:r>
      <w:r w:rsidR="00264D8E" w:rsidRPr="00D57480">
        <w:t xml:space="preserve"> </w:t>
      </w:r>
      <w:r w:rsidR="00E35370" w:rsidRPr="00D57480">
        <w:t xml:space="preserve">The Sub-Committees agreed with the evaluation </w:t>
      </w:r>
      <w:r w:rsidR="0055300D" w:rsidRPr="00D57480">
        <w:t xml:space="preserve">that </w:t>
      </w:r>
      <w:r w:rsidR="00E35370" w:rsidRPr="00D57480">
        <w:t xml:space="preserve">a claim of superior safety was </w:t>
      </w:r>
      <w:r w:rsidR="00755A73" w:rsidRPr="00D57480">
        <w:t>unable to be justified</w:t>
      </w:r>
      <w:r w:rsidR="0055300D" w:rsidRPr="00D57480">
        <w:t xml:space="preserve">. </w:t>
      </w:r>
      <w:r w:rsidR="00BC6F0A" w:rsidRPr="00D57480">
        <w:t>O</w:t>
      </w:r>
      <w:r w:rsidR="00894C43" w:rsidRPr="00D57480">
        <w:t>verall</w:t>
      </w:r>
      <w:r w:rsidR="00562352" w:rsidRPr="00D57480">
        <w:t>,</w:t>
      </w:r>
      <w:r w:rsidR="00894C43" w:rsidRPr="00D57480">
        <w:t xml:space="preserve"> </w:t>
      </w:r>
      <w:r w:rsidR="002B6A74" w:rsidRPr="00D57480">
        <w:t>the</w:t>
      </w:r>
      <w:r w:rsidR="008828CA" w:rsidRPr="00D57480">
        <w:t xml:space="preserve"> Sub-Committees considered</w:t>
      </w:r>
      <w:r w:rsidR="00617ED5" w:rsidRPr="00D57480">
        <w:t xml:space="preserve"> that events appeared similar in frequency and magnitude compared to chemoimmunotherapy with some differences in the type of event. The Sub-Committees considered that a claim of non-inferior safety would be more appropriate.</w:t>
      </w:r>
    </w:p>
    <w:p w14:paraId="24872138" w14:textId="2F1A052C" w:rsidR="006326E7" w:rsidRPr="002525B9" w:rsidRDefault="006326E7" w:rsidP="006326E7">
      <w:pPr>
        <w:widowControl w:val="0"/>
        <w:numPr>
          <w:ilvl w:val="1"/>
          <w:numId w:val="1"/>
        </w:numPr>
        <w:spacing w:after="120"/>
        <w:rPr>
          <w:rFonts w:asciiTheme="minorHAnsi" w:hAnsiTheme="minorHAnsi"/>
          <w:snapToGrid w:val="0"/>
          <w:szCs w:val="20"/>
        </w:rPr>
      </w:pPr>
      <w:bookmarkStart w:id="53" w:name="_Hlk76376200"/>
      <w:r w:rsidRPr="002525B9">
        <w:rPr>
          <w:rFonts w:asciiTheme="minorHAnsi" w:hAnsiTheme="minorHAnsi"/>
          <w:iCs/>
          <w:snapToGrid w:val="0"/>
        </w:rPr>
        <w:t>The</w:t>
      </w:r>
      <w:r w:rsidRPr="002525B9">
        <w:rPr>
          <w:rFonts w:asciiTheme="minorHAnsi" w:hAnsiTheme="minorHAnsi"/>
          <w:snapToGrid w:val="0"/>
          <w:szCs w:val="20"/>
        </w:rPr>
        <w:t xml:space="preserve"> PBAC considered that the claim of superior comparative effectiveness was </w:t>
      </w:r>
      <w:r w:rsidR="00D97AAC">
        <w:rPr>
          <w:rFonts w:asciiTheme="minorHAnsi" w:hAnsiTheme="minorHAnsi"/>
          <w:snapToGrid w:val="0"/>
          <w:szCs w:val="20"/>
        </w:rPr>
        <w:t xml:space="preserve">highly uncertain but </w:t>
      </w:r>
      <w:r w:rsidR="00D97D65">
        <w:rPr>
          <w:rFonts w:asciiTheme="minorHAnsi" w:hAnsiTheme="minorHAnsi"/>
          <w:snapToGrid w:val="0"/>
          <w:szCs w:val="20"/>
        </w:rPr>
        <w:t xml:space="preserve">likely </w:t>
      </w:r>
      <w:r w:rsidRPr="002525B9">
        <w:rPr>
          <w:rFonts w:asciiTheme="minorHAnsi" w:hAnsiTheme="minorHAnsi"/>
          <w:snapToGrid w:val="0"/>
          <w:szCs w:val="20"/>
        </w:rPr>
        <w:t>reasonable.</w:t>
      </w:r>
    </w:p>
    <w:p w14:paraId="7F613CD1" w14:textId="3AA8ACD3" w:rsidR="005F7588" w:rsidRPr="002525B9" w:rsidRDefault="006326E7" w:rsidP="006326E7">
      <w:pPr>
        <w:widowControl w:val="0"/>
        <w:numPr>
          <w:ilvl w:val="1"/>
          <w:numId w:val="1"/>
        </w:numPr>
        <w:spacing w:after="120"/>
        <w:rPr>
          <w:rFonts w:asciiTheme="minorHAnsi" w:hAnsiTheme="minorHAnsi"/>
          <w:snapToGrid w:val="0"/>
          <w:szCs w:val="20"/>
        </w:rPr>
      </w:pPr>
      <w:r w:rsidRPr="002525B9">
        <w:rPr>
          <w:rFonts w:asciiTheme="minorHAnsi" w:hAnsiTheme="minorHAnsi"/>
          <w:snapToGrid w:val="0"/>
          <w:szCs w:val="20"/>
        </w:rPr>
        <w:t>The PBAC considered that the claim of superior comparative safety was not adequately supported by the data</w:t>
      </w:r>
      <w:r w:rsidR="002525B9">
        <w:rPr>
          <w:rFonts w:asciiTheme="minorHAnsi" w:hAnsiTheme="minorHAnsi"/>
          <w:snapToGrid w:val="0"/>
          <w:szCs w:val="20"/>
        </w:rPr>
        <w:t xml:space="preserve"> and advi</w:t>
      </w:r>
      <w:r w:rsidR="00042DA0">
        <w:rPr>
          <w:rFonts w:asciiTheme="minorHAnsi" w:hAnsiTheme="minorHAnsi"/>
          <w:snapToGrid w:val="0"/>
          <w:szCs w:val="20"/>
        </w:rPr>
        <w:t xml:space="preserve">sed that a </w:t>
      </w:r>
      <w:r w:rsidR="00AD3284" w:rsidRPr="00D57480">
        <w:t xml:space="preserve">claim of non-inferior safety </w:t>
      </w:r>
      <w:r w:rsidR="00B83E83">
        <w:t>was reasonable</w:t>
      </w:r>
      <w:r w:rsidRPr="002525B9">
        <w:rPr>
          <w:rFonts w:asciiTheme="minorHAnsi" w:hAnsiTheme="minorHAnsi"/>
          <w:snapToGrid w:val="0"/>
          <w:szCs w:val="20"/>
        </w:rPr>
        <w:t>.</w:t>
      </w:r>
      <w:bookmarkEnd w:id="53"/>
    </w:p>
    <w:p w14:paraId="74A1172E" w14:textId="128C170E" w:rsidR="00B60939" w:rsidRPr="000B298F" w:rsidRDefault="00B60939" w:rsidP="000B298F">
      <w:pPr>
        <w:pStyle w:val="4-SubsectionHeading"/>
      </w:pPr>
      <w:bookmarkStart w:id="54" w:name="_Toc22897645"/>
      <w:bookmarkStart w:id="55" w:name="_Toc219880988"/>
      <w:r w:rsidRPr="000B298F">
        <w:t>Economic analysis</w:t>
      </w:r>
      <w:bookmarkEnd w:id="54"/>
      <w:bookmarkEnd w:id="55"/>
      <w:r w:rsidR="00491B3A" w:rsidRPr="000B298F">
        <w:t xml:space="preserve"> </w:t>
      </w:r>
    </w:p>
    <w:p w14:paraId="047A1B78" w14:textId="77777777" w:rsidR="002F0974" w:rsidRPr="0098262F" w:rsidRDefault="002F0974" w:rsidP="002F0974">
      <w:pPr>
        <w:pStyle w:val="3-BodyText"/>
        <w:numPr>
          <w:ilvl w:val="1"/>
          <w:numId w:val="1"/>
        </w:numPr>
        <w:rPr>
          <w:b/>
          <w:bCs/>
          <w:color w:val="0066FF"/>
        </w:rPr>
      </w:pPr>
      <w:r w:rsidRPr="001A2112">
        <w:t xml:space="preserve">The submission presented a stepped economic evaluation of loncastuximab tesirine versus chemoimmunotherapy (R-ICE as proxy for all </w:t>
      </w:r>
      <w:r w:rsidRPr="001A2112">
        <w:rPr>
          <w:lang w:val="en-GB"/>
        </w:rPr>
        <w:t>rituximab-based chemoimmunotherapy), based on indirect evidence from LOTIS</w:t>
      </w:r>
      <w:r>
        <w:rPr>
          <w:lang w:val="en-GB"/>
        </w:rPr>
        <w:t xml:space="preserve">-2 and CORAL extension studies via the MAIC. </w:t>
      </w:r>
    </w:p>
    <w:p w14:paraId="5B7C8F3A" w14:textId="35F78260" w:rsidR="002F0974" w:rsidRPr="0098262F" w:rsidRDefault="002F0974" w:rsidP="002F0974">
      <w:pPr>
        <w:pStyle w:val="Caption"/>
        <w:rPr>
          <w:rStyle w:val="CommentReference"/>
          <w:b/>
          <w:szCs w:val="24"/>
        </w:rPr>
      </w:pPr>
      <w:r w:rsidRPr="0098262F">
        <w:t xml:space="preserve">Table </w:t>
      </w:r>
      <w:r>
        <w:fldChar w:fldCharType="begin"/>
      </w:r>
      <w:r>
        <w:instrText>SEQ Table \* ARABIC</w:instrText>
      </w:r>
      <w:r>
        <w:fldChar w:fldCharType="separate"/>
      </w:r>
      <w:r w:rsidR="007D33FD">
        <w:rPr>
          <w:noProof/>
        </w:rPr>
        <w:t>12</w:t>
      </w:r>
      <w:r>
        <w:fldChar w:fldCharType="end"/>
      </w:r>
      <w:r w:rsidRPr="0098262F">
        <w:t>:</w:t>
      </w:r>
      <w:r w:rsidRPr="0098262F">
        <w:rPr>
          <w:rStyle w:val="CommentReference"/>
          <w:b/>
          <w:szCs w:val="24"/>
        </w:rPr>
        <w:t xml:space="preserve"> Summary of model structure, key inputs and rationale</w:t>
      </w: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2: Summary of model structure, key inputs and rationale"/>
      </w:tblPr>
      <w:tblGrid>
        <w:gridCol w:w="1272"/>
        <w:gridCol w:w="8079"/>
      </w:tblGrid>
      <w:tr w:rsidR="002F0974" w:rsidRPr="0098262F" w14:paraId="16338063" w14:textId="77777777" w:rsidTr="00D625C4">
        <w:trPr>
          <w:tblHeader/>
        </w:trPr>
        <w:tc>
          <w:tcPr>
            <w:tcW w:w="680" w:type="pct"/>
            <w:vAlign w:val="center"/>
          </w:tcPr>
          <w:p w14:paraId="548F8C98" w14:textId="77777777" w:rsidR="002F0974" w:rsidRPr="0098262F" w:rsidRDefault="002F0974">
            <w:pPr>
              <w:pStyle w:val="In-tableHeading"/>
              <w:keepNext w:val="0"/>
              <w:keepLines w:val="0"/>
              <w:rPr>
                <w:lang w:val="en-AU"/>
              </w:rPr>
            </w:pPr>
            <w:r w:rsidRPr="0098262F">
              <w:rPr>
                <w:lang w:val="en-AU"/>
              </w:rPr>
              <w:t>Component</w:t>
            </w:r>
          </w:p>
        </w:tc>
        <w:tc>
          <w:tcPr>
            <w:tcW w:w="4320" w:type="pct"/>
            <w:vAlign w:val="center"/>
          </w:tcPr>
          <w:p w14:paraId="22118BF8" w14:textId="77777777" w:rsidR="002F0974" w:rsidRPr="0098262F" w:rsidRDefault="002F0974" w:rsidP="000911F9">
            <w:pPr>
              <w:pStyle w:val="In-tableHeading"/>
              <w:keepNext w:val="0"/>
              <w:keepLines w:val="0"/>
              <w:ind w:right="57"/>
              <w:rPr>
                <w:lang w:val="en-AU"/>
              </w:rPr>
            </w:pPr>
            <w:r w:rsidRPr="0098262F">
              <w:rPr>
                <w:lang w:val="en-AU"/>
              </w:rPr>
              <w:t>Summary</w:t>
            </w:r>
          </w:p>
        </w:tc>
      </w:tr>
      <w:tr w:rsidR="002F0974" w:rsidRPr="0098262F" w14:paraId="3253DB60" w14:textId="77777777" w:rsidTr="00D625C4">
        <w:tc>
          <w:tcPr>
            <w:tcW w:w="680" w:type="pct"/>
            <w:vAlign w:val="center"/>
          </w:tcPr>
          <w:p w14:paraId="50D120E4" w14:textId="77777777" w:rsidR="002F0974" w:rsidRPr="0098262F" w:rsidRDefault="002F0974">
            <w:pPr>
              <w:pStyle w:val="TableText0"/>
              <w:keepNext w:val="0"/>
              <w:keepLines w:val="0"/>
            </w:pPr>
            <w:r w:rsidRPr="0098262F">
              <w:t>Treatments</w:t>
            </w:r>
          </w:p>
        </w:tc>
        <w:tc>
          <w:tcPr>
            <w:tcW w:w="4320" w:type="pct"/>
            <w:vAlign w:val="center"/>
          </w:tcPr>
          <w:p w14:paraId="01E7BD3F" w14:textId="77777777" w:rsidR="002F0974" w:rsidRPr="0098262F" w:rsidRDefault="002F0974" w:rsidP="000911F9">
            <w:pPr>
              <w:pStyle w:val="TableText0"/>
              <w:keepNext w:val="0"/>
              <w:keepLines w:val="0"/>
              <w:ind w:right="57"/>
            </w:pPr>
            <w:r>
              <w:t>Loncastuximab tesirine</w:t>
            </w:r>
            <w:r w:rsidRPr="0098262F">
              <w:t xml:space="preserve"> vs </w:t>
            </w:r>
            <w:r>
              <w:t>chemoimmunotherapy (R-ICE as proxy)</w:t>
            </w:r>
          </w:p>
        </w:tc>
      </w:tr>
      <w:tr w:rsidR="002F0974" w:rsidRPr="0098262F" w14:paraId="166DB110" w14:textId="77777777" w:rsidTr="00D625C4">
        <w:tc>
          <w:tcPr>
            <w:tcW w:w="680" w:type="pct"/>
            <w:vAlign w:val="center"/>
          </w:tcPr>
          <w:p w14:paraId="5613C246" w14:textId="77777777" w:rsidR="002F0974" w:rsidRPr="0098262F" w:rsidRDefault="002F0974">
            <w:pPr>
              <w:pStyle w:val="TableText0"/>
              <w:keepNext w:val="0"/>
              <w:keepLines w:val="0"/>
            </w:pPr>
            <w:r w:rsidRPr="0098262F">
              <w:t>Time horizon</w:t>
            </w:r>
          </w:p>
        </w:tc>
        <w:tc>
          <w:tcPr>
            <w:tcW w:w="4320" w:type="pct"/>
            <w:vAlign w:val="center"/>
          </w:tcPr>
          <w:p w14:paraId="4F10E473" w14:textId="77777777" w:rsidR="002F0974" w:rsidRDefault="002F0974" w:rsidP="000911F9">
            <w:pPr>
              <w:pStyle w:val="TableText0"/>
              <w:keepNext w:val="0"/>
              <w:keepLines w:val="0"/>
              <w:ind w:right="57"/>
            </w:pPr>
            <w:r>
              <w:t>30</w:t>
            </w:r>
            <w:r w:rsidRPr="0098262F">
              <w:t xml:space="preserve"> years in the model base case versus </w:t>
            </w:r>
            <w:r>
              <w:t>up to 40 months</w:t>
            </w:r>
            <w:r w:rsidRPr="0098262F">
              <w:t xml:space="preserve"> </w:t>
            </w:r>
            <w:r>
              <w:t>of follow-up in LOTIS-2.</w:t>
            </w:r>
          </w:p>
          <w:p w14:paraId="5618F4A1" w14:textId="3A7BA7A4" w:rsidR="002F0974" w:rsidRPr="009714CC" w:rsidRDefault="002F0974" w:rsidP="000911F9">
            <w:pPr>
              <w:pStyle w:val="TableText0"/>
              <w:keepNext w:val="0"/>
              <w:keepLines w:val="0"/>
              <w:ind w:right="57"/>
            </w:pPr>
            <w:r w:rsidRPr="009714CC">
              <w:rPr>
                <w:szCs w:val="20"/>
              </w:rPr>
              <w:t>Th</w:t>
            </w:r>
            <w:r w:rsidR="009714CC">
              <w:rPr>
                <w:szCs w:val="20"/>
              </w:rPr>
              <w:t>e evaluation considered th</w:t>
            </w:r>
            <w:r w:rsidRPr="009714CC">
              <w:rPr>
                <w:szCs w:val="20"/>
              </w:rPr>
              <w:t xml:space="preserve">is was uncertain. Uncertainty in the comparative effectiveness evidence, which had been derived from an unanchored MAIC, was further exacerbated by the long extrapolation required for a 30-year time horizon. </w:t>
            </w:r>
          </w:p>
        </w:tc>
      </w:tr>
      <w:tr w:rsidR="002F0974" w:rsidRPr="0098262F" w14:paraId="11C545EF" w14:textId="77777777" w:rsidTr="00D625C4">
        <w:tc>
          <w:tcPr>
            <w:tcW w:w="680" w:type="pct"/>
            <w:vAlign w:val="center"/>
          </w:tcPr>
          <w:p w14:paraId="092E6DDC" w14:textId="77777777" w:rsidR="002F0974" w:rsidRPr="0098262F" w:rsidRDefault="002F0974">
            <w:pPr>
              <w:pStyle w:val="TableText0"/>
              <w:keepNext w:val="0"/>
              <w:keepLines w:val="0"/>
            </w:pPr>
            <w:r w:rsidRPr="0098262F">
              <w:t>Outcomes</w:t>
            </w:r>
          </w:p>
        </w:tc>
        <w:tc>
          <w:tcPr>
            <w:tcW w:w="4320" w:type="pct"/>
            <w:vAlign w:val="center"/>
          </w:tcPr>
          <w:p w14:paraId="5539497E" w14:textId="53F1364B" w:rsidR="002F0974" w:rsidRPr="0098262F" w:rsidRDefault="002F0974" w:rsidP="000911F9">
            <w:pPr>
              <w:pStyle w:val="TableText0"/>
              <w:keepNext w:val="0"/>
              <w:keepLines w:val="0"/>
              <w:ind w:right="57"/>
            </w:pPr>
            <w:r w:rsidRPr="0098262F">
              <w:t>LYG and QALYs</w:t>
            </w:r>
            <w:r>
              <w:t xml:space="preserve">. </w:t>
            </w:r>
          </w:p>
        </w:tc>
      </w:tr>
      <w:tr w:rsidR="002F0974" w:rsidRPr="0098262F" w14:paraId="51136510" w14:textId="77777777" w:rsidTr="00D625C4">
        <w:tc>
          <w:tcPr>
            <w:tcW w:w="680" w:type="pct"/>
            <w:vAlign w:val="center"/>
          </w:tcPr>
          <w:p w14:paraId="5818AF86" w14:textId="77777777" w:rsidR="002F0974" w:rsidRPr="0098262F" w:rsidRDefault="002F0974">
            <w:pPr>
              <w:pStyle w:val="TableText0"/>
              <w:keepNext w:val="0"/>
              <w:keepLines w:val="0"/>
            </w:pPr>
            <w:r w:rsidRPr="0098262F">
              <w:t>Methods used to generate results</w:t>
            </w:r>
          </w:p>
        </w:tc>
        <w:tc>
          <w:tcPr>
            <w:tcW w:w="4320" w:type="pct"/>
            <w:vAlign w:val="center"/>
          </w:tcPr>
          <w:p w14:paraId="46128F61" w14:textId="51724E7D" w:rsidR="002F0974" w:rsidRPr="0098262F" w:rsidRDefault="002F0974" w:rsidP="000911F9">
            <w:pPr>
              <w:pStyle w:val="TableText0"/>
              <w:keepNext w:val="0"/>
              <w:keepLines w:val="0"/>
              <w:ind w:right="57"/>
            </w:pPr>
            <w:r w:rsidRPr="0098262F">
              <w:t xml:space="preserve">Partitioned survival </w:t>
            </w:r>
            <w:r>
              <w:t xml:space="preserve">analysis (PSA). </w:t>
            </w:r>
            <w:r w:rsidRPr="00160898">
              <w:t xml:space="preserve">While </w:t>
            </w:r>
            <w:r w:rsidR="00D11FBF">
              <w:t xml:space="preserve">the evaluation considered </w:t>
            </w:r>
            <w:r w:rsidRPr="00160898">
              <w:t>PSA is appropriate for a cancer treatment, it is more restrictive under a cure assumption because it cannot explicitly separate cured patients from those still at risk (see Health States).</w:t>
            </w:r>
            <w:r>
              <w:t xml:space="preserve"> </w:t>
            </w:r>
          </w:p>
        </w:tc>
      </w:tr>
      <w:tr w:rsidR="002F0974" w:rsidRPr="0098262F" w14:paraId="72EAC2B1" w14:textId="77777777" w:rsidTr="00D625C4">
        <w:tc>
          <w:tcPr>
            <w:tcW w:w="680" w:type="pct"/>
            <w:vAlign w:val="center"/>
          </w:tcPr>
          <w:p w14:paraId="7018F512" w14:textId="77777777" w:rsidR="002F0974" w:rsidRPr="0098262F" w:rsidRDefault="002F0974">
            <w:pPr>
              <w:pStyle w:val="TableText0"/>
              <w:keepNext w:val="0"/>
              <w:keepLines w:val="0"/>
            </w:pPr>
            <w:r w:rsidRPr="0098262F">
              <w:t>Health states</w:t>
            </w:r>
          </w:p>
        </w:tc>
        <w:tc>
          <w:tcPr>
            <w:tcW w:w="4320" w:type="pct"/>
            <w:vAlign w:val="center"/>
          </w:tcPr>
          <w:p w14:paraId="087EA0B7" w14:textId="77777777" w:rsidR="002F0974" w:rsidRPr="00C765F8" w:rsidRDefault="002F0974" w:rsidP="000911F9">
            <w:pPr>
              <w:pStyle w:val="TableText0"/>
              <w:keepNext w:val="0"/>
              <w:keepLines w:val="0"/>
              <w:ind w:right="57"/>
              <w:rPr>
                <w:vertAlign w:val="superscript"/>
              </w:rPr>
            </w:pPr>
            <w:r w:rsidRPr="00C765F8">
              <w:t>PF, PD, Cured and Dead.</w:t>
            </w:r>
          </w:p>
          <w:p w14:paraId="7CE8329E" w14:textId="77777777" w:rsidR="002F0974" w:rsidRPr="00C765F8" w:rsidRDefault="002F0974" w:rsidP="000911F9">
            <w:pPr>
              <w:pStyle w:val="TableText0"/>
              <w:keepNext w:val="0"/>
              <w:keepLines w:val="0"/>
              <w:ind w:right="57"/>
            </w:pPr>
            <w:r w:rsidRPr="00C765F8">
              <w:lastRenderedPageBreak/>
              <w:t>The model included three main health states: “PF/Cured”, “PD” and “Dead”. In the “PF/Cured” state, patients were assumed to remain progression-free until the cure timepoint, after which they were considered cured.</w:t>
            </w:r>
          </w:p>
        </w:tc>
      </w:tr>
      <w:tr w:rsidR="002F0974" w:rsidRPr="0098262F" w14:paraId="60F938E8" w14:textId="77777777" w:rsidTr="00D625C4">
        <w:tc>
          <w:tcPr>
            <w:tcW w:w="680" w:type="pct"/>
            <w:vAlign w:val="center"/>
          </w:tcPr>
          <w:p w14:paraId="333C04B3" w14:textId="77777777" w:rsidR="002F0974" w:rsidRPr="0098262F" w:rsidRDefault="002F0974">
            <w:pPr>
              <w:pStyle w:val="TableText0"/>
              <w:keepNext w:val="0"/>
              <w:keepLines w:val="0"/>
            </w:pPr>
            <w:r w:rsidRPr="0098262F">
              <w:lastRenderedPageBreak/>
              <w:t>Cycle length</w:t>
            </w:r>
          </w:p>
        </w:tc>
        <w:tc>
          <w:tcPr>
            <w:tcW w:w="4320" w:type="pct"/>
            <w:vAlign w:val="center"/>
          </w:tcPr>
          <w:p w14:paraId="208D1F5F" w14:textId="64D1F190" w:rsidR="002F0974" w:rsidRPr="00C765F8" w:rsidRDefault="002F0974" w:rsidP="000911F9">
            <w:pPr>
              <w:pStyle w:val="TableText0"/>
              <w:keepNext w:val="0"/>
              <w:keepLines w:val="0"/>
              <w:ind w:right="57"/>
            </w:pPr>
            <w:r w:rsidRPr="00C765F8">
              <w:t>One week with half-cycle correction for costs and outcomes.</w:t>
            </w:r>
            <w:r w:rsidR="0009691B">
              <w:t xml:space="preserve"> </w:t>
            </w:r>
            <w:r w:rsidRPr="00C765F8">
              <w:t xml:space="preserve">Half-cycle correction underestimated drug costs, with drug costs attributed to only 91% and 88% of loncastuximab tesirine and comparator patients in the first model cycle, respectively, where </w:t>
            </w:r>
            <w:r w:rsidR="006A69AF" w:rsidRPr="00C765F8">
              <w:t xml:space="preserve">100% of patients </w:t>
            </w:r>
            <w:r w:rsidRPr="00C765F8">
              <w:t xml:space="preserve">should have been treated. Given the short cycle lengths and the dosing schedules, </w:t>
            </w:r>
            <w:r w:rsidR="00741B7D">
              <w:t xml:space="preserve">the evaluation considered </w:t>
            </w:r>
            <w:r w:rsidRPr="00C765F8">
              <w:t>half-cycle correction may be unnecessary and inappropriate</w:t>
            </w:r>
            <w:r w:rsidR="006A69AF" w:rsidRPr="00C765F8">
              <w:t xml:space="preserve"> for drug costs</w:t>
            </w:r>
            <w:r w:rsidRPr="00C765F8">
              <w:t>. Excluding the half-cycle correction for costs increased the ICER to $</w:t>
            </w:r>
            <w:r w:rsidR="005822E1" w:rsidRPr="005822E1">
              <w:rPr>
                <w:sz w:val="2"/>
                <w:highlight w:val="black"/>
              </w:rPr>
              <w:t>redacted content</w:t>
            </w:r>
            <w:r w:rsidR="00B447B3">
              <w:rPr>
                <w:vertAlign w:val="superscript"/>
              </w:rPr>
              <w:t>1</w:t>
            </w:r>
            <w:r w:rsidRPr="00C765F8">
              <w:t xml:space="preserve"> from an error-corrected base case</w:t>
            </w:r>
            <w:r w:rsidRPr="00C765F8">
              <w:rPr>
                <w:vertAlign w:val="superscript"/>
              </w:rPr>
              <w:t>*</w:t>
            </w:r>
            <w:r w:rsidRPr="00C765F8">
              <w:t xml:space="preserve"> of $</w:t>
            </w:r>
            <w:r w:rsidR="005822E1" w:rsidRPr="005822E1">
              <w:rPr>
                <w:sz w:val="2"/>
                <w:highlight w:val="black"/>
              </w:rPr>
              <w:t>redacted content</w:t>
            </w:r>
            <w:r w:rsidR="00B447B3">
              <w:rPr>
                <w:vertAlign w:val="superscript"/>
              </w:rPr>
              <w:t>1</w:t>
            </w:r>
            <w:r w:rsidRPr="00C765F8">
              <w:t xml:space="preserve"> per QALY gained.</w:t>
            </w:r>
            <w:r w:rsidR="00F51D47">
              <w:t xml:space="preserve"> </w:t>
            </w:r>
            <w:r w:rsidR="00F51D47" w:rsidRPr="00D57480">
              <w:t xml:space="preserve">The Sub-Committees agreed with the </w:t>
            </w:r>
            <w:r w:rsidR="00C6542F" w:rsidRPr="00D57480">
              <w:t xml:space="preserve">evaluation that </w:t>
            </w:r>
            <w:r w:rsidR="00813D46" w:rsidRPr="00D57480">
              <w:t>the half-cycle correction for costs should be excluded</w:t>
            </w:r>
            <w:r w:rsidR="00A31451" w:rsidRPr="00D57480">
              <w:t xml:space="preserve">. </w:t>
            </w:r>
          </w:p>
        </w:tc>
      </w:tr>
      <w:tr w:rsidR="002F0974" w:rsidRPr="0098262F" w14:paraId="310D307A" w14:textId="77777777" w:rsidTr="00D625C4">
        <w:tc>
          <w:tcPr>
            <w:tcW w:w="680" w:type="pct"/>
            <w:vAlign w:val="center"/>
          </w:tcPr>
          <w:p w14:paraId="5408FB5D" w14:textId="77777777" w:rsidR="002F0974" w:rsidRPr="0098262F" w:rsidRDefault="002F0974">
            <w:pPr>
              <w:pStyle w:val="TableText0"/>
              <w:keepNext w:val="0"/>
              <w:keepLines w:val="0"/>
            </w:pPr>
            <w:r w:rsidRPr="008415BB">
              <w:t>Cure assumptions</w:t>
            </w:r>
          </w:p>
        </w:tc>
        <w:tc>
          <w:tcPr>
            <w:tcW w:w="4320" w:type="pct"/>
            <w:vAlign w:val="center"/>
          </w:tcPr>
          <w:p w14:paraId="77A00BE1" w14:textId="72BDE469" w:rsidR="002F0974" w:rsidRPr="00C765F8" w:rsidRDefault="002F0974" w:rsidP="000911F9">
            <w:pPr>
              <w:pStyle w:val="TableText0"/>
              <w:keepNext w:val="0"/>
              <w:keepLines w:val="0"/>
              <w:widowControl w:val="0"/>
              <w:ind w:right="57"/>
            </w:pPr>
            <w:r w:rsidRPr="00C765F8">
              <w:t>The model assumed all patients who remained progression-free after 2 years were cured.</w:t>
            </w:r>
          </w:p>
          <w:p w14:paraId="16DE666A" w14:textId="3965FCE7" w:rsidR="007B58C9" w:rsidRPr="00C765F8" w:rsidRDefault="002F0974" w:rsidP="000911F9">
            <w:pPr>
              <w:pStyle w:val="3-BodyText"/>
              <w:numPr>
                <w:ilvl w:val="0"/>
                <w:numId w:val="0"/>
              </w:numPr>
              <w:ind w:right="57"/>
              <w:rPr>
                <w:rFonts w:ascii="Arial Narrow" w:hAnsi="Arial Narrow"/>
                <w:sz w:val="20"/>
                <w:szCs w:val="20"/>
              </w:rPr>
            </w:pPr>
            <w:r w:rsidRPr="00C765F8">
              <w:rPr>
                <w:rFonts w:ascii="Arial Narrow" w:hAnsi="Arial Narrow"/>
                <w:sz w:val="20"/>
                <w:szCs w:val="20"/>
              </w:rPr>
              <w:t xml:space="preserve">The </w:t>
            </w:r>
            <w:r w:rsidR="003906BF">
              <w:rPr>
                <w:rFonts w:ascii="Arial Narrow" w:hAnsi="Arial Narrow"/>
                <w:sz w:val="20"/>
                <w:szCs w:val="20"/>
              </w:rPr>
              <w:t xml:space="preserve">evaluation considered the </w:t>
            </w:r>
            <w:r w:rsidRPr="00C765F8">
              <w:rPr>
                <w:rFonts w:ascii="Arial Narrow" w:hAnsi="Arial Narrow"/>
                <w:sz w:val="20"/>
                <w:szCs w:val="20"/>
              </w:rPr>
              <w:t>assumed cure assumption may require consideration. In other HTA models for R/R DLBCL, cure points of 2</w:t>
            </w:r>
            <w:r w:rsidRPr="00C765F8">
              <w:rPr>
                <w:rStyle w:val="FootnoteReference"/>
                <w:rFonts w:ascii="Arial Narrow" w:hAnsi="Arial Narrow"/>
                <w:sz w:val="20"/>
                <w:szCs w:val="20"/>
              </w:rPr>
              <w:footnoteReference w:id="9"/>
            </w:r>
            <w:r w:rsidRPr="00C765F8">
              <w:rPr>
                <w:rFonts w:ascii="Arial Narrow" w:hAnsi="Arial Narrow"/>
                <w:sz w:val="20"/>
                <w:szCs w:val="20"/>
              </w:rPr>
              <w:t xml:space="preserve"> or 3</w:t>
            </w:r>
            <w:r w:rsidRPr="00C765F8">
              <w:rPr>
                <w:rStyle w:val="FootnoteReference"/>
                <w:rFonts w:ascii="Arial Narrow" w:hAnsi="Arial Narrow"/>
                <w:sz w:val="20"/>
                <w:szCs w:val="20"/>
              </w:rPr>
              <w:footnoteReference w:id="10"/>
            </w:r>
            <w:r w:rsidRPr="00C765F8">
              <w:rPr>
                <w:rFonts w:ascii="Arial Narrow" w:hAnsi="Arial Narrow"/>
                <w:sz w:val="20"/>
                <w:szCs w:val="20"/>
              </w:rPr>
              <w:t xml:space="preserve"> years have been used, while some applied no cure assumption, including the SMC evaluations of epcoritamab</w:t>
            </w:r>
            <w:r w:rsidRPr="00C765F8">
              <w:rPr>
                <w:rStyle w:val="FootnoteReference"/>
                <w:rFonts w:ascii="Arial Narrow" w:hAnsi="Arial Narrow"/>
                <w:sz w:val="20"/>
                <w:szCs w:val="20"/>
              </w:rPr>
              <w:footnoteReference w:id="11"/>
            </w:r>
            <w:r w:rsidRPr="00C765F8">
              <w:rPr>
                <w:rFonts w:ascii="Arial Narrow" w:hAnsi="Arial Narrow"/>
                <w:sz w:val="20"/>
                <w:szCs w:val="20"/>
              </w:rPr>
              <w:t xml:space="preserve"> and loncastuximab tesirine</w:t>
            </w:r>
            <w:r w:rsidRPr="00C765F8">
              <w:rPr>
                <w:rStyle w:val="FootnoteReference"/>
                <w:rFonts w:ascii="Arial Narrow" w:hAnsi="Arial Narrow"/>
                <w:sz w:val="20"/>
                <w:szCs w:val="20"/>
              </w:rPr>
              <w:footnoteReference w:id="12"/>
            </w:r>
            <w:r w:rsidRPr="00C765F8">
              <w:rPr>
                <w:rFonts w:ascii="Arial Narrow" w:hAnsi="Arial Narrow"/>
                <w:sz w:val="20"/>
                <w:szCs w:val="20"/>
              </w:rPr>
              <w:t>. The loncastuximab tesirine evaluations for the NICE</w:t>
            </w:r>
            <w:r w:rsidRPr="00C765F8">
              <w:rPr>
                <w:rStyle w:val="FootnoteReference"/>
                <w:rFonts w:ascii="Arial Narrow" w:hAnsi="Arial Narrow"/>
                <w:sz w:val="20"/>
                <w:szCs w:val="20"/>
              </w:rPr>
              <w:footnoteReference w:id="13"/>
            </w:r>
            <w:r w:rsidRPr="00C765F8">
              <w:rPr>
                <w:rFonts w:ascii="Arial Narrow" w:hAnsi="Arial Narrow"/>
                <w:sz w:val="20"/>
                <w:szCs w:val="20"/>
              </w:rPr>
              <w:t xml:space="preserve"> and epcoritamab evaluation for CDA</w:t>
            </w:r>
            <w:r w:rsidRPr="00C765F8">
              <w:rPr>
                <w:rStyle w:val="FootnoteReference"/>
                <w:rFonts w:ascii="Arial Narrow" w:hAnsi="Arial Narrow"/>
                <w:sz w:val="20"/>
                <w:szCs w:val="20"/>
              </w:rPr>
              <w:footnoteReference w:id="14"/>
            </w:r>
            <w:r w:rsidRPr="00C765F8">
              <w:rPr>
                <w:rFonts w:ascii="Arial Narrow" w:hAnsi="Arial Narrow"/>
                <w:sz w:val="20"/>
                <w:szCs w:val="20"/>
              </w:rPr>
              <w:t xml:space="preserve"> instead nominated a 3</w:t>
            </w:r>
            <w:r w:rsidR="00E870C8" w:rsidRPr="00C765F8">
              <w:rPr>
                <w:rFonts w:ascii="Arial Narrow" w:hAnsi="Arial Narrow"/>
                <w:sz w:val="20"/>
                <w:szCs w:val="20"/>
              </w:rPr>
              <w:t>-</w:t>
            </w:r>
            <w:r w:rsidRPr="00C765F8">
              <w:rPr>
                <w:rFonts w:ascii="Arial Narrow" w:hAnsi="Arial Narrow"/>
                <w:sz w:val="20"/>
                <w:szCs w:val="20"/>
              </w:rPr>
              <w:t xml:space="preserve">year cure point. The submission in this instance argued for a shorter 2-year cure assumption </w:t>
            </w:r>
            <w:proofErr w:type="gramStart"/>
            <w:r w:rsidRPr="00C765F8">
              <w:rPr>
                <w:rFonts w:ascii="Arial Narrow" w:hAnsi="Arial Narrow"/>
                <w:sz w:val="20"/>
                <w:szCs w:val="20"/>
              </w:rPr>
              <w:t>on the basis of</w:t>
            </w:r>
            <w:proofErr w:type="gramEnd"/>
            <w:r w:rsidRPr="00C765F8">
              <w:rPr>
                <w:rFonts w:ascii="Arial Narrow" w:hAnsi="Arial Narrow"/>
                <w:sz w:val="20"/>
                <w:szCs w:val="20"/>
              </w:rPr>
              <w:t xml:space="preserve"> greater maturity of the LOTIS-2 data. The PBAC had previously considered a cure point of </w:t>
            </w:r>
            <w:r w:rsidR="00725848" w:rsidRPr="00C765F8">
              <w:rPr>
                <w:rFonts w:ascii="Arial Narrow" w:hAnsi="Arial Narrow"/>
                <w:sz w:val="20"/>
                <w:szCs w:val="20"/>
              </w:rPr>
              <w:t xml:space="preserve">2 years for </w:t>
            </w:r>
            <w:proofErr w:type="spellStart"/>
            <w:r w:rsidR="00725848" w:rsidRPr="00C765F8">
              <w:rPr>
                <w:rFonts w:ascii="Arial Narrow" w:hAnsi="Arial Narrow"/>
                <w:sz w:val="20"/>
                <w:szCs w:val="20"/>
              </w:rPr>
              <w:t>polatuzumab</w:t>
            </w:r>
            <w:proofErr w:type="spellEnd"/>
            <w:r w:rsidR="00725848" w:rsidRPr="00C765F8">
              <w:rPr>
                <w:rFonts w:ascii="Arial Narrow" w:hAnsi="Arial Narrow"/>
                <w:sz w:val="20"/>
                <w:szCs w:val="20"/>
              </w:rPr>
              <w:t xml:space="preserve"> in previously untreated DLBCL (Nov 2022 submission)</w:t>
            </w:r>
            <w:r w:rsidR="0041007D" w:rsidRPr="00C765F8">
              <w:rPr>
                <w:rStyle w:val="FootnoteReference"/>
                <w:rFonts w:ascii="Arial Narrow" w:hAnsi="Arial Narrow"/>
                <w:sz w:val="20"/>
                <w:szCs w:val="20"/>
              </w:rPr>
              <w:footnoteReference w:id="15"/>
            </w:r>
            <w:r w:rsidR="008E42BD" w:rsidRPr="00C765F8">
              <w:rPr>
                <w:rFonts w:ascii="Arial Narrow" w:hAnsi="Arial Narrow"/>
                <w:sz w:val="20"/>
                <w:szCs w:val="20"/>
              </w:rPr>
              <w:t xml:space="preserve"> </w:t>
            </w:r>
            <w:r w:rsidR="0089794D" w:rsidRPr="00C765F8">
              <w:rPr>
                <w:rFonts w:ascii="Arial Narrow" w:hAnsi="Arial Narrow"/>
                <w:sz w:val="20"/>
                <w:szCs w:val="20"/>
              </w:rPr>
              <w:t>and</w:t>
            </w:r>
            <w:r w:rsidR="00725848" w:rsidRPr="00C765F8">
              <w:rPr>
                <w:rFonts w:ascii="Arial Narrow" w:hAnsi="Arial Narrow"/>
                <w:sz w:val="20"/>
                <w:szCs w:val="20"/>
              </w:rPr>
              <w:t xml:space="preserve"> </w:t>
            </w:r>
            <w:r w:rsidRPr="00C765F8">
              <w:rPr>
                <w:rFonts w:ascii="Arial Narrow" w:hAnsi="Arial Narrow"/>
                <w:sz w:val="20"/>
                <w:szCs w:val="20"/>
              </w:rPr>
              <w:t>three years for epcoritamab for 3L R/R DLBCL</w:t>
            </w:r>
            <w:r w:rsidRPr="00C765F8">
              <w:rPr>
                <w:rStyle w:val="FootnoteReference"/>
                <w:rFonts w:ascii="Arial Narrow" w:hAnsi="Arial Narrow"/>
                <w:sz w:val="20"/>
                <w:szCs w:val="20"/>
              </w:rPr>
              <w:footnoteReference w:id="16"/>
            </w:r>
            <w:r w:rsidR="0089794D" w:rsidRPr="00C765F8">
              <w:rPr>
                <w:rFonts w:ascii="Arial Narrow" w:hAnsi="Arial Narrow"/>
                <w:sz w:val="20"/>
                <w:szCs w:val="20"/>
              </w:rPr>
              <w:t>.</w:t>
            </w:r>
            <w:r w:rsidR="0009691B">
              <w:rPr>
                <w:rFonts w:ascii="Arial Narrow" w:hAnsi="Arial Narrow"/>
                <w:sz w:val="20"/>
                <w:szCs w:val="20"/>
              </w:rPr>
              <w:t xml:space="preserve"> </w:t>
            </w:r>
            <w:r w:rsidR="00725848" w:rsidRPr="00C765F8">
              <w:rPr>
                <w:rFonts w:ascii="Arial Narrow" w:hAnsi="Arial Narrow"/>
                <w:sz w:val="20"/>
                <w:szCs w:val="20"/>
              </w:rPr>
              <w:t xml:space="preserve">For </w:t>
            </w:r>
            <w:r w:rsidR="0089794D" w:rsidRPr="00C765F8">
              <w:rPr>
                <w:rFonts w:ascii="Arial Narrow" w:hAnsi="Arial Narrow"/>
                <w:sz w:val="20"/>
                <w:szCs w:val="20"/>
              </w:rPr>
              <w:t>epcoritamab, t</w:t>
            </w:r>
            <w:r w:rsidR="00DE4697" w:rsidRPr="00C765F8">
              <w:rPr>
                <w:rFonts w:ascii="Arial Narrow" w:hAnsi="Arial Narrow"/>
                <w:sz w:val="20"/>
                <w:szCs w:val="20"/>
              </w:rPr>
              <w:t xml:space="preserve">he ESC considered that the assumption of a cure for all patients remaining PF at 3 years was highly uncertain and </w:t>
            </w:r>
            <w:r w:rsidR="006A69AF" w:rsidRPr="00C765F8">
              <w:rPr>
                <w:rFonts w:ascii="Arial Narrow" w:hAnsi="Arial Narrow"/>
                <w:sz w:val="20"/>
                <w:szCs w:val="20"/>
              </w:rPr>
              <w:t xml:space="preserve">advised a respecified base case incorporating a </w:t>
            </w:r>
            <w:r w:rsidR="0089794D" w:rsidRPr="00C765F8">
              <w:rPr>
                <w:rFonts w:ascii="Arial Narrow" w:hAnsi="Arial Narrow"/>
                <w:sz w:val="20"/>
                <w:szCs w:val="20"/>
              </w:rPr>
              <w:t xml:space="preserve">5-year </w:t>
            </w:r>
            <w:r w:rsidR="006A69AF" w:rsidRPr="00C765F8">
              <w:rPr>
                <w:rFonts w:ascii="Arial Narrow" w:hAnsi="Arial Narrow"/>
                <w:sz w:val="20"/>
                <w:szCs w:val="20"/>
              </w:rPr>
              <w:t xml:space="preserve">cure </w:t>
            </w:r>
            <w:r w:rsidR="0089794D" w:rsidRPr="00C765F8">
              <w:rPr>
                <w:rFonts w:ascii="Arial Narrow" w:hAnsi="Arial Narrow"/>
                <w:sz w:val="20"/>
                <w:szCs w:val="20"/>
              </w:rPr>
              <w:t xml:space="preserve">point </w:t>
            </w:r>
            <w:r w:rsidR="00DE4697" w:rsidRPr="00C765F8">
              <w:rPr>
                <w:rFonts w:ascii="Arial Narrow" w:hAnsi="Arial Narrow"/>
                <w:sz w:val="20"/>
                <w:szCs w:val="20"/>
              </w:rPr>
              <w:t>(epcoritamab PSD, November 2024 PBAC Meeting).</w:t>
            </w:r>
            <w:r w:rsidR="0089794D" w:rsidRPr="00C765F8">
              <w:rPr>
                <w:rFonts w:ascii="Arial Narrow" w:hAnsi="Arial Narrow"/>
                <w:sz w:val="20"/>
                <w:szCs w:val="20"/>
              </w:rPr>
              <w:t xml:space="preserve"> This recommendation </w:t>
            </w:r>
            <w:r w:rsidR="006A69AF" w:rsidRPr="00C765F8">
              <w:rPr>
                <w:rFonts w:ascii="Arial Narrow" w:hAnsi="Arial Narrow"/>
                <w:sz w:val="20"/>
                <w:szCs w:val="20"/>
              </w:rPr>
              <w:t xml:space="preserve">reflected </w:t>
            </w:r>
            <w:r w:rsidR="0089794D" w:rsidRPr="00C765F8">
              <w:rPr>
                <w:rFonts w:ascii="Arial Narrow" w:hAnsi="Arial Narrow"/>
                <w:sz w:val="20"/>
                <w:szCs w:val="20"/>
              </w:rPr>
              <w:t xml:space="preserve">the </w:t>
            </w:r>
            <w:r w:rsidR="00DE4697" w:rsidRPr="00C765F8">
              <w:rPr>
                <w:rFonts w:ascii="Arial Narrow" w:hAnsi="Arial Narrow"/>
                <w:sz w:val="20"/>
                <w:szCs w:val="20"/>
              </w:rPr>
              <w:t xml:space="preserve">EPCORE NHL-1 </w:t>
            </w:r>
            <w:r w:rsidR="00725848" w:rsidRPr="00C765F8">
              <w:rPr>
                <w:rFonts w:ascii="Arial Narrow" w:hAnsi="Arial Narrow"/>
                <w:sz w:val="20"/>
                <w:szCs w:val="20"/>
              </w:rPr>
              <w:t>study data</w:t>
            </w:r>
            <w:r w:rsidR="0089794D" w:rsidRPr="00C765F8">
              <w:rPr>
                <w:rFonts w:ascii="Arial Narrow" w:hAnsi="Arial Narrow"/>
                <w:sz w:val="20"/>
                <w:szCs w:val="20"/>
              </w:rPr>
              <w:t>,</w:t>
            </w:r>
            <w:r w:rsidR="00725848" w:rsidRPr="00C765F8">
              <w:rPr>
                <w:rFonts w:ascii="Arial Narrow" w:hAnsi="Arial Narrow"/>
                <w:sz w:val="20"/>
                <w:szCs w:val="20"/>
              </w:rPr>
              <w:t xml:space="preserve"> </w:t>
            </w:r>
            <w:r w:rsidR="006A69AF" w:rsidRPr="00C765F8">
              <w:rPr>
                <w:rFonts w:ascii="Arial Narrow" w:hAnsi="Arial Narrow"/>
                <w:sz w:val="20"/>
                <w:szCs w:val="20"/>
              </w:rPr>
              <w:t xml:space="preserve">where there was </w:t>
            </w:r>
            <w:r w:rsidR="00725848" w:rsidRPr="00C765F8">
              <w:rPr>
                <w:rFonts w:ascii="Arial Narrow" w:hAnsi="Arial Narrow"/>
                <w:sz w:val="20"/>
                <w:szCs w:val="20"/>
              </w:rPr>
              <w:t xml:space="preserve">no indication of plateauing of </w:t>
            </w:r>
            <w:r w:rsidR="006A69AF" w:rsidRPr="00C765F8">
              <w:rPr>
                <w:rFonts w:ascii="Arial Narrow" w:hAnsi="Arial Narrow"/>
                <w:sz w:val="20"/>
                <w:szCs w:val="20"/>
              </w:rPr>
              <w:t xml:space="preserve">OS </w:t>
            </w:r>
            <w:r w:rsidR="00725848" w:rsidRPr="00C765F8">
              <w:rPr>
                <w:rFonts w:ascii="Arial Narrow" w:hAnsi="Arial Narrow"/>
                <w:sz w:val="20"/>
                <w:szCs w:val="20"/>
              </w:rPr>
              <w:t xml:space="preserve">after a </w:t>
            </w:r>
            <w:r w:rsidR="00DE4697" w:rsidRPr="00C765F8">
              <w:rPr>
                <w:rFonts w:ascii="Arial Narrow" w:hAnsi="Arial Narrow"/>
                <w:sz w:val="20"/>
                <w:szCs w:val="20"/>
              </w:rPr>
              <w:t xml:space="preserve">median follow-up </w:t>
            </w:r>
            <w:r w:rsidR="00725848" w:rsidRPr="00C765F8">
              <w:rPr>
                <w:rFonts w:ascii="Arial Narrow" w:hAnsi="Arial Narrow"/>
                <w:sz w:val="20"/>
                <w:szCs w:val="20"/>
              </w:rPr>
              <w:t xml:space="preserve">of </w:t>
            </w:r>
            <w:r w:rsidR="00DE4697" w:rsidRPr="00C765F8">
              <w:rPr>
                <w:rFonts w:ascii="Arial Narrow" w:hAnsi="Arial Narrow"/>
                <w:sz w:val="20"/>
                <w:szCs w:val="20"/>
              </w:rPr>
              <w:t>25.5 month</w:t>
            </w:r>
            <w:r w:rsidR="0089794D" w:rsidRPr="00C765F8">
              <w:rPr>
                <w:rFonts w:ascii="Arial Narrow" w:hAnsi="Arial Narrow"/>
                <w:sz w:val="20"/>
                <w:szCs w:val="20"/>
              </w:rPr>
              <w:t>s</w:t>
            </w:r>
            <w:r w:rsidR="00DE4697" w:rsidRPr="00C765F8">
              <w:rPr>
                <w:rFonts w:ascii="Arial Narrow" w:hAnsi="Arial Narrow"/>
                <w:sz w:val="20"/>
                <w:szCs w:val="20"/>
              </w:rPr>
              <w:t xml:space="preserve"> (Table 16, epcoritamab PSD, November 2024 PBAC Meeting). </w:t>
            </w:r>
          </w:p>
          <w:p w14:paraId="51F4A28F" w14:textId="3BD76166" w:rsidR="00114E51" w:rsidRPr="00C765F8" w:rsidRDefault="00114E51" w:rsidP="000911F9">
            <w:pPr>
              <w:pStyle w:val="3-BodyText"/>
              <w:numPr>
                <w:ilvl w:val="0"/>
                <w:numId w:val="0"/>
              </w:numPr>
              <w:ind w:right="57"/>
              <w:rPr>
                <w:rFonts w:ascii="Arial Narrow" w:hAnsi="Arial Narrow"/>
                <w:sz w:val="20"/>
                <w:szCs w:val="20"/>
              </w:rPr>
            </w:pPr>
            <w:r w:rsidRPr="00C765F8">
              <w:rPr>
                <w:rFonts w:ascii="Arial Narrow" w:hAnsi="Arial Narrow"/>
                <w:sz w:val="20"/>
                <w:szCs w:val="20"/>
              </w:rPr>
              <w:t>The model was sensitive to the presence of a cure assumption (the ICER increasing to $</w:t>
            </w:r>
            <w:r w:rsidR="005822E1" w:rsidRPr="005822E1">
              <w:rPr>
                <w:rFonts w:ascii="Arial Narrow" w:hAnsi="Arial Narrow"/>
                <w:sz w:val="2"/>
                <w:szCs w:val="20"/>
                <w:highlight w:val="black"/>
              </w:rPr>
              <w:t>redacted content</w:t>
            </w:r>
            <w:r w:rsidR="00B172F8">
              <w:rPr>
                <w:rFonts w:ascii="Arial Narrow" w:hAnsi="Arial Narrow"/>
                <w:sz w:val="20"/>
                <w:szCs w:val="20"/>
                <w:vertAlign w:val="superscript"/>
              </w:rPr>
              <w:t>2</w:t>
            </w:r>
            <w:r w:rsidRPr="00C765F8">
              <w:rPr>
                <w:rFonts w:ascii="Arial Narrow" w:hAnsi="Arial Narrow"/>
                <w:sz w:val="20"/>
                <w:szCs w:val="20"/>
              </w:rPr>
              <w:t xml:space="preserve"> per QALY gained assuming no cure, from an error-corrected base case of $</w:t>
            </w:r>
            <w:r w:rsidR="005822E1" w:rsidRPr="005822E1">
              <w:rPr>
                <w:rFonts w:ascii="Arial Narrow" w:hAnsi="Arial Narrow"/>
                <w:sz w:val="2"/>
                <w:szCs w:val="20"/>
                <w:highlight w:val="black"/>
              </w:rPr>
              <w:t>redacted content</w:t>
            </w:r>
            <w:r w:rsidR="00B447B3">
              <w:rPr>
                <w:rFonts w:ascii="Arial Narrow" w:hAnsi="Arial Narrow"/>
                <w:sz w:val="20"/>
                <w:szCs w:val="20"/>
                <w:vertAlign w:val="superscript"/>
              </w:rPr>
              <w:t>1</w:t>
            </w:r>
            <w:r w:rsidRPr="00C765F8">
              <w:rPr>
                <w:rFonts w:ascii="Arial Narrow" w:hAnsi="Arial Narrow"/>
                <w:sz w:val="20"/>
                <w:szCs w:val="20"/>
              </w:rPr>
              <w:t>) but not to the variation between cure point</w:t>
            </w:r>
            <w:r w:rsidR="0089794D" w:rsidRPr="00C765F8">
              <w:rPr>
                <w:rFonts w:ascii="Arial Narrow" w:hAnsi="Arial Narrow"/>
                <w:sz w:val="20"/>
                <w:szCs w:val="20"/>
              </w:rPr>
              <w:t>s</w:t>
            </w:r>
            <w:r w:rsidRPr="00C765F8">
              <w:rPr>
                <w:rFonts w:ascii="Arial Narrow" w:hAnsi="Arial Narrow"/>
                <w:sz w:val="20"/>
                <w:szCs w:val="20"/>
              </w:rPr>
              <w:t xml:space="preserve"> </w:t>
            </w:r>
            <w:r w:rsidR="0089794D" w:rsidRPr="00C765F8">
              <w:rPr>
                <w:rFonts w:ascii="Arial Narrow" w:hAnsi="Arial Narrow"/>
                <w:sz w:val="20"/>
                <w:szCs w:val="20"/>
              </w:rPr>
              <w:t xml:space="preserve">of </w:t>
            </w:r>
            <w:r w:rsidRPr="00C765F8">
              <w:rPr>
                <w:rFonts w:ascii="Arial Narrow" w:hAnsi="Arial Narrow"/>
                <w:sz w:val="20"/>
                <w:szCs w:val="20"/>
              </w:rPr>
              <w:t xml:space="preserve">2 </w:t>
            </w:r>
            <w:r w:rsidR="0089794D" w:rsidRPr="00C765F8">
              <w:rPr>
                <w:rFonts w:ascii="Arial Narrow" w:hAnsi="Arial Narrow"/>
                <w:sz w:val="20"/>
                <w:szCs w:val="20"/>
              </w:rPr>
              <w:t xml:space="preserve">to </w:t>
            </w:r>
            <w:r w:rsidRPr="00C765F8">
              <w:rPr>
                <w:rFonts w:ascii="Arial Narrow" w:hAnsi="Arial Narrow"/>
                <w:sz w:val="20"/>
                <w:szCs w:val="20"/>
              </w:rPr>
              <w:t>5 years (ICER minimally increasing to $</w:t>
            </w:r>
            <w:r w:rsidR="005822E1" w:rsidRPr="005822E1">
              <w:rPr>
                <w:rFonts w:ascii="Arial Narrow" w:hAnsi="Arial Narrow"/>
                <w:sz w:val="2"/>
                <w:szCs w:val="20"/>
                <w:highlight w:val="black"/>
              </w:rPr>
              <w:t>redacted content</w:t>
            </w:r>
            <w:r w:rsidR="00B447B3">
              <w:rPr>
                <w:rFonts w:ascii="Arial Narrow" w:hAnsi="Arial Narrow"/>
                <w:sz w:val="20"/>
                <w:szCs w:val="20"/>
                <w:vertAlign w:val="superscript"/>
              </w:rPr>
              <w:t>1</w:t>
            </w:r>
            <w:r w:rsidRPr="00C765F8">
              <w:rPr>
                <w:rFonts w:ascii="Arial Narrow" w:hAnsi="Arial Narrow"/>
                <w:sz w:val="20"/>
                <w:szCs w:val="20"/>
              </w:rPr>
              <w:t xml:space="preserve"> per QALY gained assuming a cure point of 5 years).</w:t>
            </w:r>
          </w:p>
        </w:tc>
      </w:tr>
      <w:tr w:rsidR="002F0974" w:rsidRPr="0098262F" w14:paraId="6364933E" w14:textId="77777777" w:rsidTr="00D625C4">
        <w:tc>
          <w:tcPr>
            <w:tcW w:w="680" w:type="pct"/>
            <w:vAlign w:val="center"/>
          </w:tcPr>
          <w:p w14:paraId="62097AB4" w14:textId="77777777" w:rsidR="002F0974" w:rsidRPr="0098262F" w:rsidRDefault="002F0974">
            <w:pPr>
              <w:pStyle w:val="TableText0"/>
              <w:keepNext w:val="0"/>
              <w:keepLines w:val="0"/>
            </w:pPr>
            <w:r w:rsidRPr="0098262F">
              <w:t>Allocation to health states</w:t>
            </w:r>
          </w:p>
        </w:tc>
        <w:tc>
          <w:tcPr>
            <w:tcW w:w="4320" w:type="pct"/>
            <w:vAlign w:val="center"/>
          </w:tcPr>
          <w:p w14:paraId="20B5490C" w14:textId="77777777" w:rsidR="002F0974" w:rsidRPr="00C765F8" w:rsidRDefault="002F0974" w:rsidP="000911F9">
            <w:pPr>
              <w:pStyle w:val="TableText0"/>
              <w:keepNext w:val="0"/>
              <w:keepLines w:val="0"/>
              <w:widowControl w:val="0"/>
              <w:ind w:right="57"/>
              <w:rPr>
                <w:b/>
                <w:bCs w:val="0"/>
              </w:rPr>
            </w:pPr>
            <w:r w:rsidRPr="00C765F8">
              <w:rPr>
                <w:b/>
                <w:bCs w:val="0"/>
              </w:rPr>
              <w:t>Loncastuximab tesirine arm:</w:t>
            </w:r>
          </w:p>
          <w:p w14:paraId="65C01C49" w14:textId="6459BBDE" w:rsidR="002F0974" w:rsidRPr="00C765F8" w:rsidRDefault="002F0974" w:rsidP="000911F9">
            <w:pPr>
              <w:pStyle w:val="TableText0"/>
              <w:keepNext w:val="0"/>
              <w:keepLines w:val="0"/>
              <w:widowControl w:val="0"/>
              <w:ind w:right="57"/>
            </w:pPr>
            <w:r w:rsidRPr="00C765F8">
              <w:rPr>
                <w:b/>
                <w:bCs w:val="0"/>
              </w:rPr>
              <w:t xml:space="preserve">PFS, OS, </w:t>
            </w:r>
            <w:proofErr w:type="spellStart"/>
            <w:r w:rsidRPr="00C765F8">
              <w:rPr>
                <w:b/>
                <w:bCs w:val="0"/>
              </w:rPr>
              <w:t>ToT</w:t>
            </w:r>
            <w:proofErr w:type="spellEnd"/>
            <w:r w:rsidRPr="00C765F8">
              <w:rPr>
                <w:b/>
                <w:bCs w:val="0"/>
              </w:rPr>
              <w:t xml:space="preserve"> </w:t>
            </w:r>
            <w:r w:rsidRPr="00C765F8">
              <w:rPr>
                <w:bCs w:val="0"/>
              </w:rPr>
              <w:t>were</w:t>
            </w:r>
            <w:r w:rsidRPr="00C765F8">
              <w:rPr>
                <w:b/>
              </w:rPr>
              <w:t xml:space="preserve"> </w:t>
            </w:r>
            <w:r w:rsidRPr="00C765F8">
              <w:t>based</w:t>
            </w:r>
            <w:r w:rsidRPr="00C765F8">
              <w:rPr>
                <w:b/>
                <w:bCs w:val="0"/>
              </w:rPr>
              <w:t xml:space="preserve"> </w:t>
            </w:r>
            <w:r w:rsidRPr="00C765F8">
              <w:t>on</w:t>
            </w:r>
            <w:r w:rsidRPr="00C765F8">
              <w:rPr>
                <w:b/>
                <w:bCs w:val="0"/>
              </w:rPr>
              <w:t xml:space="preserve"> </w:t>
            </w:r>
            <w:r w:rsidRPr="00C765F8">
              <w:t>LOTIS-2 KM estimates truncated at 7, 30 and 4 months with 47%, 29% and 24% of patients remaining at risk, respectively, based on Gebski 2018</w:t>
            </w:r>
            <w:r w:rsidRPr="00C765F8">
              <w:rPr>
                <w:vertAlign w:val="superscript"/>
              </w:rPr>
              <w:t>a.</w:t>
            </w:r>
            <w:r w:rsidR="0009691B">
              <w:rPr>
                <w:vertAlign w:val="superscript"/>
              </w:rPr>
              <w:t xml:space="preserve"> </w:t>
            </w:r>
            <w:r w:rsidRPr="00C765F8">
              <w:t xml:space="preserve">While Gebski 2018 had been referenced in other PBAC submissions, </w:t>
            </w:r>
            <w:r w:rsidR="000E4136">
              <w:t xml:space="preserve">the evaluation considered </w:t>
            </w:r>
            <w:r w:rsidRPr="00C765F8">
              <w:t>its application here may be inappropriate given the amount of data discarded. Using KM data until 10% of patients remain at risk (Pocock 2002) would extend to 19 months (PFS), 38 months (OS), and 28 months (</w:t>
            </w:r>
            <w:proofErr w:type="spellStart"/>
            <w:r w:rsidRPr="00C765F8">
              <w:t>ToT</w:t>
            </w:r>
            <w:proofErr w:type="spellEnd"/>
            <w:r w:rsidRPr="00C765F8">
              <w:t>). The ICER, however, was relatively insensitive to truncation points.</w:t>
            </w:r>
          </w:p>
          <w:p w14:paraId="160A0EF0" w14:textId="77777777" w:rsidR="002F0974" w:rsidRPr="00C765F8" w:rsidRDefault="002F0974" w:rsidP="000911F9">
            <w:pPr>
              <w:pStyle w:val="TableText0"/>
              <w:keepNext w:val="0"/>
              <w:keepLines w:val="0"/>
              <w:widowControl w:val="0"/>
              <w:ind w:right="57"/>
              <w:jc w:val="both"/>
              <w:rPr>
                <w:b/>
                <w:bCs w:val="0"/>
              </w:rPr>
            </w:pPr>
            <w:r w:rsidRPr="00C765F8">
              <w:rPr>
                <w:b/>
                <w:bCs w:val="0"/>
              </w:rPr>
              <w:t xml:space="preserve">Comparator arm: </w:t>
            </w:r>
          </w:p>
          <w:p w14:paraId="1AEBCEAD" w14:textId="77777777" w:rsidR="002F0974" w:rsidRPr="00C765F8" w:rsidRDefault="002F0974" w:rsidP="000911F9">
            <w:pPr>
              <w:pStyle w:val="TableText0"/>
              <w:keepNext w:val="0"/>
              <w:keepLines w:val="0"/>
              <w:ind w:right="57"/>
              <w:jc w:val="both"/>
            </w:pPr>
            <w:r w:rsidRPr="00C765F8">
              <w:t>All three curves (</w:t>
            </w:r>
            <w:r w:rsidRPr="00C765F8">
              <w:rPr>
                <w:b/>
                <w:bCs w:val="0"/>
              </w:rPr>
              <w:t xml:space="preserve">OS, PFS, </w:t>
            </w:r>
            <w:proofErr w:type="spellStart"/>
            <w:r w:rsidRPr="00C765F8">
              <w:rPr>
                <w:b/>
                <w:bCs w:val="0"/>
              </w:rPr>
              <w:t>ToT</w:t>
            </w:r>
            <w:proofErr w:type="spellEnd"/>
            <w:r w:rsidRPr="00C765F8">
              <w:t xml:space="preserve">) for the comparator arm were derived under a proportional hazards assumption using a </w:t>
            </w:r>
            <w:r w:rsidRPr="009E3D56">
              <w:t>single OS HR</w:t>
            </w:r>
            <w:r w:rsidRPr="00C765F8">
              <w:t xml:space="preserve"> from the unanchored MAIC. This meant the modelling approach depended entirely on this one estimate. The model was highly sensitive to the HR used (see further discussion below).</w:t>
            </w:r>
          </w:p>
        </w:tc>
      </w:tr>
      <w:tr w:rsidR="002F0974" w:rsidRPr="0098262F" w14:paraId="270E517E" w14:textId="77777777" w:rsidTr="00D625C4">
        <w:tc>
          <w:tcPr>
            <w:tcW w:w="680" w:type="pct"/>
            <w:vAlign w:val="center"/>
          </w:tcPr>
          <w:p w14:paraId="2471ADE8" w14:textId="77777777" w:rsidR="002F0974" w:rsidRPr="0098262F" w:rsidRDefault="002F0974">
            <w:pPr>
              <w:pStyle w:val="TableText0"/>
              <w:keepNext w:val="0"/>
              <w:keepLines w:val="0"/>
            </w:pPr>
            <w:r w:rsidRPr="0098262F">
              <w:t>Extrapolation method</w:t>
            </w:r>
          </w:p>
        </w:tc>
        <w:tc>
          <w:tcPr>
            <w:tcW w:w="4320" w:type="pct"/>
            <w:vAlign w:val="center"/>
          </w:tcPr>
          <w:p w14:paraId="382964D7" w14:textId="7C6DDE0E" w:rsidR="002F0974" w:rsidRPr="00C765F8" w:rsidRDefault="002F0974" w:rsidP="000911F9">
            <w:pPr>
              <w:pStyle w:val="TableText0"/>
              <w:keepNext w:val="0"/>
              <w:keepLines w:val="0"/>
              <w:ind w:right="57"/>
              <w:jc w:val="both"/>
            </w:pPr>
            <w:r w:rsidRPr="00C765F8">
              <w:t xml:space="preserve">Parametric models were fitted to LOTIS-2 KM data for loncastuximab tesirine. The Gompertz function was selected in the base case for OS, PFS and </w:t>
            </w:r>
            <w:proofErr w:type="spellStart"/>
            <w:r w:rsidRPr="00C765F8">
              <w:t>ToT</w:t>
            </w:r>
            <w:proofErr w:type="spellEnd"/>
            <w:r w:rsidRPr="00C765F8">
              <w:t xml:space="preserve">, despite poor visual fit and noticeable overestimation of OS compared to KM beyond 10 months. Most modelled outcomes (65-71% of QALYs) occurred in the extrapolated period. The model was highly sensitive to the choice of extrapolation; however, this sensitivity diminished when cured patients were assumed to follow background mortality (see </w:t>
            </w:r>
            <w:r w:rsidR="004F7244" w:rsidRPr="00C765F8">
              <w:t xml:space="preserve">paragraph </w:t>
            </w:r>
            <w:r w:rsidR="00962D5B" w:rsidRPr="00C765F8">
              <w:fldChar w:fldCharType="begin"/>
            </w:r>
            <w:r w:rsidR="00962D5B" w:rsidRPr="00C765F8">
              <w:instrText xml:space="preserve"> REF _Ref219219377 \r \h </w:instrText>
            </w:r>
            <w:r w:rsidR="00C765F8" w:rsidRPr="00C765F8">
              <w:instrText xml:space="preserve"> \* MERGEFORMAT </w:instrText>
            </w:r>
            <w:r w:rsidR="00962D5B" w:rsidRPr="00C765F8">
              <w:fldChar w:fldCharType="separate"/>
            </w:r>
            <w:r w:rsidR="008C4274">
              <w:t>6.65</w:t>
            </w:r>
            <w:r w:rsidR="00962D5B" w:rsidRPr="00C765F8">
              <w:fldChar w:fldCharType="end"/>
            </w:r>
            <w:r w:rsidRPr="00C765F8">
              <w:t>).</w:t>
            </w:r>
          </w:p>
        </w:tc>
      </w:tr>
      <w:tr w:rsidR="002F0974" w:rsidRPr="0098262F" w14:paraId="3CA8B2B6" w14:textId="77777777" w:rsidTr="00D625C4">
        <w:tc>
          <w:tcPr>
            <w:tcW w:w="680" w:type="pct"/>
            <w:vAlign w:val="center"/>
          </w:tcPr>
          <w:p w14:paraId="6B5909E4" w14:textId="77777777" w:rsidR="002F0974" w:rsidRPr="0098262F" w:rsidRDefault="002F0974">
            <w:pPr>
              <w:pStyle w:val="TableText0"/>
              <w:keepNext w:val="0"/>
              <w:keepLines w:val="0"/>
            </w:pPr>
            <w:r w:rsidRPr="0098262F">
              <w:lastRenderedPageBreak/>
              <w:t>Health related quality of life</w:t>
            </w:r>
          </w:p>
        </w:tc>
        <w:tc>
          <w:tcPr>
            <w:tcW w:w="4320" w:type="pct"/>
            <w:vAlign w:val="center"/>
          </w:tcPr>
          <w:p w14:paraId="51DD55BB" w14:textId="5964BABE" w:rsidR="002F0974" w:rsidRPr="00C765F8" w:rsidRDefault="002F0974" w:rsidP="00E42626">
            <w:pPr>
              <w:pStyle w:val="TableText0"/>
              <w:keepNext w:val="0"/>
              <w:keepLines w:val="0"/>
              <w:widowControl w:val="0"/>
              <w:ind w:right="57"/>
              <w:jc w:val="both"/>
            </w:pPr>
            <w:r w:rsidRPr="00C765F8">
              <w:rPr>
                <w:b/>
                <w:bCs w:val="0"/>
              </w:rPr>
              <w:t>PF utility = 0.693</w:t>
            </w:r>
            <w:r w:rsidRPr="00C765F8">
              <w:t xml:space="preserve"> mapped from the LOTIS-2 EQ-5D-5L data to EQ-5D-3L utility index scores using UK weights from Hernandez-Alava and Pudney (2022). However, given that an Australian EQ-5D-5L valuation algorithm is available (Norman 2023</w:t>
            </w:r>
            <w:r w:rsidRPr="00C765F8">
              <w:rPr>
                <w:vertAlign w:val="superscript"/>
              </w:rPr>
              <w:t>b</w:t>
            </w:r>
            <w:r w:rsidRPr="00C765F8">
              <w:t xml:space="preserve">), </w:t>
            </w:r>
            <w:r w:rsidR="000313EF">
              <w:t xml:space="preserve">the evaluation considered </w:t>
            </w:r>
            <w:r w:rsidRPr="00C765F8">
              <w:t>this would be the preferred weights for generating utility values for the Australian population.</w:t>
            </w:r>
          </w:p>
          <w:p w14:paraId="332EC1F9" w14:textId="77777777" w:rsidR="002F0974" w:rsidRPr="00C765F8" w:rsidRDefault="002F0974" w:rsidP="00E42626">
            <w:pPr>
              <w:pStyle w:val="TableText0"/>
              <w:keepNext w:val="0"/>
              <w:keepLines w:val="0"/>
              <w:widowControl w:val="0"/>
              <w:ind w:right="57"/>
              <w:jc w:val="both"/>
            </w:pPr>
            <w:r w:rsidRPr="00C765F8">
              <w:rPr>
                <w:b/>
                <w:bCs w:val="0"/>
              </w:rPr>
              <w:t>PD utility = 0.637</w:t>
            </w:r>
            <w:r w:rsidRPr="00C765F8">
              <w:t xml:space="preserve"> derived from the difference in utility of -0.056 versus PF</w:t>
            </w:r>
          </w:p>
          <w:p w14:paraId="23D43B89" w14:textId="77777777" w:rsidR="002F0974" w:rsidRPr="00C765F8" w:rsidRDefault="002F0974" w:rsidP="00E42626">
            <w:pPr>
              <w:pStyle w:val="TableText0"/>
              <w:keepNext w:val="0"/>
              <w:keepLines w:val="0"/>
              <w:widowControl w:val="0"/>
              <w:ind w:right="57"/>
              <w:jc w:val="both"/>
            </w:pPr>
            <w:r w:rsidRPr="00C765F8">
              <w:rPr>
                <w:b/>
                <w:bCs w:val="0"/>
              </w:rPr>
              <w:t>Cured utility = 0.88</w:t>
            </w:r>
            <w:r w:rsidRPr="00C765F8">
              <w:t xml:space="preserve"> derived from the literature (Redwood 2024)</w:t>
            </w:r>
          </w:p>
          <w:p w14:paraId="1FFCB496" w14:textId="77777777" w:rsidR="002F0974" w:rsidRPr="00C765F8" w:rsidRDefault="002F0974" w:rsidP="000911F9">
            <w:pPr>
              <w:pStyle w:val="TableText0"/>
              <w:keepNext w:val="0"/>
              <w:keepLines w:val="0"/>
              <w:widowControl w:val="0"/>
              <w:ind w:right="57"/>
              <w:jc w:val="both"/>
            </w:pPr>
            <w:r w:rsidRPr="00C765F8">
              <w:t>The model was moderately sensitive to the assumed utility for cured patients.</w:t>
            </w:r>
          </w:p>
        </w:tc>
      </w:tr>
      <w:tr w:rsidR="002F0974" w:rsidRPr="0098262F" w14:paraId="443DE66B" w14:textId="77777777" w:rsidTr="00D625C4">
        <w:tc>
          <w:tcPr>
            <w:tcW w:w="680" w:type="pct"/>
            <w:vAlign w:val="center"/>
          </w:tcPr>
          <w:p w14:paraId="2EDCD040" w14:textId="77777777" w:rsidR="002F0974" w:rsidRPr="0098262F" w:rsidRDefault="002F0974">
            <w:pPr>
              <w:pStyle w:val="TableText0"/>
              <w:keepNext w:val="0"/>
              <w:keepLines w:val="0"/>
            </w:pPr>
            <w:r>
              <w:t>Loncastuximab tesirine costs</w:t>
            </w:r>
            <w:r w:rsidRPr="0098262F">
              <w:t xml:space="preserve"> </w:t>
            </w:r>
          </w:p>
        </w:tc>
        <w:tc>
          <w:tcPr>
            <w:tcW w:w="4320" w:type="pct"/>
            <w:vAlign w:val="center"/>
          </w:tcPr>
          <w:p w14:paraId="682E02CF" w14:textId="77777777" w:rsidR="002F0974" w:rsidRPr="00654FAF" w:rsidRDefault="002F0974" w:rsidP="00654FAF">
            <w:pPr>
              <w:ind w:right="57"/>
              <w:rPr>
                <w:rFonts w:ascii="Arial Narrow" w:hAnsi="Arial Narrow"/>
                <w:sz w:val="20"/>
                <w:szCs w:val="20"/>
              </w:rPr>
            </w:pPr>
            <w:r w:rsidRPr="00654FAF">
              <w:rPr>
                <w:rFonts w:ascii="Arial Narrow" w:hAnsi="Arial Narrow"/>
                <w:sz w:val="20"/>
                <w:szCs w:val="20"/>
              </w:rPr>
              <w:t xml:space="preserve">Dose: 0.15 mg/kg every 3 weeks for the first 2 cycles (initial treatment) and 0.075 mg/kg every 3 weeks thereafter (continuing treatment) as per the PI. </w:t>
            </w:r>
          </w:p>
          <w:p w14:paraId="482EBE0D" w14:textId="43583AFA" w:rsidR="002F0974" w:rsidRPr="00654FAF" w:rsidRDefault="002F0974" w:rsidP="00654FAF">
            <w:pPr>
              <w:ind w:right="57"/>
              <w:rPr>
                <w:rFonts w:ascii="Arial Narrow" w:hAnsi="Arial Narrow"/>
                <w:sz w:val="20"/>
                <w:szCs w:val="20"/>
              </w:rPr>
            </w:pPr>
            <w:r w:rsidRPr="00654FAF">
              <w:rPr>
                <w:rFonts w:ascii="Arial Narrow" w:hAnsi="Arial Narrow"/>
                <w:sz w:val="20"/>
                <w:szCs w:val="20"/>
              </w:rPr>
              <w:t xml:space="preserve">No vial sharing was assumed in the base case. </w:t>
            </w:r>
            <w:r w:rsidR="00152857" w:rsidRPr="00654FAF">
              <w:rPr>
                <w:rFonts w:ascii="Arial Narrow" w:hAnsi="Arial Narrow"/>
                <w:sz w:val="20"/>
                <w:szCs w:val="20"/>
              </w:rPr>
              <w:t>Using</w:t>
            </w:r>
            <w:r w:rsidRPr="00654FAF">
              <w:rPr>
                <w:rFonts w:ascii="Arial Narrow" w:hAnsi="Arial Narrow"/>
                <w:sz w:val="20"/>
                <w:szCs w:val="20"/>
              </w:rPr>
              <w:t xml:space="preserve"> individual patient-level weight data in LOTIS-2, and dose intensity of 98.1%, estimated weighted average doses were 16.8mg per dose (initial, using 2 x 10mg vials) and 10.1mg per dose (continuing, using a 10 mg vial).</w:t>
            </w:r>
            <w:r w:rsidR="00656038" w:rsidRPr="00654FAF">
              <w:rPr>
                <w:rFonts w:ascii="Arial Narrow" w:hAnsi="Arial Narrow"/>
                <w:sz w:val="20"/>
                <w:szCs w:val="20"/>
              </w:rPr>
              <w:t xml:space="preserve"> A </w:t>
            </w:r>
            <w:r w:rsidR="00456C92" w:rsidRPr="00654FAF">
              <w:rPr>
                <w:rFonts w:ascii="Arial Narrow" w:hAnsi="Arial Narrow"/>
                <w:sz w:val="20"/>
                <w:szCs w:val="20"/>
              </w:rPr>
              <w:t xml:space="preserve">scenario where </w:t>
            </w:r>
            <w:r w:rsidR="00103ECC" w:rsidRPr="00654FAF">
              <w:rPr>
                <w:rFonts w:ascii="Arial Narrow" w:hAnsi="Arial Narrow"/>
                <w:sz w:val="20"/>
                <w:szCs w:val="20"/>
              </w:rPr>
              <w:t xml:space="preserve">vial sharing </w:t>
            </w:r>
            <w:r w:rsidR="001140A6" w:rsidRPr="00654FAF">
              <w:rPr>
                <w:rFonts w:ascii="Arial Narrow" w:hAnsi="Arial Narrow"/>
                <w:sz w:val="20"/>
                <w:szCs w:val="20"/>
              </w:rPr>
              <w:t xml:space="preserve">was allowed was </w:t>
            </w:r>
            <w:r w:rsidR="000E0948" w:rsidRPr="00654FAF">
              <w:rPr>
                <w:rFonts w:ascii="Arial Narrow" w:hAnsi="Arial Narrow"/>
                <w:sz w:val="20"/>
                <w:szCs w:val="20"/>
              </w:rPr>
              <w:t>presented</w:t>
            </w:r>
            <w:r w:rsidR="001140A6" w:rsidRPr="00654FAF">
              <w:rPr>
                <w:rFonts w:ascii="Arial Narrow" w:hAnsi="Arial Narrow"/>
                <w:sz w:val="20"/>
                <w:szCs w:val="20"/>
              </w:rPr>
              <w:t xml:space="preserve"> in </w:t>
            </w:r>
            <w:r w:rsidR="00846169" w:rsidRPr="00654FAF">
              <w:rPr>
                <w:rFonts w:ascii="Arial Narrow" w:hAnsi="Arial Narrow"/>
                <w:sz w:val="20"/>
                <w:szCs w:val="20"/>
              </w:rPr>
              <w:t>the submission. The Sub-Committees noted that the</w:t>
            </w:r>
            <w:r w:rsidR="00F80B2E" w:rsidRPr="00654FAF">
              <w:rPr>
                <w:rFonts w:ascii="Arial Narrow" w:hAnsi="Arial Narrow"/>
                <w:sz w:val="20"/>
                <w:szCs w:val="20"/>
              </w:rPr>
              <w:t xml:space="preserve"> PBAC </w:t>
            </w:r>
            <w:r w:rsidR="00AF7F6E" w:rsidRPr="00654FAF">
              <w:rPr>
                <w:rFonts w:ascii="Arial Narrow" w:hAnsi="Arial Narrow"/>
                <w:sz w:val="20"/>
                <w:szCs w:val="20"/>
              </w:rPr>
              <w:t>Guidelines v</w:t>
            </w:r>
            <w:r w:rsidR="00E11C78" w:rsidRPr="00654FAF">
              <w:rPr>
                <w:rFonts w:ascii="Arial Narrow" w:hAnsi="Arial Narrow"/>
                <w:sz w:val="20"/>
                <w:szCs w:val="20"/>
              </w:rPr>
              <w:t xml:space="preserve">5 </w:t>
            </w:r>
            <w:r w:rsidR="00AA1B31" w:rsidRPr="00654FAF">
              <w:rPr>
                <w:rFonts w:ascii="Arial Narrow" w:hAnsi="Arial Narrow"/>
                <w:sz w:val="20"/>
                <w:szCs w:val="20"/>
              </w:rPr>
              <w:t>recommend</w:t>
            </w:r>
            <w:r w:rsidR="002F24B6" w:rsidRPr="00654FAF">
              <w:rPr>
                <w:rFonts w:ascii="Arial Narrow" w:hAnsi="Arial Narrow"/>
                <w:sz w:val="20"/>
                <w:szCs w:val="20"/>
              </w:rPr>
              <w:t xml:space="preserve"> </w:t>
            </w:r>
            <w:proofErr w:type="gramStart"/>
            <w:r w:rsidR="002F24B6" w:rsidRPr="00654FAF">
              <w:rPr>
                <w:rFonts w:ascii="Arial Narrow" w:hAnsi="Arial Narrow"/>
                <w:sz w:val="20"/>
                <w:szCs w:val="20"/>
              </w:rPr>
              <w:t>to incorporate</w:t>
            </w:r>
            <w:proofErr w:type="gramEnd"/>
            <w:r w:rsidR="002F24B6" w:rsidRPr="00654FAF">
              <w:rPr>
                <w:rFonts w:ascii="Arial Narrow" w:hAnsi="Arial Narrow"/>
                <w:sz w:val="20"/>
                <w:szCs w:val="20"/>
              </w:rPr>
              <w:t xml:space="preserve"> wastage in the model</w:t>
            </w:r>
            <w:r w:rsidR="00817F6E" w:rsidRPr="00654FAF">
              <w:rPr>
                <w:rFonts w:ascii="Arial Narrow" w:hAnsi="Arial Narrow"/>
                <w:sz w:val="20"/>
                <w:szCs w:val="20"/>
              </w:rPr>
              <w:t xml:space="preserve"> and noted that this was reaffirmed</w:t>
            </w:r>
            <w:r w:rsidR="000E0948" w:rsidRPr="00654FAF">
              <w:rPr>
                <w:rFonts w:ascii="Arial Narrow" w:hAnsi="Arial Narrow"/>
                <w:sz w:val="20"/>
                <w:szCs w:val="20"/>
              </w:rPr>
              <w:t xml:space="preserve"> by the PBAC</w:t>
            </w:r>
            <w:r w:rsidR="00817F6E" w:rsidRPr="00654FAF">
              <w:rPr>
                <w:rFonts w:ascii="Arial Narrow" w:hAnsi="Arial Narrow"/>
                <w:sz w:val="20"/>
                <w:szCs w:val="20"/>
              </w:rPr>
              <w:t xml:space="preserve"> </w:t>
            </w:r>
            <w:r w:rsidR="00E37131" w:rsidRPr="00654FAF">
              <w:rPr>
                <w:rFonts w:ascii="Arial Narrow" w:hAnsi="Arial Narrow"/>
                <w:sz w:val="20"/>
                <w:szCs w:val="20"/>
              </w:rPr>
              <w:t xml:space="preserve">in </w:t>
            </w:r>
            <w:r w:rsidR="004A7014" w:rsidRPr="00654FAF">
              <w:rPr>
                <w:rFonts w:ascii="Arial Narrow" w:hAnsi="Arial Narrow"/>
                <w:sz w:val="20"/>
                <w:szCs w:val="20"/>
              </w:rPr>
              <w:t xml:space="preserve">the </w:t>
            </w:r>
            <w:r w:rsidR="00181619" w:rsidRPr="00654FAF">
              <w:rPr>
                <w:rFonts w:ascii="Arial Narrow" w:hAnsi="Arial Narrow"/>
                <w:sz w:val="20"/>
                <w:szCs w:val="20"/>
              </w:rPr>
              <w:t xml:space="preserve">November 2023 consideration of </w:t>
            </w:r>
            <w:proofErr w:type="spellStart"/>
            <w:r w:rsidR="00C602A6" w:rsidRPr="00654FAF">
              <w:rPr>
                <w:rFonts w:ascii="Arial Narrow" w:hAnsi="Arial Narrow"/>
                <w:sz w:val="20"/>
                <w:szCs w:val="20"/>
              </w:rPr>
              <w:t>sacituzumab</w:t>
            </w:r>
            <w:proofErr w:type="spellEnd"/>
            <w:r w:rsidR="00C602A6" w:rsidRPr="00654FAF">
              <w:rPr>
                <w:rFonts w:ascii="Arial Narrow" w:hAnsi="Arial Narrow"/>
                <w:sz w:val="20"/>
                <w:szCs w:val="20"/>
              </w:rPr>
              <w:t xml:space="preserve"> </w:t>
            </w:r>
            <w:proofErr w:type="spellStart"/>
            <w:r w:rsidR="00C602A6" w:rsidRPr="00654FAF">
              <w:rPr>
                <w:rFonts w:ascii="Arial Narrow" w:hAnsi="Arial Narrow"/>
                <w:sz w:val="20"/>
                <w:szCs w:val="20"/>
              </w:rPr>
              <w:t>govitecan</w:t>
            </w:r>
            <w:proofErr w:type="spellEnd"/>
            <w:r w:rsidR="005B3040" w:rsidRPr="00654FAF">
              <w:rPr>
                <w:rFonts w:ascii="Arial Narrow" w:hAnsi="Arial Narrow"/>
                <w:sz w:val="20"/>
                <w:szCs w:val="20"/>
              </w:rPr>
              <w:t xml:space="preserve"> </w:t>
            </w:r>
            <w:r w:rsidR="00E37131" w:rsidRPr="00654FAF">
              <w:rPr>
                <w:rFonts w:ascii="Arial Narrow" w:hAnsi="Arial Narrow"/>
                <w:sz w:val="20"/>
                <w:szCs w:val="20"/>
              </w:rPr>
              <w:t>(paragraph</w:t>
            </w:r>
            <w:r w:rsidR="00574B09" w:rsidRPr="00654FAF">
              <w:rPr>
                <w:rFonts w:ascii="Arial Narrow" w:hAnsi="Arial Narrow"/>
                <w:sz w:val="20"/>
                <w:szCs w:val="20"/>
              </w:rPr>
              <w:t>s</w:t>
            </w:r>
            <w:r w:rsidR="00E37131" w:rsidRPr="00654FAF">
              <w:rPr>
                <w:rFonts w:ascii="Arial Narrow" w:hAnsi="Arial Narrow"/>
                <w:sz w:val="20"/>
                <w:szCs w:val="20"/>
              </w:rPr>
              <w:t xml:space="preserve"> </w:t>
            </w:r>
            <w:r w:rsidR="008731E8" w:rsidRPr="00654FAF">
              <w:rPr>
                <w:rFonts w:ascii="Arial Narrow" w:hAnsi="Arial Narrow"/>
                <w:sz w:val="20"/>
                <w:szCs w:val="20"/>
              </w:rPr>
              <w:t>4.24</w:t>
            </w:r>
            <w:r w:rsidR="00574B09" w:rsidRPr="00654FAF">
              <w:rPr>
                <w:rFonts w:ascii="Arial Narrow" w:hAnsi="Arial Narrow"/>
                <w:sz w:val="20"/>
                <w:szCs w:val="20"/>
              </w:rPr>
              <w:t xml:space="preserve"> and 5.09, </w:t>
            </w:r>
            <w:proofErr w:type="spellStart"/>
            <w:r w:rsidR="00574B09" w:rsidRPr="00654FAF">
              <w:rPr>
                <w:rFonts w:ascii="Arial Narrow" w:hAnsi="Arial Narrow"/>
                <w:sz w:val="20"/>
                <w:szCs w:val="20"/>
              </w:rPr>
              <w:t>sacituzumab</w:t>
            </w:r>
            <w:proofErr w:type="spellEnd"/>
            <w:r w:rsidR="00574B09" w:rsidRPr="00654FAF">
              <w:rPr>
                <w:rFonts w:ascii="Arial Narrow" w:hAnsi="Arial Narrow"/>
                <w:sz w:val="20"/>
                <w:szCs w:val="20"/>
              </w:rPr>
              <w:t xml:space="preserve"> </w:t>
            </w:r>
            <w:proofErr w:type="spellStart"/>
            <w:r w:rsidR="00574B09" w:rsidRPr="00654FAF">
              <w:rPr>
                <w:rFonts w:ascii="Arial Narrow" w:hAnsi="Arial Narrow"/>
                <w:sz w:val="20"/>
                <w:szCs w:val="20"/>
              </w:rPr>
              <w:t>govitecan</w:t>
            </w:r>
            <w:proofErr w:type="spellEnd"/>
            <w:r w:rsidR="00574B09" w:rsidRPr="00654FAF">
              <w:rPr>
                <w:rFonts w:ascii="Arial Narrow" w:hAnsi="Arial Narrow"/>
                <w:sz w:val="20"/>
                <w:szCs w:val="20"/>
              </w:rPr>
              <w:t xml:space="preserve"> </w:t>
            </w:r>
            <w:r w:rsidR="008B6DBC" w:rsidRPr="00654FAF">
              <w:rPr>
                <w:rFonts w:ascii="Arial Narrow" w:hAnsi="Arial Narrow"/>
                <w:sz w:val="20"/>
                <w:szCs w:val="20"/>
              </w:rPr>
              <w:t>Public Summary Document, November 2023 PBAC Meeting)</w:t>
            </w:r>
            <w:r w:rsidR="00DF0F39" w:rsidRPr="00654FAF">
              <w:rPr>
                <w:rFonts w:ascii="Arial Narrow" w:hAnsi="Arial Narrow"/>
                <w:sz w:val="20"/>
                <w:szCs w:val="20"/>
              </w:rPr>
              <w:t>.</w:t>
            </w:r>
            <w:r w:rsidR="008731E8" w:rsidRPr="00654FAF">
              <w:rPr>
                <w:rFonts w:ascii="Arial Narrow" w:hAnsi="Arial Narrow"/>
                <w:i/>
                <w:iCs/>
                <w:sz w:val="20"/>
                <w:szCs w:val="20"/>
              </w:rPr>
              <w:t xml:space="preserve"> </w:t>
            </w:r>
          </w:p>
        </w:tc>
      </w:tr>
      <w:tr w:rsidR="002F0974" w:rsidRPr="0098262F" w14:paraId="2E91DE26" w14:textId="77777777" w:rsidTr="00D625C4">
        <w:tc>
          <w:tcPr>
            <w:tcW w:w="680" w:type="pct"/>
            <w:vAlign w:val="center"/>
          </w:tcPr>
          <w:p w14:paraId="15BD6DB7" w14:textId="77777777" w:rsidR="002F0974" w:rsidRPr="0098262F" w:rsidRDefault="002F0974">
            <w:pPr>
              <w:pStyle w:val="TableText0"/>
            </w:pPr>
            <w:r>
              <w:t>R-ICE costs</w:t>
            </w:r>
          </w:p>
        </w:tc>
        <w:tc>
          <w:tcPr>
            <w:tcW w:w="4320" w:type="pct"/>
            <w:vAlign w:val="center"/>
          </w:tcPr>
          <w:p w14:paraId="1F26CCF7" w14:textId="1F594149" w:rsidR="002F0974" w:rsidRPr="00C765F8" w:rsidRDefault="002F0974" w:rsidP="000911F9">
            <w:pPr>
              <w:ind w:right="57"/>
              <w:rPr>
                <w:rFonts w:ascii="Arial Narrow" w:hAnsi="Arial Narrow"/>
                <w:sz w:val="20"/>
                <w:szCs w:val="20"/>
              </w:rPr>
            </w:pPr>
            <w:r w:rsidRPr="00C765F8">
              <w:rPr>
                <w:rFonts w:ascii="Arial Narrow" w:hAnsi="Arial Narrow"/>
                <w:sz w:val="20"/>
                <w:szCs w:val="20"/>
              </w:rPr>
              <w:t xml:space="preserve">The R-ICE treatment duration was assumed to follow the estimated </w:t>
            </w:r>
            <w:proofErr w:type="spellStart"/>
            <w:r w:rsidRPr="00C765F8">
              <w:rPr>
                <w:rFonts w:ascii="Arial Narrow" w:hAnsi="Arial Narrow"/>
                <w:sz w:val="20"/>
                <w:szCs w:val="20"/>
              </w:rPr>
              <w:t>ToT</w:t>
            </w:r>
            <w:proofErr w:type="spellEnd"/>
            <w:r w:rsidRPr="00C765F8">
              <w:rPr>
                <w:rFonts w:ascii="Arial Narrow" w:hAnsi="Arial Narrow"/>
                <w:sz w:val="20"/>
                <w:szCs w:val="20"/>
              </w:rPr>
              <w:t xml:space="preserve"> curve, which was </w:t>
            </w:r>
            <w:r w:rsidR="001B62D6" w:rsidRPr="00C765F8">
              <w:rPr>
                <w:rFonts w:ascii="Arial Narrow" w:hAnsi="Arial Narrow"/>
                <w:sz w:val="20"/>
                <w:szCs w:val="20"/>
              </w:rPr>
              <w:t>inappropriate (</w:t>
            </w:r>
            <w:r w:rsidR="00D705D5" w:rsidRPr="00C765F8">
              <w:rPr>
                <w:rFonts w:ascii="Arial Narrow" w:hAnsi="Arial Narrow"/>
                <w:sz w:val="20"/>
                <w:szCs w:val="20"/>
              </w:rPr>
              <w:t xml:space="preserve">see paragraph </w:t>
            </w:r>
            <w:r w:rsidR="00CE36C1" w:rsidRPr="009F40AE">
              <w:rPr>
                <w:rFonts w:ascii="Arial Narrow" w:hAnsi="Arial Narrow"/>
                <w:sz w:val="20"/>
                <w:szCs w:val="20"/>
              </w:rPr>
              <w:fldChar w:fldCharType="begin"/>
            </w:r>
            <w:r w:rsidR="00CE36C1" w:rsidRPr="001B62D6">
              <w:rPr>
                <w:rFonts w:ascii="Arial Narrow" w:hAnsi="Arial Narrow"/>
                <w:sz w:val="20"/>
                <w:szCs w:val="20"/>
                <w:highlight w:val="yellow"/>
              </w:rPr>
              <w:instrText xml:space="preserve"> REF _Ref219220029 \r \h </w:instrText>
            </w:r>
            <w:r w:rsidR="00C765F8" w:rsidRPr="001B62D6">
              <w:rPr>
                <w:rFonts w:ascii="Arial Narrow" w:hAnsi="Arial Narrow"/>
                <w:sz w:val="20"/>
                <w:szCs w:val="20"/>
                <w:highlight w:val="yellow"/>
              </w:rPr>
              <w:instrText xml:space="preserve"> \* MERGEFORMAT </w:instrText>
            </w:r>
            <w:r w:rsidR="00CE36C1" w:rsidRPr="009F40AE">
              <w:rPr>
                <w:rFonts w:ascii="Arial Narrow" w:hAnsi="Arial Narrow"/>
                <w:sz w:val="20"/>
                <w:szCs w:val="20"/>
              </w:rPr>
            </w:r>
            <w:r w:rsidR="00CE36C1" w:rsidRPr="009F40AE">
              <w:rPr>
                <w:rFonts w:ascii="Arial Narrow" w:hAnsi="Arial Narrow"/>
                <w:sz w:val="20"/>
                <w:szCs w:val="20"/>
              </w:rPr>
              <w:fldChar w:fldCharType="separate"/>
            </w:r>
            <w:r w:rsidR="008C4274" w:rsidRPr="008C4274">
              <w:rPr>
                <w:rFonts w:ascii="Arial Narrow" w:hAnsi="Arial Narrow"/>
                <w:sz w:val="20"/>
                <w:szCs w:val="20"/>
              </w:rPr>
              <w:t>6.67</w:t>
            </w:r>
            <w:r w:rsidR="00CE36C1" w:rsidRPr="009F40AE">
              <w:rPr>
                <w:rFonts w:ascii="Arial Narrow" w:hAnsi="Arial Narrow"/>
                <w:sz w:val="20"/>
                <w:szCs w:val="20"/>
              </w:rPr>
              <w:fldChar w:fldCharType="end"/>
            </w:r>
            <w:r w:rsidR="00CE36C1" w:rsidRPr="00C765F8">
              <w:rPr>
                <w:rFonts w:ascii="Arial Narrow" w:hAnsi="Arial Narrow"/>
                <w:sz w:val="20"/>
                <w:szCs w:val="20"/>
              </w:rPr>
              <w:t>)</w:t>
            </w:r>
            <w:r w:rsidRPr="00C765F8">
              <w:rPr>
                <w:rFonts w:ascii="Arial Narrow" w:hAnsi="Arial Narrow"/>
                <w:sz w:val="20"/>
                <w:szCs w:val="20"/>
              </w:rPr>
              <w:t xml:space="preserve">. </w:t>
            </w:r>
          </w:p>
        </w:tc>
      </w:tr>
      <w:tr w:rsidR="002F0974" w:rsidRPr="00B358FF" w14:paraId="1236E3D8" w14:textId="77777777" w:rsidTr="00D625C4">
        <w:tc>
          <w:tcPr>
            <w:tcW w:w="680" w:type="pct"/>
            <w:vAlign w:val="center"/>
          </w:tcPr>
          <w:p w14:paraId="2D04170C" w14:textId="77777777" w:rsidR="002F0974" w:rsidRDefault="002F0974">
            <w:pPr>
              <w:pStyle w:val="TableText0"/>
            </w:pPr>
            <w:r>
              <w:t>Costs of adverse events</w:t>
            </w:r>
          </w:p>
        </w:tc>
        <w:tc>
          <w:tcPr>
            <w:tcW w:w="4320" w:type="pct"/>
            <w:vAlign w:val="center"/>
          </w:tcPr>
          <w:p w14:paraId="10F4E687" w14:textId="77777777" w:rsidR="002F0974" w:rsidRPr="00906023" w:rsidRDefault="002F0974" w:rsidP="00906023">
            <w:pPr>
              <w:ind w:right="57"/>
              <w:rPr>
                <w:rFonts w:ascii="Arial Narrow" w:hAnsi="Arial Narrow"/>
                <w:sz w:val="20"/>
                <w:szCs w:val="20"/>
              </w:rPr>
            </w:pPr>
            <w:r w:rsidRPr="00906023">
              <w:rPr>
                <w:rFonts w:ascii="Arial Narrow" w:hAnsi="Arial Narrow"/>
                <w:sz w:val="20"/>
                <w:szCs w:val="20"/>
              </w:rPr>
              <w:t>The proportion of Grade 3+ TEAEs with an incidence of ≥ 5% was derived from the LOTIS-2 study. The submission did not report the source of Grade 3+ TEAEs incidence for the comparator arm, and these rates could not be verified.</w:t>
            </w:r>
          </w:p>
          <w:p w14:paraId="1E3C813E" w14:textId="7EE0E939" w:rsidR="002F0974" w:rsidRPr="00C765F8" w:rsidRDefault="002F0974" w:rsidP="00E006D9">
            <w:pPr>
              <w:pStyle w:val="TableText0"/>
              <w:keepNext w:val="0"/>
              <w:keepLines w:val="0"/>
              <w:ind w:right="57"/>
              <w:rPr>
                <w:rFonts w:eastAsia="Calibri" w:cstheme="minorHAnsi"/>
                <w:szCs w:val="20"/>
              </w:rPr>
            </w:pPr>
            <w:r w:rsidRPr="00C765F8">
              <w:rPr>
                <w:rFonts w:cstheme="minorHAnsi"/>
                <w:szCs w:val="20"/>
              </w:rPr>
              <w:t>The model assumed 60.4% and 63.5% of patients in the comparator arm experienced Grade 3+ neutropenia and thrombocytopenia, respectively. These assumptions contrasted with the STARGLO trial data for R-</w:t>
            </w:r>
            <w:proofErr w:type="spellStart"/>
            <w:r w:rsidRPr="00C765F8">
              <w:rPr>
                <w:rFonts w:cstheme="minorHAnsi"/>
                <w:szCs w:val="20"/>
              </w:rPr>
              <w:t>GemOx</w:t>
            </w:r>
            <w:proofErr w:type="spellEnd"/>
            <w:r w:rsidRPr="00C765F8">
              <w:rPr>
                <w:rFonts w:cstheme="minorHAnsi"/>
                <w:szCs w:val="20"/>
              </w:rPr>
              <w:t xml:space="preserve"> (a common chemoimmunotherapy in Australia), where only 6.8% of patients experienced neutropenia and thrombocytopenia (see Table 7, glofitamab PSD, July 2025 PBAC Meeting). The model was not sensitive to costs and disutilities of adverse events (ICER increased by </w:t>
            </w:r>
            <w:r w:rsidR="005822E1" w:rsidRPr="005822E1">
              <w:rPr>
                <w:rFonts w:cstheme="minorHAnsi"/>
                <w:sz w:val="2"/>
                <w:szCs w:val="20"/>
                <w:highlight w:val="black"/>
              </w:rPr>
              <w:t>redacted content</w:t>
            </w:r>
            <w:r w:rsidRPr="00C765F8">
              <w:rPr>
                <w:rFonts w:cstheme="minorHAnsi"/>
                <w:szCs w:val="20"/>
              </w:rPr>
              <w:t>% if removed).</w:t>
            </w:r>
          </w:p>
        </w:tc>
      </w:tr>
      <w:tr w:rsidR="002F0974" w:rsidRPr="0098262F" w14:paraId="7F5D5F3C" w14:textId="77777777" w:rsidTr="00D625C4">
        <w:tc>
          <w:tcPr>
            <w:tcW w:w="680" w:type="pct"/>
            <w:vAlign w:val="center"/>
          </w:tcPr>
          <w:p w14:paraId="5ECF9169" w14:textId="77777777" w:rsidR="002F0974" w:rsidRDefault="002F0974">
            <w:pPr>
              <w:pStyle w:val="TableText0"/>
            </w:pPr>
            <w:r>
              <w:t>Disease management costs</w:t>
            </w:r>
          </w:p>
        </w:tc>
        <w:tc>
          <w:tcPr>
            <w:tcW w:w="4320" w:type="pct"/>
            <w:vAlign w:val="center"/>
          </w:tcPr>
          <w:p w14:paraId="5C0A4EF8" w14:textId="77777777" w:rsidR="002F0974" w:rsidRPr="00C765F8" w:rsidRDefault="002F0974" w:rsidP="00A100E8">
            <w:pPr>
              <w:pStyle w:val="TableText0"/>
              <w:keepNext w:val="0"/>
              <w:keepLines w:val="0"/>
              <w:ind w:right="57"/>
              <w:rPr>
                <w:rFonts w:cstheme="minorHAnsi"/>
                <w:szCs w:val="20"/>
              </w:rPr>
            </w:pPr>
            <w:r w:rsidRPr="00C765F8">
              <w:rPr>
                <w:rFonts w:cstheme="minorHAnsi"/>
                <w:szCs w:val="20"/>
              </w:rPr>
              <w:t>Disease management costs were applied by progression status (PF or PD) and whether PF patients were on or off treatment.</w:t>
            </w:r>
          </w:p>
          <w:p w14:paraId="12847A88" w14:textId="77777777" w:rsidR="002F0974" w:rsidRPr="00C765F8" w:rsidRDefault="002F0974" w:rsidP="00A100E8">
            <w:pPr>
              <w:pStyle w:val="TableText0"/>
              <w:keepNext w:val="0"/>
              <w:keepLines w:val="0"/>
              <w:ind w:right="57"/>
              <w:rPr>
                <w:rFonts w:cstheme="minorHAnsi"/>
                <w:szCs w:val="20"/>
              </w:rPr>
            </w:pPr>
            <w:r w:rsidRPr="00C765F8">
              <w:rPr>
                <w:rFonts w:cstheme="minorHAnsi"/>
                <w:szCs w:val="20"/>
              </w:rPr>
              <w:t>No disease management costs for cured patients.</w:t>
            </w:r>
          </w:p>
        </w:tc>
      </w:tr>
      <w:tr w:rsidR="002F0974" w:rsidRPr="0098262F" w14:paraId="5F3ED955" w14:textId="77777777" w:rsidTr="00D625C4">
        <w:tc>
          <w:tcPr>
            <w:tcW w:w="680" w:type="pct"/>
            <w:vAlign w:val="center"/>
          </w:tcPr>
          <w:p w14:paraId="3C1B8AF7" w14:textId="77777777" w:rsidR="002F0974" w:rsidRDefault="002F0974">
            <w:pPr>
              <w:pStyle w:val="TableText0"/>
            </w:pPr>
            <w:r w:rsidRPr="00A150BF">
              <w:rPr>
                <w:szCs w:val="20"/>
              </w:rPr>
              <w:t>Costs of terminal care</w:t>
            </w:r>
          </w:p>
        </w:tc>
        <w:tc>
          <w:tcPr>
            <w:tcW w:w="4320" w:type="pct"/>
            <w:vAlign w:val="center"/>
          </w:tcPr>
          <w:p w14:paraId="07AEFD7A" w14:textId="77777777" w:rsidR="002F0974" w:rsidRPr="00C765F8" w:rsidRDefault="002F0974" w:rsidP="000911F9">
            <w:pPr>
              <w:pStyle w:val="TableText0"/>
              <w:keepNext w:val="0"/>
              <w:keepLines w:val="0"/>
              <w:ind w:right="57"/>
              <w:rPr>
                <w:rFonts w:cs="Calibri"/>
                <w:szCs w:val="20"/>
              </w:rPr>
            </w:pPr>
            <w:r w:rsidRPr="00C765F8">
              <w:rPr>
                <w:rFonts w:cs="Calibri"/>
                <w:szCs w:val="20"/>
              </w:rPr>
              <w:t>A one-off cost applied upon transitioning to the death health state was based on</w:t>
            </w:r>
            <w:r w:rsidRPr="00C765F8">
              <w:rPr>
                <w:szCs w:val="20"/>
              </w:rPr>
              <w:t xml:space="preserve"> health system costs of Australian patients in the terminal phase of ‘head and neck cancer’ sourced from</w:t>
            </w:r>
            <w:r w:rsidRPr="00C765F8">
              <w:rPr>
                <w:rFonts w:cs="Calibri"/>
                <w:szCs w:val="20"/>
              </w:rPr>
              <w:t xml:space="preserve"> Goldsbury 2018. </w:t>
            </w:r>
          </w:p>
        </w:tc>
      </w:tr>
      <w:tr w:rsidR="002F0974" w:rsidRPr="0098262F" w14:paraId="00AF2491" w14:textId="77777777" w:rsidTr="00D625C4">
        <w:tc>
          <w:tcPr>
            <w:tcW w:w="680" w:type="pct"/>
            <w:vAlign w:val="center"/>
          </w:tcPr>
          <w:p w14:paraId="09246B92" w14:textId="77777777" w:rsidR="002F0974" w:rsidRPr="00A150BF" w:rsidRDefault="002F0974">
            <w:pPr>
              <w:pStyle w:val="TableText0"/>
              <w:rPr>
                <w:szCs w:val="20"/>
              </w:rPr>
            </w:pPr>
            <w:r>
              <w:rPr>
                <w:szCs w:val="20"/>
              </w:rPr>
              <w:t>Software</w:t>
            </w:r>
          </w:p>
        </w:tc>
        <w:tc>
          <w:tcPr>
            <w:tcW w:w="4320" w:type="pct"/>
            <w:vAlign w:val="center"/>
          </w:tcPr>
          <w:p w14:paraId="553F83C6" w14:textId="508550CE" w:rsidR="002F0974" w:rsidRPr="00C765F8" w:rsidDel="004C480C" w:rsidRDefault="002F0974" w:rsidP="000911F9">
            <w:pPr>
              <w:pStyle w:val="TableText0"/>
              <w:keepNext w:val="0"/>
              <w:keepLines w:val="0"/>
              <w:ind w:right="57"/>
              <w:rPr>
                <w:rFonts w:cs="Calibri"/>
                <w:szCs w:val="20"/>
              </w:rPr>
            </w:pPr>
            <w:r w:rsidRPr="00C765F8">
              <w:rPr>
                <w:rFonts w:cs="Calibri"/>
                <w:szCs w:val="20"/>
              </w:rPr>
              <w:t xml:space="preserve">Microsoft Excel. </w:t>
            </w:r>
          </w:p>
        </w:tc>
      </w:tr>
    </w:tbl>
    <w:p w14:paraId="4425992E" w14:textId="77777777" w:rsidR="002F0974" w:rsidRPr="00AA6D24" w:rsidRDefault="002F0974" w:rsidP="002F0974">
      <w:pPr>
        <w:pStyle w:val="TableFigureFooter"/>
      </w:pPr>
      <w:r w:rsidRPr="00AA6D24">
        <w:t>Source: Table 3-1, p107 of the submission.</w:t>
      </w:r>
    </w:p>
    <w:p w14:paraId="717253FF" w14:textId="4076D635" w:rsidR="002F0974" w:rsidRDefault="002F0974" w:rsidP="002F0974">
      <w:pPr>
        <w:pStyle w:val="TableFigureFooter"/>
        <w:spacing w:after="0"/>
      </w:pPr>
      <w:r>
        <w:t xml:space="preserve">3L = third line; </w:t>
      </w:r>
      <w:r w:rsidRPr="00AA6D24">
        <w:t xml:space="preserve">AE = adverse event; </w:t>
      </w:r>
      <w:r>
        <w:t xml:space="preserve">CDA = </w:t>
      </w:r>
      <w:r w:rsidRPr="002F0DE2">
        <w:t>Canada’s Drug Agency</w:t>
      </w:r>
      <w:r>
        <w:t xml:space="preserve">; </w:t>
      </w:r>
      <w:r w:rsidRPr="00966781">
        <w:t>EQ-5D</w:t>
      </w:r>
      <w:r>
        <w:t>-3L</w:t>
      </w:r>
      <w:r w:rsidRPr="00966781">
        <w:t>= EuroQol- 5 Dimension</w:t>
      </w:r>
      <w:r>
        <w:t xml:space="preserve"> 3 level;</w:t>
      </w:r>
      <w:r w:rsidRPr="008A4EDC">
        <w:t xml:space="preserve"> </w:t>
      </w:r>
      <w:r w:rsidRPr="00966781">
        <w:t>EQ-5D</w:t>
      </w:r>
      <w:r>
        <w:t>-5L</w:t>
      </w:r>
      <w:r w:rsidRPr="00966781">
        <w:t>= EuroQol- 5 Dimension</w:t>
      </w:r>
      <w:r>
        <w:t xml:space="preserve"> 5 level;</w:t>
      </w:r>
      <w:r w:rsidRPr="008A4EDC">
        <w:t xml:space="preserve"> </w:t>
      </w:r>
      <w:r w:rsidRPr="00AA6D24">
        <w:t xml:space="preserve">HR = hazard ratio; KM = Kaplan-Meier; MAIC = matching adjusted indirect comparison; </w:t>
      </w:r>
      <w:r>
        <w:t xml:space="preserve">NICE = National Institute for Health and Care Excellence; </w:t>
      </w:r>
      <w:r w:rsidRPr="00AA6D24">
        <w:t xml:space="preserve">LY = </w:t>
      </w:r>
      <w:r w:rsidR="005774E5" w:rsidRPr="00AA6D24">
        <w:t>life years</w:t>
      </w:r>
      <w:r w:rsidRPr="00AA6D24">
        <w:t>; OS = overall survival; PD = progressive disease; PF = progression free; PFS = progression free survival; PI = product information, R-</w:t>
      </w:r>
      <w:proofErr w:type="spellStart"/>
      <w:r w:rsidRPr="00AA6D24">
        <w:t>GemOx</w:t>
      </w:r>
      <w:proofErr w:type="spellEnd"/>
      <w:r w:rsidRPr="00AA6D24">
        <w:t xml:space="preserve"> = rituximab in combination with gemcitabine plus oxaliplatin; R-ICE = rituximab, ifosfamide, carboplatin, etoposide; </w:t>
      </w:r>
      <w:r>
        <w:t xml:space="preserve">SMC = </w:t>
      </w:r>
      <w:r w:rsidRPr="002F0DE2">
        <w:t>Scottish Medicine Consortium</w:t>
      </w:r>
      <w:r>
        <w:t xml:space="preserve">; </w:t>
      </w:r>
      <w:r w:rsidRPr="00AA6D24">
        <w:t xml:space="preserve">TEAE = treatment-emergent adverse events; </w:t>
      </w:r>
      <w:proofErr w:type="spellStart"/>
      <w:r w:rsidRPr="00AA6D24">
        <w:t>ToT</w:t>
      </w:r>
      <w:proofErr w:type="spellEnd"/>
      <w:r w:rsidRPr="00AA6D24">
        <w:t xml:space="preserve"> = time on treatment. </w:t>
      </w:r>
    </w:p>
    <w:p w14:paraId="4A0D591E" w14:textId="77777777" w:rsidR="002F0974" w:rsidRPr="00FC7253" w:rsidRDefault="002F0974" w:rsidP="002F0974">
      <w:pPr>
        <w:pStyle w:val="3-BodyText"/>
        <w:numPr>
          <w:ilvl w:val="0"/>
          <w:numId w:val="0"/>
        </w:numPr>
        <w:spacing w:before="0" w:after="0"/>
        <w:ind w:left="165" w:hanging="165"/>
        <w:rPr>
          <w:rFonts w:ascii="Arial Narrow" w:hAnsi="Arial Narrow"/>
          <w:i/>
          <w:iCs/>
          <w:sz w:val="18"/>
          <w:szCs w:val="18"/>
        </w:rPr>
      </w:pPr>
      <w:r w:rsidRPr="00FC7253">
        <w:rPr>
          <w:rFonts w:ascii="Arial Narrow" w:hAnsi="Arial Narrow"/>
          <w:sz w:val="18"/>
          <w:szCs w:val="18"/>
        </w:rPr>
        <w:t>*</w:t>
      </w:r>
      <w:r>
        <w:rPr>
          <w:rFonts w:ascii="Arial Narrow" w:hAnsi="Arial Narrow"/>
          <w:sz w:val="18"/>
          <w:szCs w:val="18"/>
        </w:rPr>
        <w:tab/>
      </w:r>
      <w:r w:rsidRPr="00C765F8">
        <w:rPr>
          <w:rFonts w:ascii="Arial Narrow" w:hAnsi="Arial Narrow"/>
          <w:sz w:val="18"/>
          <w:szCs w:val="18"/>
        </w:rPr>
        <w:t>A programming error omitting the disutility of AEs in the comparator arm (‘</w:t>
      </w:r>
      <w:proofErr w:type="spellStart"/>
      <w:r w:rsidRPr="00C765F8">
        <w:rPr>
          <w:rFonts w:ascii="Arial Narrow" w:hAnsi="Arial Narrow"/>
          <w:sz w:val="18"/>
          <w:szCs w:val="18"/>
        </w:rPr>
        <w:t>Model_Cx</w:t>
      </w:r>
      <w:proofErr w:type="spellEnd"/>
      <w:r w:rsidRPr="00C765F8">
        <w:rPr>
          <w:rFonts w:ascii="Arial Narrow" w:hAnsi="Arial Narrow"/>
          <w:sz w:val="18"/>
          <w:szCs w:val="18"/>
        </w:rPr>
        <w:t xml:space="preserve"> cell AQ5’) identified in the submitted Excel model was corrected.</w:t>
      </w:r>
    </w:p>
    <w:p w14:paraId="7D20BAEC" w14:textId="77777777" w:rsidR="002F0974" w:rsidRDefault="002F0974" w:rsidP="002F0974">
      <w:pPr>
        <w:pStyle w:val="TableFigureFooter"/>
        <w:spacing w:after="0"/>
        <w:ind w:left="165" w:hanging="165"/>
      </w:pPr>
      <w:proofErr w:type="spellStart"/>
      <w:r w:rsidRPr="00AA6D24">
        <w:rPr>
          <w:vertAlign w:val="superscript"/>
        </w:rPr>
        <w:t>a</w:t>
      </w:r>
      <w:proofErr w:type="spellEnd"/>
      <w:r w:rsidRPr="00AA6D24">
        <w:tab/>
        <w:t xml:space="preserve">The model base case was based on Gebski 2018 which determined the minimum number of patients at risk for reliable KM estimates using a one-sided 95% confidence criterion. </w:t>
      </w:r>
    </w:p>
    <w:p w14:paraId="1A5593AD" w14:textId="77777777" w:rsidR="003F573A" w:rsidRDefault="002F0974" w:rsidP="003F573A">
      <w:pPr>
        <w:pStyle w:val="TableFigureFooter"/>
        <w:ind w:left="170" w:hanging="170"/>
        <w:rPr>
          <w:i/>
        </w:rPr>
      </w:pPr>
      <w:r>
        <w:rPr>
          <w:vertAlign w:val="superscript"/>
        </w:rPr>
        <w:t>b</w:t>
      </w:r>
      <w:r>
        <w:rPr>
          <w:vertAlign w:val="superscript"/>
        </w:rPr>
        <w:tab/>
      </w:r>
      <w:r w:rsidRPr="00410AE9">
        <w:t xml:space="preserve">Norman R, Mulhern B, </w:t>
      </w:r>
      <w:proofErr w:type="spellStart"/>
      <w:r w:rsidRPr="00410AE9">
        <w:t>Lancsar</w:t>
      </w:r>
      <w:proofErr w:type="spellEnd"/>
      <w:r w:rsidRPr="00410AE9">
        <w:t xml:space="preserve"> E et al. The use of a discrete choice experiment including both duration and dead for the development of an EQ-5D-5L value set for Australia. Pharmacoeconomics 2023; 41: 427-438.</w:t>
      </w:r>
      <w:r w:rsidR="003F573A" w:rsidRPr="003F573A">
        <w:rPr>
          <w:i/>
        </w:rPr>
        <w:t xml:space="preserve"> </w:t>
      </w:r>
    </w:p>
    <w:p w14:paraId="4052CE32" w14:textId="2EAC12AF" w:rsidR="003F573A" w:rsidRPr="003F573A" w:rsidRDefault="003F573A" w:rsidP="003F573A">
      <w:pPr>
        <w:pStyle w:val="TableFigureFooter"/>
        <w:ind w:left="170" w:hanging="170"/>
        <w:rPr>
          <w:i/>
        </w:rPr>
      </w:pPr>
      <w:r w:rsidRPr="003F573A">
        <w:rPr>
          <w:i/>
        </w:rPr>
        <w:t xml:space="preserve">The redacted values correspond to the following ranges: </w:t>
      </w:r>
    </w:p>
    <w:p w14:paraId="43BD3259" w14:textId="7B8F857D" w:rsidR="003F573A" w:rsidRPr="003F573A" w:rsidRDefault="003F573A" w:rsidP="003F573A">
      <w:pPr>
        <w:pStyle w:val="TableFigureFooter"/>
        <w:ind w:left="170" w:hanging="170"/>
        <w:rPr>
          <w:i/>
        </w:rPr>
      </w:pPr>
      <w:r w:rsidRPr="003F573A">
        <w:rPr>
          <w:i/>
          <w:vertAlign w:val="superscript"/>
        </w:rPr>
        <w:t>1</w:t>
      </w:r>
      <w:r w:rsidRPr="003F573A">
        <w:rPr>
          <w:i/>
        </w:rPr>
        <w:t xml:space="preserve"> </w:t>
      </w:r>
      <w:r w:rsidR="00B447B3" w:rsidRPr="00B447B3">
        <w:rPr>
          <w:i/>
        </w:rPr>
        <w:t>$95,000 to &lt; $115,000</w:t>
      </w:r>
    </w:p>
    <w:p w14:paraId="6BAFE691" w14:textId="3D634307" w:rsidR="002F0974" w:rsidRPr="00410AE9" w:rsidRDefault="003F573A" w:rsidP="00B172F8">
      <w:pPr>
        <w:pStyle w:val="TableFigureFooter"/>
        <w:ind w:left="170" w:hanging="170"/>
      </w:pPr>
      <w:r w:rsidRPr="003F573A">
        <w:rPr>
          <w:i/>
          <w:vertAlign w:val="superscript"/>
        </w:rPr>
        <w:t>2</w:t>
      </w:r>
      <w:r w:rsidRPr="003F573A">
        <w:rPr>
          <w:i/>
        </w:rPr>
        <w:t xml:space="preserve"> </w:t>
      </w:r>
      <w:r w:rsidR="00B172F8" w:rsidRPr="00B172F8">
        <w:rPr>
          <w:i/>
        </w:rPr>
        <w:t>$115,000 to &lt; $135,000</w:t>
      </w:r>
    </w:p>
    <w:p w14:paraId="7F30A9D3" w14:textId="74AC0679" w:rsidR="002F0974" w:rsidRPr="00A94398" w:rsidRDefault="002F0974" w:rsidP="009F40AE">
      <w:pPr>
        <w:pStyle w:val="3-BodyText"/>
        <w:numPr>
          <w:ilvl w:val="1"/>
          <w:numId w:val="1"/>
        </w:numPr>
      </w:pPr>
      <w:r w:rsidRPr="004C480C">
        <w:t xml:space="preserve">Although the </w:t>
      </w:r>
      <w:r>
        <w:t xml:space="preserve">model diagram in the </w:t>
      </w:r>
      <w:r w:rsidRPr="004C480C">
        <w:t xml:space="preserve">submission </w:t>
      </w:r>
      <w:r>
        <w:t>showed</w:t>
      </w:r>
      <w:r w:rsidRPr="004C480C">
        <w:t xml:space="preserve"> four health states: progression</w:t>
      </w:r>
      <w:r>
        <w:t>-</w:t>
      </w:r>
      <w:r w:rsidRPr="004C480C">
        <w:t>free (PF), progressed disease (PD), cured and death</w:t>
      </w:r>
      <w:r>
        <w:t>, t</w:t>
      </w:r>
      <w:r w:rsidRPr="004C480C">
        <w:t>he implementation followed a standard partitioned survival structure with three partitions (PF, PD and death). ‘</w:t>
      </w:r>
      <w:r w:rsidRPr="004C480C">
        <w:rPr>
          <w:rFonts w:cstheme="minorHAnsi"/>
        </w:rPr>
        <w:t>Cured’ was not implemented as a separate partition; instead, patients deemed cured were incorporated within</w:t>
      </w:r>
      <w:r w:rsidRPr="00160919">
        <w:rPr>
          <w:rFonts w:cstheme="minorHAnsi"/>
        </w:rPr>
        <w:t xml:space="preserve"> the PF </w:t>
      </w:r>
      <w:r>
        <w:rPr>
          <w:rFonts w:cstheme="minorHAnsi"/>
        </w:rPr>
        <w:t xml:space="preserve">partition, </w:t>
      </w:r>
      <w:r w:rsidRPr="00160919">
        <w:rPr>
          <w:rFonts w:cstheme="minorHAnsi"/>
        </w:rPr>
        <w:t xml:space="preserve">resulting in a combined </w:t>
      </w:r>
      <w:r>
        <w:rPr>
          <w:rFonts w:cstheme="minorHAnsi"/>
        </w:rPr>
        <w:lastRenderedPageBreak/>
        <w:t>‘</w:t>
      </w:r>
      <w:r w:rsidRPr="00160919">
        <w:rPr>
          <w:rFonts w:cstheme="minorHAnsi"/>
        </w:rPr>
        <w:t>PF/cure</w:t>
      </w:r>
      <w:r>
        <w:rPr>
          <w:rFonts w:cstheme="minorHAnsi"/>
        </w:rPr>
        <w:t>’</w:t>
      </w:r>
      <w:r w:rsidRPr="00160919">
        <w:rPr>
          <w:rFonts w:cstheme="minorHAnsi"/>
        </w:rPr>
        <w:t xml:space="preserve"> state</w:t>
      </w:r>
      <w:r>
        <w:rPr>
          <w:rFonts w:cstheme="minorHAnsi"/>
        </w:rPr>
        <w:t>, with c</w:t>
      </w:r>
      <w:r w:rsidRPr="00160919">
        <w:rPr>
          <w:rFonts w:cstheme="minorHAnsi"/>
        </w:rPr>
        <w:t xml:space="preserve">osts and QALYs </w:t>
      </w:r>
      <w:r>
        <w:rPr>
          <w:rFonts w:cstheme="minorHAnsi"/>
        </w:rPr>
        <w:t xml:space="preserve">for cured patients </w:t>
      </w:r>
      <w:r w:rsidRPr="00160919">
        <w:rPr>
          <w:rFonts w:cstheme="minorHAnsi"/>
        </w:rPr>
        <w:t xml:space="preserve">adjusted </w:t>
      </w:r>
      <w:r>
        <w:rPr>
          <w:rFonts w:cstheme="minorHAnsi"/>
        </w:rPr>
        <w:t xml:space="preserve">after the </w:t>
      </w:r>
      <w:r w:rsidRPr="00160919">
        <w:rPr>
          <w:rFonts w:cstheme="minorHAnsi"/>
        </w:rPr>
        <w:t>assumed cure timepoint.</w:t>
      </w:r>
    </w:p>
    <w:p w14:paraId="08F00090" w14:textId="77777777" w:rsidR="002F0974" w:rsidRPr="00851C82" w:rsidRDefault="002F0974" w:rsidP="002F0974">
      <w:pPr>
        <w:pStyle w:val="3-BodyText"/>
        <w:numPr>
          <w:ilvl w:val="1"/>
          <w:numId w:val="1"/>
        </w:numPr>
      </w:pPr>
      <w:bookmarkStart w:id="56" w:name="_Ref219218278"/>
      <w:r w:rsidRPr="00851C82">
        <w:t xml:space="preserve">The submission stated that, at the assumed cure time point of 2 years (base case), all patients in the PF partition were considered cured, with survival and utility values modelled using general population norms and no ongoing </w:t>
      </w:r>
      <w:r w:rsidRPr="00851C82">
        <w:rPr>
          <w:rFonts w:cs="Calibri"/>
        </w:rPr>
        <w:t>disease management costs. However, in the EXCEL economic model, only utilities were adjusted to general population values after cure, while life years continued to be determined by the extrapolated PFS and OS curves for all patients, irrespective of cure status. As a result, the model’s treatment of cure was inconsistent with the submission’s claim that cured patients returned to general-population mortality.</w:t>
      </w:r>
      <w:bookmarkEnd w:id="56"/>
    </w:p>
    <w:p w14:paraId="7A5256EC" w14:textId="2E5DE984" w:rsidR="002F0974" w:rsidRPr="00851C82" w:rsidRDefault="002F0974" w:rsidP="002F0974">
      <w:pPr>
        <w:pStyle w:val="3-BodyText"/>
        <w:numPr>
          <w:ilvl w:val="1"/>
          <w:numId w:val="1"/>
        </w:numPr>
      </w:pPr>
      <w:r w:rsidRPr="00851C82">
        <w:rPr>
          <w:rFonts w:eastAsia="Calibri"/>
        </w:rPr>
        <w:t xml:space="preserve">A programming error was identified in the submitted Excel model that affected the calculation of total QALYs. The </w:t>
      </w:r>
      <w:r w:rsidRPr="00851C82">
        <w:t xml:space="preserve">disutility of AEs was omitted from the total QALY calculations for the comparator arm. The evaluation corrected this error, resulting in an error-corrected base case of </w:t>
      </w:r>
      <w:r w:rsidR="00CA3E3D" w:rsidRPr="00CA3E3D">
        <w:t>$95,000 to &lt; $115,000</w:t>
      </w:r>
      <w:r w:rsidRPr="00851C82">
        <w:t xml:space="preserve"> per QALY gained, compared with </w:t>
      </w:r>
      <w:r w:rsidR="00CA3E3D" w:rsidRPr="00CA3E3D">
        <w:t>$95,000 to &lt; $115,000</w:t>
      </w:r>
      <w:r w:rsidRPr="00851C82">
        <w:t xml:space="preserve"> per QALY gained, reported in the submission. The results of key sensitivity analyses were also corrected for this error in the evaluation.</w:t>
      </w:r>
    </w:p>
    <w:p w14:paraId="43DD87EE" w14:textId="0F20612F" w:rsidR="002F0974" w:rsidRPr="00851C82" w:rsidRDefault="002F0974" w:rsidP="002F0974">
      <w:pPr>
        <w:pStyle w:val="3-BodyText"/>
        <w:numPr>
          <w:ilvl w:val="1"/>
          <w:numId w:val="1"/>
        </w:numPr>
      </w:pPr>
      <w:bookmarkStart w:id="57" w:name="_Ref219214526"/>
      <w:r w:rsidRPr="00851C82">
        <w:t>The base case model used a 30-year time horizon, which the submission justified, citing the mean age of LOTIS-2 patients (62.7 years) and the need to capture lifetime costs and outcomes, particularly as a proportion of patients are assumed to achieve durable remission consistent with cure. While this rationale was not unreasonable, it needed to be weighed against</w:t>
      </w:r>
      <w:r w:rsidR="0089794D" w:rsidRPr="00851C82">
        <w:t xml:space="preserve"> the</w:t>
      </w:r>
      <w:r w:rsidRPr="00851C82">
        <w:t xml:space="preserve"> uncertainty introduced by long-term extrapolation, particularly given the poor expected survival of patients receiving 3L treatment for R/R DLBCL. </w:t>
      </w:r>
      <w:r w:rsidR="00E84A7F" w:rsidRPr="00851C82">
        <w:t>This u</w:t>
      </w:r>
      <w:r w:rsidR="0025628E" w:rsidRPr="00851C82">
        <w:t xml:space="preserve">ncertainty </w:t>
      </w:r>
      <w:r w:rsidR="00E84A7F" w:rsidRPr="00851C82">
        <w:t xml:space="preserve">was </w:t>
      </w:r>
      <w:r w:rsidR="0025628E" w:rsidRPr="00851C82">
        <w:t>further amplified in the present submission due to limitations in the clinical evidence base: key data were derived from a single</w:t>
      </w:r>
      <w:r w:rsidR="0025628E" w:rsidRPr="00851C82">
        <w:rPr>
          <w:rFonts w:ascii="Cambria Math" w:hAnsi="Cambria Math" w:cs="Cambria Math"/>
        </w:rPr>
        <w:t>‑</w:t>
      </w:r>
      <w:r w:rsidR="0025628E" w:rsidRPr="00851C82">
        <w:t>arm study</w:t>
      </w:r>
      <w:r w:rsidR="00E84A7F" w:rsidRPr="00851C82">
        <w:t>;</w:t>
      </w:r>
      <w:r w:rsidR="0025628E" w:rsidRPr="00851C82">
        <w:t xml:space="preserve"> the MAIC was unlikely to </w:t>
      </w:r>
      <w:r w:rsidR="00E84A7F" w:rsidRPr="00851C82">
        <w:t xml:space="preserve">have </w:t>
      </w:r>
      <w:r w:rsidR="0025628E" w:rsidRPr="00851C82">
        <w:t>fully adjust</w:t>
      </w:r>
      <w:r w:rsidR="00E84A7F" w:rsidRPr="00851C82">
        <w:t>ed</w:t>
      </w:r>
      <w:r w:rsidR="0025628E" w:rsidRPr="00851C82">
        <w:t xml:space="preserve"> for systematic differences between LOTIS-2 and CORAL extension study populations</w:t>
      </w:r>
      <w:r w:rsidR="00E84A7F" w:rsidRPr="00851C82">
        <w:t>;</w:t>
      </w:r>
      <w:r w:rsidR="0025628E" w:rsidRPr="00851C82">
        <w:t xml:space="preserve"> and all three </w:t>
      </w:r>
      <w:r w:rsidR="00E84A7F" w:rsidRPr="00851C82">
        <w:t xml:space="preserve">comparator-arm </w:t>
      </w:r>
      <w:r w:rsidR="0025628E" w:rsidRPr="00851C82">
        <w:t>curves (</w:t>
      </w:r>
      <w:r w:rsidR="0025628E" w:rsidRPr="00851C82">
        <w:rPr>
          <w:bCs/>
        </w:rPr>
        <w:t xml:space="preserve">OS, PFS, </w:t>
      </w:r>
      <w:proofErr w:type="spellStart"/>
      <w:r w:rsidR="0025628E" w:rsidRPr="00851C82">
        <w:rPr>
          <w:bCs/>
        </w:rPr>
        <w:t>ToT</w:t>
      </w:r>
      <w:proofErr w:type="spellEnd"/>
      <w:r w:rsidR="00E84A7F" w:rsidRPr="00851C82">
        <w:t xml:space="preserve">) </w:t>
      </w:r>
      <w:r w:rsidR="0025628E" w:rsidRPr="00851C82">
        <w:t xml:space="preserve">were </w:t>
      </w:r>
      <w:r w:rsidR="00E84A7F" w:rsidRPr="00851C82">
        <w:t xml:space="preserve">generated </w:t>
      </w:r>
      <w:r w:rsidR="0025628E" w:rsidRPr="00851C82">
        <w:t xml:space="preserve">under a proportional hazards assumption using a </w:t>
      </w:r>
      <w:r w:rsidR="0025628E" w:rsidRPr="001079F5">
        <w:t>single OS HR</w:t>
      </w:r>
      <w:r w:rsidR="0025628E" w:rsidRPr="00851C82">
        <w:t xml:space="preserve"> from the unanchored MAIC.</w:t>
      </w:r>
      <w:r w:rsidR="0089794D" w:rsidRPr="00851C82" w:rsidDel="001079F5">
        <w:t xml:space="preserve"> </w:t>
      </w:r>
      <w:r w:rsidR="00B161A1" w:rsidRPr="00851C82">
        <w:t>I</w:t>
      </w:r>
      <w:r w:rsidRPr="00851C82">
        <w:t xml:space="preserve">n its November 2024 consideration of epcoritamab for 3L R/R DLBCL, the ESC advised that a 10-year time horizon was more appropriate than the 20-year time horizon used in the submission (paragraphs 6.68, 7.8, epcoritamab PSD, November 2024 PBAC Meeting). </w:t>
      </w:r>
      <w:r w:rsidR="000852AC" w:rsidRPr="00851C82">
        <w:t xml:space="preserve">The </w:t>
      </w:r>
      <w:r w:rsidR="00004FA6" w:rsidRPr="00851C82">
        <w:t xml:space="preserve">epcoritamab </w:t>
      </w:r>
      <w:r w:rsidR="000852AC" w:rsidRPr="00851C82">
        <w:t xml:space="preserve">pre-PBAC response </w:t>
      </w:r>
      <w:r w:rsidR="00E84A7F" w:rsidRPr="00851C82">
        <w:t>subsequently</w:t>
      </w:r>
      <w:r w:rsidR="00B161A1" w:rsidRPr="00851C82">
        <w:t xml:space="preserve"> </w:t>
      </w:r>
      <w:r w:rsidR="000852AC" w:rsidRPr="00851C82">
        <w:t xml:space="preserve">provided a </w:t>
      </w:r>
      <w:r w:rsidR="0025628E" w:rsidRPr="00851C82">
        <w:t>more conservative</w:t>
      </w:r>
      <w:r w:rsidR="00E84A7F" w:rsidRPr="00851C82">
        <w:t xml:space="preserve"> revised</w:t>
      </w:r>
      <w:r w:rsidR="0025628E" w:rsidRPr="00851C82">
        <w:t xml:space="preserve"> base </w:t>
      </w:r>
      <w:r w:rsidR="000852AC" w:rsidRPr="00851C82">
        <w:t>case</w:t>
      </w:r>
      <w:r w:rsidR="0089794D" w:rsidRPr="00851C82">
        <w:t>,</w:t>
      </w:r>
      <w:r w:rsidR="000852AC" w:rsidRPr="00851C82">
        <w:t xml:space="preserve"> </w:t>
      </w:r>
      <w:r w:rsidR="0025628E" w:rsidRPr="00851C82">
        <w:t xml:space="preserve">adjusting the estimated treatment benefit but </w:t>
      </w:r>
      <w:r w:rsidR="007B58C9" w:rsidRPr="00851C82">
        <w:t>retain</w:t>
      </w:r>
      <w:r w:rsidR="0089794D" w:rsidRPr="00851C82">
        <w:t>ing</w:t>
      </w:r>
      <w:r w:rsidR="007B58C9" w:rsidRPr="00851C82">
        <w:t xml:space="preserve"> the </w:t>
      </w:r>
      <w:r w:rsidR="000852AC" w:rsidRPr="00851C82">
        <w:t xml:space="preserve">20-year time horizon </w:t>
      </w:r>
      <w:r w:rsidR="007B58C9" w:rsidRPr="00851C82">
        <w:t xml:space="preserve">which was ultimately accepted by the PBAC </w:t>
      </w:r>
      <w:r w:rsidR="000852AC" w:rsidRPr="00851C82">
        <w:t xml:space="preserve">(paragraphs 6.77, 7.9, epcoritamab PSD, November 2024 PBAC Meeting). </w:t>
      </w:r>
      <w:r w:rsidRPr="00851C82">
        <w:t xml:space="preserve">The ICER was highly sensitive to the assumed time horizon. Reducing the time horizon to </w:t>
      </w:r>
      <w:r w:rsidR="0089794D" w:rsidRPr="00851C82">
        <w:t xml:space="preserve">20 and </w:t>
      </w:r>
      <w:r w:rsidRPr="00851C82">
        <w:t xml:space="preserve">10 years increased the ICER to </w:t>
      </w:r>
      <w:r w:rsidR="009F43F9" w:rsidRPr="009F43F9">
        <w:t>$95,000 to &lt; $115,000</w:t>
      </w:r>
      <w:r w:rsidR="005822E1">
        <w:t xml:space="preserve"> </w:t>
      </w:r>
      <w:r w:rsidR="0089794D" w:rsidRPr="00851C82">
        <w:t xml:space="preserve">and </w:t>
      </w:r>
      <w:r w:rsidR="00134F2C" w:rsidRPr="00134F2C">
        <w:t>$155,000 to &lt; $255,000</w:t>
      </w:r>
      <w:r w:rsidRPr="00851C82">
        <w:t xml:space="preserve"> </w:t>
      </w:r>
      <w:r w:rsidR="0089794D" w:rsidRPr="00851C82">
        <w:t>respectively</w:t>
      </w:r>
      <w:r w:rsidR="00E84A7F" w:rsidRPr="00851C82">
        <w:t>,</w:t>
      </w:r>
      <w:r w:rsidR="0089794D" w:rsidRPr="00851C82">
        <w:t xml:space="preserve"> </w:t>
      </w:r>
      <w:r w:rsidRPr="00851C82">
        <w:t xml:space="preserve">from an error-corrected base case of </w:t>
      </w:r>
      <w:r w:rsidR="00E6633B" w:rsidRPr="00E6633B">
        <w:t>$95,000 to &lt; $115,000</w:t>
      </w:r>
      <w:r w:rsidRPr="00851C82">
        <w:t xml:space="preserve"> per QALY gained.</w:t>
      </w:r>
      <w:bookmarkEnd w:id="57"/>
      <w:r w:rsidR="00734BB1">
        <w:t xml:space="preserve"> </w:t>
      </w:r>
      <w:r w:rsidR="00734BB1" w:rsidRPr="00D57480">
        <w:t xml:space="preserve">The PSCR argued that a 30-year time horizon was appropriate but acknowledged the uncertainty associated with long-term extrapolation and presented additional analyses that used shorter time horizons of 15 and 20 years. The </w:t>
      </w:r>
      <w:r w:rsidR="001672E9" w:rsidRPr="00D57480">
        <w:t>Sub-Committees</w:t>
      </w:r>
      <w:r w:rsidR="00734BB1" w:rsidRPr="00D57480">
        <w:t xml:space="preserve"> considered that a 15 year time horizon in the base case would be more appropriate and noted that </w:t>
      </w:r>
      <w:r w:rsidR="00335AF1" w:rsidRPr="00D57480">
        <w:t xml:space="preserve">a 15 year time horizon increased the ICER to </w:t>
      </w:r>
      <w:r w:rsidR="002E133B" w:rsidRPr="002E133B">
        <w:t>$115,000 to &lt; $135,000</w:t>
      </w:r>
      <w:r w:rsidR="00335AF1" w:rsidRPr="00D57480">
        <w:t xml:space="preserve"> per QALY gained</w:t>
      </w:r>
      <w:r w:rsidR="00AA7589" w:rsidRPr="00D57480">
        <w:t>.</w:t>
      </w:r>
      <w:r w:rsidR="00AA7589">
        <w:rPr>
          <w:i/>
          <w:iCs/>
        </w:rPr>
        <w:t xml:space="preserve"> </w:t>
      </w:r>
    </w:p>
    <w:p w14:paraId="24B49A64" w14:textId="060CA797" w:rsidR="002F0974" w:rsidRPr="00851C82" w:rsidRDefault="002F0974" w:rsidP="002F0974">
      <w:pPr>
        <w:pStyle w:val="3-BodyText"/>
        <w:numPr>
          <w:ilvl w:val="1"/>
          <w:numId w:val="1"/>
        </w:numPr>
      </w:pPr>
      <w:r w:rsidRPr="00851C82">
        <w:lastRenderedPageBreak/>
        <w:t xml:space="preserve">Based on the proportional hazards assumption, which was not violated based on the Schoenfeld test, the submission estimated OS, PFS and </w:t>
      </w:r>
      <w:proofErr w:type="spellStart"/>
      <w:r w:rsidRPr="00851C82">
        <w:t>ToT</w:t>
      </w:r>
      <w:proofErr w:type="spellEnd"/>
      <w:r w:rsidRPr="00851C82">
        <w:t xml:space="preserve"> for the comparator arm by applying the inverse of the MAIC-derived OS hazard ratio to the loncastuximab tesirine survival curves. The MAIC reported an adjusted OS HR of 0.66 (95%CI: 0.50-0.85; weighted bootstrap</w:t>
      </w:r>
      <w:r w:rsidR="00E84A7F" w:rsidRPr="00851C82">
        <w:t xml:space="preserve">, or 95%CI: 0.49-0.88 standard </w:t>
      </w:r>
      <w:r w:rsidR="00B35CBF" w:rsidRPr="00851C82">
        <w:t xml:space="preserve">weighting </w:t>
      </w:r>
      <w:r w:rsidR="00E84A7F" w:rsidRPr="00851C82">
        <w:t>method</w:t>
      </w:r>
      <w:r w:rsidRPr="00851C82">
        <w:t>) for loncastuximab tesirine versus chemoimmunotherapy; this was inverted to produce a HR of 1.515 for chemoimmunotherapy versus loncastuximab tesirine. The model was highly sensitive to the assumed HR; assuming a HR of 1.176 (i.e., inverse of HR=0.85, the upper 95% CI</w:t>
      </w:r>
      <w:r w:rsidR="00B35CBF" w:rsidRPr="00851C82">
        <w:t xml:space="preserve"> using weighted bootstrap</w:t>
      </w:r>
      <w:r w:rsidRPr="00851C82">
        <w:t xml:space="preserve">) instead of 1.515 increased the ICER to </w:t>
      </w:r>
      <w:r w:rsidR="006620CA" w:rsidRPr="006620CA">
        <w:t>$155,000 to &lt; $255,000</w:t>
      </w:r>
      <w:r w:rsidRPr="00851C82">
        <w:t xml:space="preserve"> from an error-corrected base case of </w:t>
      </w:r>
      <w:r w:rsidR="00666531" w:rsidRPr="00666531">
        <w:t>$95,000 to &lt; $115,000</w:t>
      </w:r>
      <w:r w:rsidRPr="00851C82">
        <w:t xml:space="preserve"> per QALY gained.</w:t>
      </w:r>
      <w:r w:rsidR="006824A5" w:rsidRPr="006824A5">
        <w:rPr>
          <w:rFonts w:ascii="Segoe UI" w:eastAsia="Times New Roman" w:hAnsi="Segoe UI" w:cs="Segoe UI"/>
          <w:i/>
          <w:iCs/>
          <w:sz w:val="18"/>
          <w:szCs w:val="18"/>
        </w:rPr>
        <w:t xml:space="preserve"> </w:t>
      </w:r>
      <w:r w:rsidR="006824A5" w:rsidRPr="00D57480">
        <w:t>The PSCR</w:t>
      </w:r>
      <w:r w:rsidR="005822E1">
        <w:t xml:space="preserve"> </w:t>
      </w:r>
      <w:r w:rsidR="006824A5" w:rsidRPr="00D57480">
        <w:t>stated that applying the OS HR was considered the best solution in the context of limited available evidence, avoiding the introduction of additional assumptions that could further bias results</w:t>
      </w:r>
      <w:r w:rsidR="003E7325" w:rsidRPr="00D57480">
        <w:t xml:space="preserve">. </w:t>
      </w:r>
      <w:r w:rsidRPr="00D57480">
        <w:t xml:space="preserve">The </w:t>
      </w:r>
      <w:r w:rsidR="00531DCE" w:rsidRPr="00D57480">
        <w:t xml:space="preserve">Sub-Committees agreed with the evaluation that the </w:t>
      </w:r>
      <w:r w:rsidRPr="00D57480">
        <w:t>high uncertainty of the comparative evidence from the MAIC represented a key uncertainty in the economic evaluation.</w:t>
      </w:r>
      <w:r w:rsidR="00013D05">
        <w:t xml:space="preserve"> </w:t>
      </w:r>
    </w:p>
    <w:p w14:paraId="3F93BB81" w14:textId="543073E7" w:rsidR="002F0974" w:rsidRPr="00D57480" w:rsidRDefault="002F0974" w:rsidP="002F0974">
      <w:pPr>
        <w:pStyle w:val="3-BodyText"/>
        <w:numPr>
          <w:ilvl w:val="1"/>
          <w:numId w:val="1"/>
        </w:numPr>
      </w:pPr>
      <w:r w:rsidRPr="00851C82">
        <w:t xml:space="preserve">The </w:t>
      </w:r>
      <w:r w:rsidR="00DB2659" w:rsidRPr="009D1527">
        <w:t xml:space="preserve">Sub-Committees </w:t>
      </w:r>
      <w:r w:rsidR="0061568C" w:rsidRPr="009D1527">
        <w:t>noted the</w:t>
      </w:r>
      <w:r w:rsidR="0061568C">
        <w:t xml:space="preserve"> </w:t>
      </w:r>
      <w:r w:rsidRPr="00851C82">
        <w:t>HR for OS was also applied to PFS and time-on-treatment (</w:t>
      </w:r>
      <w:proofErr w:type="spellStart"/>
      <w:r w:rsidRPr="00851C82">
        <w:t>ToT</w:t>
      </w:r>
      <w:proofErr w:type="spellEnd"/>
      <w:r w:rsidRPr="00851C82">
        <w:t xml:space="preserve">), as chemoimmunotherapy PFS or </w:t>
      </w:r>
      <w:proofErr w:type="spellStart"/>
      <w:r w:rsidRPr="00851C82">
        <w:t>ToT</w:t>
      </w:r>
      <w:proofErr w:type="spellEnd"/>
      <w:r w:rsidRPr="00851C82">
        <w:t xml:space="preserve"> outcomes were not reported by the CORAL extension studies. </w:t>
      </w:r>
      <w:r w:rsidR="00535861" w:rsidRPr="00D57480">
        <w:t xml:space="preserve">The Sub-Committees agreed with the evaluation that </w:t>
      </w:r>
      <w:r w:rsidRPr="00D57480">
        <w:t xml:space="preserve">this approach was problematic for several reasons: </w:t>
      </w:r>
    </w:p>
    <w:p w14:paraId="218D2127" w14:textId="77777777" w:rsidR="002F0974" w:rsidRPr="00851C82" w:rsidRDefault="002F0974" w:rsidP="002A3163">
      <w:pPr>
        <w:pStyle w:val="3-BodyText"/>
        <w:numPr>
          <w:ilvl w:val="0"/>
          <w:numId w:val="17"/>
        </w:numPr>
        <w:ind w:left="993" w:hanging="142"/>
      </w:pPr>
      <w:r w:rsidRPr="00851C82">
        <w:rPr>
          <w:rFonts w:cstheme="minorHAnsi"/>
          <w:b/>
          <w:bCs/>
        </w:rPr>
        <w:t>PFS:</w:t>
      </w:r>
      <w:r w:rsidRPr="00851C82">
        <w:rPr>
          <w:rFonts w:cstheme="minorHAnsi"/>
        </w:rPr>
        <w:t xml:space="preserve"> The relationship between OS and PFS is unlikely to be constant across treatment arms. For example, the </w:t>
      </w:r>
      <w:r w:rsidRPr="00851C82">
        <w:rPr>
          <w:rFonts w:ascii="Calibri" w:hAnsi="Calibri" w:cs="Calibri"/>
        </w:rPr>
        <w:t xml:space="preserve">STARGLO trial of </w:t>
      </w:r>
      <w:r w:rsidRPr="00851C82">
        <w:t>glofitamab in combination with gemcitabine plus oxaliplatin (Glofit-GemOx) showed that PFS: OS ratio was 1.13 for the treatment arm compared to 1.04 for the comparator arm of rituximab-</w:t>
      </w:r>
      <w:proofErr w:type="spellStart"/>
      <w:r w:rsidRPr="00851C82">
        <w:t>GemOx</w:t>
      </w:r>
      <w:proofErr w:type="spellEnd"/>
      <w:r w:rsidRPr="00851C82">
        <w:t xml:space="preserve"> (Table 4, </w:t>
      </w:r>
      <w:proofErr w:type="spellStart"/>
      <w:r w:rsidRPr="00851C82">
        <w:t>glofitamab</w:t>
      </w:r>
      <w:proofErr w:type="spellEnd"/>
      <w:r w:rsidRPr="00851C82">
        <w:t xml:space="preserve"> PSD, July 2025 PBAC Meeting). Applying the OS HR to PFS, therefore, risks misrepresenting comparative disease control</w:t>
      </w:r>
      <w:r w:rsidRPr="00851C82">
        <w:rPr>
          <w:rFonts w:ascii="Calibri" w:hAnsi="Calibri" w:cs="Calibri"/>
        </w:rPr>
        <w:t xml:space="preserve">. </w:t>
      </w:r>
    </w:p>
    <w:p w14:paraId="03755512" w14:textId="63FD846E" w:rsidR="00327BF7" w:rsidRDefault="002F0974" w:rsidP="002A3163">
      <w:pPr>
        <w:pStyle w:val="3-BodyText"/>
        <w:numPr>
          <w:ilvl w:val="0"/>
          <w:numId w:val="17"/>
        </w:numPr>
        <w:ind w:left="993" w:hanging="142"/>
      </w:pPr>
      <w:proofErr w:type="spellStart"/>
      <w:r w:rsidRPr="00851C82">
        <w:rPr>
          <w:b/>
          <w:bCs/>
        </w:rPr>
        <w:t>ToT</w:t>
      </w:r>
      <w:proofErr w:type="spellEnd"/>
      <w:r w:rsidRPr="00851C82">
        <w:rPr>
          <w:b/>
          <w:bCs/>
        </w:rPr>
        <w:t>:</w:t>
      </w:r>
      <w:r w:rsidRPr="00851C82">
        <w:t xml:space="preserve"> It is also unlikely that the </w:t>
      </w:r>
      <w:proofErr w:type="spellStart"/>
      <w:r w:rsidRPr="00851C82">
        <w:t>ToT</w:t>
      </w:r>
      <w:proofErr w:type="spellEnd"/>
      <w:r w:rsidRPr="00851C82">
        <w:t xml:space="preserve"> curve for chemoimmunotherapy would follow the shape of the </w:t>
      </w:r>
      <w:proofErr w:type="spellStart"/>
      <w:r w:rsidRPr="00851C82">
        <w:t>ToT</w:t>
      </w:r>
      <w:proofErr w:type="spellEnd"/>
      <w:r w:rsidRPr="00851C82">
        <w:t xml:space="preserve"> curve for </w:t>
      </w:r>
      <w:proofErr w:type="spellStart"/>
      <w:r w:rsidRPr="00851C82">
        <w:t>loncastuximab</w:t>
      </w:r>
      <w:proofErr w:type="spellEnd"/>
      <w:r w:rsidRPr="00851C82">
        <w:t xml:space="preserve"> tesirine, given the distinct mechanisms of action, </w:t>
      </w:r>
      <w:r w:rsidRPr="00851C82">
        <w:rPr>
          <w:rFonts w:cstheme="minorHAnsi"/>
        </w:rPr>
        <w:t>toxicity</w:t>
      </w:r>
      <w:r w:rsidRPr="00851C82">
        <w:t xml:space="preserve"> profiles, and treatment delivery patterns. A sensitivity analysis conducted during the evaluation, </w:t>
      </w:r>
      <w:proofErr w:type="gramStart"/>
      <w:r w:rsidRPr="00851C82">
        <w:t>assuming that</w:t>
      </w:r>
      <w:proofErr w:type="gramEnd"/>
      <w:r w:rsidRPr="00851C82">
        <w:t xml:space="preserve"> 100% of patients in the comparator arm received three cycles of R-ICE, reduced the ICER to </w:t>
      </w:r>
      <w:r w:rsidR="00495EB9" w:rsidRPr="00495EB9">
        <w:t>$75,000 to &lt; $95,000</w:t>
      </w:r>
      <w:r w:rsidRPr="00851C82">
        <w:t xml:space="preserve"> from an error-corrected base case of </w:t>
      </w:r>
      <w:r w:rsidR="00C07B0B" w:rsidRPr="00C07B0B">
        <w:t>$95,000 to &lt; $115,000</w:t>
      </w:r>
      <w:r w:rsidR="005822E1">
        <w:t xml:space="preserve"> </w:t>
      </w:r>
      <w:r w:rsidRPr="00851C82">
        <w:t>per QALY gained.</w:t>
      </w:r>
    </w:p>
    <w:p w14:paraId="721D66B8" w14:textId="237617D9" w:rsidR="0039469E" w:rsidRPr="00D57480" w:rsidRDefault="00B46A87" w:rsidP="00FB0D6F">
      <w:pPr>
        <w:pStyle w:val="3-BodyText"/>
        <w:numPr>
          <w:ilvl w:val="0"/>
          <w:numId w:val="0"/>
        </w:numPr>
        <w:ind w:left="680"/>
      </w:pPr>
      <w:r w:rsidRPr="00D57480">
        <w:t>Th</w:t>
      </w:r>
      <w:r w:rsidR="00D903C5" w:rsidRPr="00D57480">
        <w:t>e</w:t>
      </w:r>
      <w:r w:rsidRPr="00D57480">
        <w:t xml:space="preserve"> </w:t>
      </w:r>
      <w:r w:rsidR="000412A0" w:rsidRPr="00D57480">
        <w:t xml:space="preserve">Sub-Committees </w:t>
      </w:r>
      <w:r w:rsidR="006C734D" w:rsidRPr="00D57480">
        <w:t xml:space="preserve">considered </w:t>
      </w:r>
      <w:r w:rsidR="003D6C4C" w:rsidRPr="00D57480">
        <w:t xml:space="preserve">that </w:t>
      </w:r>
      <w:r w:rsidR="00F74519" w:rsidRPr="00D57480">
        <w:t xml:space="preserve">the </w:t>
      </w:r>
      <w:r w:rsidR="004D3EB1" w:rsidRPr="00D57480">
        <w:t>model’s</w:t>
      </w:r>
      <w:r w:rsidR="00F74519" w:rsidRPr="00D57480">
        <w:t xml:space="preserve"> </w:t>
      </w:r>
      <w:r w:rsidR="00C94E74" w:rsidRPr="00D57480">
        <w:t xml:space="preserve">reliance on </w:t>
      </w:r>
      <w:r w:rsidR="00CD2B6C" w:rsidRPr="00D57480">
        <w:t xml:space="preserve">a </w:t>
      </w:r>
      <w:r w:rsidRPr="00D57480">
        <w:t xml:space="preserve">single HR </w:t>
      </w:r>
      <w:r w:rsidR="00DE3591" w:rsidRPr="00D57480">
        <w:t xml:space="preserve">to </w:t>
      </w:r>
      <w:r w:rsidRPr="00D57480">
        <w:t xml:space="preserve">determine all curves in the comparator arm (OS, PFS and </w:t>
      </w:r>
      <w:proofErr w:type="spellStart"/>
      <w:r w:rsidRPr="00D57480">
        <w:t>ToT</w:t>
      </w:r>
      <w:proofErr w:type="spellEnd"/>
      <w:r w:rsidRPr="00D57480">
        <w:t>)</w:t>
      </w:r>
      <w:r w:rsidR="00DE3591" w:rsidRPr="00D57480">
        <w:t xml:space="preserve"> </w:t>
      </w:r>
      <w:r w:rsidR="00A951F3" w:rsidRPr="00D57480">
        <w:t xml:space="preserve">resulted in a </w:t>
      </w:r>
      <w:r w:rsidR="007B4C9D" w:rsidRPr="00D57480">
        <w:t>high degree of uncertainty in the modelled estimates</w:t>
      </w:r>
      <w:r w:rsidR="00B631B4" w:rsidRPr="00D57480">
        <w:t xml:space="preserve">. The Sub-Committees noted that </w:t>
      </w:r>
      <w:r w:rsidR="002D3674" w:rsidRPr="00D57480">
        <w:t xml:space="preserve">an alternative approach may be </w:t>
      </w:r>
      <w:r w:rsidR="00B22771" w:rsidRPr="00D57480">
        <w:t xml:space="preserve">to directly extrapolate </w:t>
      </w:r>
      <w:r w:rsidR="00B460E1" w:rsidRPr="00D57480">
        <w:t xml:space="preserve">the OS </w:t>
      </w:r>
      <w:r w:rsidR="00B22771" w:rsidRPr="00D57480">
        <w:t>CORAL data</w:t>
      </w:r>
      <w:r w:rsidR="00EF3556" w:rsidRPr="00D57480">
        <w:t>,</w:t>
      </w:r>
      <w:r w:rsidR="00B22771" w:rsidRPr="00D57480">
        <w:t xml:space="preserve"> as was undertaken in the </w:t>
      </w:r>
      <w:r w:rsidR="009F4CD4" w:rsidRPr="00D57480">
        <w:t>assessment of loncastuximab tesirine by NICE</w:t>
      </w:r>
      <w:r w:rsidR="00F87498" w:rsidRPr="00D57480">
        <w:t xml:space="preserve"> (TA947)</w:t>
      </w:r>
      <w:r w:rsidRPr="00D57480">
        <w:t>.</w:t>
      </w:r>
      <w:r w:rsidR="00F00717" w:rsidRPr="00D57480">
        <w:t xml:space="preserve"> However, the Sub-Committee</w:t>
      </w:r>
      <w:r w:rsidR="00D903C5" w:rsidRPr="00D57480">
        <w:t>s</w:t>
      </w:r>
      <w:r w:rsidR="00F00717" w:rsidRPr="00D57480">
        <w:t xml:space="preserve"> considered </w:t>
      </w:r>
      <w:r w:rsidR="00D5539B" w:rsidRPr="00D57480">
        <w:t xml:space="preserve">that such an approach would </w:t>
      </w:r>
      <w:r w:rsidR="005F039C" w:rsidRPr="00D57480">
        <w:t xml:space="preserve">likely constitute complex changes to the </w:t>
      </w:r>
      <w:r w:rsidR="00434382" w:rsidRPr="00D57480">
        <w:t xml:space="preserve">economic model </w:t>
      </w:r>
      <w:r w:rsidR="00920033" w:rsidRPr="00D57480">
        <w:t xml:space="preserve">that would </w:t>
      </w:r>
      <w:r w:rsidR="00D5539B" w:rsidRPr="00D57480">
        <w:t>require re-evaluation</w:t>
      </w:r>
      <w:r w:rsidR="00492F21" w:rsidRPr="00D57480">
        <w:t xml:space="preserve">. </w:t>
      </w:r>
      <w:r w:rsidR="00302231" w:rsidRPr="00D57480">
        <w:t>The Committee</w:t>
      </w:r>
      <w:r w:rsidR="00317305" w:rsidRPr="00D57480">
        <w:t>s</w:t>
      </w:r>
      <w:r w:rsidR="00302231" w:rsidRPr="00D57480">
        <w:t xml:space="preserve"> also noted </w:t>
      </w:r>
      <w:r w:rsidR="00313725" w:rsidRPr="00D57480">
        <w:t>that uncertainty associated with</w:t>
      </w:r>
      <w:r w:rsidR="00E44E43" w:rsidRPr="00D57480">
        <w:t xml:space="preserve"> the</w:t>
      </w:r>
      <w:r w:rsidR="00313725" w:rsidRPr="00D57480">
        <w:t xml:space="preserve"> </w:t>
      </w:r>
      <w:r w:rsidR="004923AA" w:rsidRPr="00D57480">
        <w:t xml:space="preserve">use of single arm data and </w:t>
      </w:r>
      <w:r w:rsidR="00E44E43" w:rsidRPr="00D57480">
        <w:t xml:space="preserve">the lack of </w:t>
      </w:r>
      <w:r w:rsidR="00E217B5" w:rsidRPr="00D57480">
        <w:t xml:space="preserve">PFS and </w:t>
      </w:r>
      <w:proofErr w:type="spellStart"/>
      <w:r w:rsidR="00E217B5" w:rsidRPr="00D57480">
        <w:t>ToT</w:t>
      </w:r>
      <w:proofErr w:type="spellEnd"/>
      <w:r w:rsidR="00E217B5" w:rsidRPr="00D57480">
        <w:t xml:space="preserve"> data for the comparator arm remained.</w:t>
      </w:r>
    </w:p>
    <w:p w14:paraId="5A81CA2C" w14:textId="16287682" w:rsidR="002F0974" w:rsidRPr="00851C82" w:rsidRDefault="00FD6F84" w:rsidP="00FD6F84">
      <w:pPr>
        <w:pStyle w:val="Caption"/>
        <w:rPr>
          <w:rStyle w:val="CommentReference"/>
          <w:b/>
          <w:bCs w:val="0"/>
        </w:rPr>
      </w:pPr>
      <w:r>
        <w:lastRenderedPageBreak/>
        <w:t xml:space="preserve">Figure </w:t>
      </w:r>
      <w:fldSimple w:instr=" SEQ Figure \* ARABIC ">
        <w:r w:rsidR="00FF73F1">
          <w:rPr>
            <w:noProof/>
          </w:rPr>
          <w:t>6</w:t>
        </w:r>
      </w:fldSimple>
      <w:r w:rsidR="002F0974" w:rsidRPr="00851C82">
        <w:rPr>
          <w:rStyle w:val="CommentReference"/>
          <w:b/>
          <w:bCs w:val="0"/>
        </w:rPr>
        <w:t xml:space="preserve">: Extrapolations of OS, PFS and </w:t>
      </w:r>
      <w:proofErr w:type="spellStart"/>
      <w:r w:rsidR="002F0974" w:rsidRPr="00851C82">
        <w:rPr>
          <w:rStyle w:val="CommentReference"/>
          <w:b/>
          <w:bCs w:val="0"/>
        </w:rPr>
        <w:t>ToT</w:t>
      </w:r>
      <w:proofErr w:type="spellEnd"/>
      <w:r w:rsidR="002F0974" w:rsidRPr="00851C82">
        <w:rPr>
          <w:rStyle w:val="CommentReference"/>
          <w:b/>
          <w:bCs w:val="0"/>
        </w:rPr>
        <w:t xml:space="preserve"> for </w:t>
      </w:r>
      <w:proofErr w:type="spellStart"/>
      <w:r w:rsidR="002F0974" w:rsidRPr="00851C82">
        <w:rPr>
          <w:rStyle w:val="CommentReference"/>
          <w:b/>
          <w:bCs w:val="0"/>
        </w:rPr>
        <w:t>loncastuximab</w:t>
      </w:r>
      <w:proofErr w:type="spellEnd"/>
      <w:r w:rsidR="002F0974" w:rsidRPr="00851C82">
        <w:rPr>
          <w:rStyle w:val="CommentReference"/>
          <w:b/>
          <w:bCs w:val="0"/>
        </w:rPr>
        <w:t xml:space="preserve"> </w:t>
      </w:r>
      <w:proofErr w:type="spellStart"/>
      <w:r w:rsidR="002F0974" w:rsidRPr="00851C82">
        <w:rPr>
          <w:rStyle w:val="CommentReference"/>
          <w:b/>
          <w:bCs w:val="0"/>
        </w:rPr>
        <w:t>tesirine</w:t>
      </w:r>
      <w:proofErr w:type="spellEnd"/>
      <w:r w:rsidR="002F0974" w:rsidRPr="00851C82">
        <w:rPr>
          <w:rStyle w:val="CommentReference"/>
          <w:b/>
          <w:bCs w:val="0"/>
        </w:rPr>
        <w:t xml:space="preserve"> arm in the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5"/>
      </w:tblGrid>
      <w:tr w:rsidR="002F0974" w:rsidRPr="00851C82" w14:paraId="7588AA57" w14:textId="77777777">
        <w:tc>
          <w:tcPr>
            <w:tcW w:w="5086" w:type="dxa"/>
          </w:tcPr>
          <w:p w14:paraId="4035D971" w14:textId="77777777" w:rsidR="002F0974" w:rsidRPr="00851C82" w:rsidRDefault="002F0974">
            <w:pPr>
              <w:pStyle w:val="TableFigureHeading"/>
              <w:keepLines/>
              <w:ind w:left="709"/>
              <w:rPr>
                <w:rStyle w:val="CommentReference"/>
                <w:b/>
                <w:szCs w:val="24"/>
              </w:rPr>
            </w:pPr>
            <w:r w:rsidRPr="00851C82">
              <w:rPr>
                <w:rStyle w:val="CommentReference"/>
                <w:b/>
                <w:szCs w:val="24"/>
              </w:rPr>
              <w:t>OS</w:t>
            </w:r>
          </w:p>
          <w:p w14:paraId="6CE3AD9F" w14:textId="77777777" w:rsidR="002F0974" w:rsidRPr="00851C82" w:rsidRDefault="002F0974">
            <w:pPr>
              <w:pStyle w:val="TableFigureHeading"/>
              <w:keepLines/>
              <w:ind w:left="709"/>
              <w:rPr>
                <w:rStyle w:val="CommentReference"/>
                <w:b/>
                <w:szCs w:val="24"/>
              </w:rPr>
            </w:pPr>
            <w:r w:rsidRPr="00851C82">
              <w:rPr>
                <w:noProof/>
                <w:color w:val="3366FF"/>
              </w:rPr>
              <w:drawing>
                <wp:inline distT="0" distB="0" distL="0" distR="0" wp14:anchorId="3954C4FA" wp14:editId="47FBE0F4">
                  <wp:extent cx="3828442" cy="1820848"/>
                  <wp:effectExtent l="0" t="0" r="635" b="8255"/>
                  <wp:docPr id="25" name="Picture 6" descr="Figure 6: Extrapolations of OS, PFS and ToT for loncastuximab tesirine arm in the model.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 descr="Figure 6: Extrapolations of OS, PFS and ToT for loncastuximab tesirine arm in the model. OS"/>
                          <pic:cNvPicPr>
                            <a:picLocks noChangeAspect="1" noChangeArrowheads="1"/>
                          </pic:cNvPicPr>
                        </pic:nvPicPr>
                        <pic:blipFill>
                          <a:blip r:embed="rId21">
                            <a:extLst>
                              <a:ext uri="{BEBA8EAE-BF5A-486C-A8C5-ECC9F3942E4B}">
                                <a14:imgProps xmlns:a14="http://schemas.microsoft.com/office/drawing/2010/main">
                                  <a14:imgLayer r:embed="rId22">
                                    <a14:imgEffect>
                                      <a14:sharpenSoften amount="-8000"/>
                                    </a14:imgEffect>
                                    <a14:imgEffect>
                                      <a14:brightnessContrast contrast="-29000"/>
                                    </a14:imgEffect>
                                  </a14:imgLayer>
                                </a14:imgProps>
                              </a:ext>
                              <a:ext uri="{28A0092B-C50C-407E-A947-70E740481C1C}">
                                <a14:useLocalDpi xmlns:a14="http://schemas.microsoft.com/office/drawing/2010/main" val="0"/>
                              </a:ext>
                            </a:extLst>
                          </a:blip>
                          <a:srcRect/>
                          <a:stretch>
                            <a:fillRect/>
                          </a:stretch>
                        </pic:blipFill>
                        <pic:spPr bwMode="auto">
                          <a:xfrm>
                            <a:off x="0" y="0"/>
                            <a:ext cx="3876491" cy="1843701"/>
                          </a:xfrm>
                          <a:prstGeom prst="rect">
                            <a:avLst/>
                          </a:prstGeom>
                          <a:noFill/>
                        </pic:spPr>
                      </pic:pic>
                    </a:graphicData>
                  </a:graphic>
                </wp:inline>
              </w:drawing>
            </w:r>
          </w:p>
        </w:tc>
      </w:tr>
      <w:tr w:rsidR="002F0974" w:rsidRPr="00851C82" w14:paraId="19227D33" w14:textId="77777777">
        <w:tc>
          <w:tcPr>
            <w:tcW w:w="5086" w:type="dxa"/>
          </w:tcPr>
          <w:p w14:paraId="16FBB5EE" w14:textId="77777777" w:rsidR="002F0974" w:rsidRPr="00851C82" w:rsidRDefault="002F0974">
            <w:pPr>
              <w:pStyle w:val="TableFigureHeading"/>
              <w:keepLines/>
              <w:ind w:left="709"/>
              <w:rPr>
                <w:rStyle w:val="CommentReference"/>
                <w:b/>
                <w:szCs w:val="24"/>
              </w:rPr>
            </w:pPr>
            <w:r w:rsidRPr="00851C82">
              <w:rPr>
                <w:rStyle w:val="CommentReference"/>
                <w:b/>
                <w:szCs w:val="24"/>
              </w:rPr>
              <w:t>PFS</w:t>
            </w:r>
          </w:p>
          <w:p w14:paraId="517F3BB5" w14:textId="77777777" w:rsidR="002F0974" w:rsidRPr="00851C82" w:rsidRDefault="002F0974">
            <w:pPr>
              <w:pStyle w:val="TableFigureHeading"/>
              <w:keepLines/>
              <w:ind w:left="709"/>
              <w:rPr>
                <w:rStyle w:val="CommentReference"/>
                <w:b/>
                <w:szCs w:val="24"/>
              </w:rPr>
            </w:pPr>
            <w:r w:rsidRPr="00851C82">
              <w:rPr>
                <w:noProof/>
                <w:color w:val="3366FF"/>
              </w:rPr>
              <w:drawing>
                <wp:inline distT="0" distB="0" distL="0" distR="0" wp14:anchorId="457B7C80" wp14:editId="0B457C03">
                  <wp:extent cx="3848431" cy="2020810"/>
                  <wp:effectExtent l="0" t="0" r="0" b="0"/>
                  <wp:docPr id="26" name="Picture 26" descr="Figure 6: Extrapolations of OS, PFS and ToT for loncastuximab tesirine arm in the model. 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Figure 6: Extrapolations of OS, PFS and ToT for loncastuximab tesirine arm in the model. PF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93432" cy="2044440"/>
                          </a:xfrm>
                          <a:prstGeom prst="rect">
                            <a:avLst/>
                          </a:prstGeom>
                          <a:noFill/>
                        </pic:spPr>
                      </pic:pic>
                    </a:graphicData>
                  </a:graphic>
                </wp:inline>
              </w:drawing>
            </w:r>
          </w:p>
        </w:tc>
      </w:tr>
      <w:tr w:rsidR="002F0974" w:rsidRPr="00851C82" w14:paraId="15D22E55" w14:textId="77777777">
        <w:tc>
          <w:tcPr>
            <w:tcW w:w="5086" w:type="dxa"/>
          </w:tcPr>
          <w:p w14:paraId="5B29DD53" w14:textId="77777777" w:rsidR="002F0974" w:rsidRPr="00851C82" w:rsidRDefault="002F0974">
            <w:pPr>
              <w:pStyle w:val="TableFigureHeading"/>
              <w:keepLines/>
              <w:ind w:left="709"/>
              <w:rPr>
                <w:noProof/>
              </w:rPr>
            </w:pPr>
            <w:r w:rsidRPr="00851C82">
              <w:rPr>
                <w:noProof/>
              </w:rPr>
              <w:t>ToT</w:t>
            </w:r>
          </w:p>
          <w:p w14:paraId="701CA426" w14:textId="77777777" w:rsidR="002F0974" w:rsidRPr="00851C82" w:rsidRDefault="002F0974">
            <w:pPr>
              <w:pStyle w:val="TableFigureHeading"/>
              <w:keepLines/>
              <w:ind w:left="709"/>
              <w:rPr>
                <w:rStyle w:val="CommentReference"/>
                <w:b/>
                <w:szCs w:val="24"/>
              </w:rPr>
            </w:pPr>
            <w:r w:rsidRPr="00851C82">
              <w:rPr>
                <w:noProof/>
              </w:rPr>
              <w:drawing>
                <wp:inline distT="0" distB="0" distL="0" distR="0" wp14:anchorId="75DA0357" wp14:editId="566067FA">
                  <wp:extent cx="3821102" cy="2162755"/>
                  <wp:effectExtent l="0" t="0" r="8255" b="9525"/>
                  <wp:docPr id="27" name="Picture 27" descr="Figure 6: Extrapolations of OS, PFS and ToT for loncastuximab tesirine arm in the model. T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gure 6: Extrapolations of OS, PFS and ToT for loncastuximab tesirine arm in the model. To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86126" cy="2199559"/>
                          </a:xfrm>
                          <a:prstGeom prst="rect">
                            <a:avLst/>
                          </a:prstGeom>
                          <a:noFill/>
                        </pic:spPr>
                      </pic:pic>
                    </a:graphicData>
                  </a:graphic>
                </wp:inline>
              </w:drawing>
            </w:r>
          </w:p>
        </w:tc>
      </w:tr>
    </w:tbl>
    <w:p w14:paraId="3B483557" w14:textId="77777777" w:rsidR="002F0974" w:rsidRPr="00851C82" w:rsidRDefault="002F0974" w:rsidP="002F0974">
      <w:pPr>
        <w:pStyle w:val="TableFigureFooter"/>
      </w:pPr>
      <w:r w:rsidRPr="00851C82">
        <w:t>Source: Constructed during the evaluation, based on data from Attachment 3.1 cost effectiveness model EXCEL file.</w:t>
      </w:r>
    </w:p>
    <w:p w14:paraId="5C3328DD" w14:textId="77777777" w:rsidR="002F0974" w:rsidRPr="00851C82" w:rsidRDefault="002F0974" w:rsidP="002F0974">
      <w:pPr>
        <w:pStyle w:val="TableFigureFooter"/>
        <w:rPr>
          <w:b/>
          <w:bCs w:val="0"/>
          <w:color w:val="0066FF"/>
        </w:rPr>
      </w:pPr>
      <w:r w:rsidRPr="00851C82">
        <w:t xml:space="preserve">OS = overall survival; PFS = progression-free survival; </w:t>
      </w:r>
      <w:proofErr w:type="spellStart"/>
      <w:r w:rsidRPr="00851C82">
        <w:t>ToT</w:t>
      </w:r>
      <w:proofErr w:type="spellEnd"/>
      <w:r w:rsidRPr="00851C82">
        <w:t xml:space="preserve"> = time on treatment; Tx = treatment.</w:t>
      </w:r>
    </w:p>
    <w:p w14:paraId="31B39375" w14:textId="77777777" w:rsidR="002F0974" w:rsidRPr="00851C82" w:rsidRDefault="002F0974" w:rsidP="002F0974">
      <w:pPr>
        <w:pStyle w:val="3-BodyText"/>
        <w:numPr>
          <w:ilvl w:val="1"/>
          <w:numId w:val="1"/>
        </w:numPr>
      </w:pPr>
      <w:r w:rsidRPr="00851C82">
        <w:t xml:space="preserve">The Gompertz function was selected in the base case for OS, PFS and </w:t>
      </w:r>
      <w:proofErr w:type="spellStart"/>
      <w:r w:rsidRPr="00851C82">
        <w:t>ToT</w:t>
      </w:r>
      <w:proofErr w:type="spellEnd"/>
      <w:r w:rsidRPr="00851C82">
        <w:t xml:space="preserve"> extrapolations. </w:t>
      </w:r>
    </w:p>
    <w:p w14:paraId="512CBBEE" w14:textId="56EE4574" w:rsidR="002F0974" w:rsidRPr="00851C82" w:rsidRDefault="002F0974" w:rsidP="002F0974">
      <w:pPr>
        <w:pStyle w:val="3-BodyText"/>
        <w:numPr>
          <w:ilvl w:val="1"/>
          <w:numId w:val="1"/>
        </w:numPr>
      </w:pPr>
      <w:r w:rsidRPr="00851C82">
        <w:t xml:space="preserve">For the OS curve, although the Gompertz distribution reported the lowest AIC/BIC values, visual inspection of </w:t>
      </w:r>
      <w:r w:rsidRPr="00851C82">
        <w:rPr>
          <w:highlight w:val="yellow"/>
        </w:rPr>
        <w:fldChar w:fldCharType="begin"/>
      </w:r>
      <w:r w:rsidRPr="00851C82">
        <w:instrText xml:space="preserve"> REF _Ref218762599 \h </w:instrText>
      </w:r>
      <w:r w:rsidRPr="00851C82">
        <w:rPr>
          <w:highlight w:val="yellow"/>
        </w:rPr>
        <w:instrText xml:space="preserve"> \* MERGEFORMAT </w:instrText>
      </w:r>
      <w:r w:rsidRPr="00851C82">
        <w:rPr>
          <w:highlight w:val="yellow"/>
        </w:rPr>
      </w:r>
      <w:r w:rsidRPr="00851C82">
        <w:rPr>
          <w:highlight w:val="yellow"/>
        </w:rPr>
        <w:fldChar w:fldCharType="separate"/>
      </w:r>
      <w:r w:rsidR="007D33FD" w:rsidRPr="00851C82">
        <w:t>Figure 7</w:t>
      </w:r>
      <w:r w:rsidRPr="00851C82">
        <w:rPr>
          <w:highlight w:val="yellow"/>
        </w:rPr>
        <w:fldChar w:fldCharType="end"/>
      </w:r>
      <w:r w:rsidRPr="00851C82">
        <w:t xml:space="preserve"> indicated that none of the parametric functions provided a good fit for the LOTIS-2 OS KM data, particularly beyond month 10, and the Gompertz function noticeably overestimated survival after this point. Hazard plots </w:t>
      </w:r>
      <w:r w:rsidRPr="00851C82">
        <w:lastRenderedPageBreak/>
        <w:t>were not provided in the submission to assist with assessing the underlying hazard. However, because the Gompertz distribution allows only monotonically increasing or decreasing hazards, its hazard pattern did not appear consistent with a cure assumption. In contrast, log-normal, log-logistic or generalised gamma distributions would have allowed hazards to change direction over time. The plateau seen in the Gompertz model may be overly optimistic, and the generalised gamma, log-normal or log-logistic models may represent a more realistic scenario.</w:t>
      </w:r>
    </w:p>
    <w:p w14:paraId="3C327DCA" w14:textId="3B476443" w:rsidR="002F0974" w:rsidRPr="00851C82" w:rsidRDefault="002F0974" w:rsidP="002F0974">
      <w:pPr>
        <w:pStyle w:val="3-BodyText"/>
        <w:numPr>
          <w:ilvl w:val="1"/>
          <w:numId w:val="1"/>
        </w:numPr>
      </w:pPr>
      <w:r w:rsidRPr="00851C82">
        <w:t xml:space="preserve">For the PFS curve, the Gompertz distribution was selected based on visual fit to the KM data from LOTIS-2 and its perceived clinical plausibility, noting the “flattened” tail of the Gompertz curve aligned with the observed plateau in PFS. Although the generalised gamma function provided the best statistical fit, the submission considered the Gompertz function to be more clinically appropriate. </w:t>
      </w:r>
      <w:r w:rsidRPr="00851C82">
        <w:fldChar w:fldCharType="begin"/>
      </w:r>
      <w:r w:rsidRPr="00851C82">
        <w:instrText xml:space="preserve"> REF _Ref218762599 \h  \* MERGEFORMAT </w:instrText>
      </w:r>
      <w:r w:rsidRPr="00851C82">
        <w:fldChar w:fldCharType="separate"/>
      </w:r>
      <w:r w:rsidR="007D33FD" w:rsidRPr="00851C82">
        <w:t xml:space="preserve">Figure </w:t>
      </w:r>
      <w:r w:rsidR="00A47A73">
        <w:t>6</w:t>
      </w:r>
      <w:r w:rsidRPr="00851C82">
        <w:fldChar w:fldCharType="end"/>
      </w:r>
      <w:r w:rsidRPr="00851C82">
        <w:t xml:space="preserve"> showed that differences between the Gompertz function and generalised gamma curves arose primarily in the tail section between 20 and 40 months. As with OS, the Gompertz distribution imposes a strictly monotonic hazard (i.e., always increasing or always decreasing), which may not align with a cure assumption. This consideration is also relevant when selecting an appropriate distribution for PFS. </w:t>
      </w:r>
    </w:p>
    <w:p w14:paraId="7A011317" w14:textId="795C4227" w:rsidR="002F0974" w:rsidRPr="00D57480" w:rsidRDefault="009B0039" w:rsidP="00074C48">
      <w:pPr>
        <w:pStyle w:val="3-BodyText"/>
        <w:numPr>
          <w:ilvl w:val="1"/>
          <w:numId w:val="1"/>
        </w:numPr>
        <w:rPr>
          <w:color w:val="0066FF"/>
        </w:rPr>
      </w:pPr>
      <w:r w:rsidRPr="00D57480">
        <w:t xml:space="preserve">The </w:t>
      </w:r>
      <w:r w:rsidR="00A2708A" w:rsidRPr="00D57480">
        <w:t xml:space="preserve">Sub-Committees noted the </w:t>
      </w:r>
      <w:r w:rsidRPr="00D57480">
        <w:t xml:space="preserve">ICER in the submitted model was very sensitive to the choice of parametric functions. </w:t>
      </w:r>
      <w:r w:rsidR="00B53120" w:rsidRPr="00D57480">
        <w:t>However, a</w:t>
      </w:r>
      <w:r w:rsidR="00AE604C" w:rsidRPr="00D57480">
        <w:t xml:space="preserve">s outlined in paragraph </w:t>
      </w:r>
      <w:r w:rsidR="00AE604C" w:rsidRPr="00D57480">
        <w:fldChar w:fldCharType="begin"/>
      </w:r>
      <w:r w:rsidR="00AE604C" w:rsidRPr="00D57480">
        <w:instrText xml:space="preserve"> REF _Ref219218278 \r \h </w:instrText>
      </w:r>
      <w:r w:rsidR="00851C82" w:rsidRPr="00D57480">
        <w:instrText xml:space="preserve"> \* MERGEFORMAT </w:instrText>
      </w:r>
      <w:r w:rsidR="00AE604C" w:rsidRPr="00D57480">
        <w:fldChar w:fldCharType="separate"/>
      </w:r>
      <w:r w:rsidR="008C4274">
        <w:t>6.57</w:t>
      </w:r>
      <w:r w:rsidR="00AE604C" w:rsidRPr="00D57480">
        <w:fldChar w:fldCharType="end"/>
      </w:r>
      <w:r w:rsidR="00AE604C" w:rsidRPr="00D57480">
        <w:t xml:space="preserve">, </w:t>
      </w:r>
      <w:r w:rsidR="00F047E3" w:rsidRPr="00D57480">
        <w:t xml:space="preserve">the model’s treatment of </w:t>
      </w:r>
      <w:r w:rsidR="00B05566" w:rsidRPr="00D57480">
        <w:t xml:space="preserve">cure was inconsistent with </w:t>
      </w:r>
      <w:r w:rsidR="008B4399" w:rsidRPr="00D57480">
        <w:t>the submission</w:t>
      </w:r>
      <w:r w:rsidR="009648B9" w:rsidRPr="00D57480">
        <w:t>’s</w:t>
      </w:r>
      <w:r w:rsidR="008B4399" w:rsidRPr="00D57480">
        <w:t xml:space="preserve"> claim </w:t>
      </w:r>
      <w:r w:rsidR="00BC6BF8" w:rsidRPr="00D57480">
        <w:t xml:space="preserve">that cured patients returned to general-population </w:t>
      </w:r>
      <w:r w:rsidR="000D6555" w:rsidRPr="00D57480">
        <w:t xml:space="preserve">mortality. </w:t>
      </w:r>
      <w:r w:rsidR="00AB1093" w:rsidRPr="00D57480">
        <w:t>T</w:t>
      </w:r>
      <w:r w:rsidR="002F0974" w:rsidRPr="00D57480">
        <w:t xml:space="preserve">he </w:t>
      </w:r>
      <w:r w:rsidR="00AC6DF2" w:rsidRPr="00D57480">
        <w:t xml:space="preserve">Sub-Committees noted the </w:t>
      </w:r>
      <w:r w:rsidR="002F0974" w:rsidRPr="00D57480">
        <w:t>evaluation constructed an analysis which</w:t>
      </w:r>
      <w:r w:rsidR="00DE47D7" w:rsidRPr="00D57480">
        <w:t xml:space="preserve"> corrected this</w:t>
      </w:r>
      <w:r w:rsidR="00173D64" w:rsidRPr="00D57480">
        <w:t>,</w:t>
      </w:r>
      <w:r w:rsidR="008168F0" w:rsidRPr="00D57480">
        <w:t xml:space="preserve"> </w:t>
      </w:r>
      <w:r w:rsidR="0051433D" w:rsidRPr="00D57480">
        <w:t xml:space="preserve">with PF patients </w:t>
      </w:r>
      <w:r w:rsidR="009518B5" w:rsidRPr="00D57480">
        <w:t xml:space="preserve">modified so they follow background mortality after </w:t>
      </w:r>
      <w:r w:rsidR="00F1173E" w:rsidRPr="00D57480">
        <w:t xml:space="preserve">2 years (see </w:t>
      </w:r>
      <w:r w:rsidR="0024242A" w:rsidRPr="00D57480">
        <w:fldChar w:fldCharType="begin"/>
      </w:r>
      <w:r w:rsidR="0024242A" w:rsidRPr="00D57480">
        <w:instrText xml:space="preserve"> REF _Ref219128872 \h  \* MERGEFORMAT </w:instrText>
      </w:r>
      <w:r w:rsidR="0024242A" w:rsidRPr="00D57480">
        <w:fldChar w:fldCharType="separate"/>
      </w:r>
      <w:r w:rsidR="007D33FD" w:rsidRPr="00D57480">
        <w:t>Table 16</w:t>
      </w:r>
      <w:r w:rsidR="0024242A" w:rsidRPr="00D57480">
        <w:fldChar w:fldCharType="end"/>
      </w:r>
      <w:r w:rsidR="0024242A" w:rsidRPr="00D57480">
        <w:t xml:space="preserve">). </w:t>
      </w:r>
      <w:r w:rsidR="009F0D52" w:rsidRPr="00D57480">
        <w:t xml:space="preserve">Acknowledging </w:t>
      </w:r>
      <w:r w:rsidR="002F0974" w:rsidRPr="00D57480">
        <w:t>t</w:t>
      </w:r>
      <w:r w:rsidR="002F0974" w:rsidRPr="00D57480">
        <w:rPr>
          <w:rFonts w:cs="Calibri"/>
        </w:rPr>
        <w:t xml:space="preserve">he model structure (partitioned survival analysis) limited a full exploration of </w:t>
      </w:r>
      <w:r w:rsidR="002F0974" w:rsidRPr="00D57480">
        <w:rPr>
          <w:rFonts w:cstheme="minorHAnsi"/>
        </w:rPr>
        <w:t>cure and mortality</w:t>
      </w:r>
      <w:r w:rsidR="00074C48" w:rsidRPr="00D57480">
        <w:rPr>
          <w:rFonts w:cstheme="minorHAnsi"/>
        </w:rPr>
        <w:t>,</w:t>
      </w:r>
      <w:r w:rsidR="002F0974" w:rsidRPr="00D57480">
        <w:rPr>
          <w:rFonts w:cstheme="minorHAnsi"/>
        </w:rPr>
        <w:t xml:space="preserve"> </w:t>
      </w:r>
      <w:bookmarkStart w:id="58" w:name="_Ref219219377"/>
      <w:r w:rsidR="00446ED8" w:rsidRPr="00D57480">
        <w:rPr>
          <w:rFonts w:cstheme="minorHAnsi"/>
        </w:rPr>
        <w:t>the Sub-</w:t>
      </w:r>
      <w:r w:rsidR="004E584E" w:rsidRPr="00D57480">
        <w:rPr>
          <w:rFonts w:cstheme="minorHAnsi"/>
        </w:rPr>
        <w:t>Committees</w:t>
      </w:r>
      <w:r w:rsidR="00446ED8" w:rsidRPr="00D57480">
        <w:rPr>
          <w:rFonts w:cstheme="minorHAnsi"/>
        </w:rPr>
        <w:t xml:space="preserve"> noted that </w:t>
      </w:r>
      <w:r w:rsidR="00074C48" w:rsidRPr="00D57480">
        <w:t>when</w:t>
      </w:r>
      <w:r w:rsidR="002F0974" w:rsidRPr="00D57480">
        <w:t xml:space="preserve"> the cure assumption was applied as intended</w:t>
      </w:r>
      <w:r w:rsidR="00B64151" w:rsidRPr="00D57480">
        <w:t>,</w:t>
      </w:r>
      <w:r w:rsidR="00E32F24" w:rsidRPr="00D57480">
        <w:t xml:space="preserve"> </w:t>
      </w:r>
      <w:r w:rsidR="002F0974" w:rsidRPr="00D57480">
        <w:t xml:space="preserve">the sensitivity of the ICER to the selected parametric functions was substantially reduced. </w:t>
      </w:r>
      <w:r w:rsidR="003F64AE" w:rsidRPr="00D57480">
        <w:t>The Sub-Committees</w:t>
      </w:r>
      <w:r w:rsidR="004E584E" w:rsidRPr="00D57480">
        <w:t xml:space="preserve"> agreed with</w:t>
      </w:r>
      <w:r w:rsidR="005C74FC" w:rsidRPr="00D57480">
        <w:t xml:space="preserve"> the evaluation </w:t>
      </w:r>
      <w:r w:rsidR="008147E0" w:rsidRPr="00D57480">
        <w:t>t</w:t>
      </w:r>
      <w:r w:rsidR="008C3FC1" w:rsidRPr="00D57480">
        <w:t>hat for</w:t>
      </w:r>
      <w:r w:rsidR="002F0974" w:rsidRPr="00D57480" w:rsidDel="008C3FC1">
        <w:t xml:space="preserve"> this reason</w:t>
      </w:r>
      <w:r w:rsidR="002F0974" w:rsidRPr="00D57480">
        <w:t xml:space="preserve">, </w:t>
      </w:r>
      <w:r w:rsidR="002C5455" w:rsidRPr="00D57480">
        <w:t xml:space="preserve">it was appropriate to exclude </w:t>
      </w:r>
      <w:r w:rsidR="002F0974" w:rsidRPr="00D57480">
        <w:t xml:space="preserve">extrapolations </w:t>
      </w:r>
      <w:r w:rsidR="004908FB" w:rsidRPr="00D57480">
        <w:t>from the</w:t>
      </w:r>
      <w:r w:rsidR="00485B75" w:rsidRPr="00D57480">
        <w:t xml:space="preserve"> </w:t>
      </w:r>
      <w:r w:rsidR="002F0974" w:rsidRPr="00D57480">
        <w:t xml:space="preserve">key model drivers in </w:t>
      </w:r>
      <w:r w:rsidR="002F0974" w:rsidRPr="00D57480">
        <w:fldChar w:fldCharType="begin"/>
      </w:r>
      <w:r w:rsidR="002F0974" w:rsidRPr="00D57480">
        <w:instrText xml:space="preserve"> REF _Ref218773062 \h  \* MERGEFORMAT </w:instrText>
      </w:r>
      <w:r w:rsidR="002F0974" w:rsidRPr="00D57480">
        <w:fldChar w:fldCharType="separate"/>
      </w:r>
      <w:r w:rsidR="007D33FD" w:rsidRPr="00D57480">
        <w:t xml:space="preserve">Table </w:t>
      </w:r>
      <w:r w:rsidR="007D33FD" w:rsidRPr="00D57480">
        <w:rPr>
          <w:noProof/>
        </w:rPr>
        <w:t>14</w:t>
      </w:r>
      <w:r w:rsidR="002F0974" w:rsidRPr="00D57480">
        <w:fldChar w:fldCharType="end"/>
      </w:r>
      <w:r w:rsidR="002F0974" w:rsidRPr="00D57480">
        <w:t>.</w:t>
      </w:r>
      <w:bookmarkEnd w:id="58"/>
    </w:p>
    <w:p w14:paraId="16464016" w14:textId="7BCEE2A7" w:rsidR="002F0974" w:rsidRPr="00D57480" w:rsidRDefault="00E73C8B" w:rsidP="00301773">
      <w:pPr>
        <w:pStyle w:val="3-BodyText"/>
        <w:numPr>
          <w:ilvl w:val="1"/>
          <w:numId w:val="1"/>
        </w:numPr>
        <w:rPr>
          <w:color w:val="0066FF"/>
        </w:rPr>
      </w:pPr>
      <w:r w:rsidRPr="00D57480">
        <w:t>Health state utilities for PF and PD were estimated from the EQ-5D-5L data reported in the LOTIS-2 study. These EQ-5D-5L data were mapped to EQ-5D-3L utility index scores using UK country weights</w:t>
      </w:r>
      <w:bookmarkStart w:id="59" w:name="_Ref219218259"/>
      <w:r w:rsidR="00D641D3" w:rsidRPr="00D57480">
        <w:t>.</w:t>
      </w:r>
      <w:r w:rsidR="00D641D3" w:rsidRPr="00D57480">
        <w:rPr>
          <w:color w:val="0066FF"/>
        </w:rPr>
        <w:t xml:space="preserve"> </w:t>
      </w:r>
      <w:r w:rsidR="002F0974" w:rsidRPr="00D57480">
        <w:t xml:space="preserve">For cured patients, the model assumed a utility of 0.88, sourced from Australian EQ-5D-5L population norm utility for the 65-74 age cohort from Redwood 2024. </w:t>
      </w:r>
      <w:r w:rsidR="00C377DA" w:rsidRPr="00D57480">
        <w:t>T</w:t>
      </w:r>
      <w:r w:rsidR="000112BD" w:rsidRPr="00D57480">
        <w:t xml:space="preserve">he Sub-Committees noted the mismatch between the utilities used in the </w:t>
      </w:r>
      <w:r w:rsidR="00B365BC" w:rsidRPr="00D57480">
        <w:t>PF</w:t>
      </w:r>
      <w:r w:rsidR="000112BD" w:rsidRPr="00D57480">
        <w:t xml:space="preserve"> and </w:t>
      </w:r>
      <w:r w:rsidR="00F518AB" w:rsidRPr="00D57480">
        <w:t>PD</w:t>
      </w:r>
      <w:r w:rsidR="000112BD" w:rsidRPr="00D57480">
        <w:t xml:space="preserve"> using UK preference weights, whereas the cure health state used utility values with Australian preference weights. The Sub-Committees noted that UK preference weights tend to underestimate those using Australian preference weights. A sensitivity analysis was undertaken testing a 10% increase in utility values for the progression free and progressed disease health states decreased the ICER from an error-corrected base case of </w:t>
      </w:r>
      <w:r w:rsidR="00846F1C" w:rsidRPr="00846F1C">
        <w:t>$95,000 to &lt; $115,000</w:t>
      </w:r>
      <w:r w:rsidR="005822E1">
        <w:t xml:space="preserve"> </w:t>
      </w:r>
      <w:r w:rsidR="000112BD" w:rsidRPr="00D57480">
        <w:t xml:space="preserve">per QALY gained to </w:t>
      </w:r>
      <w:r w:rsidR="0038333E" w:rsidRPr="0038333E">
        <w:t>$75,000 to &lt; $95,000</w:t>
      </w:r>
      <w:r w:rsidR="000112BD" w:rsidRPr="00D57480">
        <w:t xml:space="preserve"> per QALY gained</w:t>
      </w:r>
      <w:r w:rsidR="009A7E7C" w:rsidRPr="00D57480">
        <w:t xml:space="preserve">. </w:t>
      </w:r>
      <w:r w:rsidR="00BC120B" w:rsidRPr="00D57480">
        <w:t xml:space="preserve">Separately, the Sub-Committees noted that </w:t>
      </w:r>
      <w:r w:rsidR="00D00896" w:rsidRPr="00D57480">
        <w:t>t</w:t>
      </w:r>
      <w:r w:rsidR="002F0974" w:rsidRPr="00D57480">
        <w:t xml:space="preserve">he ICER increased </w:t>
      </w:r>
      <w:r w:rsidR="00913480" w:rsidRPr="00D57480">
        <w:t xml:space="preserve">by approximately </w:t>
      </w:r>
      <w:r w:rsidR="005822E1" w:rsidRPr="005822E1">
        <w:rPr>
          <w:sz w:val="2"/>
          <w:highlight w:val="black"/>
        </w:rPr>
        <w:t>redacted content</w:t>
      </w:r>
      <w:r w:rsidR="00913480" w:rsidRPr="00D57480">
        <w:t xml:space="preserve">% </w:t>
      </w:r>
      <w:r w:rsidR="002F0974" w:rsidRPr="00D57480">
        <w:t xml:space="preserve">to </w:t>
      </w:r>
      <w:r w:rsidR="00EE19F6" w:rsidRPr="00EE19F6">
        <w:t>$95,000 to &lt; $115,000</w:t>
      </w:r>
      <w:r w:rsidR="00D07018" w:rsidRPr="00D57480">
        <w:t xml:space="preserve"> </w:t>
      </w:r>
      <w:r w:rsidR="002F0974" w:rsidRPr="00D57480">
        <w:t xml:space="preserve">from an error-corrected base case of </w:t>
      </w:r>
      <w:r w:rsidR="00EE19F6" w:rsidRPr="00EE19F6">
        <w:t>$95,000 to &lt; $115,000</w:t>
      </w:r>
      <w:r w:rsidR="002F0974" w:rsidRPr="00D57480">
        <w:t xml:space="preserve"> per QALY gained, when the utility value of ‘cure’ was decreased</w:t>
      </w:r>
      <w:r w:rsidR="00913480" w:rsidRPr="00D57480">
        <w:t xml:space="preserve"> by 10% </w:t>
      </w:r>
      <w:r w:rsidR="002F0974" w:rsidRPr="00D57480">
        <w:t xml:space="preserve">from 0.88 </w:t>
      </w:r>
      <w:r w:rsidR="00B35CBF" w:rsidRPr="00D57480">
        <w:t>to</w:t>
      </w:r>
      <w:r w:rsidR="00213A25" w:rsidRPr="00D57480">
        <w:t xml:space="preserve"> 0.79</w:t>
      </w:r>
      <w:r w:rsidR="002F0974" w:rsidRPr="00D57480">
        <w:t>.</w:t>
      </w:r>
      <w:bookmarkEnd w:id="59"/>
    </w:p>
    <w:p w14:paraId="6A5EAE32" w14:textId="3A2DC382" w:rsidR="002F0974" w:rsidRPr="00D57480" w:rsidRDefault="002F0974" w:rsidP="00773B33">
      <w:pPr>
        <w:pStyle w:val="3-BodyText"/>
        <w:numPr>
          <w:ilvl w:val="1"/>
          <w:numId w:val="1"/>
        </w:numPr>
        <w:rPr>
          <w:rFonts w:ascii="Calibri" w:hAnsi="Calibri" w:cs="Calibri"/>
          <w:color w:val="0066FF"/>
          <w:szCs w:val="24"/>
        </w:rPr>
      </w:pPr>
      <w:bookmarkStart w:id="60" w:name="_Ref219220029"/>
      <w:r w:rsidRPr="00851C82">
        <w:rPr>
          <w:rFonts w:cs="Calibri"/>
        </w:rPr>
        <w:lastRenderedPageBreak/>
        <w:t xml:space="preserve">A more appropriate approach to cost R-ICE in the model may be to assume a fixed treatment duration of 3 cycles for all patients in the comparator arm, rather than using the </w:t>
      </w:r>
      <w:proofErr w:type="spellStart"/>
      <w:r w:rsidRPr="00851C82">
        <w:rPr>
          <w:rFonts w:cs="Calibri"/>
        </w:rPr>
        <w:t>ToT</w:t>
      </w:r>
      <w:proofErr w:type="spellEnd"/>
      <w:r w:rsidRPr="00851C82">
        <w:rPr>
          <w:rFonts w:cs="Calibri"/>
        </w:rPr>
        <w:t xml:space="preserve"> curve for the comparator arm as done in the model.</w:t>
      </w:r>
      <w:bookmarkEnd w:id="60"/>
      <w:r w:rsidRPr="00851C82">
        <w:rPr>
          <w:rFonts w:cs="Calibri"/>
        </w:rPr>
        <w:t xml:space="preserve"> </w:t>
      </w:r>
      <w:r w:rsidR="00773B33" w:rsidRPr="00851C82">
        <w:rPr>
          <w:rFonts w:cs="Calibri"/>
        </w:rPr>
        <w:t>Another issue with costing R-ICE in the model was that the model erroneously applied 4 treatment cycles as the maximum duration of R-ICE treatment despite assuming a maximum treatment duration of 9 weeks, equating to 3 treatment cycles.</w:t>
      </w:r>
      <w:r w:rsidR="00EC22C8">
        <w:rPr>
          <w:rFonts w:cs="Calibri"/>
        </w:rPr>
        <w:t xml:space="preserve"> </w:t>
      </w:r>
      <w:r w:rsidR="00EC22C8" w:rsidRPr="00D57480">
        <w:rPr>
          <w:rFonts w:cs="Calibri"/>
        </w:rPr>
        <w:t xml:space="preserve">The Sub-Committees </w:t>
      </w:r>
      <w:r w:rsidR="00005FC9" w:rsidRPr="00D57480">
        <w:rPr>
          <w:rFonts w:cs="Calibri"/>
        </w:rPr>
        <w:t xml:space="preserve">agreed with the evaluation that it would be </w:t>
      </w:r>
      <w:r w:rsidR="00F97A36" w:rsidRPr="00D57480">
        <w:rPr>
          <w:rFonts w:cs="Calibri"/>
        </w:rPr>
        <w:t xml:space="preserve">appropriate to assume </w:t>
      </w:r>
      <w:r w:rsidR="00802E3B" w:rsidRPr="00D57480">
        <w:rPr>
          <w:rFonts w:cs="Calibri"/>
        </w:rPr>
        <w:t xml:space="preserve">100% of patients in the comparator arm received R-ICE for </w:t>
      </w:r>
      <w:r w:rsidR="004A07EA" w:rsidRPr="00D57480">
        <w:rPr>
          <w:rFonts w:cs="Calibri"/>
        </w:rPr>
        <w:t xml:space="preserve">3 cycles </w:t>
      </w:r>
      <w:r w:rsidR="00AC3690" w:rsidRPr="00D57480">
        <w:rPr>
          <w:rFonts w:cs="Calibri"/>
        </w:rPr>
        <w:t xml:space="preserve">and noted that this </w:t>
      </w:r>
      <w:r w:rsidR="00A7372B" w:rsidRPr="00D57480">
        <w:rPr>
          <w:rFonts w:cs="Calibri"/>
        </w:rPr>
        <w:t>decreased the</w:t>
      </w:r>
      <w:r w:rsidR="00F51697" w:rsidRPr="00D57480">
        <w:rPr>
          <w:rFonts w:cs="Calibri"/>
        </w:rPr>
        <w:t xml:space="preserve"> ICER</w:t>
      </w:r>
      <w:r w:rsidR="00EB2558" w:rsidRPr="00D57480">
        <w:rPr>
          <w:rFonts w:cs="Calibri"/>
        </w:rPr>
        <w:t xml:space="preserve"> </w:t>
      </w:r>
      <w:r w:rsidR="00D75410" w:rsidRPr="00D57480">
        <w:rPr>
          <w:rFonts w:cs="Calibri"/>
        </w:rPr>
        <w:t xml:space="preserve">from an error-corrected base case of </w:t>
      </w:r>
      <w:r w:rsidR="00B4394F" w:rsidRPr="00B4394F">
        <w:rPr>
          <w:rFonts w:cs="Calibri"/>
        </w:rPr>
        <w:t>$95,000 to &lt; $115,000</w:t>
      </w:r>
      <w:r w:rsidR="00D75410" w:rsidRPr="00D57480">
        <w:rPr>
          <w:rFonts w:cs="Calibri"/>
        </w:rPr>
        <w:t xml:space="preserve"> per QALY gained to </w:t>
      </w:r>
      <w:r w:rsidR="002070BE" w:rsidRPr="002070BE">
        <w:t>$75,000 to &lt; $95,000</w:t>
      </w:r>
      <w:r w:rsidR="003A6C94" w:rsidRPr="00D57480">
        <w:t xml:space="preserve"> per </w:t>
      </w:r>
      <w:r w:rsidR="00F6089B" w:rsidRPr="00D57480">
        <w:t>QALY gained.</w:t>
      </w:r>
    </w:p>
    <w:p w14:paraId="4D4D9858" w14:textId="3482A9DB" w:rsidR="002F0974" w:rsidRPr="00851C82" w:rsidRDefault="002F0974" w:rsidP="002F0974">
      <w:pPr>
        <w:pStyle w:val="3-BodyText"/>
        <w:numPr>
          <w:ilvl w:val="1"/>
          <w:numId w:val="1"/>
        </w:numPr>
        <w:rPr>
          <w:color w:val="0066FF"/>
        </w:rPr>
      </w:pPr>
      <w:r w:rsidRPr="00851C82">
        <w:t>Model Markov traces are presente</w:t>
      </w:r>
      <w:r w:rsidRPr="00851C82">
        <w:rPr>
          <w:lang w:eastAsia="en-US"/>
        </w:rPr>
        <w:t xml:space="preserve">d in </w:t>
      </w:r>
      <w:r w:rsidRPr="00851C82">
        <w:rPr>
          <w:lang w:eastAsia="en-US"/>
        </w:rPr>
        <w:fldChar w:fldCharType="begin"/>
      </w:r>
      <w:r w:rsidRPr="00851C82">
        <w:rPr>
          <w:lang w:eastAsia="en-US"/>
        </w:rPr>
        <w:instrText xml:space="preserve"> REF _Ref218762848 \h </w:instrText>
      </w:r>
      <w:r w:rsidR="00851C82" w:rsidRPr="00851C82">
        <w:rPr>
          <w:lang w:eastAsia="en-US"/>
        </w:rPr>
        <w:instrText xml:space="preserve"> \* MERGEFORMAT </w:instrText>
      </w:r>
      <w:r w:rsidRPr="00851C82">
        <w:rPr>
          <w:lang w:eastAsia="en-US"/>
        </w:rPr>
      </w:r>
      <w:r w:rsidRPr="00851C82">
        <w:rPr>
          <w:lang w:eastAsia="en-US"/>
        </w:rPr>
        <w:fldChar w:fldCharType="separate"/>
      </w:r>
      <w:r w:rsidR="007D33FD" w:rsidRPr="00851C82">
        <w:t xml:space="preserve">Figure </w:t>
      </w:r>
      <w:r w:rsidR="00A47A73">
        <w:t>7</w:t>
      </w:r>
      <w:r w:rsidRPr="00851C82">
        <w:rPr>
          <w:lang w:eastAsia="en-US"/>
        </w:rPr>
        <w:fldChar w:fldCharType="end"/>
      </w:r>
      <w:r w:rsidRPr="00851C82">
        <w:rPr>
          <w:lang w:eastAsia="en-US"/>
        </w:rPr>
        <w:t xml:space="preserve">, for the base case analysis. </w:t>
      </w:r>
    </w:p>
    <w:p w14:paraId="34DA3C30" w14:textId="2A313651" w:rsidR="002F0974" w:rsidRPr="00851C82" w:rsidRDefault="00FF73F1" w:rsidP="00FF73F1">
      <w:pPr>
        <w:pStyle w:val="Caption"/>
      </w:pPr>
      <w:r>
        <w:t xml:space="preserve">Figure </w:t>
      </w:r>
      <w:fldSimple w:instr=" SEQ Figure \* ARABIC ">
        <w:r>
          <w:rPr>
            <w:noProof/>
          </w:rPr>
          <w:t>7</w:t>
        </w:r>
      </w:fldSimple>
      <w:r w:rsidR="002F0974" w:rsidRPr="00851C82">
        <w:t>:</w:t>
      </w:r>
      <w:r w:rsidR="0009691B">
        <w:t xml:space="preserve"> </w:t>
      </w:r>
      <w:r w:rsidR="002F0974" w:rsidRPr="00851C82">
        <w:rPr>
          <w:bCs w:val="0"/>
          <w:snapToGrid w:val="0"/>
          <w:szCs w:val="20"/>
          <w:lang w:eastAsia="en-US"/>
        </w:rPr>
        <w:t>Markov traces – base case in submission</w:t>
      </w:r>
    </w:p>
    <w:p w14:paraId="3343DD92" w14:textId="77777777" w:rsidR="002F0974" w:rsidRPr="00851C82" w:rsidRDefault="002F0974" w:rsidP="002F0974">
      <w:r w:rsidRPr="00851C82">
        <w:rPr>
          <w:noProof/>
        </w:rPr>
        <w:drawing>
          <wp:inline distT="0" distB="0" distL="0" distR="0" wp14:anchorId="091E452D" wp14:editId="019C91A3">
            <wp:extent cx="5581650" cy="4477051"/>
            <wp:effectExtent l="0" t="0" r="0" b="0"/>
            <wp:docPr id="28" name="Picture 28" descr="Figure 7: Markov traces – base case in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igure 7: Markov traces – base case in submiss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06053" cy="4496624"/>
                    </a:xfrm>
                    <a:prstGeom prst="rect">
                      <a:avLst/>
                    </a:prstGeom>
                    <a:noFill/>
                  </pic:spPr>
                </pic:pic>
              </a:graphicData>
            </a:graphic>
          </wp:inline>
        </w:drawing>
      </w:r>
    </w:p>
    <w:p w14:paraId="4D98059A" w14:textId="77777777" w:rsidR="002F0974" w:rsidRPr="00892CF4" w:rsidRDefault="002F0974" w:rsidP="002F0974">
      <w:pPr>
        <w:rPr>
          <w:rFonts w:ascii="Arial Narrow" w:hAnsi="Arial Narrow"/>
          <w:sz w:val="18"/>
          <w:szCs w:val="18"/>
        </w:rPr>
      </w:pPr>
      <w:r w:rsidRPr="00892CF4">
        <w:rPr>
          <w:rFonts w:ascii="Arial Narrow" w:hAnsi="Arial Narrow"/>
          <w:sz w:val="18"/>
          <w:szCs w:val="18"/>
        </w:rPr>
        <w:t>Source: constructed during the evaluation based on Figures 3-6 to 3-7, pp.127-128 of the submission and the submitted EXCEL economic model.</w:t>
      </w:r>
    </w:p>
    <w:p w14:paraId="5C1BBD6F" w14:textId="77777777" w:rsidR="002F0974" w:rsidRPr="00892CF4" w:rsidRDefault="002F0974" w:rsidP="002F0974">
      <w:pPr>
        <w:rPr>
          <w:rFonts w:ascii="Arial Narrow" w:hAnsi="Arial Narrow"/>
          <w:sz w:val="18"/>
          <w:szCs w:val="18"/>
        </w:rPr>
      </w:pPr>
      <w:r w:rsidRPr="00892CF4">
        <w:rPr>
          <w:rFonts w:ascii="Arial Narrow" w:hAnsi="Arial Narrow"/>
          <w:sz w:val="18"/>
          <w:szCs w:val="18"/>
        </w:rPr>
        <w:t>PD= progressive disease; PF = progression-free.</w:t>
      </w:r>
    </w:p>
    <w:p w14:paraId="2F3F3905" w14:textId="62C1C846" w:rsidR="002F0974" w:rsidRPr="00851C82" w:rsidRDefault="002F0974" w:rsidP="002F0974">
      <w:pPr>
        <w:pStyle w:val="3-BodyText"/>
        <w:numPr>
          <w:ilvl w:val="1"/>
          <w:numId w:val="1"/>
        </w:numPr>
        <w:rPr>
          <w:color w:val="0066FF"/>
        </w:rPr>
      </w:pPr>
      <w:r w:rsidRPr="00851C82">
        <w:t xml:space="preserve">Approximately 28% and 15% of patients in the loncastuximab tesirine and comparator arms were estimated to have remained progression-free at 2 years in the model. At 2 years, approximately 71% of patients in the loncastuximab tesirine arm and 85% of patients in the comparator arm were estimated to have died. At 10 years, approximately 75% and 88% of patients in the loncastuximab tesirine and comparator </w:t>
      </w:r>
      <w:r w:rsidRPr="00851C82">
        <w:lastRenderedPageBreak/>
        <w:t>arms have died, respectively.</w:t>
      </w:r>
      <w:r w:rsidR="0009691B">
        <w:t xml:space="preserve"> </w:t>
      </w:r>
      <w:r w:rsidRPr="00851C82">
        <w:t>By 30 years, these proportions increased to 94% and 97% in the two arms, respectively.</w:t>
      </w:r>
    </w:p>
    <w:p w14:paraId="277B4BA9" w14:textId="77777777" w:rsidR="002F0974" w:rsidRPr="00851C82" w:rsidRDefault="002F0974" w:rsidP="002F0974">
      <w:pPr>
        <w:pStyle w:val="3-BodyText"/>
        <w:numPr>
          <w:ilvl w:val="1"/>
          <w:numId w:val="1"/>
        </w:numPr>
        <w:rPr>
          <w:color w:val="0066FF"/>
        </w:rPr>
      </w:pPr>
      <w:r w:rsidRPr="00851C82">
        <w:t xml:space="preserve">A naïve “unadjusted” comparison of OS data from LOTIS-2 (including those who underwent 4L and further lines of therapy) versus </w:t>
      </w:r>
      <w:proofErr w:type="spellStart"/>
      <w:r w:rsidRPr="00851C82">
        <w:t>LaRDR</w:t>
      </w:r>
      <w:proofErr w:type="spellEnd"/>
      <w:r w:rsidRPr="00851C82">
        <w:t xml:space="preserve"> data from Wellard 2025 (including those who received CAR-T and bispecific therapies) conducted during the evaluation showed that the OS of loncastuximab tesirine patients from the model based on LOTIS-2 patients was similar to that of </w:t>
      </w:r>
      <w:proofErr w:type="spellStart"/>
      <w:r w:rsidRPr="00851C82">
        <w:t>LaRDR</w:t>
      </w:r>
      <w:proofErr w:type="spellEnd"/>
      <w:r w:rsidRPr="00851C82">
        <w:t xml:space="preserve"> patients. Although Wellard 2025 did not report outcomes for the subgroup of patients treated with salvage chemotherapy, such data would be available in </w:t>
      </w:r>
      <w:proofErr w:type="spellStart"/>
      <w:r w:rsidRPr="00851C82">
        <w:t>LaRDR</w:t>
      </w:r>
      <w:proofErr w:type="spellEnd"/>
      <w:r w:rsidRPr="00851C82">
        <w:t xml:space="preserve"> to provide a comparison of the likely effectiveness of loncastuximab tesirine in contemporary Australian clinical practice. </w:t>
      </w:r>
    </w:p>
    <w:p w14:paraId="401259E0" w14:textId="6CBEB7A8" w:rsidR="002F0974" w:rsidRPr="00851C82" w:rsidRDefault="002F0974" w:rsidP="002F0974">
      <w:pPr>
        <w:pStyle w:val="3-BodyText"/>
        <w:numPr>
          <w:ilvl w:val="1"/>
          <w:numId w:val="1"/>
        </w:numPr>
        <w:rPr>
          <w:color w:val="0066FF"/>
        </w:rPr>
      </w:pPr>
      <w:r w:rsidRPr="00851C82">
        <w:fldChar w:fldCharType="begin"/>
      </w:r>
      <w:r w:rsidRPr="00851C82">
        <w:instrText xml:space="preserve"> REF _Ref218763377 \h </w:instrText>
      </w:r>
      <w:r w:rsidR="00851C82" w:rsidRPr="00851C82">
        <w:instrText xml:space="preserve"> \* MERGEFORMAT </w:instrText>
      </w:r>
      <w:r w:rsidRPr="00851C82">
        <w:fldChar w:fldCharType="separate"/>
      </w:r>
      <w:r w:rsidR="007D33FD" w:rsidRPr="00851C82">
        <w:t xml:space="preserve">Table </w:t>
      </w:r>
      <w:r w:rsidR="007D33FD" w:rsidRPr="00851C82">
        <w:rPr>
          <w:noProof/>
        </w:rPr>
        <w:t>13</w:t>
      </w:r>
      <w:r w:rsidRPr="00851C82">
        <w:fldChar w:fldCharType="end"/>
      </w:r>
      <w:r w:rsidRPr="00851C82">
        <w:t xml:space="preserve"> </w:t>
      </w:r>
      <w:r w:rsidRPr="00851C82">
        <w:rPr>
          <w:lang w:eastAsia="en-US"/>
        </w:rPr>
        <w:t>presents the disaggregated summary of costs from the economic evaluation.</w:t>
      </w:r>
    </w:p>
    <w:p w14:paraId="1B0ECB28" w14:textId="51AA3EAC" w:rsidR="002F0974" w:rsidRPr="00851C82" w:rsidRDefault="002F0974" w:rsidP="002F0974">
      <w:pPr>
        <w:pStyle w:val="Caption"/>
      </w:pPr>
      <w:bookmarkStart w:id="61" w:name="_Ref218763377"/>
      <w:r w:rsidRPr="00851C82">
        <w:t xml:space="preserve">Table </w:t>
      </w:r>
      <w:r w:rsidRPr="00851C82">
        <w:fldChar w:fldCharType="begin"/>
      </w:r>
      <w:r w:rsidRPr="00851C82">
        <w:instrText>SEQ Table \* ARABIC</w:instrText>
      </w:r>
      <w:r w:rsidRPr="00851C82">
        <w:fldChar w:fldCharType="separate"/>
      </w:r>
      <w:r w:rsidR="007D33FD" w:rsidRPr="00851C82">
        <w:rPr>
          <w:noProof/>
        </w:rPr>
        <w:t>13</w:t>
      </w:r>
      <w:r w:rsidRPr="00851C82">
        <w:fldChar w:fldCharType="end"/>
      </w:r>
      <w:bookmarkEnd w:id="61"/>
      <w:r w:rsidRPr="00851C82">
        <w:t>: Disaggregated summary of cost impacts in the economic evaluation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Disaggregated summary of cost impacts in the economic evaluation"/>
      </w:tblPr>
      <w:tblGrid>
        <w:gridCol w:w="2263"/>
        <w:gridCol w:w="1742"/>
        <w:gridCol w:w="1660"/>
        <w:gridCol w:w="1676"/>
        <w:gridCol w:w="1676"/>
      </w:tblGrid>
      <w:tr w:rsidR="002F0974" w:rsidRPr="00851C82" w14:paraId="2ED9142B" w14:textId="77777777">
        <w:trPr>
          <w:tblHeader/>
        </w:trPr>
        <w:tc>
          <w:tcPr>
            <w:tcW w:w="2263" w:type="dxa"/>
            <w:vAlign w:val="center"/>
          </w:tcPr>
          <w:p w14:paraId="21947CC6" w14:textId="77777777" w:rsidR="002F0974" w:rsidRPr="00851C82" w:rsidRDefault="002F0974">
            <w:pPr>
              <w:pStyle w:val="COMTableheadingrow"/>
            </w:pPr>
          </w:p>
        </w:tc>
        <w:tc>
          <w:tcPr>
            <w:tcW w:w="1742" w:type="dxa"/>
            <w:vAlign w:val="center"/>
          </w:tcPr>
          <w:p w14:paraId="58837718" w14:textId="77777777" w:rsidR="002F0974" w:rsidRPr="00851C82" w:rsidRDefault="002F0974">
            <w:pPr>
              <w:pStyle w:val="COMTableheadingrow"/>
              <w:jc w:val="center"/>
            </w:pPr>
            <w:r w:rsidRPr="00851C82">
              <w:t>Loncastuximab tesirine</w:t>
            </w:r>
          </w:p>
        </w:tc>
        <w:tc>
          <w:tcPr>
            <w:tcW w:w="1660" w:type="dxa"/>
            <w:vAlign w:val="center"/>
          </w:tcPr>
          <w:p w14:paraId="467CB247" w14:textId="77777777" w:rsidR="002F0974" w:rsidRPr="00851C82" w:rsidRDefault="002F0974">
            <w:pPr>
              <w:pStyle w:val="COMTableheadingrow"/>
              <w:jc w:val="center"/>
            </w:pPr>
            <w:r w:rsidRPr="00851C82">
              <w:t>Comparator</w:t>
            </w:r>
          </w:p>
        </w:tc>
        <w:tc>
          <w:tcPr>
            <w:tcW w:w="1676" w:type="dxa"/>
            <w:vAlign w:val="center"/>
          </w:tcPr>
          <w:p w14:paraId="38D03079" w14:textId="77777777" w:rsidR="002F0974" w:rsidRPr="00851C82" w:rsidRDefault="002F0974">
            <w:pPr>
              <w:pStyle w:val="COMTableheadingrow"/>
              <w:jc w:val="center"/>
            </w:pPr>
            <w:r w:rsidRPr="00851C82">
              <w:t>Incremental cost</w:t>
            </w:r>
          </w:p>
        </w:tc>
        <w:tc>
          <w:tcPr>
            <w:tcW w:w="1676" w:type="dxa"/>
            <w:vAlign w:val="center"/>
          </w:tcPr>
          <w:p w14:paraId="25E07444" w14:textId="77777777" w:rsidR="002F0974" w:rsidRPr="00851C82" w:rsidRDefault="002F0974">
            <w:pPr>
              <w:pStyle w:val="COMTableheadingrow"/>
              <w:jc w:val="center"/>
            </w:pPr>
            <w:r w:rsidRPr="00851C82">
              <w:t>% of total incremental cost</w:t>
            </w:r>
          </w:p>
        </w:tc>
      </w:tr>
      <w:tr w:rsidR="002F0974" w:rsidRPr="00851C82" w14:paraId="6A884D73" w14:textId="77777777">
        <w:tc>
          <w:tcPr>
            <w:tcW w:w="2263" w:type="dxa"/>
            <w:vAlign w:val="center"/>
          </w:tcPr>
          <w:p w14:paraId="58E789B0" w14:textId="77777777" w:rsidR="002F0974" w:rsidRPr="00851C82" w:rsidRDefault="002F0974">
            <w:pPr>
              <w:pStyle w:val="COMTabletext"/>
            </w:pPr>
            <w:r w:rsidRPr="00851C82">
              <w:t>Drug costs</w:t>
            </w:r>
          </w:p>
        </w:tc>
        <w:tc>
          <w:tcPr>
            <w:tcW w:w="1742" w:type="dxa"/>
          </w:tcPr>
          <w:p w14:paraId="459A1D7F" w14:textId="24209A6E" w:rsidR="002F0974" w:rsidRPr="00851C82" w:rsidRDefault="002F0974">
            <w:pPr>
              <w:pStyle w:val="COMTabletext"/>
              <w:jc w:val="center"/>
            </w:pPr>
            <w:r w:rsidRPr="00851C82">
              <w:t>$</w:t>
            </w:r>
            <w:r w:rsidR="005822E1" w:rsidRPr="005822E1">
              <w:rPr>
                <w:sz w:val="2"/>
                <w:highlight w:val="black"/>
              </w:rPr>
              <w:t>redacted content</w:t>
            </w:r>
          </w:p>
        </w:tc>
        <w:tc>
          <w:tcPr>
            <w:tcW w:w="1660" w:type="dxa"/>
          </w:tcPr>
          <w:p w14:paraId="446A74F1" w14:textId="77777777" w:rsidR="002F0974" w:rsidRPr="00851C82" w:rsidRDefault="002F0974">
            <w:pPr>
              <w:pStyle w:val="COMTabletext"/>
              <w:jc w:val="center"/>
            </w:pPr>
            <w:r w:rsidRPr="00851C82">
              <w:t>$5,475.46</w:t>
            </w:r>
          </w:p>
        </w:tc>
        <w:tc>
          <w:tcPr>
            <w:tcW w:w="1676" w:type="dxa"/>
          </w:tcPr>
          <w:p w14:paraId="4315194B" w14:textId="2329E741" w:rsidR="002F0974" w:rsidRPr="00851C82" w:rsidRDefault="002F0974">
            <w:pPr>
              <w:pStyle w:val="COMTabletext"/>
              <w:jc w:val="center"/>
            </w:pPr>
            <w:r w:rsidRPr="00851C82">
              <w:t>$</w:t>
            </w:r>
            <w:r w:rsidR="005822E1" w:rsidRPr="005822E1">
              <w:rPr>
                <w:sz w:val="2"/>
                <w:highlight w:val="black"/>
              </w:rPr>
              <w:t>redacted content</w:t>
            </w:r>
          </w:p>
        </w:tc>
        <w:tc>
          <w:tcPr>
            <w:tcW w:w="1676" w:type="dxa"/>
            <w:vAlign w:val="center"/>
          </w:tcPr>
          <w:p w14:paraId="1B7820A0" w14:textId="2B96EE38" w:rsidR="002F0974" w:rsidRPr="00851C82" w:rsidRDefault="005822E1">
            <w:pPr>
              <w:pStyle w:val="COMTabletext"/>
              <w:jc w:val="center"/>
            </w:pPr>
            <w:r w:rsidRPr="005822E1">
              <w:rPr>
                <w:sz w:val="2"/>
                <w:highlight w:val="black"/>
              </w:rPr>
              <w:t>redacted content</w:t>
            </w:r>
            <w:r w:rsidR="002F0974" w:rsidRPr="00851C82">
              <w:t>%</w:t>
            </w:r>
          </w:p>
        </w:tc>
      </w:tr>
      <w:tr w:rsidR="002F0974" w:rsidRPr="00851C82" w14:paraId="65083BF9" w14:textId="77777777">
        <w:tc>
          <w:tcPr>
            <w:tcW w:w="2263" w:type="dxa"/>
            <w:vAlign w:val="center"/>
          </w:tcPr>
          <w:p w14:paraId="0A101EE1" w14:textId="77777777" w:rsidR="002F0974" w:rsidRPr="00851C82" w:rsidRDefault="002F0974">
            <w:pPr>
              <w:pStyle w:val="COMTabletext"/>
            </w:pPr>
            <w:r w:rsidRPr="00851C82">
              <w:t>Pre-medication costs</w:t>
            </w:r>
          </w:p>
        </w:tc>
        <w:tc>
          <w:tcPr>
            <w:tcW w:w="1742" w:type="dxa"/>
          </w:tcPr>
          <w:p w14:paraId="277D5902" w14:textId="77777777" w:rsidR="002F0974" w:rsidRPr="00851C82" w:rsidRDefault="002F0974">
            <w:pPr>
              <w:pStyle w:val="COMTabletext"/>
              <w:jc w:val="center"/>
            </w:pPr>
            <w:r w:rsidRPr="00851C82">
              <w:t>$79.93</w:t>
            </w:r>
          </w:p>
        </w:tc>
        <w:tc>
          <w:tcPr>
            <w:tcW w:w="1660" w:type="dxa"/>
          </w:tcPr>
          <w:p w14:paraId="0ECC6F35" w14:textId="77777777" w:rsidR="002F0974" w:rsidRPr="00851C82" w:rsidRDefault="002F0974">
            <w:pPr>
              <w:pStyle w:val="COMTabletext"/>
              <w:jc w:val="center"/>
            </w:pPr>
            <w:r w:rsidRPr="00851C82">
              <w:t>$1,160.91</w:t>
            </w:r>
          </w:p>
        </w:tc>
        <w:tc>
          <w:tcPr>
            <w:tcW w:w="1676" w:type="dxa"/>
          </w:tcPr>
          <w:p w14:paraId="53D2F0AF" w14:textId="77777777" w:rsidR="002F0974" w:rsidRPr="00851C82" w:rsidRDefault="002F0974">
            <w:pPr>
              <w:pStyle w:val="COMTabletext"/>
              <w:jc w:val="center"/>
            </w:pPr>
            <w:r w:rsidRPr="00851C82">
              <w:t>-$1,080.98</w:t>
            </w:r>
          </w:p>
        </w:tc>
        <w:tc>
          <w:tcPr>
            <w:tcW w:w="1676" w:type="dxa"/>
            <w:vAlign w:val="center"/>
          </w:tcPr>
          <w:p w14:paraId="5E685EC3" w14:textId="77777777" w:rsidR="002F0974" w:rsidRPr="00851C82" w:rsidRDefault="002F0974">
            <w:pPr>
              <w:pStyle w:val="COMTabletext"/>
              <w:jc w:val="center"/>
            </w:pPr>
            <w:r w:rsidRPr="00851C82">
              <w:t>-0.8%</w:t>
            </w:r>
          </w:p>
        </w:tc>
      </w:tr>
      <w:tr w:rsidR="002F0974" w:rsidRPr="00851C82" w14:paraId="79A4F808" w14:textId="77777777">
        <w:tc>
          <w:tcPr>
            <w:tcW w:w="2263" w:type="dxa"/>
            <w:vAlign w:val="center"/>
          </w:tcPr>
          <w:p w14:paraId="07F1B732" w14:textId="77777777" w:rsidR="002F0974" w:rsidRPr="00851C82" w:rsidRDefault="002F0974">
            <w:pPr>
              <w:pStyle w:val="COMTabletext"/>
            </w:pPr>
            <w:r w:rsidRPr="00851C82">
              <w:t>Drug administration costs</w:t>
            </w:r>
          </w:p>
        </w:tc>
        <w:tc>
          <w:tcPr>
            <w:tcW w:w="1742" w:type="dxa"/>
          </w:tcPr>
          <w:p w14:paraId="5F0DB6AE" w14:textId="77777777" w:rsidR="002F0974" w:rsidRPr="00851C82" w:rsidRDefault="002F0974">
            <w:pPr>
              <w:pStyle w:val="COMTabletext"/>
              <w:jc w:val="center"/>
            </w:pPr>
            <w:r w:rsidRPr="00851C82">
              <w:t>$528.96</w:t>
            </w:r>
          </w:p>
        </w:tc>
        <w:tc>
          <w:tcPr>
            <w:tcW w:w="1660" w:type="dxa"/>
          </w:tcPr>
          <w:p w14:paraId="2C260FEC" w14:textId="77777777" w:rsidR="002F0974" w:rsidRPr="00851C82" w:rsidRDefault="002F0974">
            <w:pPr>
              <w:pStyle w:val="COMTabletext"/>
              <w:jc w:val="center"/>
            </w:pPr>
            <w:r w:rsidRPr="00851C82">
              <w:t>$825.14</w:t>
            </w:r>
          </w:p>
        </w:tc>
        <w:tc>
          <w:tcPr>
            <w:tcW w:w="1676" w:type="dxa"/>
          </w:tcPr>
          <w:p w14:paraId="4B3D9AFD" w14:textId="77777777" w:rsidR="002F0974" w:rsidRPr="00851C82" w:rsidRDefault="002F0974">
            <w:pPr>
              <w:pStyle w:val="COMTabletext"/>
              <w:jc w:val="center"/>
            </w:pPr>
            <w:r w:rsidRPr="00851C82">
              <w:t>-$296.17</w:t>
            </w:r>
          </w:p>
        </w:tc>
        <w:tc>
          <w:tcPr>
            <w:tcW w:w="1676" w:type="dxa"/>
            <w:vAlign w:val="center"/>
          </w:tcPr>
          <w:p w14:paraId="156FB5FA" w14:textId="77777777" w:rsidR="002F0974" w:rsidRPr="00851C82" w:rsidRDefault="002F0974">
            <w:pPr>
              <w:pStyle w:val="COMTabletext"/>
              <w:jc w:val="center"/>
              <w:rPr>
                <w:highlight w:val="yellow"/>
              </w:rPr>
            </w:pPr>
            <w:r w:rsidRPr="00851C82">
              <w:t>-0.2%</w:t>
            </w:r>
          </w:p>
        </w:tc>
      </w:tr>
      <w:tr w:rsidR="002F0974" w:rsidRPr="00851C82" w14:paraId="165F5CEE" w14:textId="77777777">
        <w:tc>
          <w:tcPr>
            <w:tcW w:w="2263" w:type="dxa"/>
            <w:vAlign w:val="center"/>
          </w:tcPr>
          <w:p w14:paraId="48CC3E4C" w14:textId="77777777" w:rsidR="002F0974" w:rsidRPr="00851C82" w:rsidRDefault="002F0974">
            <w:pPr>
              <w:pStyle w:val="COMTabletext"/>
            </w:pPr>
            <w:r w:rsidRPr="00851C82">
              <w:t>Subsequent therapy costs</w:t>
            </w:r>
          </w:p>
        </w:tc>
        <w:tc>
          <w:tcPr>
            <w:tcW w:w="1742" w:type="dxa"/>
          </w:tcPr>
          <w:p w14:paraId="5E7EB8F5" w14:textId="77777777" w:rsidR="002F0974" w:rsidRPr="00851C82" w:rsidRDefault="002F0974">
            <w:pPr>
              <w:pStyle w:val="COMTabletext"/>
              <w:jc w:val="center"/>
            </w:pPr>
            <w:r w:rsidRPr="00851C82">
              <w:t>$2,071.90</w:t>
            </w:r>
          </w:p>
        </w:tc>
        <w:tc>
          <w:tcPr>
            <w:tcW w:w="1660" w:type="dxa"/>
          </w:tcPr>
          <w:p w14:paraId="3E8A768E" w14:textId="77777777" w:rsidR="002F0974" w:rsidRPr="00851C82" w:rsidRDefault="002F0974">
            <w:pPr>
              <w:pStyle w:val="COMTabletext"/>
              <w:jc w:val="center"/>
            </w:pPr>
            <w:r w:rsidRPr="00851C82">
              <w:t>$2,311.45</w:t>
            </w:r>
          </w:p>
        </w:tc>
        <w:tc>
          <w:tcPr>
            <w:tcW w:w="1676" w:type="dxa"/>
          </w:tcPr>
          <w:p w14:paraId="60F30079" w14:textId="77777777" w:rsidR="002F0974" w:rsidRPr="00851C82" w:rsidRDefault="002F0974">
            <w:pPr>
              <w:pStyle w:val="COMTabletext"/>
              <w:jc w:val="center"/>
            </w:pPr>
            <w:r w:rsidRPr="00851C82">
              <w:t>-$239.55</w:t>
            </w:r>
          </w:p>
        </w:tc>
        <w:tc>
          <w:tcPr>
            <w:tcW w:w="1676" w:type="dxa"/>
            <w:vAlign w:val="center"/>
          </w:tcPr>
          <w:p w14:paraId="65660875" w14:textId="77777777" w:rsidR="002F0974" w:rsidRPr="00851C82" w:rsidRDefault="002F0974">
            <w:pPr>
              <w:pStyle w:val="COMTabletext"/>
              <w:jc w:val="center"/>
            </w:pPr>
            <w:r w:rsidRPr="00851C82">
              <w:t>-0.2%</w:t>
            </w:r>
          </w:p>
        </w:tc>
      </w:tr>
      <w:tr w:rsidR="002F0974" w:rsidRPr="00851C82" w14:paraId="435AF125" w14:textId="77777777">
        <w:tc>
          <w:tcPr>
            <w:tcW w:w="2263" w:type="dxa"/>
            <w:vAlign w:val="center"/>
          </w:tcPr>
          <w:p w14:paraId="637CC391" w14:textId="77777777" w:rsidR="002F0974" w:rsidRPr="00851C82" w:rsidRDefault="002F0974">
            <w:pPr>
              <w:pStyle w:val="COMTabletext"/>
            </w:pPr>
            <w:r w:rsidRPr="00851C82">
              <w:t>Disease management costs</w:t>
            </w:r>
          </w:p>
        </w:tc>
        <w:tc>
          <w:tcPr>
            <w:tcW w:w="1742" w:type="dxa"/>
          </w:tcPr>
          <w:p w14:paraId="446778DA" w14:textId="77777777" w:rsidR="002F0974" w:rsidRPr="00851C82" w:rsidRDefault="002F0974">
            <w:pPr>
              <w:pStyle w:val="COMTabletext"/>
              <w:jc w:val="center"/>
            </w:pPr>
            <w:r w:rsidRPr="00851C82">
              <w:t>$6,338.67</w:t>
            </w:r>
          </w:p>
        </w:tc>
        <w:tc>
          <w:tcPr>
            <w:tcW w:w="1660" w:type="dxa"/>
          </w:tcPr>
          <w:p w14:paraId="5094219B" w14:textId="77777777" w:rsidR="002F0974" w:rsidRPr="00851C82" w:rsidRDefault="002F0974">
            <w:pPr>
              <w:pStyle w:val="COMTabletext"/>
              <w:jc w:val="center"/>
            </w:pPr>
            <w:r w:rsidRPr="00851C82">
              <w:t>$4,532.76</w:t>
            </w:r>
          </w:p>
        </w:tc>
        <w:tc>
          <w:tcPr>
            <w:tcW w:w="1676" w:type="dxa"/>
          </w:tcPr>
          <w:p w14:paraId="5DDA0C0D" w14:textId="77777777" w:rsidR="002F0974" w:rsidRPr="00851C82" w:rsidRDefault="002F0974">
            <w:pPr>
              <w:pStyle w:val="COMTabletext"/>
              <w:jc w:val="center"/>
            </w:pPr>
            <w:r w:rsidRPr="00851C82">
              <w:t>$1,805.90</w:t>
            </w:r>
          </w:p>
        </w:tc>
        <w:tc>
          <w:tcPr>
            <w:tcW w:w="1676" w:type="dxa"/>
            <w:vAlign w:val="center"/>
          </w:tcPr>
          <w:p w14:paraId="110D3946" w14:textId="77777777" w:rsidR="002F0974" w:rsidRPr="00851C82" w:rsidRDefault="002F0974">
            <w:pPr>
              <w:pStyle w:val="COMTabletext"/>
              <w:jc w:val="center"/>
            </w:pPr>
            <w:r w:rsidRPr="00851C82">
              <w:t>1.3%</w:t>
            </w:r>
          </w:p>
        </w:tc>
      </w:tr>
      <w:tr w:rsidR="002F0974" w:rsidRPr="00851C82" w14:paraId="0BEE1F08" w14:textId="77777777">
        <w:tc>
          <w:tcPr>
            <w:tcW w:w="2263" w:type="dxa"/>
            <w:vAlign w:val="center"/>
          </w:tcPr>
          <w:p w14:paraId="12E1F38F" w14:textId="77777777" w:rsidR="002F0974" w:rsidRPr="00851C82" w:rsidRDefault="002F0974">
            <w:pPr>
              <w:pStyle w:val="COMTabletext"/>
            </w:pPr>
            <w:r w:rsidRPr="00851C82">
              <w:t>Adverse event costs</w:t>
            </w:r>
          </w:p>
        </w:tc>
        <w:tc>
          <w:tcPr>
            <w:tcW w:w="1742" w:type="dxa"/>
          </w:tcPr>
          <w:p w14:paraId="014963A2" w14:textId="77777777" w:rsidR="002F0974" w:rsidRPr="00851C82" w:rsidRDefault="002F0974">
            <w:pPr>
              <w:pStyle w:val="COMTabletext"/>
              <w:jc w:val="center"/>
            </w:pPr>
            <w:r w:rsidRPr="00851C82">
              <w:t>$4,822.01</w:t>
            </w:r>
          </w:p>
        </w:tc>
        <w:tc>
          <w:tcPr>
            <w:tcW w:w="1660" w:type="dxa"/>
          </w:tcPr>
          <w:p w14:paraId="777FF78B" w14:textId="77777777" w:rsidR="002F0974" w:rsidRPr="00851C82" w:rsidRDefault="002F0974">
            <w:pPr>
              <w:pStyle w:val="COMTabletext"/>
              <w:jc w:val="center"/>
            </w:pPr>
            <w:r w:rsidRPr="00851C82">
              <w:t>$12,093.77</w:t>
            </w:r>
          </w:p>
        </w:tc>
        <w:tc>
          <w:tcPr>
            <w:tcW w:w="1676" w:type="dxa"/>
          </w:tcPr>
          <w:p w14:paraId="03488A75" w14:textId="77777777" w:rsidR="002F0974" w:rsidRPr="00851C82" w:rsidRDefault="002F0974">
            <w:pPr>
              <w:pStyle w:val="COMTabletext"/>
              <w:jc w:val="center"/>
            </w:pPr>
            <w:r w:rsidRPr="00851C82">
              <w:t>-$7,271.76</w:t>
            </w:r>
          </w:p>
        </w:tc>
        <w:tc>
          <w:tcPr>
            <w:tcW w:w="1676" w:type="dxa"/>
            <w:vAlign w:val="center"/>
          </w:tcPr>
          <w:p w14:paraId="10F46C5E" w14:textId="77777777" w:rsidR="002F0974" w:rsidRPr="00851C82" w:rsidRDefault="002F0974">
            <w:pPr>
              <w:pStyle w:val="COMTabletext"/>
              <w:jc w:val="center"/>
            </w:pPr>
            <w:r w:rsidRPr="00851C82">
              <w:t>-5.1%</w:t>
            </w:r>
          </w:p>
        </w:tc>
      </w:tr>
      <w:tr w:rsidR="002F0974" w:rsidRPr="00851C82" w14:paraId="75E04582" w14:textId="77777777">
        <w:tc>
          <w:tcPr>
            <w:tcW w:w="2263" w:type="dxa"/>
            <w:vAlign w:val="center"/>
          </w:tcPr>
          <w:p w14:paraId="492927F5" w14:textId="77777777" w:rsidR="002F0974" w:rsidRPr="00851C82" w:rsidRDefault="002F0974">
            <w:pPr>
              <w:pStyle w:val="COMTabletext"/>
            </w:pPr>
            <w:r w:rsidRPr="00851C82">
              <w:t>Terminal care costs</w:t>
            </w:r>
          </w:p>
        </w:tc>
        <w:tc>
          <w:tcPr>
            <w:tcW w:w="1742" w:type="dxa"/>
          </w:tcPr>
          <w:p w14:paraId="4AEEC8BB" w14:textId="77777777" w:rsidR="002F0974" w:rsidRPr="00851C82" w:rsidRDefault="002F0974">
            <w:pPr>
              <w:pStyle w:val="COMTabletext"/>
              <w:jc w:val="center"/>
            </w:pPr>
            <w:r w:rsidRPr="00851C82">
              <w:t>$58,498.67</w:t>
            </w:r>
          </w:p>
        </w:tc>
        <w:tc>
          <w:tcPr>
            <w:tcW w:w="1660" w:type="dxa"/>
          </w:tcPr>
          <w:p w14:paraId="459788E6" w14:textId="77777777" w:rsidR="002F0974" w:rsidRPr="00851C82" w:rsidRDefault="002F0974">
            <w:pPr>
              <w:pStyle w:val="COMTabletext"/>
              <w:jc w:val="center"/>
            </w:pPr>
            <w:r w:rsidRPr="00851C82">
              <w:t>$65,267.46</w:t>
            </w:r>
          </w:p>
        </w:tc>
        <w:tc>
          <w:tcPr>
            <w:tcW w:w="1676" w:type="dxa"/>
          </w:tcPr>
          <w:p w14:paraId="616BA6A9" w14:textId="7441ED47" w:rsidR="002F0974" w:rsidRPr="00851C82" w:rsidRDefault="002F0974">
            <w:pPr>
              <w:pStyle w:val="COMTabletext"/>
              <w:jc w:val="center"/>
            </w:pPr>
            <w:r w:rsidRPr="00851C82">
              <w:t>-$6,768.79</w:t>
            </w:r>
          </w:p>
        </w:tc>
        <w:tc>
          <w:tcPr>
            <w:tcW w:w="1676" w:type="dxa"/>
            <w:vAlign w:val="center"/>
          </w:tcPr>
          <w:p w14:paraId="79E589B1" w14:textId="77777777" w:rsidR="002F0974" w:rsidRPr="00851C82" w:rsidRDefault="002F0974">
            <w:pPr>
              <w:pStyle w:val="COMTabletext"/>
              <w:jc w:val="center"/>
            </w:pPr>
            <w:r w:rsidRPr="00851C82">
              <w:t>-4.8%</w:t>
            </w:r>
          </w:p>
        </w:tc>
      </w:tr>
      <w:tr w:rsidR="002F0974" w:rsidRPr="00851C82" w14:paraId="4AA345C3" w14:textId="77777777">
        <w:tc>
          <w:tcPr>
            <w:tcW w:w="2263" w:type="dxa"/>
            <w:vAlign w:val="center"/>
          </w:tcPr>
          <w:p w14:paraId="37D76FF5" w14:textId="77777777" w:rsidR="002F0974" w:rsidRPr="00851C82" w:rsidRDefault="002F0974">
            <w:pPr>
              <w:pStyle w:val="COMTabletext"/>
            </w:pPr>
            <w:r w:rsidRPr="00851C82">
              <w:t>Total</w:t>
            </w:r>
          </w:p>
        </w:tc>
        <w:tc>
          <w:tcPr>
            <w:tcW w:w="1742" w:type="dxa"/>
          </w:tcPr>
          <w:p w14:paraId="5EEEDADA" w14:textId="4F3F62E3" w:rsidR="002F0974" w:rsidRPr="00851C82" w:rsidRDefault="002F0974">
            <w:pPr>
              <w:pStyle w:val="COMTabletext"/>
              <w:jc w:val="center"/>
              <w:rPr>
                <w:b/>
                <w:bCs w:val="0"/>
              </w:rPr>
            </w:pPr>
            <w:r w:rsidRPr="00851C82">
              <w:rPr>
                <w:b/>
                <w:bCs w:val="0"/>
              </w:rPr>
              <w:t>$</w:t>
            </w:r>
            <w:r w:rsidR="005822E1" w:rsidRPr="005822E1">
              <w:rPr>
                <w:b/>
                <w:bCs w:val="0"/>
                <w:sz w:val="2"/>
                <w:highlight w:val="black"/>
              </w:rPr>
              <w:t>redacted content</w:t>
            </w:r>
          </w:p>
        </w:tc>
        <w:tc>
          <w:tcPr>
            <w:tcW w:w="1660" w:type="dxa"/>
          </w:tcPr>
          <w:p w14:paraId="0C4EB6AA" w14:textId="77777777" w:rsidR="002F0974" w:rsidRPr="00851C82" w:rsidRDefault="002F0974">
            <w:pPr>
              <w:pStyle w:val="COMTabletext"/>
              <w:jc w:val="center"/>
              <w:rPr>
                <w:b/>
                <w:bCs w:val="0"/>
              </w:rPr>
            </w:pPr>
            <w:r w:rsidRPr="00851C82">
              <w:rPr>
                <w:b/>
                <w:bCs w:val="0"/>
              </w:rPr>
              <w:t>$91,666.95</w:t>
            </w:r>
          </w:p>
        </w:tc>
        <w:tc>
          <w:tcPr>
            <w:tcW w:w="1676" w:type="dxa"/>
          </w:tcPr>
          <w:p w14:paraId="42C24697" w14:textId="1430C2FE" w:rsidR="002F0974" w:rsidRPr="00851C82" w:rsidRDefault="002F0974">
            <w:pPr>
              <w:pStyle w:val="COMTabletext"/>
              <w:jc w:val="center"/>
              <w:rPr>
                <w:b/>
                <w:bCs w:val="0"/>
              </w:rPr>
            </w:pPr>
            <w:r w:rsidRPr="00851C82">
              <w:rPr>
                <w:b/>
                <w:bCs w:val="0"/>
              </w:rPr>
              <w:t>$</w:t>
            </w:r>
            <w:r w:rsidR="005822E1" w:rsidRPr="005822E1">
              <w:rPr>
                <w:b/>
                <w:bCs w:val="0"/>
                <w:sz w:val="2"/>
                <w:highlight w:val="black"/>
              </w:rPr>
              <w:t>redacted content</w:t>
            </w:r>
          </w:p>
        </w:tc>
        <w:tc>
          <w:tcPr>
            <w:tcW w:w="1676" w:type="dxa"/>
            <w:vAlign w:val="center"/>
          </w:tcPr>
          <w:p w14:paraId="321AD67D" w14:textId="77777777" w:rsidR="002F0974" w:rsidRPr="00851C82" w:rsidRDefault="002F0974">
            <w:pPr>
              <w:pStyle w:val="COMTabletext"/>
              <w:jc w:val="center"/>
            </w:pPr>
            <w:r w:rsidRPr="00851C82">
              <w:t>100%</w:t>
            </w:r>
          </w:p>
        </w:tc>
      </w:tr>
    </w:tbl>
    <w:p w14:paraId="74B82733" w14:textId="77777777" w:rsidR="002F0974" w:rsidRPr="00851C82" w:rsidRDefault="002F0974" w:rsidP="002F0974">
      <w:pPr>
        <w:pStyle w:val="COMTablefooter"/>
      </w:pPr>
      <w:r w:rsidRPr="00851C82">
        <w:t>Source: Table 3-25, p131 of the submission.</w:t>
      </w:r>
    </w:p>
    <w:p w14:paraId="57C4B5CE" w14:textId="6B8F257E" w:rsidR="002F0974" w:rsidRPr="00851C82" w:rsidRDefault="002F0974" w:rsidP="002F0974">
      <w:pPr>
        <w:pStyle w:val="3-BodyText"/>
        <w:numPr>
          <w:ilvl w:val="1"/>
          <w:numId w:val="1"/>
        </w:numPr>
        <w:rPr>
          <w:color w:val="0066FF"/>
        </w:rPr>
      </w:pPr>
      <w:r w:rsidRPr="00851C82">
        <w:t>Drug costs of loncastuximab tesirine were the largest contributor to the incremental costs (+</w:t>
      </w:r>
      <w:r w:rsidR="005822E1" w:rsidRPr="005822E1">
        <w:rPr>
          <w:sz w:val="2"/>
          <w:highlight w:val="black"/>
        </w:rPr>
        <w:t>redacted content</w:t>
      </w:r>
      <w:r w:rsidRPr="00851C82">
        <w:t xml:space="preserve">%). Cost offsets, by comparison, had only a minimal impact on costs, with treatment of adverse events contributing -5.1% and terminal care costs - 4.8%. </w:t>
      </w:r>
      <w:r w:rsidR="007F3B68" w:rsidRPr="00D57480">
        <w:t xml:space="preserve">The Sub-Committees noted that the exclusion of terminal care costs </w:t>
      </w:r>
      <w:r w:rsidR="00361A26" w:rsidRPr="00D57480">
        <w:t xml:space="preserve">increased the error-corrected base case ICER from </w:t>
      </w:r>
      <w:r w:rsidR="00E1346C" w:rsidRPr="00E1346C">
        <w:t>$95,000 to &lt; $115,000</w:t>
      </w:r>
      <w:r w:rsidR="005822E1">
        <w:t xml:space="preserve"> </w:t>
      </w:r>
      <w:r w:rsidR="00361A26" w:rsidRPr="00D57480">
        <w:t xml:space="preserve">per QALY gained to </w:t>
      </w:r>
      <w:r w:rsidR="00E1346C" w:rsidRPr="00E1346C">
        <w:t>$95,000 to &lt; $115,000</w:t>
      </w:r>
      <w:r w:rsidR="005822E1">
        <w:t xml:space="preserve"> </w:t>
      </w:r>
      <w:r w:rsidR="00361A26" w:rsidRPr="00D57480">
        <w:t>per QALY gained.</w:t>
      </w:r>
      <w:r w:rsidR="00361A26">
        <w:rPr>
          <w:i/>
          <w:iCs/>
        </w:rPr>
        <w:t xml:space="preserve"> </w:t>
      </w:r>
    </w:p>
    <w:p w14:paraId="307F776E" w14:textId="6B9889F6" w:rsidR="002F0974" w:rsidRPr="00851C82" w:rsidRDefault="002F0974" w:rsidP="002F0974">
      <w:pPr>
        <w:pStyle w:val="3-BodyText"/>
        <w:numPr>
          <w:ilvl w:val="1"/>
          <w:numId w:val="1"/>
        </w:numPr>
        <w:rPr>
          <w:snapToGrid w:val="0"/>
        </w:rPr>
      </w:pPr>
      <w:r w:rsidRPr="00851C82">
        <w:rPr>
          <w:snapToGrid w:val="0"/>
        </w:rPr>
        <w:fldChar w:fldCharType="begin"/>
      </w:r>
      <w:r w:rsidRPr="00851C82">
        <w:rPr>
          <w:snapToGrid w:val="0"/>
        </w:rPr>
        <w:instrText xml:space="preserve"> REF _Ref218773062 \h </w:instrText>
      </w:r>
      <w:r w:rsidR="00851C82" w:rsidRPr="00851C82">
        <w:rPr>
          <w:snapToGrid w:val="0"/>
        </w:rPr>
        <w:instrText xml:space="preserve"> \* MERGEFORMAT </w:instrText>
      </w:r>
      <w:r w:rsidRPr="00851C82">
        <w:rPr>
          <w:snapToGrid w:val="0"/>
        </w:rPr>
      </w:r>
      <w:r w:rsidRPr="00851C82">
        <w:rPr>
          <w:snapToGrid w:val="0"/>
        </w:rPr>
        <w:fldChar w:fldCharType="separate"/>
      </w:r>
      <w:r w:rsidR="007D33FD" w:rsidRPr="00851C82">
        <w:t xml:space="preserve">Table </w:t>
      </w:r>
      <w:r w:rsidR="007D33FD" w:rsidRPr="00851C82">
        <w:rPr>
          <w:noProof/>
        </w:rPr>
        <w:t>14</w:t>
      </w:r>
      <w:r w:rsidRPr="00851C82">
        <w:rPr>
          <w:snapToGrid w:val="0"/>
        </w:rPr>
        <w:fldChar w:fldCharType="end"/>
      </w:r>
      <w:r w:rsidRPr="00851C82">
        <w:rPr>
          <w:snapToGrid w:val="0"/>
        </w:rPr>
        <w:t xml:space="preserve"> presents a summary of the key drivers of the model.</w:t>
      </w:r>
    </w:p>
    <w:p w14:paraId="25157767" w14:textId="66C5B61E" w:rsidR="002F0974" w:rsidRPr="0098262F" w:rsidRDefault="002F0974" w:rsidP="002F0974">
      <w:pPr>
        <w:pStyle w:val="Caption"/>
        <w:rPr>
          <w:rStyle w:val="CommentReference"/>
          <w:b/>
          <w:szCs w:val="24"/>
        </w:rPr>
      </w:pPr>
      <w:bookmarkStart w:id="62" w:name="_Ref218773062"/>
      <w:r w:rsidRPr="0098262F">
        <w:lastRenderedPageBreak/>
        <w:t xml:space="preserve">Table </w:t>
      </w:r>
      <w:r>
        <w:fldChar w:fldCharType="begin"/>
      </w:r>
      <w:r>
        <w:instrText>SEQ Table \* ARABIC</w:instrText>
      </w:r>
      <w:r>
        <w:fldChar w:fldCharType="separate"/>
      </w:r>
      <w:r w:rsidR="007D33FD">
        <w:rPr>
          <w:noProof/>
        </w:rPr>
        <w:t>14</w:t>
      </w:r>
      <w:r>
        <w:fldChar w:fldCharType="end"/>
      </w:r>
      <w:bookmarkEnd w:id="62"/>
      <w:r w:rsidRPr="0098262F">
        <w:t>:</w:t>
      </w:r>
      <w:r w:rsidRPr="0098262F">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Key drivers of the model"/>
      </w:tblPr>
      <w:tblGrid>
        <w:gridCol w:w="1414"/>
        <w:gridCol w:w="3967"/>
        <w:gridCol w:w="3636"/>
      </w:tblGrid>
      <w:tr w:rsidR="002F0974" w:rsidRPr="0098262F" w14:paraId="2194F582" w14:textId="77777777">
        <w:trPr>
          <w:tblHeader/>
        </w:trPr>
        <w:tc>
          <w:tcPr>
            <w:tcW w:w="784" w:type="pct"/>
            <w:vAlign w:val="center"/>
          </w:tcPr>
          <w:p w14:paraId="439265FC" w14:textId="77777777" w:rsidR="002F0974" w:rsidRPr="0098262F" w:rsidRDefault="002F0974">
            <w:pPr>
              <w:pStyle w:val="In-tableHeading"/>
              <w:jc w:val="center"/>
              <w:rPr>
                <w:lang w:val="en-AU"/>
              </w:rPr>
            </w:pPr>
            <w:r w:rsidRPr="0098262F">
              <w:rPr>
                <w:lang w:val="en-AU"/>
              </w:rPr>
              <w:t>Description</w:t>
            </w:r>
          </w:p>
        </w:tc>
        <w:tc>
          <w:tcPr>
            <w:tcW w:w="2200" w:type="pct"/>
            <w:vAlign w:val="center"/>
          </w:tcPr>
          <w:p w14:paraId="625F5DE5" w14:textId="77777777" w:rsidR="002F0974" w:rsidRPr="0098262F" w:rsidRDefault="002F0974">
            <w:pPr>
              <w:pStyle w:val="In-tableHeading"/>
              <w:jc w:val="center"/>
              <w:rPr>
                <w:lang w:val="en-AU"/>
              </w:rPr>
            </w:pPr>
            <w:r w:rsidRPr="0098262F">
              <w:rPr>
                <w:lang w:val="en-AU"/>
              </w:rPr>
              <w:t>Method/Value</w:t>
            </w:r>
          </w:p>
        </w:tc>
        <w:tc>
          <w:tcPr>
            <w:tcW w:w="2016" w:type="pct"/>
            <w:vAlign w:val="center"/>
          </w:tcPr>
          <w:p w14:paraId="7FA202DD" w14:textId="77777777" w:rsidR="002F0974" w:rsidRPr="00277BFB" w:rsidRDefault="002F0974">
            <w:pPr>
              <w:pStyle w:val="In-tableHeading"/>
              <w:jc w:val="center"/>
              <w:rPr>
                <w:rFonts w:cs="Arial"/>
                <w:szCs w:val="20"/>
                <w:lang w:val="en-AU"/>
              </w:rPr>
            </w:pPr>
            <w:r w:rsidRPr="0098262F">
              <w:rPr>
                <w:lang w:val="en-AU"/>
              </w:rPr>
              <w:t>Impact</w:t>
            </w:r>
            <w:r>
              <w:rPr>
                <w:lang w:val="en-AU"/>
              </w:rPr>
              <w:t xml:space="preserve"> </w:t>
            </w:r>
            <w:r w:rsidRPr="00277BFB">
              <w:rPr>
                <w:rFonts w:cs="Arial"/>
                <w:szCs w:val="20"/>
                <w:lang w:val="en-AU"/>
              </w:rPr>
              <w:t xml:space="preserve">(Error-Corrected Base Case: </w:t>
            </w:r>
          </w:p>
          <w:p w14:paraId="0554CEFA" w14:textId="57F02290" w:rsidR="002F0974" w:rsidRPr="0098262F" w:rsidRDefault="002F0974">
            <w:pPr>
              <w:pStyle w:val="In-tableHeading"/>
              <w:jc w:val="center"/>
              <w:rPr>
                <w:lang w:val="en-AU"/>
              </w:rPr>
            </w:pPr>
            <w:r w:rsidRPr="00277BFB">
              <w:rPr>
                <w:rFonts w:cs="Arial"/>
                <w:szCs w:val="20"/>
                <w:lang w:val="en-AU"/>
              </w:rPr>
              <w:t>$</w:t>
            </w:r>
            <w:r w:rsidR="005822E1" w:rsidRPr="005822E1">
              <w:rPr>
                <w:rFonts w:cs="Arial"/>
                <w:sz w:val="2"/>
                <w:szCs w:val="20"/>
                <w:highlight w:val="black"/>
                <w:lang w:val="en-AU"/>
              </w:rPr>
              <w:t>redacted content</w:t>
            </w:r>
            <w:r w:rsidR="00311110">
              <w:rPr>
                <w:rFonts w:cs="Arial"/>
                <w:szCs w:val="20"/>
                <w:vertAlign w:val="superscript"/>
                <w:lang w:val="en-AU"/>
              </w:rPr>
              <w:t>1</w:t>
            </w:r>
            <w:r w:rsidRPr="00277BFB">
              <w:rPr>
                <w:rFonts w:cs="Arial"/>
                <w:szCs w:val="20"/>
                <w:lang w:val="en-AU"/>
              </w:rPr>
              <w:t>/QALY gained)</w:t>
            </w:r>
          </w:p>
        </w:tc>
      </w:tr>
      <w:tr w:rsidR="002F0974" w:rsidRPr="0098262F" w14:paraId="26A768D7" w14:textId="77777777">
        <w:tc>
          <w:tcPr>
            <w:tcW w:w="784" w:type="pct"/>
            <w:vAlign w:val="center"/>
          </w:tcPr>
          <w:p w14:paraId="6A9B47E7" w14:textId="77777777" w:rsidR="002F0974" w:rsidRDefault="002F0974">
            <w:pPr>
              <w:pStyle w:val="TableText0"/>
            </w:pPr>
            <w:r>
              <w:t xml:space="preserve">HR to derive survival curves (OS, PFS, </w:t>
            </w:r>
            <w:proofErr w:type="spellStart"/>
            <w:r>
              <w:t>ToT</w:t>
            </w:r>
            <w:proofErr w:type="spellEnd"/>
            <w:r>
              <w:t>) for the comparator arm</w:t>
            </w:r>
          </w:p>
        </w:tc>
        <w:tc>
          <w:tcPr>
            <w:tcW w:w="2200" w:type="pct"/>
            <w:vAlign w:val="center"/>
          </w:tcPr>
          <w:p w14:paraId="6222544A" w14:textId="38595DA0" w:rsidR="002F0974" w:rsidRPr="00F24C9A" w:rsidRDefault="002F0974">
            <w:pPr>
              <w:pStyle w:val="TableText0"/>
            </w:pPr>
            <w:r w:rsidRPr="00F24C9A">
              <w:t xml:space="preserve">The inverse of the HR of 0.66 (95% CI: 0.50, 0.85; weighted bootstrap), 1.515 was used in the base case and was derived from the MAIC comparing loncastuximab tesirine with chemoimmunotherapy. This estimate was highly uncertain as it was based on the unanchored MAIC, which was unlikely to adjust for systematic differences between the LOTIS-2 and CORAL extension studies. This single HR also determined all curves in the comparator arm (OS, PFS and </w:t>
            </w:r>
            <w:proofErr w:type="spellStart"/>
            <w:r w:rsidRPr="00F24C9A">
              <w:t>ToT</w:t>
            </w:r>
            <w:proofErr w:type="spellEnd"/>
            <w:r w:rsidRPr="00F24C9A">
              <w:t>), meaning the modelling approach depended entirely on this one estimate.</w:t>
            </w:r>
            <w:r w:rsidR="00591A2E">
              <w:t xml:space="preserve"> </w:t>
            </w:r>
            <w:r w:rsidR="00591A2E" w:rsidRPr="00BE20A7">
              <w:t>The PSCR acknowledged th</w:t>
            </w:r>
            <w:r w:rsidR="006D23D7" w:rsidRPr="00BE20A7">
              <w:t>e uncertainty associated with the approach</w:t>
            </w:r>
            <w:r w:rsidR="0042598F" w:rsidRPr="00BE20A7">
              <w:t xml:space="preserve">. The PSCR </w:t>
            </w:r>
            <w:r w:rsidR="00344B37" w:rsidRPr="00BE20A7">
              <w:t xml:space="preserve">stated </w:t>
            </w:r>
            <w:r w:rsidR="00DF16DA" w:rsidRPr="00BE20A7">
              <w:t xml:space="preserve">that </w:t>
            </w:r>
            <w:r w:rsidR="00344B37" w:rsidRPr="00BE20A7">
              <w:t>in contemporary R/R DLBCL trials where both endpoints are reported, the relative treatment effect is often larger for PFS than OS, meaning that the PFS HR is typically lower than the OS HR and argued that the approach taken was conservative.</w:t>
            </w:r>
            <w:r w:rsidRPr="00BE20A7">
              <w:t xml:space="preserve"> The </w:t>
            </w:r>
            <w:r w:rsidR="004723C3" w:rsidRPr="00BE20A7">
              <w:t xml:space="preserve">Sub-Committees noted the </w:t>
            </w:r>
            <w:r w:rsidRPr="00BE20A7">
              <w:t>model was highly sensitive to the HR applied</w:t>
            </w:r>
            <w:r w:rsidR="000216D7" w:rsidRPr="00BE20A7">
              <w:t xml:space="preserve"> and agreed with the evaluation that th</w:t>
            </w:r>
            <w:r w:rsidR="00A23C34" w:rsidRPr="00BE20A7">
              <w:t>e approach taken</w:t>
            </w:r>
            <w:r w:rsidR="000216D7" w:rsidRPr="00BE20A7">
              <w:t xml:space="preserve"> was a key source of uncertainty</w:t>
            </w:r>
            <w:r w:rsidRPr="00BE20A7" w:rsidDel="000216D7">
              <w:t>.</w:t>
            </w:r>
          </w:p>
        </w:tc>
        <w:tc>
          <w:tcPr>
            <w:tcW w:w="2016" w:type="pct"/>
            <w:vAlign w:val="center"/>
          </w:tcPr>
          <w:p w14:paraId="5A087FE3" w14:textId="77777777" w:rsidR="002F0974" w:rsidRPr="00D80B1E" w:rsidRDefault="002F0974">
            <w:pPr>
              <w:pStyle w:val="TableText0"/>
            </w:pPr>
            <w:r w:rsidRPr="00D80B1E">
              <w:t>Very high, favoured loncastuximab tesirine.</w:t>
            </w:r>
          </w:p>
          <w:p w14:paraId="131EFB9D" w14:textId="37B28F63" w:rsidR="002F0974" w:rsidRPr="00D80B1E" w:rsidRDefault="002F0974">
            <w:pPr>
              <w:pStyle w:val="TableText0"/>
            </w:pPr>
            <w:r w:rsidRPr="00D80B1E">
              <w:t>Decreasing the HR used to 1.176 (i.e., inverse of HR of 0.85; the upper 95% CI</w:t>
            </w:r>
            <w:r w:rsidR="00B35CBF" w:rsidRPr="00D80B1E">
              <w:t xml:space="preserve"> using weighted bootstrap</w:t>
            </w:r>
            <w:r w:rsidRPr="00D80B1E">
              <w:t xml:space="preserve">) increased the ICER </w:t>
            </w:r>
            <w:r w:rsidR="005822E1" w:rsidRPr="005822E1">
              <w:rPr>
                <w:sz w:val="2"/>
                <w:highlight w:val="black"/>
              </w:rPr>
              <w:t>redacted content</w:t>
            </w:r>
            <w:r w:rsidR="00B35CBF" w:rsidRPr="00D80B1E">
              <w:t xml:space="preserve">% </w:t>
            </w:r>
            <w:r w:rsidRPr="00D80B1E">
              <w:t>to $</w:t>
            </w:r>
            <w:r w:rsidR="005822E1" w:rsidRPr="005822E1">
              <w:rPr>
                <w:sz w:val="2"/>
                <w:highlight w:val="black"/>
              </w:rPr>
              <w:t>redacted content</w:t>
            </w:r>
            <w:r w:rsidR="00BE22D9">
              <w:rPr>
                <w:vertAlign w:val="superscript"/>
              </w:rPr>
              <w:t>2</w:t>
            </w:r>
            <w:r w:rsidRPr="00D80B1E">
              <w:t>/QALY gained.</w:t>
            </w:r>
          </w:p>
        </w:tc>
      </w:tr>
      <w:tr w:rsidR="002F0974" w:rsidRPr="0098262F" w14:paraId="06467D21" w14:textId="77777777">
        <w:tc>
          <w:tcPr>
            <w:tcW w:w="784" w:type="pct"/>
            <w:vAlign w:val="center"/>
          </w:tcPr>
          <w:p w14:paraId="7F6DB96C" w14:textId="77777777" w:rsidR="002F0974" w:rsidRDefault="002F0974">
            <w:pPr>
              <w:pStyle w:val="TableText0"/>
            </w:pPr>
            <w:r>
              <w:t>Time horizon</w:t>
            </w:r>
          </w:p>
        </w:tc>
        <w:tc>
          <w:tcPr>
            <w:tcW w:w="2200" w:type="pct"/>
            <w:vAlign w:val="center"/>
          </w:tcPr>
          <w:p w14:paraId="2F6F62B7" w14:textId="3496DB67" w:rsidR="002F0974" w:rsidRPr="00F24C9A" w:rsidRDefault="002F0974">
            <w:pPr>
              <w:pStyle w:val="TableText0"/>
            </w:pPr>
            <w:r w:rsidRPr="00F24C9A">
              <w:t>The base case assumed a time horizon of 30 years. This was uncertain and further exacerbated the uncertainty from the HR used in modelling the treatment effect.</w:t>
            </w:r>
            <w:r w:rsidR="00DC3553">
              <w:t xml:space="preserve"> </w:t>
            </w:r>
            <w:r w:rsidR="00DC3553" w:rsidRPr="00BE20A7">
              <w:t>The Sub-Committees considered that a 15 year time horizon in the base case would be more appropriate.</w:t>
            </w:r>
          </w:p>
        </w:tc>
        <w:tc>
          <w:tcPr>
            <w:tcW w:w="2016" w:type="pct"/>
            <w:vAlign w:val="center"/>
          </w:tcPr>
          <w:p w14:paraId="5F2AD155" w14:textId="77777777" w:rsidR="002F0974" w:rsidRPr="00D80B1E" w:rsidRDefault="002F0974">
            <w:pPr>
              <w:pStyle w:val="TableText0"/>
            </w:pPr>
            <w:r w:rsidRPr="00D80B1E">
              <w:t>Very high, favoured loncastuximab tesirine</w:t>
            </w:r>
          </w:p>
          <w:p w14:paraId="08AD9554" w14:textId="7F0B6686" w:rsidR="002F0974" w:rsidRPr="00D80B1E" w:rsidRDefault="002F0974">
            <w:pPr>
              <w:pStyle w:val="TableText0"/>
            </w:pPr>
            <w:r w:rsidRPr="00D80B1E">
              <w:t>Assuming a time horizon of 10 years increased the ICER</w:t>
            </w:r>
            <w:r w:rsidR="00B35CBF" w:rsidRPr="00D80B1E">
              <w:t xml:space="preserve"> </w:t>
            </w:r>
            <w:r w:rsidR="005822E1" w:rsidRPr="005822E1">
              <w:rPr>
                <w:sz w:val="2"/>
                <w:highlight w:val="black"/>
              </w:rPr>
              <w:t>redacted content</w:t>
            </w:r>
            <w:r w:rsidR="00B35CBF" w:rsidRPr="00D80B1E">
              <w:t>%</w:t>
            </w:r>
            <w:r w:rsidRPr="00D80B1E">
              <w:t xml:space="preserve"> to $</w:t>
            </w:r>
            <w:r w:rsidR="005822E1" w:rsidRPr="005822E1">
              <w:rPr>
                <w:sz w:val="2"/>
                <w:highlight w:val="black"/>
              </w:rPr>
              <w:t>redacted content</w:t>
            </w:r>
            <w:r w:rsidR="00406837">
              <w:rPr>
                <w:vertAlign w:val="superscript"/>
              </w:rPr>
              <w:t>2</w:t>
            </w:r>
            <w:r w:rsidRPr="00D80B1E">
              <w:t>/QALY gained</w:t>
            </w:r>
            <w:r w:rsidR="00B35CBF" w:rsidRPr="00D80B1E">
              <w:t>.</w:t>
            </w:r>
          </w:p>
        </w:tc>
      </w:tr>
      <w:tr w:rsidR="002F0974" w:rsidRPr="0098262F" w14:paraId="0A6EC984" w14:textId="77777777">
        <w:tc>
          <w:tcPr>
            <w:tcW w:w="784" w:type="pct"/>
            <w:vAlign w:val="center"/>
          </w:tcPr>
          <w:p w14:paraId="593B04A6" w14:textId="77777777" w:rsidR="002F0974" w:rsidRDefault="002F0974">
            <w:pPr>
              <w:pStyle w:val="TableText0"/>
            </w:pPr>
            <w:r>
              <w:t>R-ICE drug costs</w:t>
            </w:r>
          </w:p>
        </w:tc>
        <w:tc>
          <w:tcPr>
            <w:tcW w:w="2200" w:type="pct"/>
            <w:vAlign w:val="center"/>
          </w:tcPr>
          <w:p w14:paraId="482E2DD8" w14:textId="5DCE1895" w:rsidR="002F0974" w:rsidRPr="002E0B47" w:rsidRDefault="002F0974">
            <w:pPr>
              <w:pStyle w:val="TableText0"/>
            </w:pPr>
            <w:r w:rsidRPr="002E0B47">
              <w:t xml:space="preserve">The base case applied the HR for OS to the </w:t>
            </w:r>
            <w:proofErr w:type="spellStart"/>
            <w:r w:rsidRPr="002E0B47">
              <w:t>ToT</w:t>
            </w:r>
            <w:proofErr w:type="spellEnd"/>
            <w:r w:rsidRPr="002E0B47">
              <w:t xml:space="preserve"> curve from LOTIS-2 to estimate the </w:t>
            </w:r>
            <w:proofErr w:type="spellStart"/>
            <w:r w:rsidRPr="002E0B47">
              <w:t>ToT</w:t>
            </w:r>
            <w:proofErr w:type="spellEnd"/>
            <w:r w:rsidRPr="002E0B47">
              <w:t xml:space="preserve"> curve for patients on R-ICE. </w:t>
            </w:r>
            <w:r w:rsidR="00F47FCD" w:rsidRPr="00BE20A7">
              <w:t xml:space="preserve">The Sub-Committees agreed with the evaluation that </w:t>
            </w:r>
            <w:r w:rsidR="00F47FCD" w:rsidRPr="00BE20A7">
              <w:rPr>
                <w:szCs w:val="20"/>
              </w:rPr>
              <w:t>a</w:t>
            </w:r>
            <w:r w:rsidRPr="002E0B47">
              <w:rPr>
                <w:szCs w:val="20"/>
              </w:rPr>
              <w:t xml:space="preserve"> more appropriate approach might be to cost R-ICE by assuming a fixed treatment duration for all patients based on the dosing schedule.</w:t>
            </w:r>
          </w:p>
        </w:tc>
        <w:tc>
          <w:tcPr>
            <w:tcW w:w="2016" w:type="pct"/>
            <w:vAlign w:val="center"/>
          </w:tcPr>
          <w:p w14:paraId="2EA193A2" w14:textId="77777777" w:rsidR="002F0974" w:rsidRPr="00D80B1E" w:rsidRDefault="002F0974">
            <w:pPr>
              <w:pStyle w:val="TableText0"/>
            </w:pPr>
            <w:r w:rsidRPr="00D80B1E">
              <w:t>Moderate, favoured chemoimmunotherapy.</w:t>
            </w:r>
          </w:p>
          <w:p w14:paraId="07A9715E" w14:textId="75452B71" w:rsidR="002F0974" w:rsidRPr="00D80B1E" w:rsidRDefault="002F0974">
            <w:pPr>
              <w:pStyle w:val="TableText0"/>
            </w:pPr>
            <w:r w:rsidRPr="00D80B1E">
              <w:t xml:space="preserve">Assuming 100% of patients in the comparator arm received R-ICE for 3 cycles decreased the ICER </w:t>
            </w:r>
            <w:r w:rsidR="005822E1" w:rsidRPr="005822E1">
              <w:rPr>
                <w:sz w:val="2"/>
                <w:highlight w:val="black"/>
              </w:rPr>
              <w:t>redacted content</w:t>
            </w:r>
            <w:r w:rsidR="00B35CBF" w:rsidRPr="00D80B1E">
              <w:t xml:space="preserve">% </w:t>
            </w:r>
            <w:r w:rsidRPr="00D80B1E">
              <w:t>to $</w:t>
            </w:r>
            <w:r w:rsidR="005822E1" w:rsidRPr="005822E1">
              <w:rPr>
                <w:sz w:val="2"/>
                <w:highlight w:val="black"/>
              </w:rPr>
              <w:t>redacted content</w:t>
            </w:r>
            <w:r w:rsidR="00832AEE">
              <w:rPr>
                <w:vertAlign w:val="superscript"/>
              </w:rPr>
              <w:t>3</w:t>
            </w:r>
            <w:r w:rsidRPr="00D80B1E">
              <w:t>/QALY gained</w:t>
            </w:r>
            <w:r w:rsidR="00B35CBF" w:rsidRPr="00D80B1E">
              <w:t>.</w:t>
            </w:r>
          </w:p>
        </w:tc>
      </w:tr>
      <w:tr w:rsidR="002F0974" w:rsidRPr="0098262F" w14:paraId="6E6E6A80" w14:textId="77777777">
        <w:tc>
          <w:tcPr>
            <w:tcW w:w="784" w:type="pct"/>
            <w:vAlign w:val="center"/>
          </w:tcPr>
          <w:p w14:paraId="5735806E" w14:textId="77777777" w:rsidR="002F0974" w:rsidRPr="00277BFB" w:rsidRDefault="002F0974">
            <w:pPr>
              <w:pStyle w:val="TableText0"/>
            </w:pPr>
            <w:r w:rsidRPr="00277BFB">
              <w:t>Utility for cured patients</w:t>
            </w:r>
          </w:p>
        </w:tc>
        <w:tc>
          <w:tcPr>
            <w:tcW w:w="2200" w:type="pct"/>
            <w:vAlign w:val="center"/>
          </w:tcPr>
          <w:p w14:paraId="3A8CCDA2" w14:textId="77777777" w:rsidR="002F0974" w:rsidRPr="002E0B47" w:rsidRDefault="002F0974">
            <w:pPr>
              <w:pStyle w:val="TableText0"/>
            </w:pPr>
            <w:r w:rsidRPr="002E0B47">
              <w:t>The base case assumed a utility value of 0.88 for cured patients, based on Australian population norm utility.</w:t>
            </w:r>
          </w:p>
        </w:tc>
        <w:tc>
          <w:tcPr>
            <w:tcW w:w="2016" w:type="pct"/>
            <w:vAlign w:val="center"/>
          </w:tcPr>
          <w:p w14:paraId="46B9993E" w14:textId="4CEBB58C" w:rsidR="002F0974" w:rsidRPr="00D80B1E" w:rsidRDefault="002F0974">
            <w:pPr>
              <w:pStyle w:val="TableText0"/>
            </w:pPr>
            <w:r w:rsidRPr="00D80B1E">
              <w:t>Moderate, favoured loncastuximab tesirine</w:t>
            </w:r>
            <w:r w:rsidR="002E0B47" w:rsidRPr="00D80B1E">
              <w:t>.</w:t>
            </w:r>
          </w:p>
          <w:p w14:paraId="5938ADBF" w14:textId="68BF05FE" w:rsidR="002F0974" w:rsidRPr="00D80B1E" w:rsidRDefault="002F0974">
            <w:pPr>
              <w:pStyle w:val="TableText0"/>
            </w:pPr>
            <w:r w:rsidRPr="00D80B1E">
              <w:t xml:space="preserve">Assuming a </w:t>
            </w:r>
            <w:r w:rsidR="00644E97" w:rsidRPr="00D80B1E">
              <w:t xml:space="preserve">10% decrease in utility </w:t>
            </w:r>
            <w:r w:rsidRPr="00D80B1E">
              <w:t xml:space="preserve">for cured patients, increased the ICER </w:t>
            </w:r>
            <w:r w:rsidR="005822E1" w:rsidRPr="005822E1">
              <w:rPr>
                <w:sz w:val="2"/>
                <w:highlight w:val="black"/>
              </w:rPr>
              <w:t>redacted content</w:t>
            </w:r>
            <w:r w:rsidR="00B35CBF" w:rsidRPr="00D80B1E">
              <w:t xml:space="preserve">% </w:t>
            </w:r>
            <w:r w:rsidRPr="00D80B1E">
              <w:t>to $</w:t>
            </w:r>
            <w:r w:rsidR="005822E1" w:rsidRPr="005822E1">
              <w:rPr>
                <w:sz w:val="2"/>
                <w:highlight w:val="black"/>
              </w:rPr>
              <w:t>redacted content</w:t>
            </w:r>
            <w:r w:rsidR="00832AEE">
              <w:rPr>
                <w:vertAlign w:val="superscript"/>
              </w:rPr>
              <w:t>1</w:t>
            </w:r>
            <w:r w:rsidRPr="00D80B1E">
              <w:t>/QALY gained.</w:t>
            </w:r>
          </w:p>
        </w:tc>
      </w:tr>
    </w:tbl>
    <w:p w14:paraId="098BF324" w14:textId="77777777" w:rsidR="002F0974" w:rsidRPr="00D80B1E" w:rsidRDefault="002F0974" w:rsidP="002F0974">
      <w:pPr>
        <w:pStyle w:val="FooterTableFigure"/>
      </w:pPr>
      <w:r w:rsidRPr="00D80B1E">
        <w:t>Source: compiled during the evaluation.</w:t>
      </w:r>
    </w:p>
    <w:p w14:paraId="58FB682B" w14:textId="77777777" w:rsidR="002F0974" w:rsidRDefault="002F0974" w:rsidP="00665F3E">
      <w:pPr>
        <w:pStyle w:val="FooterTableFigure"/>
        <w:spacing w:after="0"/>
        <w:rPr>
          <w:szCs w:val="18"/>
        </w:rPr>
      </w:pPr>
      <w:r w:rsidRPr="00A21FF0">
        <w:rPr>
          <w:szCs w:val="18"/>
        </w:rPr>
        <w:t xml:space="preserve">HR = hazard ratio; </w:t>
      </w:r>
      <w:r>
        <w:rPr>
          <w:szCs w:val="18"/>
        </w:rPr>
        <w:t xml:space="preserve">MAIC = matching adjusted indirect comparison; </w:t>
      </w:r>
      <w:r w:rsidRPr="00A21FF0">
        <w:rPr>
          <w:szCs w:val="18"/>
        </w:rPr>
        <w:t xml:space="preserve">OS = overall survival; R-ICE = rituximab, ifosfamide, carboplatin, etoposide; </w:t>
      </w:r>
      <w:proofErr w:type="spellStart"/>
      <w:r w:rsidRPr="00A21FF0">
        <w:rPr>
          <w:szCs w:val="18"/>
        </w:rPr>
        <w:t>ToT</w:t>
      </w:r>
      <w:proofErr w:type="spellEnd"/>
      <w:r w:rsidRPr="00A21FF0">
        <w:rPr>
          <w:szCs w:val="18"/>
        </w:rPr>
        <w:t xml:space="preserve"> = time on treatment.</w:t>
      </w:r>
    </w:p>
    <w:p w14:paraId="497318BE" w14:textId="77777777" w:rsidR="00665F3E" w:rsidRPr="00665F3E" w:rsidRDefault="00665F3E" w:rsidP="00665F3E">
      <w:pPr>
        <w:jc w:val="left"/>
        <w:rPr>
          <w:rFonts w:ascii="Arial Narrow" w:hAnsi="Arial Narrow"/>
          <w:i/>
          <w:sz w:val="18"/>
          <w:szCs w:val="18"/>
        </w:rPr>
      </w:pPr>
      <w:r w:rsidRPr="00665F3E">
        <w:rPr>
          <w:rFonts w:ascii="Arial Narrow" w:hAnsi="Arial Narrow"/>
          <w:i/>
          <w:sz w:val="18"/>
          <w:szCs w:val="18"/>
        </w:rPr>
        <w:t xml:space="preserve">The redacted values correspond to the following ranges: </w:t>
      </w:r>
    </w:p>
    <w:p w14:paraId="5F891188" w14:textId="1E3A6D7E" w:rsidR="00665F3E" w:rsidRPr="00665F3E" w:rsidRDefault="00665F3E" w:rsidP="00665F3E">
      <w:pPr>
        <w:jc w:val="left"/>
        <w:rPr>
          <w:rFonts w:ascii="Arial Narrow" w:hAnsi="Arial Narrow"/>
          <w:i/>
          <w:sz w:val="18"/>
          <w:szCs w:val="18"/>
        </w:rPr>
      </w:pPr>
      <w:r w:rsidRPr="00665F3E">
        <w:rPr>
          <w:rFonts w:ascii="Arial Narrow" w:hAnsi="Arial Narrow"/>
          <w:i/>
          <w:sz w:val="18"/>
          <w:szCs w:val="18"/>
          <w:vertAlign w:val="superscript"/>
        </w:rPr>
        <w:t>1</w:t>
      </w:r>
      <w:r w:rsidRPr="00665F3E">
        <w:rPr>
          <w:rFonts w:ascii="Arial Narrow" w:hAnsi="Arial Narrow"/>
          <w:i/>
          <w:sz w:val="18"/>
          <w:szCs w:val="18"/>
        </w:rPr>
        <w:t xml:space="preserve"> </w:t>
      </w:r>
      <w:r w:rsidR="00C775CC" w:rsidRPr="00C775CC">
        <w:rPr>
          <w:rFonts w:ascii="Arial Narrow" w:hAnsi="Arial Narrow"/>
          <w:i/>
          <w:sz w:val="18"/>
          <w:szCs w:val="18"/>
        </w:rPr>
        <w:t xml:space="preserve">$95,000 to &lt; $115,000 </w:t>
      </w:r>
    </w:p>
    <w:p w14:paraId="28726673" w14:textId="5BB3390C" w:rsidR="00665F3E" w:rsidRPr="00665F3E" w:rsidRDefault="00665F3E" w:rsidP="00665F3E">
      <w:pPr>
        <w:jc w:val="left"/>
        <w:rPr>
          <w:rFonts w:ascii="Arial Narrow" w:hAnsi="Arial Narrow"/>
          <w:i/>
          <w:sz w:val="18"/>
          <w:szCs w:val="18"/>
        </w:rPr>
      </w:pPr>
      <w:r w:rsidRPr="00665F3E">
        <w:rPr>
          <w:rFonts w:ascii="Arial Narrow" w:hAnsi="Arial Narrow"/>
          <w:i/>
          <w:sz w:val="18"/>
          <w:szCs w:val="18"/>
          <w:vertAlign w:val="superscript"/>
        </w:rPr>
        <w:t>2</w:t>
      </w:r>
      <w:r w:rsidRPr="00665F3E">
        <w:rPr>
          <w:rFonts w:ascii="Arial Narrow" w:hAnsi="Arial Narrow"/>
          <w:i/>
          <w:sz w:val="18"/>
          <w:szCs w:val="18"/>
        </w:rPr>
        <w:t xml:space="preserve"> </w:t>
      </w:r>
      <w:r w:rsidR="00BE22D9" w:rsidRPr="00BE22D9">
        <w:rPr>
          <w:rFonts w:ascii="Arial Narrow" w:hAnsi="Arial Narrow"/>
          <w:i/>
          <w:sz w:val="18"/>
          <w:szCs w:val="18"/>
        </w:rPr>
        <w:t>$155,000 to &lt; $255,000</w:t>
      </w:r>
    </w:p>
    <w:p w14:paraId="6CE99334" w14:textId="67CBD54A" w:rsidR="00665F3E" w:rsidRPr="00086778" w:rsidRDefault="00665F3E" w:rsidP="00832AEE">
      <w:pPr>
        <w:jc w:val="left"/>
      </w:pPr>
      <w:r w:rsidRPr="00665F3E">
        <w:rPr>
          <w:rFonts w:ascii="Arial Narrow" w:hAnsi="Arial Narrow"/>
          <w:i/>
          <w:sz w:val="18"/>
          <w:szCs w:val="18"/>
          <w:vertAlign w:val="superscript"/>
        </w:rPr>
        <w:t>3</w:t>
      </w:r>
      <w:r w:rsidRPr="00665F3E">
        <w:rPr>
          <w:rFonts w:ascii="Arial Narrow" w:hAnsi="Arial Narrow"/>
          <w:i/>
          <w:sz w:val="18"/>
          <w:szCs w:val="18"/>
        </w:rPr>
        <w:t xml:space="preserve"> </w:t>
      </w:r>
      <w:r w:rsidR="00832AEE" w:rsidRPr="00832AEE">
        <w:rPr>
          <w:rFonts w:ascii="Arial Narrow" w:hAnsi="Arial Narrow"/>
          <w:i/>
          <w:sz w:val="18"/>
          <w:szCs w:val="18"/>
        </w:rPr>
        <w:t>$75,000 to &lt; $95,000</w:t>
      </w:r>
    </w:p>
    <w:p w14:paraId="3FD82D63" w14:textId="0A4615FD" w:rsidR="002F0974" w:rsidRDefault="002F0974" w:rsidP="002F0974">
      <w:pPr>
        <w:pStyle w:val="3-BodyText"/>
        <w:numPr>
          <w:ilvl w:val="1"/>
          <w:numId w:val="1"/>
        </w:numPr>
        <w:rPr>
          <w:snapToGrid w:val="0"/>
        </w:rPr>
      </w:pPr>
      <w:r>
        <w:rPr>
          <w:snapToGrid w:val="0"/>
        </w:rPr>
        <w:fldChar w:fldCharType="begin"/>
      </w:r>
      <w:r>
        <w:rPr>
          <w:snapToGrid w:val="0"/>
        </w:rPr>
        <w:instrText xml:space="preserve"> REF _Ref219128806 \h </w:instrText>
      </w:r>
      <w:r>
        <w:rPr>
          <w:snapToGrid w:val="0"/>
        </w:rPr>
      </w:r>
      <w:r>
        <w:rPr>
          <w:snapToGrid w:val="0"/>
        </w:rPr>
        <w:fldChar w:fldCharType="separate"/>
      </w:r>
      <w:r w:rsidR="007D33FD">
        <w:t xml:space="preserve">Table </w:t>
      </w:r>
      <w:r w:rsidR="007D33FD">
        <w:rPr>
          <w:noProof/>
        </w:rPr>
        <w:t>15</w:t>
      </w:r>
      <w:r>
        <w:rPr>
          <w:snapToGrid w:val="0"/>
        </w:rPr>
        <w:fldChar w:fldCharType="end"/>
      </w:r>
      <w:r>
        <w:rPr>
          <w:snapToGrid w:val="0"/>
        </w:rPr>
        <w:t xml:space="preserve"> p</w:t>
      </w:r>
      <w:r w:rsidRPr="00002E37">
        <w:rPr>
          <w:snapToGrid w:val="0"/>
        </w:rPr>
        <w:t>resents the results of the stepped economic evaluation.</w:t>
      </w:r>
    </w:p>
    <w:p w14:paraId="6351FACA" w14:textId="452A2BDD" w:rsidR="002F0974" w:rsidRPr="00E5731D" w:rsidRDefault="002F0974" w:rsidP="002F0974">
      <w:pPr>
        <w:pStyle w:val="Caption"/>
        <w:rPr>
          <w:rStyle w:val="CommentReference"/>
          <w:b/>
          <w:szCs w:val="18"/>
        </w:rPr>
      </w:pPr>
      <w:bookmarkStart w:id="63" w:name="_Ref219128806"/>
      <w:r>
        <w:lastRenderedPageBreak/>
        <w:t xml:space="preserve">Table </w:t>
      </w:r>
      <w:r>
        <w:fldChar w:fldCharType="begin"/>
      </w:r>
      <w:r>
        <w:instrText>SEQ Table \* ARABIC</w:instrText>
      </w:r>
      <w:r>
        <w:fldChar w:fldCharType="separate"/>
      </w:r>
      <w:r w:rsidR="007D33FD">
        <w:rPr>
          <w:noProof/>
        </w:rPr>
        <w:t>15</w:t>
      </w:r>
      <w:r>
        <w:fldChar w:fldCharType="end"/>
      </w:r>
      <w:bookmarkEnd w:id="63"/>
      <w:r w:rsidRPr="0098262F">
        <w:rPr>
          <w:rStyle w:val="CommentReference"/>
          <w:b/>
          <w:szCs w:val="24"/>
        </w:rPr>
        <w:t>: Results of the stepped economic evaluation</w:t>
      </w:r>
      <w:r>
        <w:rPr>
          <w:rStyle w:val="CommentReference"/>
          <w:b/>
          <w:szCs w:val="24"/>
        </w:rPr>
        <w:t xml:space="preserve"> (discounted costs and outcomes)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Results of the stepped economic evaluation (discounted costs and outcomes)"/>
      </w:tblPr>
      <w:tblGrid>
        <w:gridCol w:w="2757"/>
        <w:gridCol w:w="2058"/>
        <w:gridCol w:w="2409"/>
        <w:gridCol w:w="1793"/>
      </w:tblGrid>
      <w:tr w:rsidR="002F0974" w:rsidRPr="0098262F" w14:paraId="76196414" w14:textId="77777777">
        <w:trPr>
          <w:tblHeader/>
        </w:trPr>
        <w:tc>
          <w:tcPr>
            <w:tcW w:w="1529" w:type="pct"/>
            <w:vAlign w:val="center"/>
          </w:tcPr>
          <w:p w14:paraId="5B0F10B1" w14:textId="77777777" w:rsidR="002F0974" w:rsidRPr="0098262F" w:rsidRDefault="002F0974">
            <w:pPr>
              <w:pStyle w:val="In-tableHeading"/>
              <w:rPr>
                <w:lang w:val="en-AU"/>
              </w:rPr>
            </w:pPr>
            <w:r w:rsidRPr="0098262F">
              <w:rPr>
                <w:lang w:val="en-AU"/>
              </w:rPr>
              <w:t>Step and component</w:t>
            </w:r>
          </w:p>
        </w:tc>
        <w:tc>
          <w:tcPr>
            <w:tcW w:w="1141" w:type="pct"/>
            <w:vAlign w:val="center"/>
          </w:tcPr>
          <w:p w14:paraId="6C00330F" w14:textId="77777777" w:rsidR="002F0974" w:rsidRPr="0098262F" w:rsidRDefault="002F0974">
            <w:pPr>
              <w:pStyle w:val="In-tableHeading"/>
              <w:jc w:val="center"/>
              <w:rPr>
                <w:lang w:val="en-AU"/>
              </w:rPr>
            </w:pPr>
            <w:r>
              <w:rPr>
                <w:lang w:val="en-AU"/>
              </w:rPr>
              <w:t>Loncastuximab tesirine</w:t>
            </w:r>
          </w:p>
        </w:tc>
        <w:tc>
          <w:tcPr>
            <w:tcW w:w="1336" w:type="pct"/>
            <w:vAlign w:val="center"/>
          </w:tcPr>
          <w:p w14:paraId="5EB3C1B4" w14:textId="77777777" w:rsidR="002F0974" w:rsidRPr="0098262F" w:rsidRDefault="002F0974">
            <w:pPr>
              <w:pStyle w:val="In-tableHeading"/>
              <w:jc w:val="center"/>
              <w:rPr>
                <w:lang w:val="en-AU"/>
              </w:rPr>
            </w:pPr>
            <w:r w:rsidRPr="0098262F">
              <w:rPr>
                <w:lang w:val="en-AU"/>
              </w:rPr>
              <w:t>Comparator</w:t>
            </w:r>
          </w:p>
        </w:tc>
        <w:tc>
          <w:tcPr>
            <w:tcW w:w="994" w:type="pct"/>
            <w:vAlign w:val="center"/>
          </w:tcPr>
          <w:p w14:paraId="311B0EF4" w14:textId="77777777" w:rsidR="002F0974" w:rsidRPr="0098262F" w:rsidRDefault="002F0974">
            <w:pPr>
              <w:pStyle w:val="In-tableHeading"/>
              <w:jc w:val="center"/>
              <w:rPr>
                <w:lang w:val="en-AU"/>
              </w:rPr>
            </w:pPr>
            <w:r w:rsidRPr="0098262F">
              <w:rPr>
                <w:lang w:val="en-AU"/>
              </w:rPr>
              <w:t>Increment</w:t>
            </w:r>
          </w:p>
        </w:tc>
      </w:tr>
      <w:tr w:rsidR="002F0974" w:rsidRPr="0098262F" w14:paraId="643B77F6" w14:textId="77777777">
        <w:tc>
          <w:tcPr>
            <w:tcW w:w="5000" w:type="pct"/>
            <w:gridSpan w:val="4"/>
            <w:vAlign w:val="center"/>
          </w:tcPr>
          <w:p w14:paraId="4721515F" w14:textId="77777777" w:rsidR="002F0974" w:rsidRPr="0098262F" w:rsidRDefault="002F0974">
            <w:pPr>
              <w:pStyle w:val="TableText0"/>
            </w:pPr>
            <w:r w:rsidRPr="00B25EF6">
              <w:rPr>
                <w:b/>
                <w:bCs w:val="0"/>
              </w:rPr>
              <w:t>Step 1: Trial</w:t>
            </w:r>
            <w:r w:rsidRPr="004E3CE0">
              <w:rPr>
                <w:b/>
                <w:bCs w:val="0"/>
              </w:rPr>
              <w:t xml:space="preserve">-based costs and outcomes: time horizon of </w:t>
            </w:r>
            <w:r>
              <w:rPr>
                <w:b/>
                <w:bCs w:val="0"/>
              </w:rPr>
              <w:t>3 years (discounted)</w:t>
            </w:r>
          </w:p>
        </w:tc>
      </w:tr>
      <w:tr w:rsidR="002F0974" w:rsidRPr="0098262F" w14:paraId="015EED8D" w14:textId="77777777">
        <w:tc>
          <w:tcPr>
            <w:tcW w:w="1529" w:type="pct"/>
            <w:vAlign w:val="center"/>
          </w:tcPr>
          <w:p w14:paraId="5875F906" w14:textId="77777777" w:rsidR="002F0974" w:rsidRPr="0098262F" w:rsidRDefault="002F0974">
            <w:pPr>
              <w:pStyle w:val="TableText0"/>
              <w:rPr>
                <w:rFonts w:ascii="Times" w:hAnsi="Times"/>
              </w:rPr>
            </w:pPr>
            <w:r w:rsidRPr="0098262F">
              <w:t>Costs</w:t>
            </w:r>
          </w:p>
        </w:tc>
        <w:tc>
          <w:tcPr>
            <w:tcW w:w="1141" w:type="pct"/>
            <w:vAlign w:val="center"/>
          </w:tcPr>
          <w:p w14:paraId="40DF4128" w14:textId="0EB26E46" w:rsidR="002F0974" w:rsidRPr="0098262F" w:rsidRDefault="002F0974">
            <w:pPr>
              <w:pStyle w:val="TableText0"/>
              <w:jc w:val="center"/>
              <w:rPr>
                <w:rFonts w:ascii="Times" w:hAnsi="Times"/>
              </w:rPr>
            </w:pPr>
            <w:r w:rsidRPr="0098262F">
              <w:t>$</w:t>
            </w:r>
            <w:r w:rsidR="005822E1" w:rsidRPr="005822E1">
              <w:rPr>
                <w:sz w:val="2"/>
                <w:highlight w:val="black"/>
              </w:rPr>
              <w:t>redacted content</w:t>
            </w:r>
          </w:p>
        </w:tc>
        <w:tc>
          <w:tcPr>
            <w:tcW w:w="1336" w:type="pct"/>
            <w:vAlign w:val="center"/>
          </w:tcPr>
          <w:p w14:paraId="4FD37D89" w14:textId="77777777" w:rsidR="002F0974" w:rsidRPr="0098262F" w:rsidRDefault="002F0974">
            <w:pPr>
              <w:pStyle w:val="TableText0"/>
              <w:jc w:val="center"/>
              <w:rPr>
                <w:rFonts w:ascii="Times" w:hAnsi="Times"/>
              </w:rPr>
            </w:pPr>
            <w:r w:rsidRPr="0098262F">
              <w:t>$</w:t>
            </w:r>
            <w:r>
              <w:t>9,661.18</w:t>
            </w:r>
          </w:p>
        </w:tc>
        <w:tc>
          <w:tcPr>
            <w:tcW w:w="994" w:type="pct"/>
            <w:vAlign w:val="center"/>
          </w:tcPr>
          <w:p w14:paraId="7F83E115" w14:textId="3CE78E7C" w:rsidR="002F0974" w:rsidRPr="0098262F" w:rsidRDefault="002F0974">
            <w:pPr>
              <w:pStyle w:val="TableText0"/>
              <w:jc w:val="center"/>
              <w:rPr>
                <w:rFonts w:ascii="Times" w:hAnsi="Times"/>
              </w:rPr>
            </w:pPr>
            <w:r w:rsidRPr="0098262F">
              <w:t>$</w:t>
            </w:r>
            <w:r w:rsidR="005822E1" w:rsidRPr="005822E1">
              <w:rPr>
                <w:sz w:val="2"/>
                <w:highlight w:val="black"/>
              </w:rPr>
              <w:t>redacted content</w:t>
            </w:r>
          </w:p>
        </w:tc>
      </w:tr>
      <w:tr w:rsidR="002F0974" w:rsidRPr="0098262F" w14:paraId="302C3C94" w14:textId="77777777">
        <w:tc>
          <w:tcPr>
            <w:tcW w:w="1529" w:type="pct"/>
            <w:vAlign w:val="center"/>
          </w:tcPr>
          <w:p w14:paraId="31CBE4B5" w14:textId="77777777" w:rsidR="002F0974" w:rsidRPr="0098262F" w:rsidRDefault="002F0974">
            <w:pPr>
              <w:pStyle w:val="TableText0"/>
              <w:rPr>
                <w:rFonts w:ascii="Times" w:hAnsi="Times"/>
              </w:rPr>
            </w:pPr>
            <w:r w:rsidRPr="0098262F">
              <w:t>LYG</w:t>
            </w:r>
          </w:p>
        </w:tc>
        <w:tc>
          <w:tcPr>
            <w:tcW w:w="1141" w:type="pct"/>
            <w:vAlign w:val="center"/>
          </w:tcPr>
          <w:p w14:paraId="7611CD37" w14:textId="77777777" w:rsidR="002F0974" w:rsidRPr="0098262F" w:rsidRDefault="002F0974">
            <w:pPr>
              <w:pStyle w:val="TableText0"/>
              <w:jc w:val="center"/>
              <w:rPr>
                <w:rFonts w:ascii="Times" w:hAnsi="Times"/>
              </w:rPr>
            </w:pPr>
            <w:r>
              <w:t>1.219</w:t>
            </w:r>
          </w:p>
        </w:tc>
        <w:tc>
          <w:tcPr>
            <w:tcW w:w="1336" w:type="pct"/>
            <w:vAlign w:val="center"/>
          </w:tcPr>
          <w:p w14:paraId="23FABE0A" w14:textId="77777777" w:rsidR="002F0974" w:rsidRPr="0098262F" w:rsidRDefault="002F0974">
            <w:pPr>
              <w:pStyle w:val="TableText0"/>
              <w:jc w:val="center"/>
              <w:rPr>
                <w:rFonts w:ascii="Times" w:hAnsi="Times"/>
              </w:rPr>
            </w:pPr>
            <w:r>
              <w:t>0.86</w:t>
            </w:r>
          </w:p>
        </w:tc>
        <w:tc>
          <w:tcPr>
            <w:tcW w:w="994" w:type="pct"/>
            <w:vAlign w:val="center"/>
          </w:tcPr>
          <w:p w14:paraId="65595C06" w14:textId="77777777" w:rsidR="002F0974" w:rsidRPr="0098262F" w:rsidRDefault="002F0974">
            <w:pPr>
              <w:pStyle w:val="TableText0"/>
              <w:jc w:val="center"/>
            </w:pPr>
            <w:r>
              <w:t>0.359</w:t>
            </w:r>
          </w:p>
        </w:tc>
      </w:tr>
      <w:tr w:rsidR="002F0974" w:rsidRPr="0098262F" w14:paraId="266E3C83" w14:textId="77777777">
        <w:tc>
          <w:tcPr>
            <w:tcW w:w="4006" w:type="pct"/>
            <w:gridSpan w:val="3"/>
            <w:vAlign w:val="center"/>
          </w:tcPr>
          <w:p w14:paraId="2C1CD0E9" w14:textId="77777777" w:rsidR="002F0974" w:rsidRPr="0098262F" w:rsidRDefault="002F0974">
            <w:pPr>
              <w:pStyle w:val="TableText0"/>
              <w:rPr>
                <w:rFonts w:ascii="Times" w:hAnsi="Times"/>
              </w:rPr>
            </w:pPr>
            <w:r w:rsidRPr="0098262F">
              <w:t>Incremental cost/extra LYG gained</w:t>
            </w:r>
          </w:p>
        </w:tc>
        <w:tc>
          <w:tcPr>
            <w:tcW w:w="994" w:type="pct"/>
            <w:vAlign w:val="center"/>
          </w:tcPr>
          <w:p w14:paraId="688737A2" w14:textId="58783FCA" w:rsidR="002F0974" w:rsidRPr="00C31B30" w:rsidRDefault="002F0974">
            <w:pPr>
              <w:pStyle w:val="TableText0"/>
              <w:jc w:val="center"/>
              <w:rPr>
                <w:rFonts w:ascii="Times" w:hAnsi="Times"/>
                <w:vertAlign w:val="superscript"/>
              </w:rPr>
            </w:pPr>
            <w:r w:rsidRPr="0098262F">
              <w:t>$</w:t>
            </w:r>
            <w:r w:rsidR="005822E1" w:rsidRPr="005822E1">
              <w:rPr>
                <w:sz w:val="2"/>
                <w:highlight w:val="black"/>
              </w:rPr>
              <w:t>redacted content</w:t>
            </w:r>
            <w:r w:rsidR="00C31B30">
              <w:rPr>
                <w:vertAlign w:val="superscript"/>
              </w:rPr>
              <w:t>1</w:t>
            </w:r>
          </w:p>
        </w:tc>
      </w:tr>
      <w:tr w:rsidR="002F0974" w:rsidRPr="0098262F" w14:paraId="174223F6" w14:textId="77777777">
        <w:tc>
          <w:tcPr>
            <w:tcW w:w="5000" w:type="pct"/>
            <w:gridSpan w:val="4"/>
            <w:vAlign w:val="center"/>
          </w:tcPr>
          <w:p w14:paraId="6E142E53" w14:textId="77777777" w:rsidR="002F0974" w:rsidRPr="0098262F" w:rsidRDefault="002F0974">
            <w:pPr>
              <w:pStyle w:val="In-tableHeading"/>
              <w:rPr>
                <w:lang w:val="en-AU"/>
              </w:rPr>
            </w:pPr>
            <w:r w:rsidRPr="0098262F">
              <w:rPr>
                <w:lang w:val="en-AU"/>
              </w:rPr>
              <w:t xml:space="preserve">Step 2: time horizon extended to </w:t>
            </w:r>
            <w:r>
              <w:rPr>
                <w:lang w:val="en-AU"/>
              </w:rPr>
              <w:t>3</w:t>
            </w:r>
            <w:r w:rsidRPr="0098262F">
              <w:rPr>
                <w:lang w:val="en-AU"/>
              </w:rPr>
              <w:t>0 years</w:t>
            </w:r>
            <w:r>
              <w:rPr>
                <w:lang w:val="en-AU"/>
              </w:rPr>
              <w:t xml:space="preserve"> (discounted)</w:t>
            </w:r>
          </w:p>
        </w:tc>
      </w:tr>
      <w:tr w:rsidR="002F0974" w:rsidRPr="0098262F" w14:paraId="2076C59E" w14:textId="77777777">
        <w:tc>
          <w:tcPr>
            <w:tcW w:w="1529" w:type="pct"/>
            <w:vAlign w:val="center"/>
          </w:tcPr>
          <w:p w14:paraId="5F6A46F1" w14:textId="77777777" w:rsidR="002F0974" w:rsidRPr="0098262F" w:rsidRDefault="002F0974">
            <w:pPr>
              <w:pStyle w:val="TableText0"/>
              <w:rPr>
                <w:rFonts w:ascii="Times" w:hAnsi="Times"/>
              </w:rPr>
            </w:pPr>
            <w:r w:rsidRPr="0098262F">
              <w:t>Costs</w:t>
            </w:r>
          </w:p>
        </w:tc>
        <w:tc>
          <w:tcPr>
            <w:tcW w:w="1141" w:type="pct"/>
            <w:vAlign w:val="center"/>
          </w:tcPr>
          <w:p w14:paraId="0B307CB2" w14:textId="208ABC42" w:rsidR="002F0974" w:rsidRPr="0098262F" w:rsidRDefault="002F0974">
            <w:pPr>
              <w:pStyle w:val="TableText0"/>
              <w:jc w:val="center"/>
              <w:rPr>
                <w:rFonts w:ascii="Times" w:hAnsi="Times"/>
              </w:rPr>
            </w:pPr>
            <w:r w:rsidRPr="0098262F">
              <w:t>$</w:t>
            </w:r>
            <w:r w:rsidR="005822E1" w:rsidRPr="005822E1">
              <w:rPr>
                <w:sz w:val="2"/>
                <w:highlight w:val="black"/>
              </w:rPr>
              <w:t>redacted content</w:t>
            </w:r>
          </w:p>
        </w:tc>
        <w:tc>
          <w:tcPr>
            <w:tcW w:w="1336" w:type="pct"/>
            <w:vAlign w:val="center"/>
          </w:tcPr>
          <w:p w14:paraId="5E2C76C7" w14:textId="77777777" w:rsidR="002F0974" w:rsidRPr="0098262F" w:rsidRDefault="002F0974">
            <w:pPr>
              <w:pStyle w:val="TableText0"/>
              <w:jc w:val="center"/>
              <w:rPr>
                <w:rFonts w:ascii="Times" w:hAnsi="Times"/>
              </w:rPr>
            </w:pPr>
            <w:r w:rsidRPr="0098262F">
              <w:t>$</w:t>
            </w:r>
            <w:r>
              <w:t>9,772.95</w:t>
            </w:r>
          </w:p>
        </w:tc>
        <w:tc>
          <w:tcPr>
            <w:tcW w:w="994" w:type="pct"/>
            <w:vAlign w:val="center"/>
          </w:tcPr>
          <w:p w14:paraId="6AD5A062" w14:textId="0C2017AD" w:rsidR="002F0974" w:rsidRPr="0098262F" w:rsidRDefault="002F0974">
            <w:pPr>
              <w:pStyle w:val="TableText0"/>
              <w:jc w:val="center"/>
              <w:rPr>
                <w:rFonts w:ascii="Times" w:hAnsi="Times"/>
              </w:rPr>
            </w:pPr>
            <w:r w:rsidRPr="0098262F">
              <w:t>$</w:t>
            </w:r>
            <w:r w:rsidR="005822E1" w:rsidRPr="005822E1">
              <w:rPr>
                <w:sz w:val="2"/>
                <w:highlight w:val="black"/>
              </w:rPr>
              <w:t>redacted content</w:t>
            </w:r>
          </w:p>
        </w:tc>
      </w:tr>
      <w:tr w:rsidR="002F0974" w:rsidRPr="0098262F" w14:paraId="4846EACF" w14:textId="77777777">
        <w:tc>
          <w:tcPr>
            <w:tcW w:w="1529" w:type="pct"/>
            <w:vAlign w:val="center"/>
          </w:tcPr>
          <w:p w14:paraId="0787F52D" w14:textId="77777777" w:rsidR="002F0974" w:rsidRPr="0098262F" w:rsidRDefault="002F0974">
            <w:pPr>
              <w:pStyle w:val="TableText0"/>
              <w:rPr>
                <w:rFonts w:ascii="Times" w:hAnsi="Times"/>
              </w:rPr>
            </w:pPr>
            <w:r w:rsidRPr="0098262F">
              <w:t>LYG</w:t>
            </w:r>
          </w:p>
        </w:tc>
        <w:tc>
          <w:tcPr>
            <w:tcW w:w="1141" w:type="pct"/>
            <w:vAlign w:val="center"/>
          </w:tcPr>
          <w:p w14:paraId="05D56A5C" w14:textId="77777777" w:rsidR="002F0974" w:rsidRPr="0098262F" w:rsidRDefault="002F0974">
            <w:pPr>
              <w:pStyle w:val="TableText0"/>
              <w:jc w:val="center"/>
              <w:rPr>
                <w:rFonts w:ascii="Times" w:hAnsi="Times"/>
              </w:rPr>
            </w:pPr>
            <w:r>
              <w:t>3.971</w:t>
            </w:r>
          </w:p>
        </w:tc>
        <w:tc>
          <w:tcPr>
            <w:tcW w:w="1336" w:type="pct"/>
            <w:vAlign w:val="center"/>
          </w:tcPr>
          <w:p w14:paraId="675E08F0" w14:textId="77777777" w:rsidR="002F0974" w:rsidRPr="0098262F" w:rsidRDefault="002F0974">
            <w:pPr>
              <w:pStyle w:val="TableText0"/>
              <w:jc w:val="center"/>
              <w:rPr>
                <w:rFonts w:ascii="Times" w:hAnsi="Times"/>
              </w:rPr>
            </w:pPr>
            <w:r>
              <w:t>2.239</w:t>
            </w:r>
          </w:p>
        </w:tc>
        <w:tc>
          <w:tcPr>
            <w:tcW w:w="994" w:type="pct"/>
            <w:vAlign w:val="center"/>
          </w:tcPr>
          <w:p w14:paraId="1D89BDE6" w14:textId="77777777" w:rsidR="002F0974" w:rsidRPr="0098262F" w:rsidRDefault="002F0974">
            <w:pPr>
              <w:pStyle w:val="TableText0"/>
              <w:jc w:val="center"/>
            </w:pPr>
            <w:r>
              <w:t>1.732</w:t>
            </w:r>
          </w:p>
        </w:tc>
      </w:tr>
      <w:tr w:rsidR="002F0974" w:rsidRPr="0098262F" w14:paraId="226CDD66" w14:textId="77777777">
        <w:tc>
          <w:tcPr>
            <w:tcW w:w="4006" w:type="pct"/>
            <w:gridSpan w:val="3"/>
            <w:vAlign w:val="center"/>
          </w:tcPr>
          <w:p w14:paraId="63AAE143" w14:textId="77777777" w:rsidR="002F0974" w:rsidRPr="0098262F" w:rsidRDefault="002F0974">
            <w:pPr>
              <w:pStyle w:val="TableText0"/>
              <w:rPr>
                <w:rFonts w:ascii="Times" w:hAnsi="Times"/>
              </w:rPr>
            </w:pPr>
            <w:r w:rsidRPr="0098262F">
              <w:t>Incremental cost/extra LYG gained</w:t>
            </w:r>
          </w:p>
        </w:tc>
        <w:tc>
          <w:tcPr>
            <w:tcW w:w="994" w:type="pct"/>
            <w:vAlign w:val="center"/>
          </w:tcPr>
          <w:p w14:paraId="2D90ADEB" w14:textId="1392AAE1" w:rsidR="002F0974" w:rsidRPr="00C31B30" w:rsidRDefault="002F0974">
            <w:pPr>
              <w:pStyle w:val="TableText0"/>
              <w:jc w:val="center"/>
              <w:rPr>
                <w:rFonts w:ascii="Times" w:hAnsi="Times"/>
                <w:vertAlign w:val="superscript"/>
              </w:rPr>
            </w:pPr>
            <w:r w:rsidRPr="0098262F">
              <w:t>$</w:t>
            </w:r>
            <w:r w:rsidR="005822E1" w:rsidRPr="005822E1">
              <w:rPr>
                <w:sz w:val="2"/>
                <w:highlight w:val="black"/>
              </w:rPr>
              <w:t>redacted content</w:t>
            </w:r>
            <w:r w:rsidR="00C31B30">
              <w:rPr>
                <w:vertAlign w:val="superscript"/>
              </w:rPr>
              <w:t>2</w:t>
            </w:r>
          </w:p>
        </w:tc>
      </w:tr>
      <w:tr w:rsidR="002F0974" w:rsidRPr="0098262F" w14:paraId="698393F7" w14:textId="77777777">
        <w:tc>
          <w:tcPr>
            <w:tcW w:w="5000" w:type="pct"/>
            <w:gridSpan w:val="4"/>
            <w:vAlign w:val="center"/>
          </w:tcPr>
          <w:p w14:paraId="45766167" w14:textId="77777777" w:rsidR="002F0974" w:rsidRPr="0098262F" w:rsidRDefault="002F0974">
            <w:pPr>
              <w:pStyle w:val="In-tableHeading"/>
              <w:rPr>
                <w:lang w:val="en-AU"/>
              </w:rPr>
            </w:pPr>
            <w:r w:rsidRPr="0098262F">
              <w:rPr>
                <w:lang w:val="en-AU"/>
              </w:rPr>
              <w:t xml:space="preserve">Step 3: </w:t>
            </w:r>
            <w:r>
              <w:rPr>
                <w:lang w:val="en-AU"/>
              </w:rPr>
              <w:t>including costs of AEs, disease management and terminal care costs (discounted)</w:t>
            </w:r>
          </w:p>
        </w:tc>
      </w:tr>
      <w:tr w:rsidR="002F0974" w:rsidRPr="0098262F" w14:paraId="66AD8BFC" w14:textId="77777777">
        <w:tc>
          <w:tcPr>
            <w:tcW w:w="1529" w:type="pct"/>
            <w:vAlign w:val="center"/>
          </w:tcPr>
          <w:p w14:paraId="77D06BFB" w14:textId="77777777" w:rsidR="002F0974" w:rsidRPr="0098262F" w:rsidRDefault="002F0974">
            <w:pPr>
              <w:pStyle w:val="TableText0"/>
              <w:rPr>
                <w:rFonts w:ascii="Times" w:hAnsi="Times"/>
              </w:rPr>
            </w:pPr>
            <w:r w:rsidRPr="0098262F">
              <w:t>Costs</w:t>
            </w:r>
          </w:p>
        </w:tc>
        <w:tc>
          <w:tcPr>
            <w:tcW w:w="1141" w:type="pct"/>
            <w:vAlign w:val="center"/>
          </w:tcPr>
          <w:p w14:paraId="11CB62B0" w14:textId="5AC2658C" w:rsidR="002F0974" w:rsidRPr="0098262F" w:rsidRDefault="002F0974">
            <w:pPr>
              <w:pStyle w:val="TableText0"/>
              <w:jc w:val="center"/>
              <w:rPr>
                <w:rFonts w:ascii="Times" w:hAnsi="Times"/>
              </w:rPr>
            </w:pPr>
            <w:r w:rsidRPr="0098262F">
              <w:t>$</w:t>
            </w:r>
            <w:r w:rsidR="005822E1" w:rsidRPr="005822E1">
              <w:rPr>
                <w:sz w:val="2"/>
                <w:highlight w:val="black"/>
              </w:rPr>
              <w:t>redacted content</w:t>
            </w:r>
          </w:p>
        </w:tc>
        <w:tc>
          <w:tcPr>
            <w:tcW w:w="1336" w:type="pct"/>
            <w:vAlign w:val="center"/>
          </w:tcPr>
          <w:p w14:paraId="4295BFFF" w14:textId="77777777" w:rsidR="002F0974" w:rsidRPr="0098262F" w:rsidRDefault="002F0974">
            <w:pPr>
              <w:pStyle w:val="TableText0"/>
              <w:jc w:val="center"/>
              <w:rPr>
                <w:rFonts w:ascii="Times" w:hAnsi="Times"/>
              </w:rPr>
            </w:pPr>
            <w:r w:rsidRPr="0098262F">
              <w:t>$</w:t>
            </w:r>
            <w:r>
              <w:t>91,666.95</w:t>
            </w:r>
          </w:p>
        </w:tc>
        <w:tc>
          <w:tcPr>
            <w:tcW w:w="994" w:type="pct"/>
            <w:vAlign w:val="center"/>
          </w:tcPr>
          <w:p w14:paraId="05F36D1C" w14:textId="207D5A49" w:rsidR="002F0974" w:rsidRPr="0098262F" w:rsidRDefault="002F0974">
            <w:pPr>
              <w:pStyle w:val="TableText0"/>
              <w:jc w:val="center"/>
              <w:rPr>
                <w:rFonts w:ascii="Times" w:hAnsi="Times"/>
              </w:rPr>
            </w:pPr>
            <w:r w:rsidRPr="0098262F">
              <w:t>$</w:t>
            </w:r>
            <w:r w:rsidR="005822E1" w:rsidRPr="005822E1">
              <w:rPr>
                <w:sz w:val="2"/>
                <w:highlight w:val="black"/>
              </w:rPr>
              <w:t>redacted content</w:t>
            </w:r>
          </w:p>
        </w:tc>
      </w:tr>
      <w:tr w:rsidR="002F0974" w:rsidRPr="0098262F" w14:paraId="66F061C5" w14:textId="77777777">
        <w:tc>
          <w:tcPr>
            <w:tcW w:w="1529" w:type="pct"/>
            <w:vAlign w:val="center"/>
          </w:tcPr>
          <w:p w14:paraId="2AE020F5" w14:textId="77777777" w:rsidR="002F0974" w:rsidRPr="0098262F" w:rsidRDefault="002F0974">
            <w:pPr>
              <w:pStyle w:val="TableText0"/>
              <w:rPr>
                <w:rFonts w:ascii="Times" w:hAnsi="Times"/>
              </w:rPr>
            </w:pPr>
            <w:r w:rsidRPr="0098262F">
              <w:t>LYG</w:t>
            </w:r>
          </w:p>
        </w:tc>
        <w:tc>
          <w:tcPr>
            <w:tcW w:w="1141" w:type="pct"/>
            <w:vAlign w:val="center"/>
          </w:tcPr>
          <w:p w14:paraId="735D2BBF" w14:textId="77777777" w:rsidR="002F0974" w:rsidRPr="0098262F" w:rsidRDefault="002F0974">
            <w:pPr>
              <w:pStyle w:val="TableText0"/>
              <w:jc w:val="center"/>
              <w:rPr>
                <w:rFonts w:ascii="Times" w:hAnsi="Times"/>
              </w:rPr>
            </w:pPr>
            <w:r>
              <w:t>3.971</w:t>
            </w:r>
          </w:p>
        </w:tc>
        <w:tc>
          <w:tcPr>
            <w:tcW w:w="1336" w:type="pct"/>
            <w:vAlign w:val="center"/>
          </w:tcPr>
          <w:p w14:paraId="586428EF" w14:textId="77777777" w:rsidR="002F0974" w:rsidRPr="0098262F" w:rsidRDefault="002F0974">
            <w:pPr>
              <w:pStyle w:val="TableText0"/>
              <w:jc w:val="center"/>
              <w:rPr>
                <w:rFonts w:ascii="Times" w:hAnsi="Times"/>
              </w:rPr>
            </w:pPr>
            <w:r>
              <w:t>2.239</w:t>
            </w:r>
          </w:p>
        </w:tc>
        <w:tc>
          <w:tcPr>
            <w:tcW w:w="994" w:type="pct"/>
            <w:vAlign w:val="center"/>
          </w:tcPr>
          <w:p w14:paraId="15833E0E" w14:textId="77777777" w:rsidR="002F0974" w:rsidRPr="0098262F" w:rsidRDefault="002F0974">
            <w:pPr>
              <w:pStyle w:val="TableText0"/>
              <w:jc w:val="center"/>
            </w:pPr>
            <w:r>
              <w:t>1.732</w:t>
            </w:r>
          </w:p>
        </w:tc>
      </w:tr>
      <w:tr w:rsidR="002F0974" w:rsidRPr="0098262F" w14:paraId="0392F194" w14:textId="77777777">
        <w:tc>
          <w:tcPr>
            <w:tcW w:w="4006" w:type="pct"/>
            <w:gridSpan w:val="3"/>
            <w:vAlign w:val="center"/>
          </w:tcPr>
          <w:p w14:paraId="2EE3B5BC" w14:textId="77777777" w:rsidR="002F0974" w:rsidRPr="0098262F" w:rsidRDefault="002F0974">
            <w:pPr>
              <w:pStyle w:val="TableText0"/>
              <w:rPr>
                <w:rFonts w:ascii="Times" w:hAnsi="Times"/>
              </w:rPr>
            </w:pPr>
            <w:r w:rsidRPr="0098262F">
              <w:t>Incremental cost/extra LYG gained</w:t>
            </w:r>
          </w:p>
        </w:tc>
        <w:tc>
          <w:tcPr>
            <w:tcW w:w="994" w:type="pct"/>
            <w:vAlign w:val="center"/>
          </w:tcPr>
          <w:p w14:paraId="70BFA7BD" w14:textId="2A1ADAD3" w:rsidR="002F0974" w:rsidRPr="00020BBB" w:rsidRDefault="002F0974">
            <w:pPr>
              <w:pStyle w:val="TableText0"/>
              <w:jc w:val="center"/>
              <w:rPr>
                <w:rFonts w:ascii="Times" w:hAnsi="Times"/>
                <w:vertAlign w:val="superscript"/>
              </w:rPr>
            </w:pPr>
            <w:r w:rsidRPr="0098262F">
              <w:t>$</w:t>
            </w:r>
            <w:r w:rsidR="005822E1" w:rsidRPr="005822E1">
              <w:rPr>
                <w:sz w:val="2"/>
                <w:highlight w:val="black"/>
              </w:rPr>
              <w:t>redacted content</w:t>
            </w:r>
            <w:r w:rsidR="00020BBB">
              <w:rPr>
                <w:vertAlign w:val="superscript"/>
              </w:rPr>
              <w:t>2</w:t>
            </w:r>
          </w:p>
        </w:tc>
      </w:tr>
      <w:tr w:rsidR="002F0974" w:rsidRPr="0098262F" w14:paraId="3D741232" w14:textId="77777777">
        <w:tc>
          <w:tcPr>
            <w:tcW w:w="5000" w:type="pct"/>
            <w:gridSpan w:val="4"/>
            <w:vAlign w:val="center"/>
          </w:tcPr>
          <w:p w14:paraId="374A6E3E" w14:textId="77777777" w:rsidR="002F0974" w:rsidRPr="0098262F" w:rsidRDefault="002F0974">
            <w:pPr>
              <w:pStyle w:val="In-tableHeading"/>
              <w:rPr>
                <w:lang w:val="en-AU"/>
              </w:rPr>
            </w:pPr>
            <w:r w:rsidRPr="0098262F">
              <w:rPr>
                <w:lang w:val="en-AU"/>
              </w:rPr>
              <w:t xml:space="preserve">Step 4: </w:t>
            </w:r>
            <w:r>
              <w:rPr>
                <w:lang w:val="en-AU"/>
              </w:rPr>
              <w:t xml:space="preserve">transformation into QALYs; </w:t>
            </w:r>
            <w:r w:rsidRPr="0098262F">
              <w:rPr>
                <w:lang w:val="en-AU"/>
              </w:rPr>
              <w:t>utility weights applied</w:t>
            </w:r>
            <w:r>
              <w:rPr>
                <w:lang w:val="en-AU"/>
              </w:rPr>
              <w:t xml:space="preserve"> (discounted)</w:t>
            </w:r>
          </w:p>
        </w:tc>
      </w:tr>
      <w:tr w:rsidR="002F0974" w:rsidRPr="0098262F" w14:paraId="39E02C73" w14:textId="77777777">
        <w:tc>
          <w:tcPr>
            <w:tcW w:w="1529" w:type="pct"/>
            <w:vAlign w:val="center"/>
          </w:tcPr>
          <w:p w14:paraId="28EAE18E" w14:textId="77777777" w:rsidR="002F0974" w:rsidRPr="0098262F" w:rsidRDefault="002F0974">
            <w:pPr>
              <w:pStyle w:val="TableText0"/>
              <w:rPr>
                <w:rFonts w:ascii="Times" w:hAnsi="Times"/>
              </w:rPr>
            </w:pPr>
            <w:r w:rsidRPr="0098262F">
              <w:t>Costs</w:t>
            </w:r>
          </w:p>
        </w:tc>
        <w:tc>
          <w:tcPr>
            <w:tcW w:w="1141" w:type="pct"/>
            <w:vAlign w:val="center"/>
          </w:tcPr>
          <w:p w14:paraId="55DBD2CF" w14:textId="1BDF384B" w:rsidR="002F0974" w:rsidRPr="0098262F" w:rsidRDefault="002F0974">
            <w:pPr>
              <w:pStyle w:val="TableText0"/>
              <w:jc w:val="center"/>
              <w:rPr>
                <w:rFonts w:ascii="Times" w:hAnsi="Times"/>
              </w:rPr>
            </w:pPr>
            <w:r w:rsidRPr="0098262F">
              <w:t>$</w:t>
            </w:r>
            <w:r w:rsidR="005822E1" w:rsidRPr="005822E1">
              <w:rPr>
                <w:sz w:val="2"/>
                <w:highlight w:val="black"/>
              </w:rPr>
              <w:t>redacted content</w:t>
            </w:r>
          </w:p>
        </w:tc>
        <w:tc>
          <w:tcPr>
            <w:tcW w:w="1336" w:type="pct"/>
            <w:vAlign w:val="center"/>
          </w:tcPr>
          <w:p w14:paraId="6D334150" w14:textId="77777777" w:rsidR="002F0974" w:rsidRPr="0098262F" w:rsidRDefault="002F0974">
            <w:pPr>
              <w:pStyle w:val="TableText0"/>
              <w:jc w:val="center"/>
              <w:rPr>
                <w:rFonts w:ascii="Times" w:hAnsi="Times"/>
              </w:rPr>
            </w:pPr>
            <w:r w:rsidRPr="0098262F">
              <w:t>$</w:t>
            </w:r>
            <w:r>
              <w:t>91,666.95</w:t>
            </w:r>
          </w:p>
        </w:tc>
        <w:tc>
          <w:tcPr>
            <w:tcW w:w="994" w:type="pct"/>
            <w:vAlign w:val="center"/>
          </w:tcPr>
          <w:p w14:paraId="625D8C67" w14:textId="791B1B99" w:rsidR="002F0974" w:rsidRPr="0098262F" w:rsidRDefault="002F0974">
            <w:pPr>
              <w:pStyle w:val="TableText0"/>
              <w:jc w:val="center"/>
              <w:rPr>
                <w:rFonts w:ascii="Times" w:hAnsi="Times"/>
              </w:rPr>
            </w:pPr>
            <w:r w:rsidRPr="0098262F">
              <w:t>$</w:t>
            </w:r>
            <w:r w:rsidR="005822E1" w:rsidRPr="005822E1">
              <w:rPr>
                <w:sz w:val="2"/>
                <w:highlight w:val="black"/>
              </w:rPr>
              <w:t>redacted content</w:t>
            </w:r>
          </w:p>
        </w:tc>
      </w:tr>
      <w:tr w:rsidR="002F0974" w:rsidRPr="0098262F" w14:paraId="1DB37271" w14:textId="77777777">
        <w:tc>
          <w:tcPr>
            <w:tcW w:w="1529" w:type="pct"/>
            <w:vAlign w:val="center"/>
          </w:tcPr>
          <w:p w14:paraId="68161A3B" w14:textId="77777777" w:rsidR="002F0974" w:rsidRPr="001E2702" w:rsidRDefault="002F0974">
            <w:pPr>
              <w:pStyle w:val="TableText0"/>
              <w:rPr>
                <w:rFonts w:ascii="Times" w:hAnsi="Times"/>
              </w:rPr>
            </w:pPr>
            <w:r w:rsidRPr="001E2702">
              <w:t>QALYs</w:t>
            </w:r>
          </w:p>
        </w:tc>
        <w:tc>
          <w:tcPr>
            <w:tcW w:w="1141" w:type="pct"/>
            <w:vAlign w:val="center"/>
          </w:tcPr>
          <w:p w14:paraId="32F93D33" w14:textId="77777777" w:rsidR="002F0974" w:rsidRPr="001E2702" w:rsidRDefault="002F0974">
            <w:pPr>
              <w:pStyle w:val="TableText0"/>
              <w:jc w:val="center"/>
              <w:rPr>
                <w:rFonts w:ascii="Times" w:hAnsi="Times"/>
              </w:rPr>
            </w:pPr>
            <w:r w:rsidRPr="001E2702">
              <w:t>3.300</w:t>
            </w:r>
          </w:p>
        </w:tc>
        <w:tc>
          <w:tcPr>
            <w:tcW w:w="1336" w:type="pct"/>
            <w:tcBorders>
              <w:top w:val="single" w:sz="4" w:space="0" w:color="auto"/>
              <w:left w:val="single" w:sz="4" w:space="0" w:color="auto"/>
              <w:bottom w:val="single" w:sz="4" w:space="0" w:color="auto"/>
              <w:right w:val="single" w:sz="4" w:space="0" w:color="auto"/>
            </w:tcBorders>
          </w:tcPr>
          <w:p w14:paraId="1EAD995B" w14:textId="77777777" w:rsidR="002F0974" w:rsidRPr="001E2702" w:rsidRDefault="002F0974">
            <w:pPr>
              <w:pStyle w:val="COMTabletext"/>
              <w:jc w:val="center"/>
            </w:pPr>
            <w:r w:rsidRPr="001E2702">
              <w:t>1.822 submission</w:t>
            </w:r>
          </w:p>
          <w:p w14:paraId="04E10B02" w14:textId="77777777" w:rsidR="002F0974" w:rsidRPr="001E2702" w:rsidRDefault="002F0974">
            <w:pPr>
              <w:pStyle w:val="TableText0"/>
              <w:jc w:val="center"/>
              <w:rPr>
                <w:rFonts w:ascii="Times" w:hAnsi="Times"/>
              </w:rPr>
            </w:pPr>
            <w:r w:rsidRPr="001E2702">
              <w:t>(1.816 error-</w:t>
            </w:r>
            <w:proofErr w:type="spellStart"/>
            <w:r w:rsidRPr="001E2702">
              <w:t>corrected</w:t>
            </w:r>
            <w:r w:rsidRPr="001E2702">
              <w:rPr>
                <w:vertAlign w:val="superscript"/>
              </w:rPr>
              <w:t>a</w:t>
            </w:r>
            <w:proofErr w:type="spellEnd"/>
            <w:r w:rsidRPr="001E2702">
              <w:t>)</w:t>
            </w:r>
          </w:p>
        </w:tc>
        <w:tc>
          <w:tcPr>
            <w:tcW w:w="994" w:type="pct"/>
            <w:tcBorders>
              <w:top w:val="single" w:sz="4" w:space="0" w:color="auto"/>
              <w:left w:val="single" w:sz="4" w:space="0" w:color="auto"/>
              <w:bottom w:val="single" w:sz="4" w:space="0" w:color="auto"/>
              <w:right w:val="single" w:sz="4" w:space="0" w:color="auto"/>
            </w:tcBorders>
            <w:vAlign w:val="center"/>
          </w:tcPr>
          <w:p w14:paraId="48700220" w14:textId="77777777" w:rsidR="002F0974" w:rsidRPr="001E2702" w:rsidRDefault="002F0974">
            <w:pPr>
              <w:pStyle w:val="COMTabletext"/>
              <w:jc w:val="center"/>
            </w:pPr>
            <w:r w:rsidRPr="001E2702">
              <w:t>1.478 submission</w:t>
            </w:r>
          </w:p>
          <w:p w14:paraId="0C0E5A86" w14:textId="77777777" w:rsidR="002F0974" w:rsidRPr="001E2702" w:rsidRDefault="002F0974">
            <w:pPr>
              <w:pStyle w:val="TableText0"/>
              <w:jc w:val="center"/>
            </w:pPr>
            <w:r w:rsidRPr="001E2702">
              <w:t>(1.484 error-corrected</w:t>
            </w:r>
            <w:r w:rsidRPr="001E2702">
              <w:rPr>
                <w:b/>
                <w:bCs w:val="0"/>
              </w:rPr>
              <w:t>)</w:t>
            </w:r>
          </w:p>
        </w:tc>
      </w:tr>
      <w:tr w:rsidR="002F0974" w:rsidRPr="0098262F" w14:paraId="044A7A5A" w14:textId="77777777">
        <w:tc>
          <w:tcPr>
            <w:tcW w:w="4006" w:type="pct"/>
            <w:gridSpan w:val="3"/>
            <w:vAlign w:val="center"/>
          </w:tcPr>
          <w:p w14:paraId="083A0F87" w14:textId="77777777" w:rsidR="002F0974" w:rsidRPr="001E2702" w:rsidRDefault="002F0974">
            <w:pPr>
              <w:pStyle w:val="TableText0"/>
              <w:rPr>
                <w:rFonts w:ascii="Times" w:hAnsi="Times"/>
                <w:b/>
              </w:rPr>
            </w:pPr>
            <w:r w:rsidRPr="001E2702">
              <w:rPr>
                <w:b/>
              </w:rPr>
              <w:t>Incremental cost/extra QALY gained (base case)</w:t>
            </w:r>
          </w:p>
        </w:tc>
        <w:tc>
          <w:tcPr>
            <w:tcW w:w="994" w:type="pct"/>
            <w:vAlign w:val="center"/>
          </w:tcPr>
          <w:p w14:paraId="3672638B" w14:textId="089D93CA" w:rsidR="002F0974" w:rsidRPr="009F2E11" w:rsidRDefault="002F0974">
            <w:pPr>
              <w:pStyle w:val="TableText0"/>
              <w:jc w:val="center"/>
              <w:rPr>
                <w:b/>
                <w:vertAlign w:val="superscript"/>
              </w:rPr>
            </w:pPr>
            <w:r w:rsidRPr="001E2702">
              <w:rPr>
                <w:b/>
              </w:rPr>
              <w:t>$</w:t>
            </w:r>
            <w:r w:rsidR="005822E1" w:rsidRPr="005822E1">
              <w:rPr>
                <w:b/>
                <w:sz w:val="2"/>
                <w:highlight w:val="black"/>
              </w:rPr>
              <w:t>redacted content</w:t>
            </w:r>
            <w:r w:rsidR="009F2E11">
              <w:rPr>
                <w:b/>
                <w:vertAlign w:val="superscript"/>
              </w:rPr>
              <w:t>3</w:t>
            </w:r>
          </w:p>
          <w:p w14:paraId="5D61997F" w14:textId="22859954" w:rsidR="002F0974" w:rsidRPr="001E2702" w:rsidRDefault="002F0974">
            <w:pPr>
              <w:pStyle w:val="TableText0"/>
              <w:jc w:val="center"/>
              <w:rPr>
                <w:rFonts w:ascii="Times" w:hAnsi="Times"/>
                <w:b/>
              </w:rPr>
            </w:pPr>
            <w:r w:rsidRPr="001E2702">
              <w:rPr>
                <w:b/>
              </w:rPr>
              <w:t>($</w:t>
            </w:r>
            <w:r w:rsidR="005822E1" w:rsidRPr="005822E1">
              <w:rPr>
                <w:b/>
                <w:sz w:val="2"/>
                <w:highlight w:val="black"/>
              </w:rPr>
              <w:t>redacted content</w:t>
            </w:r>
            <w:r w:rsidR="009F2E11">
              <w:rPr>
                <w:b/>
                <w:vertAlign w:val="superscript"/>
              </w:rPr>
              <w:t>3</w:t>
            </w:r>
            <w:r w:rsidRPr="001E2702">
              <w:rPr>
                <w:b/>
              </w:rPr>
              <w:t xml:space="preserve"> error-corrected)</w:t>
            </w:r>
          </w:p>
        </w:tc>
      </w:tr>
    </w:tbl>
    <w:p w14:paraId="3709263E" w14:textId="77777777" w:rsidR="002F0974" w:rsidRPr="00367112" w:rsidRDefault="002F0974" w:rsidP="002F0974">
      <w:pPr>
        <w:pStyle w:val="TableFigureFooter"/>
        <w:rPr>
          <w:b/>
          <w:bCs w:val="0"/>
        </w:rPr>
      </w:pPr>
      <w:r w:rsidRPr="0098262F">
        <w:t>Source: Table</w:t>
      </w:r>
      <w:r>
        <w:t xml:space="preserve"> 3-24</w:t>
      </w:r>
      <w:r w:rsidRPr="0098262F">
        <w:t>, p</w:t>
      </w:r>
      <w:r>
        <w:t xml:space="preserve">131 </w:t>
      </w:r>
      <w:r w:rsidRPr="0098262F">
        <w:t>of the submission.</w:t>
      </w:r>
    </w:p>
    <w:p w14:paraId="05104350" w14:textId="77777777" w:rsidR="00E36F10" w:rsidRDefault="002F0974" w:rsidP="00E36F10">
      <w:pPr>
        <w:pStyle w:val="TableFigureFooter"/>
        <w:spacing w:after="0"/>
      </w:pPr>
      <w:r w:rsidRPr="0098262F">
        <w:rPr>
          <w:rFonts w:eastAsia="Calibri"/>
          <w:szCs w:val="20"/>
          <w:vertAlign w:val="superscript"/>
        </w:rPr>
        <w:t>a</w:t>
      </w:r>
      <w:r>
        <w:rPr>
          <w:rFonts w:eastAsia="Calibri"/>
          <w:szCs w:val="20"/>
          <w:vertAlign w:val="superscript"/>
        </w:rPr>
        <w:tab/>
      </w:r>
      <w:r w:rsidRPr="0098262F">
        <w:rPr>
          <w:rFonts w:eastAsia="Calibri"/>
          <w:szCs w:val="20"/>
          <w:vertAlign w:val="superscript"/>
        </w:rPr>
        <w:t xml:space="preserve"> </w:t>
      </w:r>
      <w:proofErr w:type="gramStart"/>
      <w:r w:rsidRPr="00B351C2">
        <w:rPr>
          <w:rFonts w:eastAsia="Calibri"/>
          <w:szCs w:val="20"/>
        </w:rPr>
        <w:t>A</w:t>
      </w:r>
      <w:r>
        <w:rPr>
          <w:rFonts w:eastAsia="Calibri"/>
          <w:szCs w:val="20"/>
        </w:rPr>
        <w:t>n</w:t>
      </w:r>
      <w:proofErr w:type="gramEnd"/>
      <w:r w:rsidRPr="00EF5076">
        <w:t xml:space="preserve"> </w:t>
      </w:r>
      <w:r w:rsidRPr="00314488">
        <w:t xml:space="preserve">error was identified during the evaluation in summing QALYs, the disutility of AEs was excluded </w:t>
      </w:r>
      <w:r>
        <w:t xml:space="preserve">in calculating total QALYs </w:t>
      </w:r>
      <w:r w:rsidRPr="00314488">
        <w:t>for the comparator arm.</w:t>
      </w:r>
    </w:p>
    <w:p w14:paraId="04D3BAC4" w14:textId="05C41D50" w:rsidR="00E36F10" w:rsidRPr="00E36F10" w:rsidRDefault="00E36F10" w:rsidP="00E36F10">
      <w:pPr>
        <w:rPr>
          <w:rFonts w:ascii="Arial Narrow" w:hAnsi="Arial Narrow"/>
          <w:i/>
          <w:sz w:val="18"/>
          <w:szCs w:val="18"/>
        </w:rPr>
      </w:pPr>
      <w:r w:rsidRPr="00E36F10">
        <w:rPr>
          <w:rFonts w:ascii="Arial Narrow" w:hAnsi="Arial Narrow"/>
          <w:i/>
          <w:sz w:val="18"/>
          <w:szCs w:val="18"/>
        </w:rPr>
        <w:t xml:space="preserve">The redacted values correspond to the following ranges: </w:t>
      </w:r>
    </w:p>
    <w:p w14:paraId="49B0A714" w14:textId="7819F0C8" w:rsidR="00E36F10" w:rsidRPr="00E36F10" w:rsidRDefault="00E36F10" w:rsidP="00E36F10">
      <w:pPr>
        <w:jc w:val="left"/>
        <w:rPr>
          <w:rFonts w:ascii="Arial Narrow" w:hAnsi="Arial Narrow"/>
          <w:i/>
          <w:sz w:val="18"/>
          <w:szCs w:val="18"/>
        </w:rPr>
      </w:pPr>
      <w:r w:rsidRPr="00E36F10">
        <w:rPr>
          <w:rFonts w:ascii="Arial Narrow" w:hAnsi="Arial Narrow"/>
          <w:i/>
          <w:sz w:val="18"/>
          <w:szCs w:val="18"/>
          <w:vertAlign w:val="superscript"/>
        </w:rPr>
        <w:t>1</w:t>
      </w:r>
      <w:r w:rsidRPr="00E36F10">
        <w:rPr>
          <w:rFonts w:ascii="Arial Narrow" w:hAnsi="Arial Narrow"/>
          <w:i/>
          <w:sz w:val="18"/>
          <w:szCs w:val="18"/>
        </w:rPr>
        <w:t xml:space="preserve"> </w:t>
      </w:r>
      <w:r w:rsidR="00C31B30" w:rsidRPr="00C31B30">
        <w:rPr>
          <w:rFonts w:ascii="Arial Narrow" w:hAnsi="Arial Narrow"/>
          <w:i/>
          <w:sz w:val="18"/>
          <w:szCs w:val="18"/>
        </w:rPr>
        <w:t>$355,000 to &lt; $455,000</w:t>
      </w:r>
    </w:p>
    <w:p w14:paraId="190674BF" w14:textId="7AB1A342" w:rsidR="00E36F10" w:rsidRPr="00E36F10" w:rsidRDefault="00E36F10" w:rsidP="00E36F10">
      <w:pPr>
        <w:jc w:val="left"/>
        <w:rPr>
          <w:rFonts w:ascii="Arial Narrow" w:hAnsi="Arial Narrow"/>
          <w:i/>
          <w:sz w:val="18"/>
          <w:szCs w:val="18"/>
        </w:rPr>
      </w:pPr>
      <w:r w:rsidRPr="00E36F10">
        <w:rPr>
          <w:rFonts w:ascii="Arial Narrow" w:hAnsi="Arial Narrow"/>
          <w:i/>
          <w:sz w:val="18"/>
          <w:szCs w:val="18"/>
          <w:vertAlign w:val="superscript"/>
        </w:rPr>
        <w:t>2</w:t>
      </w:r>
      <w:r w:rsidRPr="00E36F10">
        <w:rPr>
          <w:rFonts w:ascii="Arial Narrow" w:hAnsi="Arial Narrow"/>
          <w:i/>
          <w:sz w:val="18"/>
          <w:szCs w:val="18"/>
        </w:rPr>
        <w:t xml:space="preserve"> </w:t>
      </w:r>
      <w:r w:rsidR="00020BBB" w:rsidRPr="00020BBB">
        <w:rPr>
          <w:rFonts w:ascii="Arial Narrow" w:hAnsi="Arial Narrow"/>
          <w:i/>
          <w:sz w:val="18"/>
          <w:szCs w:val="18"/>
        </w:rPr>
        <w:t>$75,000 to &lt; $95,000</w:t>
      </w:r>
    </w:p>
    <w:p w14:paraId="750CF79B" w14:textId="0B75D581" w:rsidR="002F0974" w:rsidRPr="00B35668" w:rsidRDefault="00E36F10" w:rsidP="00B160DA">
      <w:pPr>
        <w:jc w:val="left"/>
      </w:pPr>
      <w:r w:rsidRPr="00E36F10">
        <w:rPr>
          <w:rFonts w:ascii="Arial Narrow" w:hAnsi="Arial Narrow"/>
          <w:i/>
          <w:sz w:val="18"/>
          <w:szCs w:val="18"/>
          <w:vertAlign w:val="superscript"/>
        </w:rPr>
        <w:t>3</w:t>
      </w:r>
      <w:r w:rsidRPr="00E36F10">
        <w:rPr>
          <w:rFonts w:ascii="Arial Narrow" w:hAnsi="Arial Narrow"/>
          <w:i/>
          <w:sz w:val="18"/>
          <w:szCs w:val="18"/>
        </w:rPr>
        <w:t xml:space="preserve"> </w:t>
      </w:r>
      <w:r w:rsidR="00B160DA" w:rsidRPr="00B160DA">
        <w:rPr>
          <w:rFonts w:ascii="Arial Narrow" w:hAnsi="Arial Narrow"/>
          <w:i/>
          <w:sz w:val="18"/>
          <w:szCs w:val="18"/>
        </w:rPr>
        <w:t>$95,000 to &lt; $115,000</w:t>
      </w:r>
    </w:p>
    <w:p w14:paraId="0D83E268" w14:textId="028A9C79" w:rsidR="002F0974" w:rsidRDefault="002F0974" w:rsidP="002F0974">
      <w:pPr>
        <w:pStyle w:val="3-BodyText"/>
        <w:numPr>
          <w:ilvl w:val="1"/>
          <w:numId w:val="1"/>
        </w:numPr>
      </w:pPr>
      <w:r w:rsidRPr="0098262F">
        <w:t xml:space="preserve">The results of key sensitivity analyses are summarised in </w:t>
      </w:r>
      <w:r w:rsidRPr="00E2516B">
        <w:fldChar w:fldCharType="begin"/>
      </w:r>
      <w:r w:rsidRPr="00E2516B">
        <w:instrText xml:space="preserve"> REF _Ref219128872 \h  \* MERGEFORMAT </w:instrText>
      </w:r>
      <w:r w:rsidRPr="00E2516B">
        <w:fldChar w:fldCharType="separate"/>
      </w:r>
      <w:r w:rsidR="007D33FD" w:rsidRPr="007D33FD">
        <w:t>Table 16</w:t>
      </w:r>
      <w:r w:rsidRPr="00E2516B">
        <w:fldChar w:fldCharType="end"/>
      </w:r>
      <w:r w:rsidRPr="00E2516B">
        <w:t>.</w:t>
      </w:r>
    </w:p>
    <w:p w14:paraId="56F8BC98" w14:textId="77777777" w:rsidR="00D7448D" w:rsidRDefault="00D7448D" w:rsidP="002F0974">
      <w:pPr>
        <w:pStyle w:val="3-BodyText"/>
        <w:numPr>
          <w:ilvl w:val="0"/>
          <w:numId w:val="0"/>
        </w:numPr>
        <w:rPr>
          <w:rStyle w:val="TableFigureHeadingChar"/>
          <w:sz w:val="20"/>
          <w:szCs w:val="20"/>
        </w:rPr>
      </w:pPr>
      <w:bookmarkStart w:id="64" w:name="_Ref219128872"/>
    </w:p>
    <w:p w14:paraId="424B8D9C" w14:textId="108B9C52" w:rsidR="002F0974" w:rsidRDefault="002F0974" w:rsidP="002F0974">
      <w:pPr>
        <w:pStyle w:val="3-BodyText"/>
        <w:numPr>
          <w:ilvl w:val="0"/>
          <w:numId w:val="0"/>
        </w:numPr>
        <w:rPr>
          <w:rStyle w:val="CommentReference"/>
          <w:szCs w:val="24"/>
        </w:rPr>
      </w:pPr>
      <w:r w:rsidRPr="00E2516B">
        <w:rPr>
          <w:rStyle w:val="TableFigureHeadingChar"/>
          <w:sz w:val="20"/>
          <w:szCs w:val="20"/>
        </w:rPr>
        <w:t xml:space="preserve">Table </w:t>
      </w:r>
      <w:r w:rsidRPr="00E2516B">
        <w:rPr>
          <w:rStyle w:val="TableFigureHeadingChar"/>
          <w:sz w:val="20"/>
          <w:szCs w:val="20"/>
        </w:rPr>
        <w:fldChar w:fldCharType="begin"/>
      </w:r>
      <w:r w:rsidRPr="00E2516B">
        <w:rPr>
          <w:rStyle w:val="TableFigureHeadingChar"/>
          <w:sz w:val="20"/>
          <w:szCs w:val="20"/>
        </w:rPr>
        <w:instrText xml:space="preserve"> SEQ Table \* ARABIC </w:instrText>
      </w:r>
      <w:r w:rsidRPr="00E2516B">
        <w:rPr>
          <w:rStyle w:val="TableFigureHeadingChar"/>
          <w:sz w:val="20"/>
          <w:szCs w:val="20"/>
        </w:rPr>
        <w:fldChar w:fldCharType="separate"/>
      </w:r>
      <w:r w:rsidR="007D33FD">
        <w:rPr>
          <w:rStyle w:val="TableFigureHeadingChar"/>
          <w:noProof/>
          <w:sz w:val="20"/>
          <w:szCs w:val="20"/>
        </w:rPr>
        <w:t>16</w:t>
      </w:r>
      <w:r w:rsidRPr="00E2516B">
        <w:rPr>
          <w:rStyle w:val="TableFigureHeadingChar"/>
          <w:sz w:val="20"/>
          <w:szCs w:val="20"/>
        </w:rPr>
        <w:fldChar w:fldCharType="end"/>
      </w:r>
      <w:bookmarkEnd w:id="64"/>
      <w:r w:rsidRPr="00E2516B">
        <w:rPr>
          <w:rStyle w:val="TableFigureHeadingChar"/>
          <w:sz w:val="20"/>
          <w:szCs w:val="20"/>
        </w:rPr>
        <w:t>:</w:t>
      </w:r>
      <w:r w:rsidRPr="00E2516B">
        <w:rPr>
          <w:rStyle w:val="CommentReference"/>
          <w:szCs w:val="24"/>
        </w:rPr>
        <w:t xml:space="preserve"> Sensitivity analyses</w:t>
      </w:r>
    </w:p>
    <w:tbl>
      <w:tblPr>
        <w:tblStyle w:val="PBACtable"/>
        <w:tblW w:w="5161" w:type="pct"/>
        <w:tblLayout w:type="fixed"/>
        <w:tblLook w:val="04A0" w:firstRow="1" w:lastRow="0" w:firstColumn="1" w:lastColumn="0" w:noHBand="0" w:noVBand="1"/>
        <w:tblCaption w:val="Table 16: Sensitivity analyses"/>
      </w:tblPr>
      <w:tblGrid>
        <w:gridCol w:w="4530"/>
        <w:gridCol w:w="1277"/>
        <w:gridCol w:w="1275"/>
        <w:gridCol w:w="1145"/>
        <w:gridCol w:w="1080"/>
      </w:tblGrid>
      <w:tr w:rsidR="002F0974" w:rsidRPr="0098262F" w14:paraId="3830CD5E" w14:textId="77777777" w:rsidTr="003343F3">
        <w:trPr>
          <w:tblHeader/>
        </w:trPr>
        <w:tc>
          <w:tcPr>
            <w:tcW w:w="2434" w:type="pct"/>
          </w:tcPr>
          <w:p w14:paraId="67847B74" w14:textId="77777777" w:rsidR="002F0974" w:rsidRPr="0098262F" w:rsidRDefault="002F0974" w:rsidP="008444AE">
            <w:pPr>
              <w:pStyle w:val="In-tableHeading"/>
              <w:keepNext w:val="0"/>
              <w:keepLines w:val="0"/>
              <w:rPr>
                <w:lang w:val="en-AU"/>
              </w:rPr>
            </w:pPr>
            <w:r w:rsidRPr="0098262F">
              <w:rPr>
                <w:lang w:val="en-AU"/>
              </w:rPr>
              <w:t>Analyses</w:t>
            </w:r>
          </w:p>
        </w:tc>
        <w:tc>
          <w:tcPr>
            <w:tcW w:w="686" w:type="pct"/>
          </w:tcPr>
          <w:p w14:paraId="6080EC8D" w14:textId="172AE575" w:rsidR="002F0974" w:rsidRPr="0098262F" w:rsidRDefault="002F0974" w:rsidP="008444AE">
            <w:pPr>
              <w:pStyle w:val="In-tableHeading"/>
              <w:keepNext w:val="0"/>
              <w:keepLines w:val="0"/>
              <w:jc w:val="center"/>
              <w:rPr>
                <w:lang w:val="en-AU"/>
              </w:rPr>
            </w:pPr>
            <w:r w:rsidRPr="0098262F">
              <w:rPr>
                <w:lang w:val="en-AU"/>
              </w:rPr>
              <w:t>Incremental cost</w:t>
            </w:r>
          </w:p>
        </w:tc>
        <w:tc>
          <w:tcPr>
            <w:tcW w:w="685" w:type="pct"/>
          </w:tcPr>
          <w:p w14:paraId="4CFFCE24" w14:textId="77777777" w:rsidR="002F0974" w:rsidRPr="0098262F" w:rsidRDefault="002F0974" w:rsidP="008444AE">
            <w:pPr>
              <w:pStyle w:val="In-tableHeading"/>
              <w:keepNext w:val="0"/>
              <w:keepLines w:val="0"/>
              <w:jc w:val="center"/>
              <w:rPr>
                <w:lang w:val="en-AU"/>
              </w:rPr>
            </w:pPr>
            <w:r w:rsidRPr="0098262F">
              <w:rPr>
                <w:lang w:val="en-AU"/>
              </w:rPr>
              <w:t>Incremental QALY</w:t>
            </w:r>
          </w:p>
        </w:tc>
        <w:tc>
          <w:tcPr>
            <w:tcW w:w="615" w:type="pct"/>
          </w:tcPr>
          <w:p w14:paraId="0C940AA8" w14:textId="77777777" w:rsidR="002F0974" w:rsidRPr="0098262F" w:rsidRDefault="002F0974" w:rsidP="008444AE">
            <w:pPr>
              <w:pStyle w:val="In-tableHeading"/>
              <w:keepNext w:val="0"/>
              <w:keepLines w:val="0"/>
              <w:jc w:val="center"/>
              <w:rPr>
                <w:lang w:val="en-AU"/>
              </w:rPr>
            </w:pPr>
            <w:r w:rsidRPr="0098262F">
              <w:rPr>
                <w:lang w:val="en-AU"/>
              </w:rPr>
              <w:t>ICER</w:t>
            </w:r>
          </w:p>
        </w:tc>
        <w:tc>
          <w:tcPr>
            <w:tcW w:w="580" w:type="pct"/>
          </w:tcPr>
          <w:p w14:paraId="26697EC3" w14:textId="77777777" w:rsidR="002F0974" w:rsidRPr="0098262F" w:rsidRDefault="002F0974" w:rsidP="008444AE">
            <w:pPr>
              <w:pStyle w:val="In-tableHeading"/>
              <w:keepNext w:val="0"/>
              <w:keepLines w:val="0"/>
              <w:jc w:val="center"/>
              <w:rPr>
                <w:lang w:val="en-AU"/>
              </w:rPr>
            </w:pPr>
            <w:r w:rsidRPr="0098262F">
              <w:rPr>
                <w:lang w:val="en-AU"/>
              </w:rPr>
              <w:t>% change to ICER</w:t>
            </w:r>
          </w:p>
        </w:tc>
      </w:tr>
      <w:tr w:rsidR="002F0974" w:rsidRPr="0098262F" w14:paraId="79CE39FD" w14:textId="77777777">
        <w:tc>
          <w:tcPr>
            <w:tcW w:w="2434" w:type="pct"/>
            <w:tcBorders>
              <w:bottom w:val="single" w:sz="4" w:space="0" w:color="auto"/>
            </w:tcBorders>
          </w:tcPr>
          <w:p w14:paraId="43435069" w14:textId="77777777" w:rsidR="002F0974" w:rsidRPr="0098262F" w:rsidRDefault="002F0974" w:rsidP="008444AE">
            <w:pPr>
              <w:pStyle w:val="TableText0"/>
              <w:keepNext w:val="0"/>
              <w:keepLines w:val="0"/>
              <w:rPr>
                <w:b/>
              </w:rPr>
            </w:pPr>
            <w:r w:rsidRPr="00656188">
              <w:rPr>
                <w:b/>
              </w:rPr>
              <w:t>Base case</w:t>
            </w:r>
            <w:r>
              <w:rPr>
                <w:b/>
              </w:rPr>
              <w:t xml:space="preserve"> (submission)</w:t>
            </w:r>
          </w:p>
        </w:tc>
        <w:tc>
          <w:tcPr>
            <w:tcW w:w="686" w:type="pct"/>
            <w:tcBorders>
              <w:bottom w:val="single" w:sz="4" w:space="0" w:color="auto"/>
            </w:tcBorders>
          </w:tcPr>
          <w:p w14:paraId="0870AE01" w14:textId="17F8A91D" w:rsidR="002F0974" w:rsidRPr="0098262F" w:rsidRDefault="002F0974" w:rsidP="008444AE">
            <w:pPr>
              <w:pStyle w:val="TableText0"/>
              <w:keepNext w:val="0"/>
              <w:keepLines w:val="0"/>
              <w:jc w:val="center"/>
              <w:rPr>
                <w:rFonts w:eastAsia="Calibri"/>
                <w:b/>
                <w:szCs w:val="20"/>
              </w:rPr>
            </w:pPr>
            <w:r w:rsidRPr="00656188">
              <w:rPr>
                <w:b/>
              </w:rPr>
              <w:t>$</w:t>
            </w:r>
            <w:r w:rsidR="005822E1" w:rsidRPr="005822E1">
              <w:rPr>
                <w:b/>
                <w:sz w:val="2"/>
                <w:highlight w:val="black"/>
              </w:rPr>
              <w:t>redacted content</w:t>
            </w:r>
          </w:p>
        </w:tc>
        <w:tc>
          <w:tcPr>
            <w:tcW w:w="685" w:type="pct"/>
            <w:tcBorders>
              <w:bottom w:val="single" w:sz="4" w:space="0" w:color="auto"/>
            </w:tcBorders>
          </w:tcPr>
          <w:p w14:paraId="65D01861" w14:textId="77777777" w:rsidR="002F0974" w:rsidRPr="0098262F" w:rsidRDefault="002F0974" w:rsidP="008444AE">
            <w:pPr>
              <w:pStyle w:val="TableText0"/>
              <w:keepNext w:val="0"/>
              <w:keepLines w:val="0"/>
              <w:jc w:val="center"/>
              <w:rPr>
                <w:rFonts w:eastAsia="Calibri"/>
                <w:b/>
                <w:szCs w:val="20"/>
              </w:rPr>
            </w:pPr>
            <w:r>
              <w:rPr>
                <w:b/>
              </w:rPr>
              <w:t>1.478</w:t>
            </w:r>
          </w:p>
        </w:tc>
        <w:tc>
          <w:tcPr>
            <w:tcW w:w="615" w:type="pct"/>
            <w:tcBorders>
              <w:bottom w:val="single" w:sz="4" w:space="0" w:color="auto"/>
            </w:tcBorders>
          </w:tcPr>
          <w:p w14:paraId="7B442E08" w14:textId="75C9149B" w:rsidR="002F0974" w:rsidRPr="0098262F" w:rsidRDefault="002F0974" w:rsidP="008444AE">
            <w:pPr>
              <w:pStyle w:val="TableText0"/>
              <w:keepNext w:val="0"/>
              <w:keepLines w:val="0"/>
              <w:jc w:val="center"/>
              <w:rPr>
                <w:rFonts w:eastAsia="Calibri"/>
                <w:b/>
                <w:szCs w:val="20"/>
              </w:rPr>
            </w:pPr>
            <w:r w:rsidRPr="00656188">
              <w:rPr>
                <w:b/>
              </w:rPr>
              <w:t>$</w:t>
            </w:r>
            <w:r w:rsidR="005822E1" w:rsidRPr="005822E1">
              <w:rPr>
                <w:b/>
                <w:sz w:val="2"/>
                <w:highlight w:val="black"/>
              </w:rPr>
              <w:t>redacted content</w:t>
            </w:r>
          </w:p>
        </w:tc>
        <w:tc>
          <w:tcPr>
            <w:tcW w:w="580" w:type="pct"/>
            <w:tcBorders>
              <w:bottom w:val="single" w:sz="4" w:space="0" w:color="auto"/>
            </w:tcBorders>
          </w:tcPr>
          <w:p w14:paraId="01A6DF39" w14:textId="77777777" w:rsidR="002F0974" w:rsidRPr="0098262F" w:rsidRDefault="002F0974" w:rsidP="008444AE">
            <w:pPr>
              <w:pStyle w:val="TableText0"/>
              <w:keepNext w:val="0"/>
              <w:keepLines w:val="0"/>
              <w:rPr>
                <w:rFonts w:eastAsia="Calibri"/>
                <w:b/>
                <w:szCs w:val="20"/>
              </w:rPr>
            </w:pPr>
          </w:p>
        </w:tc>
      </w:tr>
      <w:tr w:rsidR="002F0974" w:rsidRPr="0098262F" w14:paraId="3DE4CFED" w14:textId="77777777">
        <w:tc>
          <w:tcPr>
            <w:tcW w:w="2434" w:type="pct"/>
            <w:tcBorders>
              <w:top w:val="single" w:sz="4" w:space="0" w:color="auto"/>
              <w:left w:val="single" w:sz="4" w:space="0" w:color="auto"/>
              <w:bottom w:val="single" w:sz="4" w:space="0" w:color="auto"/>
              <w:right w:val="single" w:sz="4" w:space="0" w:color="auto"/>
            </w:tcBorders>
          </w:tcPr>
          <w:p w14:paraId="77938629" w14:textId="77777777" w:rsidR="002F0974" w:rsidRPr="00A104A1" w:rsidRDefault="002F0974" w:rsidP="008444AE">
            <w:pPr>
              <w:pStyle w:val="TableText0"/>
              <w:keepNext w:val="0"/>
              <w:keepLines w:val="0"/>
              <w:rPr>
                <w:b/>
              </w:rPr>
            </w:pPr>
            <w:r w:rsidRPr="00A104A1">
              <w:rPr>
                <w:b/>
              </w:rPr>
              <w:t xml:space="preserve">Error-corrected Base Case </w:t>
            </w:r>
            <w:r w:rsidRPr="00A104A1">
              <w:rPr>
                <w:b/>
                <w:vertAlign w:val="superscript"/>
              </w:rPr>
              <w:t>a</w:t>
            </w:r>
            <w:r w:rsidRPr="00A104A1">
              <w:rPr>
                <w:b/>
              </w:rPr>
              <w:t xml:space="preserve"> </w:t>
            </w:r>
          </w:p>
        </w:tc>
        <w:tc>
          <w:tcPr>
            <w:tcW w:w="686" w:type="pct"/>
            <w:tcBorders>
              <w:top w:val="single" w:sz="4" w:space="0" w:color="auto"/>
              <w:left w:val="single" w:sz="4" w:space="0" w:color="auto"/>
              <w:bottom w:val="single" w:sz="4" w:space="0" w:color="auto"/>
              <w:right w:val="single" w:sz="4" w:space="0" w:color="auto"/>
            </w:tcBorders>
            <w:vAlign w:val="top"/>
          </w:tcPr>
          <w:p w14:paraId="718EC3CF" w14:textId="2ECFE446" w:rsidR="002F0974" w:rsidRPr="00A104A1" w:rsidRDefault="002F0974" w:rsidP="008444AE">
            <w:pPr>
              <w:pStyle w:val="TableText0"/>
              <w:keepNext w:val="0"/>
              <w:keepLines w:val="0"/>
              <w:jc w:val="center"/>
              <w:rPr>
                <w:b/>
                <w:highlight w:val="black"/>
              </w:rPr>
            </w:pPr>
            <w:r w:rsidRPr="00A104A1">
              <w:rPr>
                <w:b/>
              </w:rPr>
              <w:t>$</w:t>
            </w:r>
            <w:r w:rsidR="005822E1" w:rsidRPr="005822E1">
              <w:rPr>
                <w:b/>
                <w:sz w:val="2"/>
                <w:highlight w:val="black"/>
              </w:rPr>
              <w:t>redacted content</w:t>
            </w:r>
          </w:p>
        </w:tc>
        <w:tc>
          <w:tcPr>
            <w:tcW w:w="685" w:type="pct"/>
            <w:tcBorders>
              <w:top w:val="single" w:sz="4" w:space="0" w:color="auto"/>
              <w:left w:val="single" w:sz="4" w:space="0" w:color="auto"/>
              <w:bottom w:val="single" w:sz="4" w:space="0" w:color="auto"/>
              <w:right w:val="single" w:sz="4" w:space="0" w:color="auto"/>
            </w:tcBorders>
          </w:tcPr>
          <w:p w14:paraId="0CFAD237" w14:textId="77777777" w:rsidR="002F0974" w:rsidRPr="00A104A1" w:rsidRDefault="002F0974" w:rsidP="008444AE">
            <w:pPr>
              <w:pStyle w:val="TableText0"/>
              <w:keepNext w:val="0"/>
              <w:keepLines w:val="0"/>
              <w:jc w:val="center"/>
              <w:rPr>
                <w:b/>
              </w:rPr>
            </w:pPr>
            <w:r w:rsidRPr="00A104A1">
              <w:rPr>
                <w:b/>
              </w:rPr>
              <w:t>1.484</w:t>
            </w:r>
          </w:p>
        </w:tc>
        <w:tc>
          <w:tcPr>
            <w:tcW w:w="615" w:type="pct"/>
            <w:tcBorders>
              <w:top w:val="single" w:sz="4" w:space="0" w:color="auto"/>
              <w:left w:val="single" w:sz="4" w:space="0" w:color="auto"/>
              <w:bottom w:val="single" w:sz="4" w:space="0" w:color="auto"/>
              <w:right w:val="single" w:sz="4" w:space="0" w:color="auto"/>
            </w:tcBorders>
          </w:tcPr>
          <w:p w14:paraId="0D5F3EC2" w14:textId="411572BB" w:rsidR="002F0974" w:rsidRPr="00A104A1" w:rsidRDefault="002F0974" w:rsidP="008444AE">
            <w:pPr>
              <w:pStyle w:val="TableText0"/>
              <w:keepNext w:val="0"/>
              <w:keepLines w:val="0"/>
              <w:jc w:val="center"/>
              <w:rPr>
                <w:b/>
                <w:highlight w:val="black"/>
              </w:rPr>
            </w:pPr>
            <w:r w:rsidRPr="00A104A1">
              <w:rPr>
                <w:b/>
              </w:rPr>
              <w:t>$</w:t>
            </w:r>
            <w:r w:rsidR="005822E1" w:rsidRPr="005822E1">
              <w:rPr>
                <w:b/>
                <w:sz w:val="2"/>
                <w:highlight w:val="black"/>
              </w:rPr>
              <w:t>redacted content</w:t>
            </w:r>
          </w:p>
        </w:tc>
        <w:tc>
          <w:tcPr>
            <w:tcW w:w="580" w:type="pct"/>
            <w:tcBorders>
              <w:top w:val="single" w:sz="4" w:space="0" w:color="auto"/>
              <w:bottom w:val="single" w:sz="4" w:space="0" w:color="auto"/>
            </w:tcBorders>
          </w:tcPr>
          <w:p w14:paraId="19F7437D" w14:textId="77777777" w:rsidR="002F0974" w:rsidRPr="00A104A1" w:rsidRDefault="002F0974" w:rsidP="008444AE">
            <w:pPr>
              <w:pStyle w:val="TableText0"/>
              <w:keepNext w:val="0"/>
              <w:keepLines w:val="0"/>
              <w:jc w:val="center"/>
              <w:rPr>
                <w:b/>
              </w:rPr>
            </w:pPr>
            <w:r w:rsidRPr="00A104A1">
              <w:rPr>
                <w:b/>
              </w:rPr>
              <w:t>-</w:t>
            </w:r>
          </w:p>
        </w:tc>
      </w:tr>
      <w:tr w:rsidR="00686A56" w:rsidRPr="0098262F" w14:paraId="765EBD9A" w14:textId="77777777">
        <w:tc>
          <w:tcPr>
            <w:tcW w:w="2434" w:type="pct"/>
            <w:tcBorders>
              <w:top w:val="single" w:sz="4" w:space="0" w:color="auto"/>
              <w:bottom w:val="single" w:sz="4" w:space="0" w:color="auto"/>
            </w:tcBorders>
          </w:tcPr>
          <w:p w14:paraId="06C32FFE" w14:textId="47D578B0" w:rsidR="00686A56" w:rsidRPr="0098262F" w:rsidRDefault="00686A56" w:rsidP="008444AE">
            <w:pPr>
              <w:pStyle w:val="TableText0"/>
              <w:keepNext w:val="0"/>
              <w:keepLines w:val="0"/>
            </w:pPr>
            <w:r>
              <w:t>Time horizon (base case 30 years)</w:t>
            </w:r>
          </w:p>
        </w:tc>
        <w:tc>
          <w:tcPr>
            <w:tcW w:w="686" w:type="pct"/>
            <w:tcBorders>
              <w:top w:val="single" w:sz="4" w:space="0" w:color="auto"/>
              <w:bottom w:val="single" w:sz="4" w:space="0" w:color="auto"/>
            </w:tcBorders>
            <w:vAlign w:val="top"/>
          </w:tcPr>
          <w:p w14:paraId="0914D63A" w14:textId="77777777" w:rsidR="00686A56" w:rsidRPr="005F5C06" w:rsidRDefault="00686A56" w:rsidP="008444AE">
            <w:pPr>
              <w:pStyle w:val="TableText0"/>
              <w:keepNext w:val="0"/>
              <w:keepLines w:val="0"/>
              <w:jc w:val="center"/>
              <w:rPr>
                <w:i/>
                <w:iCs/>
              </w:rPr>
            </w:pPr>
          </w:p>
        </w:tc>
        <w:tc>
          <w:tcPr>
            <w:tcW w:w="685" w:type="pct"/>
            <w:tcBorders>
              <w:top w:val="single" w:sz="4" w:space="0" w:color="auto"/>
              <w:bottom w:val="single" w:sz="4" w:space="0" w:color="auto"/>
            </w:tcBorders>
            <w:vAlign w:val="top"/>
          </w:tcPr>
          <w:p w14:paraId="7F6B3653" w14:textId="77777777" w:rsidR="00686A56" w:rsidRPr="005F5C06" w:rsidRDefault="00686A56" w:rsidP="008444AE">
            <w:pPr>
              <w:pStyle w:val="TableText0"/>
              <w:keepNext w:val="0"/>
              <w:keepLines w:val="0"/>
              <w:jc w:val="center"/>
              <w:rPr>
                <w:i/>
                <w:iCs/>
              </w:rPr>
            </w:pPr>
          </w:p>
        </w:tc>
        <w:tc>
          <w:tcPr>
            <w:tcW w:w="615" w:type="pct"/>
            <w:tcBorders>
              <w:top w:val="single" w:sz="4" w:space="0" w:color="auto"/>
              <w:bottom w:val="single" w:sz="4" w:space="0" w:color="auto"/>
            </w:tcBorders>
          </w:tcPr>
          <w:p w14:paraId="4F100463" w14:textId="77777777" w:rsidR="00686A56" w:rsidRPr="00934279" w:rsidRDefault="00686A56" w:rsidP="008444AE">
            <w:pPr>
              <w:pStyle w:val="TableText0"/>
              <w:keepNext w:val="0"/>
              <w:keepLines w:val="0"/>
              <w:jc w:val="center"/>
              <w:rPr>
                <w:i/>
                <w:iCs/>
              </w:rPr>
            </w:pPr>
          </w:p>
        </w:tc>
        <w:tc>
          <w:tcPr>
            <w:tcW w:w="580" w:type="pct"/>
            <w:tcBorders>
              <w:top w:val="single" w:sz="4" w:space="0" w:color="auto"/>
              <w:bottom w:val="single" w:sz="4" w:space="0" w:color="auto"/>
            </w:tcBorders>
          </w:tcPr>
          <w:p w14:paraId="34853C15" w14:textId="77777777" w:rsidR="00686A56" w:rsidRPr="00ED2B21" w:rsidRDefault="00686A56" w:rsidP="008444AE">
            <w:pPr>
              <w:pStyle w:val="TableText0"/>
              <w:keepNext w:val="0"/>
              <w:keepLines w:val="0"/>
              <w:jc w:val="center"/>
              <w:rPr>
                <w:i/>
                <w:iCs/>
              </w:rPr>
            </w:pPr>
          </w:p>
        </w:tc>
      </w:tr>
      <w:tr w:rsidR="002F0974" w:rsidRPr="0098262F" w14:paraId="37BE601D" w14:textId="77777777">
        <w:tc>
          <w:tcPr>
            <w:tcW w:w="2434" w:type="pct"/>
            <w:tcBorders>
              <w:top w:val="single" w:sz="4" w:space="0" w:color="auto"/>
              <w:bottom w:val="single" w:sz="4" w:space="0" w:color="auto"/>
            </w:tcBorders>
          </w:tcPr>
          <w:p w14:paraId="0E0995CF" w14:textId="30C833CD" w:rsidR="002F0974" w:rsidRPr="00954CAC" w:rsidRDefault="005822E1" w:rsidP="008444AE">
            <w:pPr>
              <w:pStyle w:val="TableText0"/>
              <w:keepNext w:val="0"/>
              <w:keepLines w:val="0"/>
            </w:pPr>
            <w:r>
              <w:t xml:space="preserve">   </w:t>
            </w:r>
            <w:r w:rsidR="007345F2" w:rsidRPr="00954CAC">
              <w:t>10 years</w:t>
            </w:r>
          </w:p>
        </w:tc>
        <w:tc>
          <w:tcPr>
            <w:tcW w:w="686" w:type="pct"/>
            <w:tcBorders>
              <w:top w:val="single" w:sz="4" w:space="0" w:color="auto"/>
              <w:bottom w:val="single" w:sz="4" w:space="0" w:color="auto"/>
            </w:tcBorders>
            <w:vAlign w:val="top"/>
          </w:tcPr>
          <w:p w14:paraId="20C4F075" w14:textId="07D03A96" w:rsidR="002F0974" w:rsidRPr="00954CAC" w:rsidRDefault="002F0974" w:rsidP="008444AE">
            <w:pPr>
              <w:pStyle w:val="TableText0"/>
              <w:keepNext w:val="0"/>
              <w:keepLines w:val="0"/>
              <w:jc w:val="center"/>
              <w:rPr>
                <w:highlight w:val="black"/>
              </w:rPr>
            </w:pPr>
            <w:r w:rsidRPr="00954CAC">
              <w:t>$</w:t>
            </w:r>
            <w:r w:rsidR="005822E1" w:rsidRPr="005822E1">
              <w:rPr>
                <w:sz w:val="2"/>
                <w:highlight w:val="black"/>
              </w:rPr>
              <w:t>redacted content</w:t>
            </w:r>
          </w:p>
        </w:tc>
        <w:tc>
          <w:tcPr>
            <w:tcW w:w="685" w:type="pct"/>
            <w:tcBorders>
              <w:top w:val="single" w:sz="4" w:space="0" w:color="auto"/>
              <w:bottom w:val="single" w:sz="4" w:space="0" w:color="auto"/>
            </w:tcBorders>
            <w:vAlign w:val="top"/>
          </w:tcPr>
          <w:p w14:paraId="3E496C34" w14:textId="77777777" w:rsidR="002F0974" w:rsidRPr="00954CAC" w:rsidRDefault="002F0974" w:rsidP="008444AE">
            <w:pPr>
              <w:pStyle w:val="TableText0"/>
              <w:keepNext w:val="0"/>
              <w:keepLines w:val="0"/>
              <w:jc w:val="center"/>
            </w:pPr>
            <w:r w:rsidRPr="00954CAC">
              <w:t>0.847</w:t>
            </w:r>
          </w:p>
        </w:tc>
        <w:tc>
          <w:tcPr>
            <w:tcW w:w="615" w:type="pct"/>
            <w:tcBorders>
              <w:top w:val="single" w:sz="4" w:space="0" w:color="auto"/>
              <w:bottom w:val="single" w:sz="4" w:space="0" w:color="auto"/>
            </w:tcBorders>
          </w:tcPr>
          <w:p w14:paraId="21C8ED78" w14:textId="54D9C90A" w:rsidR="002F0974" w:rsidRPr="00954CAC" w:rsidRDefault="002F0974" w:rsidP="008444AE">
            <w:pPr>
              <w:pStyle w:val="TableText0"/>
              <w:keepNext w:val="0"/>
              <w:keepLines w:val="0"/>
              <w:jc w:val="center"/>
              <w:rPr>
                <w:highlight w:val="black"/>
              </w:rPr>
            </w:pPr>
            <w:r w:rsidRPr="00954CAC">
              <w:t>$</w:t>
            </w:r>
            <w:r w:rsidR="005822E1" w:rsidRPr="005822E1">
              <w:rPr>
                <w:sz w:val="2"/>
                <w:highlight w:val="black"/>
              </w:rPr>
              <w:t>redacted content</w:t>
            </w:r>
          </w:p>
        </w:tc>
        <w:tc>
          <w:tcPr>
            <w:tcW w:w="580" w:type="pct"/>
            <w:tcBorders>
              <w:top w:val="single" w:sz="4" w:space="0" w:color="auto"/>
              <w:bottom w:val="single" w:sz="4" w:space="0" w:color="auto"/>
            </w:tcBorders>
          </w:tcPr>
          <w:p w14:paraId="344AE19F" w14:textId="6F98DD82" w:rsidR="002F0974" w:rsidRPr="00954CAC" w:rsidRDefault="002F0974" w:rsidP="008444AE">
            <w:pPr>
              <w:pStyle w:val="TableText0"/>
              <w:keepNext w:val="0"/>
              <w:keepLines w:val="0"/>
              <w:jc w:val="center"/>
              <w:rPr>
                <w:rFonts w:eastAsia="Calibri"/>
                <w:szCs w:val="20"/>
              </w:rPr>
            </w:pPr>
            <w:r w:rsidRPr="00954CAC">
              <w:t>+</w:t>
            </w:r>
            <w:r w:rsidR="005822E1" w:rsidRPr="005822E1">
              <w:rPr>
                <w:sz w:val="2"/>
                <w:highlight w:val="black"/>
              </w:rPr>
              <w:t>redacted content</w:t>
            </w:r>
            <w:r w:rsidRPr="00954CAC">
              <w:t>%</w:t>
            </w:r>
          </w:p>
        </w:tc>
      </w:tr>
      <w:tr w:rsidR="00AA7589" w:rsidRPr="0098262F" w14:paraId="403B837F" w14:textId="77777777">
        <w:tc>
          <w:tcPr>
            <w:tcW w:w="2434" w:type="pct"/>
            <w:tcBorders>
              <w:top w:val="single" w:sz="4" w:space="0" w:color="auto"/>
              <w:bottom w:val="single" w:sz="4" w:space="0" w:color="auto"/>
            </w:tcBorders>
          </w:tcPr>
          <w:p w14:paraId="64CCC3CC" w14:textId="6A8CA5F9" w:rsidR="00AA7589" w:rsidRPr="00EE15F0" w:rsidRDefault="005822E1" w:rsidP="005822E1">
            <w:pPr>
              <w:pStyle w:val="TableText0"/>
              <w:keepNext w:val="0"/>
              <w:keepLines w:val="0"/>
            </w:pPr>
            <w:r>
              <w:t xml:space="preserve">   </w:t>
            </w:r>
            <w:r w:rsidR="007803FE" w:rsidRPr="00EE15F0">
              <w:t xml:space="preserve">15 years </w:t>
            </w:r>
          </w:p>
        </w:tc>
        <w:tc>
          <w:tcPr>
            <w:tcW w:w="686" w:type="pct"/>
            <w:tcBorders>
              <w:top w:val="single" w:sz="4" w:space="0" w:color="auto"/>
              <w:bottom w:val="single" w:sz="4" w:space="0" w:color="auto"/>
            </w:tcBorders>
            <w:vAlign w:val="top"/>
          </w:tcPr>
          <w:p w14:paraId="1E8048B8" w14:textId="553B2B97" w:rsidR="00AA7589" w:rsidRPr="00EE15F0" w:rsidRDefault="005822E1" w:rsidP="008444AE">
            <w:pPr>
              <w:pStyle w:val="TableText0"/>
              <w:keepNext w:val="0"/>
              <w:keepLines w:val="0"/>
              <w:jc w:val="center"/>
            </w:pPr>
            <w:r>
              <w:t xml:space="preserve">  </w:t>
            </w:r>
          </w:p>
        </w:tc>
        <w:tc>
          <w:tcPr>
            <w:tcW w:w="685" w:type="pct"/>
            <w:tcBorders>
              <w:top w:val="single" w:sz="4" w:space="0" w:color="auto"/>
              <w:bottom w:val="single" w:sz="4" w:space="0" w:color="auto"/>
            </w:tcBorders>
            <w:vAlign w:val="top"/>
          </w:tcPr>
          <w:p w14:paraId="3A728BFE" w14:textId="22AD99F3" w:rsidR="00AA7589" w:rsidRPr="00EE15F0" w:rsidRDefault="00DA61EA" w:rsidP="008444AE">
            <w:pPr>
              <w:pStyle w:val="TableText0"/>
              <w:keepNext w:val="0"/>
              <w:keepLines w:val="0"/>
              <w:jc w:val="center"/>
            </w:pPr>
            <w:r w:rsidRPr="00EE15F0">
              <w:t>1.125</w:t>
            </w:r>
          </w:p>
        </w:tc>
        <w:tc>
          <w:tcPr>
            <w:tcW w:w="615" w:type="pct"/>
            <w:tcBorders>
              <w:top w:val="single" w:sz="4" w:space="0" w:color="auto"/>
              <w:bottom w:val="single" w:sz="4" w:space="0" w:color="auto"/>
            </w:tcBorders>
          </w:tcPr>
          <w:p w14:paraId="57715E3F" w14:textId="1876D9B9" w:rsidR="00AA7589" w:rsidRPr="00EE15F0" w:rsidRDefault="00652652" w:rsidP="008444AE">
            <w:pPr>
              <w:pStyle w:val="TableText0"/>
              <w:keepNext w:val="0"/>
              <w:keepLines w:val="0"/>
              <w:jc w:val="center"/>
            </w:pPr>
            <w:r w:rsidRPr="00EE15F0">
              <w:t>$</w:t>
            </w:r>
            <w:r w:rsidR="005822E1" w:rsidRPr="005822E1">
              <w:rPr>
                <w:sz w:val="2"/>
                <w:highlight w:val="black"/>
              </w:rPr>
              <w:t>redacted content</w:t>
            </w:r>
          </w:p>
        </w:tc>
        <w:tc>
          <w:tcPr>
            <w:tcW w:w="580" w:type="pct"/>
            <w:tcBorders>
              <w:top w:val="single" w:sz="4" w:space="0" w:color="auto"/>
              <w:bottom w:val="single" w:sz="4" w:space="0" w:color="auto"/>
            </w:tcBorders>
          </w:tcPr>
          <w:p w14:paraId="333981F6" w14:textId="5793D802" w:rsidR="00AA7589" w:rsidRPr="00EE15F0" w:rsidRDefault="00312A6A" w:rsidP="008444AE">
            <w:pPr>
              <w:pStyle w:val="TableText0"/>
              <w:keepNext w:val="0"/>
              <w:keepLines w:val="0"/>
              <w:jc w:val="center"/>
            </w:pPr>
            <w:r>
              <w:t>+</w:t>
            </w:r>
            <w:r w:rsidR="005822E1" w:rsidRPr="005822E1">
              <w:rPr>
                <w:sz w:val="2"/>
                <w:highlight w:val="black"/>
              </w:rPr>
              <w:t>redacted content</w:t>
            </w:r>
            <w:r w:rsidR="003E657A" w:rsidRPr="00EE15F0">
              <w:t>%</w:t>
            </w:r>
          </w:p>
        </w:tc>
      </w:tr>
      <w:tr w:rsidR="00686A56" w:rsidRPr="0098262F" w14:paraId="45DF8803" w14:textId="77777777" w:rsidTr="007B3D7D">
        <w:tc>
          <w:tcPr>
            <w:tcW w:w="2434" w:type="pct"/>
            <w:tcBorders>
              <w:top w:val="nil"/>
              <w:bottom w:val="nil"/>
            </w:tcBorders>
          </w:tcPr>
          <w:p w14:paraId="64ADA44E" w14:textId="3BD80D8D" w:rsidR="00686A56" w:rsidRPr="00954CAC" w:rsidRDefault="005822E1" w:rsidP="008444AE">
            <w:pPr>
              <w:pStyle w:val="TableText0"/>
              <w:keepNext w:val="0"/>
              <w:keepLines w:val="0"/>
            </w:pPr>
            <w:r>
              <w:t xml:space="preserve">  </w:t>
            </w:r>
            <w:r w:rsidR="00686A56" w:rsidRPr="00954CAC">
              <w:t xml:space="preserve"> </w:t>
            </w:r>
            <w:r>
              <w:t xml:space="preserve"> </w:t>
            </w:r>
            <w:r w:rsidR="00686A56" w:rsidRPr="00954CAC">
              <w:t>20 years</w:t>
            </w:r>
          </w:p>
        </w:tc>
        <w:tc>
          <w:tcPr>
            <w:tcW w:w="686" w:type="pct"/>
            <w:tcBorders>
              <w:top w:val="nil"/>
              <w:bottom w:val="nil"/>
            </w:tcBorders>
            <w:vAlign w:val="top"/>
          </w:tcPr>
          <w:p w14:paraId="74853985" w14:textId="73A417A6" w:rsidR="00686A56" w:rsidRPr="00954CAC" w:rsidRDefault="00686A56" w:rsidP="008444AE">
            <w:pPr>
              <w:pStyle w:val="TableText0"/>
              <w:keepNext w:val="0"/>
              <w:keepLines w:val="0"/>
              <w:jc w:val="center"/>
            </w:pPr>
            <w:r w:rsidRPr="00954CAC">
              <w:t>$</w:t>
            </w:r>
            <w:r w:rsidR="005822E1" w:rsidRPr="005822E1">
              <w:rPr>
                <w:sz w:val="2"/>
                <w:highlight w:val="black"/>
              </w:rPr>
              <w:t>redacted content</w:t>
            </w:r>
          </w:p>
        </w:tc>
        <w:tc>
          <w:tcPr>
            <w:tcW w:w="685" w:type="pct"/>
            <w:tcBorders>
              <w:top w:val="nil"/>
              <w:bottom w:val="nil"/>
            </w:tcBorders>
            <w:vAlign w:val="top"/>
          </w:tcPr>
          <w:p w14:paraId="35FCA6D1" w14:textId="6BDABD0A" w:rsidR="00686A56" w:rsidRPr="00954CAC" w:rsidRDefault="00686A56" w:rsidP="008444AE">
            <w:pPr>
              <w:pStyle w:val="TableText0"/>
              <w:keepNext w:val="0"/>
              <w:keepLines w:val="0"/>
              <w:jc w:val="center"/>
            </w:pPr>
            <w:r w:rsidRPr="00954CAC">
              <w:t>1.315</w:t>
            </w:r>
          </w:p>
        </w:tc>
        <w:tc>
          <w:tcPr>
            <w:tcW w:w="615" w:type="pct"/>
            <w:tcBorders>
              <w:top w:val="nil"/>
              <w:bottom w:val="nil"/>
            </w:tcBorders>
          </w:tcPr>
          <w:p w14:paraId="38987160" w14:textId="2D75C41F" w:rsidR="00686A56" w:rsidRPr="00954CAC" w:rsidRDefault="00686A56" w:rsidP="008444AE">
            <w:pPr>
              <w:pStyle w:val="TableText0"/>
              <w:keepNext w:val="0"/>
              <w:keepLines w:val="0"/>
              <w:jc w:val="center"/>
            </w:pPr>
            <w:r w:rsidRPr="00954CAC">
              <w:t>$</w:t>
            </w:r>
            <w:r w:rsidR="005822E1" w:rsidRPr="005822E1">
              <w:rPr>
                <w:sz w:val="2"/>
                <w:highlight w:val="black"/>
              </w:rPr>
              <w:t>redacted content</w:t>
            </w:r>
          </w:p>
        </w:tc>
        <w:tc>
          <w:tcPr>
            <w:tcW w:w="580" w:type="pct"/>
            <w:tcBorders>
              <w:top w:val="nil"/>
              <w:bottom w:val="nil"/>
            </w:tcBorders>
          </w:tcPr>
          <w:p w14:paraId="4B42345C" w14:textId="64FB65F3" w:rsidR="00686A56" w:rsidRPr="00954CAC" w:rsidRDefault="00686A56" w:rsidP="008444AE">
            <w:pPr>
              <w:pStyle w:val="TableText0"/>
              <w:keepNext w:val="0"/>
              <w:keepLines w:val="0"/>
              <w:jc w:val="center"/>
            </w:pPr>
            <w:r w:rsidRPr="00954CAC">
              <w:t>+</w:t>
            </w:r>
            <w:r w:rsidR="005822E1" w:rsidRPr="005822E1">
              <w:rPr>
                <w:sz w:val="2"/>
                <w:highlight w:val="black"/>
              </w:rPr>
              <w:t>redacted content</w:t>
            </w:r>
            <w:r w:rsidRPr="00954CAC">
              <w:t>%</w:t>
            </w:r>
          </w:p>
        </w:tc>
      </w:tr>
      <w:tr w:rsidR="002F0974" w:rsidRPr="0098262F" w14:paraId="6B6E0918" w14:textId="77777777">
        <w:trPr>
          <w:trHeight w:val="283"/>
        </w:trPr>
        <w:tc>
          <w:tcPr>
            <w:tcW w:w="5000" w:type="pct"/>
            <w:gridSpan w:val="5"/>
          </w:tcPr>
          <w:p w14:paraId="1D79F9BA" w14:textId="77777777" w:rsidR="002F0974" w:rsidRPr="0098262F" w:rsidRDefault="002F0974" w:rsidP="008444AE">
            <w:pPr>
              <w:pStyle w:val="TableText0"/>
              <w:keepNext w:val="0"/>
              <w:keepLines w:val="0"/>
              <w:rPr>
                <w:rFonts w:eastAsia="Calibri"/>
                <w:szCs w:val="20"/>
              </w:rPr>
            </w:pPr>
            <w:r w:rsidRPr="0098262F">
              <w:t>Discount rate (base case: 5%)</w:t>
            </w:r>
          </w:p>
        </w:tc>
      </w:tr>
      <w:tr w:rsidR="002F0974" w:rsidRPr="0098262F" w14:paraId="0CC663C9" w14:textId="77777777">
        <w:trPr>
          <w:trHeight w:val="283"/>
        </w:trPr>
        <w:tc>
          <w:tcPr>
            <w:tcW w:w="2434" w:type="pct"/>
          </w:tcPr>
          <w:p w14:paraId="775FC438" w14:textId="77777777" w:rsidR="002F0974" w:rsidRPr="0098262F" w:rsidRDefault="002F0974" w:rsidP="008444AE">
            <w:pPr>
              <w:pStyle w:val="TableText0"/>
              <w:keepNext w:val="0"/>
              <w:keepLines w:val="0"/>
              <w:ind w:left="254"/>
            </w:pPr>
            <w:r w:rsidRPr="0098262F">
              <w:t>0%</w:t>
            </w:r>
          </w:p>
        </w:tc>
        <w:tc>
          <w:tcPr>
            <w:tcW w:w="686" w:type="pct"/>
            <w:tcBorders>
              <w:top w:val="single" w:sz="4" w:space="0" w:color="auto"/>
              <w:bottom w:val="single" w:sz="4" w:space="0" w:color="auto"/>
            </w:tcBorders>
            <w:vAlign w:val="top"/>
          </w:tcPr>
          <w:p w14:paraId="2FF784C4" w14:textId="0A6F8CA9" w:rsidR="002F0974" w:rsidRPr="00744CBB" w:rsidRDefault="002F0974" w:rsidP="008444AE">
            <w:pPr>
              <w:pStyle w:val="TableText0"/>
              <w:keepNext w:val="0"/>
              <w:keepLines w:val="0"/>
              <w:jc w:val="center"/>
            </w:pPr>
            <w:r w:rsidRPr="00744CBB">
              <w:t>$</w:t>
            </w:r>
            <w:r w:rsidR="005822E1" w:rsidRPr="005822E1">
              <w:rPr>
                <w:sz w:val="2"/>
                <w:highlight w:val="black"/>
              </w:rPr>
              <w:t>redacted content</w:t>
            </w:r>
          </w:p>
        </w:tc>
        <w:tc>
          <w:tcPr>
            <w:tcW w:w="685" w:type="pct"/>
            <w:tcBorders>
              <w:top w:val="single" w:sz="4" w:space="0" w:color="auto"/>
              <w:bottom w:val="single" w:sz="4" w:space="0" w:color="auto"/>
            </w:tcBorders>
            <w:vAlign w:val="top"/>
          </w:tcPr>
          <w:p w14:paraId="45AD26C0" w14:textId="77777777" w:rsidR="002F0974" w:rsidRDefault="002F0974" w:rsidP="008444AE">
            <w:pPr>
              <w:pStyle w:val="TableText0"/>
              <w:keepNext w:val="0"/>
              <w:keepLines w:val="0"/>
              <w:jc w:val="center"/>
            </w:pPr>
            <w:r>
              <w:t>2.5</w:t>
            </w:r>
            <w:r w:rsidRPr="00273A2F">
              <w:rPr>
                <w:i/>
                <w:iCs/>
              </w:rPr>
              <w:t>71</w:t>
            </w:r>
          </w:p>
        </w:tc>
        <w:tc>
          <w:tcPr>
            <w:tcW w:w="615" w:type="pct"/>
            <w:tcBorders>
              <w:top w:val="single" w:sz="4" w:space="0" w:color="auto"/>
              <w:bottom w:val="single" w:sz="4" w:space="0" w:color="auto"/>
            </w:tcBorders>
          </w:tcPr>
          <w:p w14:paraId="1EB45B89" w14:textId="1C495CE5" w:rsidR="002F0974" w:rsidRPr="00BC3887" w:rsidRDefault="002F0974" w:rsidP="008444AE">
            <w:pPr>
              <w:pStyle w:val="TableText0"/>
              <w:keepNext w:val="0"/>
              <w:keepLines w:val="0"/>
              <w:jc w:val="center"/>
              <w:rPr>
                <w:i/>
                <w:iCs/>
              </w:rPr>
            </w:pPr>
            <w:r w:rsidRPr="00744CBB">
              <w:t>$</w:t>
            </w:r>
            <w:r w:rsidR="005822E1" w:rsidRPr="005822E1">
              <w:rPr>
                <w:sz w:val="2"/>
                <w:highlight w:val="black"/>
              </w:rPr>
              <w:t>redacted content</w:t>
            </w:r>
          </w:p>
        </w:tc>
        <w:tc>
          <w:tcPr>
            <w:tcW w:w="580" w:type="pct"/>
            <w:tcBorders>
              <w:top w:val="single" w:sz="4" w:space="0" w:color="auto"/>
              <w:bottom w:val="single" w:sz="4" w:space="0" w:color="auto"/>
            </w:tcBorders>
          </w:tcPr>
          <w:p w14:paraId="08284AB3" w14:textId="793297F6" w:rsidR="002F0974" w:rsidRPr="00056EF8" w:rsidRDefault="002F0974" w:rsidP="008444AE">
            <w:pPr>
              <w:pStyle w:val="TableText0"/>
              <w:keepNext w:val="0"/>
              <w:keepLines w:val="0"/>
              <w:jc w:val="center"/>
            </w:pPr>
            <w:r w:rsidRPr="00056EF8">
              <w:t>-</w:t>
            </w:r>
            <w:r w:rsidR="005822E1" w:rsidRPr="005822E1">
              <w:rPr>
                <w:sz w:val="2"/>
                <w:highlight w:val="black"/>
              </w:rPr>
              <w:t>redacted content</w:t>
            </w:r>
            <w:r w:rsidRPr="00056EF8">
              <w:t>%</w:t>
            </w:r>
          </w:p>
        </w:tc>
      </w:tr>
      <w:tr w:rsidR="002F0974" w:rsidRPr="0098262F" w14:paraId="6D05C31C" w14:textId="77777777">
        <w:trPr>
          <w:trHeight w:val="283"/>
        </w:trPr>
        <w:tc>
          <w:tcPr>
            <w:tcW w:w="2434" w:type="pct"/>
          </w:tcPr>
          <w:p w14:paraId="31EED6AF" w14:textId="77777777" w:rsidR="002F0974" w:rsidRPr="0098262F" w:rsidRDefault="002F0974" w:rsidP="008444AE">
            <w:pPr>
              <w:pStyle w:val="TableText0"/>
              <w:keepNext w:val="0"/>
              <w:keepLines w:val="0"/>
              <w:ind w:left="254"/>
            </w:pPr>
            <w:r w:rsidRPr="0098262F">
              <w:t>3.5%</w:t>
            </w:r>
          </w:p>
        </w:tc>
        <w:tc>
          <w:tcPr>
            <w:tcW w:w="686" w:type="pct"/>
            <w:tcBorders>
              <w:top w:val="single" w:sz="4" w:space="0" w:color="auto"/>
              <w:bottom w:val="single" w:sz="4" w:space="0" w:color="auto"/>
            </w:tcBorders>
            <w:vAlign w:val="top"/>
          </w:tcPr>
          <w:p w14:paraId="32AEC80C" w14:textId="0D3ED66E" w:rsidR="002F0974" w:rsidRPr="0098262F" w:rsidRDefault="002F0974" w:rsidP="008444AE">
            <w:pPr>
              <w:pStyle w:val="TableText0"/>
              <w:keepNext w:val="0"/>
              <w:keepLines w:val="0"/>
              <w:jc w:val="center"/>
              <w:rPr>
                <w:rFonts w:eastAsia="Calibri"/>
                <w:szCs w:val="20"/>
              </w:rPr>
            </w:pPr>
            <w:r w:rsidRPr="00744CBB">
              <w:t>$</w:t>
            </w:r>
            <w:r w:rsidR="005822E1" w:rsidRPr="005822E1">
              <w:rPr>
                <w:sz w:val="2"/>
                <w:highlight w:val="black"/>
              </w:rPr>
              <w:t>redacted content</w:t>
            </w:r>
          </w:p>
        </w:tc>
        <w:tc>
          <w:tcPr>
            <w:tcW w:w="685" w:type="pct"/>
            <w:tcBorders>
              <w:top w:val="single" w:sz="4" w:space="0" w:color="auto"/>
              <w:bottom w:val="single" w:sz="4" w:space="0" w:color="auto"/>
            </w:tcBorders>
            <w:vAlign w:val="top"/>
          </w:tcPr>
          <w:p w14:paraId="763D5158" w14:textId="77777777" w:rsidR="002F0974" w:rsidRPr="0098262F" w:rsidRDefault="002F0974" w:rsidP="008444AE">
            <w:pPr>
              <w:pStyle w:val="TableText0"/>
              <w:keepNext w:val="0"/>
              <w:keepLines w:val="0"/>
              <w:jc w:val="center"/>
              <w:rPr>
                <w:rFonts w:eastAsia="Calibri"/>
                <w:szCs w:val="20"/>
              </w:rPr>
            </w:pPr>
            <w:r>
              <w:t>1.7</w:t>
            </w:r>
            <w:r w:rsidRPr="00BC3887">
              <w:rPr>
                <w:i/>
                <w:iCs/>
              </w:rPr>
              <w:t>21</w:t>
            </w:r>
          </w:p>
        </w:tc>
        <w:tc>
          <w:tcPr>
            <w:tcW w:w="615" w:type="pct"/>
            <w:tcBorders>
              <w:top w:val="single" w:sz="4" w:space="0" w:color="auto"/>
              <w:bottom w:val="single" w:sz="4" w:space="0" w:color="auto"/>
            </w:tcBorders>
          </w:tcPr>
          <w:p w14:paraId="296686C5" w14:textId="3D171E18" w:rsidR="002F0974" w:rsidRPr="0098262F" w:rsidRDefault="002F0974" w:rsidP="008444AE">
            <w:pPr>
              <w:pStyle w:val="TableText0"/>
              <w:keepNext w:val="0"/>
              <w:keepLines w:val="0"/>
              <w:jc w:val="center"/>
              <w:rPr>
                <w:rFonts w:eastAsia="Calibri"/>
                <w:szCs w:val="20"/>
              </w:rPr>
            </w:pPr>
            <w:r w:rsidRPr="00BC3887">
              <w:rPr>
                <w:i/>
                <w:iCs/>
              </w:rPr>
              <w:t>$</w:t>
            </w:r>
            <w:r w:rsidR="005822E1" w:rsidRPr="005822E1">
              <w:rPr>
                <w:i/>
                <w:iCs/>
                <w:sz w:val="2"/>
                <w:highlight w:val="black"/>
              </w:rPr>
              <w:t>redacted content</w:t>
            </w:r>
          </w:p>
        </w:tc>
        <w:tc>
          <w:tcPr>
            <w:tcW w:w="580" w:type="pct"/>
            <w:tcBorders>
              <w:top w:val="single" w:sz="4" w:space="0" w:color="auto"/>
              <w:bottom w:val="single" w:sz="4" w:space="0" w:color="auto"/>
            </w:tcBorders>
          </w:tcPr>
          <w:p w14:paraId="5D4CF953" w14:textId="4AC75DF5" w:rsidR="002F0974" w:rsidRPr="00056EF8" w:rsidRDefault="002F0974" w:rsidP="008444AE">
            <w:pPr>
              <w:pStyle w:val="TableText0"/>
              <w:keepNext w:val="0"/>
              <w:keepLines w:val="0"/>
              <w:jc w:val="center"/>
              <w:rPr>
                <w:rFonts w:eastAsia="Calibri"/>
                <w:szCs w:val="20"/>
              </w:rPr>
            </w:pPr>
            <w:r w:rsidRPr="00056EF8">
              <w:t>-</w:t>
            </w:r>
            <w:r w:rsidR="005822E1" w:rsidRPr="005822E1">
              <w:rPr>
                <w:sz w:val="2"/>
                <w:highlight w:val="black"/>
              </w:rPr>
              <w:t>redacted content</w:t>
            </w:r>
            <w:r w:rsidRPr="00056EF8">
              <w:t>%</w:t>
            </w:r>
          </w:p>
        </w:tc>
      </w:tr>
      <w:tr w:rsidR="002F0974" w:rsidRPr="0098262F" w14:paraId="16A00EDD" w14:textId="77777777">
        <w:trPr>
          <w:trHeight w:val="283"/>
        </w:trPr>
        <w:tc>
          <w:tcPr>
            <w:tcW w:w="2434" w:type="pct"/>
            <w:tcBorders>
              <w:bottom w:val="nil"/>
            </w:tcBorders>
          </w:tcPr>
          <w:p w14:paraId="111B00D6" w14:textId="77777777" w:rsidR="002F0974" w:rsidRPr="0057323C" w:rsidRDefault="002F0974" w:rsidP="008444AE">
            <w:pPr>
              <w:pStyle w:val="TableText0"/>
              <w:keepNext w:val="0"/>
              <w:keepLines w:val="0"/>
            </w:pPr>
            <w:r w:rsidRPr="0057323C">
              <w:t>Mortality for PF pts modified so they follow background mortality after cure timepoint 2 years* (base case determined by extrapolated survival curves)</w:t>
            </w:r>
          </w:p>
        </w:tc>
        <w:tc>
          <w:tcPr>
            <w:tcW w:w="686" w:type="pct"/>
            <w:tcBorders>
              <w:bottom w:val="nil"/>
            </w:tcBorders>
          </w:tcPr>
          <w:p w14:paraId="53FBC85D" w14:textId="22325476" w:rsidR="002F0974" w:rsidRPr="0057323C" w:rsidRDefault="002F0974" w:rsidP="008444AE">
            <w:pPr>
              <w:pStyle w:val="TableText0"/>
              <w:keepNext w:val="0"/>
              <w:keepLines w:val="0"/>
              <w:jc w:val="center"/>
            </w:pPr>
            <w:r w:rsidRPr="0057323C">
              <w:t>$</w:t>
            </w:r>
            <w:r w:rsidR="005822E1" w:rsidRPr="005822E1">
              <w:rPr>
                <w:sz w:val="2"/>
                <w:highlight w:val="black"/>
              </w:rPr>
              <w:t>redacted content</w:t>
            </w:r>
          </w:p>
        </w:tc>
        <w:tc>
          <w:tcPr>
            <w:tcW w:w="685" w:type="pct"/>
            <w:tcBorders>
              <w:bottom w:val="nil"/>
            </w:tcBorders>
          </w:tcPr>
          <w:p w14:paraId="7D428195" w14:textId="77777777" w:rsidR="002F0974" w:rsidRPr="0057323C" w:rsidRDefault="002F0974" w:rsidP="008444AE">
            <w:pPr>
              <w:pStyle w:val="TableText0"/>
              <w:keepNext w:val="0"/>
              <w:keepLines w:val="0"/>
              <w:jc w:val="center"/>
            </w:pPr>
            <w:r w:rsidRPr="0057323C">
              <w:t>1.507</w:t>
            </w:r>
          </w:p>
        </w:tc>
        <w:tc>
          <w:tcPr>
            <w:tcW w:w="615" w:type="pct"/>
            <w:tcBorders>
              <w:bottom w:val="nil"/>
            </w:tcBorders>
          </w:tcPr>
          <w:p w14:paraId="7B721D3F" w14:textId="25F826FA" w:rsidR="002F0974" w:rsidRPr="0057323C" w:rsidRDefault="002F0974" w:rsidP="008444AE">
            <w:pPr>
              <w:pStyle w:val="TableText0"/>
              <w:keepNext w:val="0"/>
              <w:keepLines w:val="0"/>
              <w:jc w:val="center"/>
            </w:pPr>
            <w:r w:rsidRPr="0057323C">
              <w:t>$</w:t>
            </w:r>
            <w:r w:rsidR="005822E1" w:rsidRPr="005822E1">
              <w:rPr>
                <w:sz w:val="2"/>
                <w:highlight w:val="black"/>
              </w:rPr>
              <w:t>redacted content</w:t>
            </w:r>
          </w:p>
        </w:tc>
        <w:tc>
          <w:tcPr>
            <w:tcW w:w="580" w:type="pct"/>
          </w:tcPr>
          <w:p w14:paraId="63D8FE48" w14:textId="510058C6" w:rsidR="002F0974" w:rsidRPr="0057323C" w:rsidRDefault="002F0974" w:rsidP="008444AE">
            <w:pPr>
              <w:pStyle w:val="TableText0"/>
              <w:keepNext w:val="0"/>
              <w:keepLines w:val="0"/>
              <w:jc w:val="center"/>
            </w:pPr>
            <w:r w:rsidRPr="0057323C">
              <w:t>-</w:t>
            </w:r>
            <w:r w:rsidR="005822E1" w:rsidRPr="005822E1">
              <w:rPr>
                <w:sz w:val="2"/>
                <w:highlight w:val="black"/>
              </w:rPr>
              <w:t>redacted content</w:t>
            </w:r>
            <w:r w:rsidRPr="0057323C">
              <w:t>%</w:t>
            </w:r>
          </w:p>
        </w:tc>
      </w:tr>
      <w:tr w:rsidR="002F0974" w:rsidRPr="0098262F" w14:paraId="28B90B4C" w14:textId="77777777">
        <w:trPr>
          <w:trHeight w:val="283"/>
        </w:trPr>
        <w:tc>
          <w:tcPr>
            <w:tcW w:w="5000" w:type="pct"/>
            <w:gridSpan w:val="5"/>
            <w:tcBorders>
              <w:bottom w:val="single" w:sz="4" w:space="0" w:color="auto"/>
            </w:tcBorders>
          </w:tcPr>
          <w:p w14:paraId="1566EDAF" w14:textId="77777777" w:rsidR="002F0974" w:rsidRPr="0098262F" w:rsidRDefault="002F0974" w:rsidP="008444AE">
            <w:pPr>
              <w:pStyle w:val="TableText0"/>
              <w:keepNext w:val="0"/>
              <w:keepLines w:val="0"/>
              <w:rPr>
                <w:rFonts w:eastAsia="Calibri"/>
                <w:szCs w:val="20"/>
              </w:rPr>
            </w:pPr>
            <w:r>
              <w:t>Cure assumptions (base case 2 years)</w:t>
            </w:r>
          </w:p>
        </w:tc>
      </w:tr>
      <w:tr w:rsidR="002F0974" w:rsidRPr="0098262F" w14:paraId="233CBA54" w14:textId="77777777">
        <w:trPr>
          <w:trHeight w:val="283"/>
        </w:trPr>
        <w:tc>
          <w:tcPr>
            <w:tcW w:w="2434" w:type="pct"/>
            <w:tcBorders>
              <w:top w:val="single" w:sz="4" w:space="0" w:color="auto"/>
              <w:bottom w:val="single" w:sz="4" w:space="0" w:color="auto"/>
            </w:tcBorders>
          </w:tcPr>
          <w:p w14:paraId="5DF32957" w14:textId="77777777" w:rsidR="002F0974" w:rsidRPr="00DF1ECF" w:rsidRDefault="002F0974" w:rsidP="008444AE">
            <w:pPr>
              <w:pStyle w:val="TableText0"/>
              <w:keepNext w:val="0"/>
              <w:keepLines w:val="0"/>
              <w:ind w:left="254"/>
            </w:pPr>
            <w:r w:rsidRPr="00DF1ECF">
              <w:t>No cure</w:t>
            </w:r>
          </w:p>
        </w:tc>
        <w:tc>
          <w:tcPr>
            <w:tcW w:w="686" w:type="pct"/>
            <w:tcBorders>
              <w:top w:val="single" w:sz="4" w:space="0" w:color="auto"/>
              <w:left w:val="single" w:sz="4" w:space="0" w:color="auto"/>
              <w:bottom w:val="single" w:sz="4" w:space="0" w:color="auto"/>
              <w:right w:val="single" w:sz="4" w:space="0" w:color="auto"/>
            </w:tcBorders>
          </w:tcPr>
          <w:p w14:paraId="5485DA6D" w14:textId="4DBFA768" w:rsidR="002F0974" w:rsidRPr="00DF1ECF" w:rsidRDefault="002F0974" w:rsidP="008444AE">
            <w:pPr>
              <w:pStyle w:val="TableText0"/>
              <w:keepNext w:val="0"/>
              <w:keepLines w:val="0"/>
              <w:jc w:val="center"/>
              <w:rPr>
                <w:rFonts w:eastAsia="Calibri"/>
                <w:szCs w:val="20"/>
              </w:rPr>
            </w:pPr>
            <w:r w:rsidRPr="00DF1ECF">
              <w:t>$</w:t>
            </w:r>
            <w:r w:rsidR="005822E1" w:rsidRPr="005822E1">
              <w:rPr>
                <w:sz w:val="2"/>
                <w:highlight w:val="black"/>
              </w:rPr>
              <w:t>redacted content</w:t>
            </w:r>
          </w:p>
        </w:tc>
        <w:tc>
          <w:tcPr>
            <w:tcW w:w="685" w:type="pct"/>
            <w:tcBorders>
              <w:top w:val="single" w:sz="4" w:space="0" w:color="auto"/>
              <w:left w:val="single" w:sz="4" w:space="0" w:color="auto"/>
              <w:bottom w:val="single" w:sz="4" w:space="0" w:color="auto"/>
              <w:right w:val="single" w:sz="4" w:space="0" w:color="auto"/>
            </w:tcBorders>
          </w:tcPr>
          <w:p w14:paraId="2E19700D" w14:textId="77777777" w:rsidR="002F0974" w:rsidRPr="00DF1ECF" w:rsidRDefault="002F0974" w:rsidP="008444AE">
            <w:pPr>
              <w:pStyle w:val="TableText0"/>
              <w:keepNext w:val="0"/>
              <w:keepLines w:val="0"/>
              <w:jc w:val="center"/>
              <w:rPr>
                <w:rFonts w:eastAsia="Calibri"/>
                <w:szCs w:val="20"/>
              </w:rPr>
            </w:pPr>
            <w:r w:rsidRPr="00DF1ECF">
              <w:t>1.206</w:t>
            </w:r>
          </w:p>
        </w:tc>
        <w:tc>
          <w:tcPr>
            <w:tcW w:w="615" w:type="pct"/>
            <w:tcBorders>
              <w:top w:val="single" w:sz="4" w:space="0" w:color="auto"/>
              <w:left w:val="single" w:sz="4" w:space="0" w:color="auto"/>
              <w:bottom w:val="single" w:sz="4" w:space="0" w:color="auto"/>
              <w:right w:val="single" w:sz="4" w:space="0" w:color="auto"/>
            </w:tcBorders>
          </w:tcPr>
          <w:p w14:paraId="20EC5E25" w14:textId="51CEBF61" w:rsidR="002F0974" w:rsidRPr="00DF1ECF" w:rsidRDefault="002F0974" w:rsidP="008444AE">
            <w:pPr>
              <w:pStyle w:val="TableText0"/>
              <w:keepNext w:val="0"/>
              <w:keepLines w:val="0"/>
              <w:jc w:val="center"/>
              <w:rPr>
                <w:rFonts w:eastAsia="Calibri"/>
                <w:szCs w:val="20"/>
              </w:rPr>
            </w:pPr>
            <w:r w:rsidRPr="00DF1ECF">
              <w:t>$</w:t>
            </w:r>
            <w:r w:rsidR="005822E1" w:rsidRPr="005822E1">
              <w:rPr>
                <w:sz w:val="2"/>
                <w:highlight w:val="black"/>
              </w:rPr>
              <w:t>redacted content</w:t>
            </w:r>
          </w:p>
        </w:tc>
        <w:tc>
          <w:tcPr>
            <w:tcW w:w="580" w:type="pct"/>
            <w:tcBorders>
              <w:top w:val="single" w:sz="4" w:space="0" w:color="auto"/>
              <w:bottom w:val="single" w:sz="4" w:space="0" w:color="auto"/>
            </w:tcBorders>
          </w:tcPr>
          <w:p w14:paraId="26E4667E" w14:textId="64173E6B" w:rsidR="002F0974" w:rsidRPr="00DF1ECF" w:rsidRDefault="002F0974" w:rsidP="008444AE">
            <w:pPr>
              <w:pStyle w:val="TableText0"/>
              <w:keepNext w:val="0"/>
              <w:keepLines w:val="0"/>
              <w:jc w:val="center"/>
              <w:rPr>
                <w:rFonts w:eastAsia="Calibri"/>
                <w:szCs w:val="20"/>
              </w:rPr>
            </w:pPr>
            <w:r w:rsidRPr="00DF1ECF">
              <w:t>+</w:t>
            </w:r>
            <w:r w:rsidR="005822E1" w:rsidRPr="005822E1">
              <w:rPr>
                <w:sz w:val="2"/>
                <w:highlight w:val="black"/>
              </w:rPr>
              <w:t>redacted content</w:t>
            </w:r>
            <w:r w:rsidRPr="00DF1ECF">
              <w:t>%</w:t>
            </w:r>
          </w:p>
        </w:tc>
      </w:tr>
      <w:tr w:rsidR="002F0974" w:rsidRPr="0098262F" w14:paraId="382FC309" w14:textId="6C5A6A43">
        <w:trPr>
          <w:trHeight w:val="283"/>
        </w:trPr>
        <w:tc>
          <w:tcPr>
            <w:tcW w:w="2434" w:type="pct"/>
            <w:tcBorders>
              <w:top w:val="single" w:sz="4" w:space="0" w:color="auto"/>
              <w:bottom w:val="single" w:sz="4" w:space="0" w:color="auto"/>
              <w:right w:val="single" w:sz="4" w:space="0" w:color="auto"/>
            </w:tcBorders>
          </w:tcPr>
          <w:p w14:paraId="6BC4F816" w14:textId="07FCEE58" w:rsidR="002F0974" w:rsidRPr="00DF1ECF" w:rsidRDefault="002F0974" w:rsidP="008444AE">
            <w:pPr>
              <w:pStyle w:val="TableText0"/>
              <w:keepNext w:val="0"/>
              <w:keepLines w:val="0"/>
              <w:ind w:left="254"/>
            </w:pPr>
            <w:r w:rsidRPr="00DF1ECF">
              <w:t>3 years</w:t>
            </w:r>
          </w:p>
        </w:tc>
        <w:tc>
          <w:tcPr>
            <w:tcW w:w="686" w:type="pct"/>
            <w:tcBorders>
              <w:top w:val="single" w:sz="4" w:space="0" w:color="auto"/>
              <w:left w:val="single" w:sz="4" w:space="0" w:color="auto"/>
              <w:bottom w:val="single" w:sz="4" w:space="0" w:color="auto"/>
              <w:right w:val="single" w:sz="4" w:space="0" w:color="auto"/>
            </w:tcBorders>
          </w:tcPr>
          <w:p w14:paraId="7E6E6072" w14:textId="426DFACD" w:rsidR="002F0974" w:rsidRPr="00DF1ECF" w:rsidRDefault="002F0974" w:rsidP="008444AE">
            <w:pPr>
              <w:pStyle w:val="TableText0"/>
              <w:keepNext w:val="0"/>
              <w:keepLines w:val="0"/>
              <w:jc w:val="center"/>
              <w:rPr>
                <w:rFonts w:eastAsia="Calibri"/>
                <w:szCs w:val="20"/>
              </w:rPr>
            </w:pPr>
            <w:r w:rsidRPr="00DF1ECF">
              <w:t>$</w:t>
            </w:r>
            <w:r w:rsidR="005822E1" w:rsidRPr="005822E1">
              <w:rPr>
                <w:sz w:val="2"/>
                <w:highlight w:val="black"/>
              </w:rPr>
              <w:t>redacted content</w:t>
            </w:r>
          </w:p>
        </w:tc>
        <w:tc>
          <w:tcPr>
            <w:tcW w:w="685" w:type="pct"/>
            <w:tcBorders>
              <w:top w:val="single" w:sz="4" w:space="0" w:color="auto"/>
              <w:left w:val="single" w:sz="4" w:space="0" w:color="auto"/>
              <w:bottom w:val="single" w:sz="4" w:space="0" w:color="auto"/>
              <w:right w:val="single" w:sz="4" w:space="0" w:color="auto"/>
            </w:tcBorders>
          </w:tcPr>
          <w:p w14:paraId="6B76EA60" w14:textId="043CC4D9" w:rsidR="002F0974" w:rsidRPr="00DF1ECF" w:rsidRDefault="002F0974" w:rsidP="008444AE">
            <w:pPr>
              <w:pStyle w:val="TableText0"/>
              <w:keepNext w:val="0"/>
              <w:keepLines w:val="0"/>
              <w:jc w:val="center"/>
              <w:rPr>
                <w:rFonts w:eastAsia="Calibri"/>
                <w:szCs w:val="20"/>
              </w:rPr>
            </w:pPr>
            <w:r w:rsidRPr="00DF1ECF">
              <w:t>1.462</w:t>
            </w:r>
          </w:p>
        </w:tc>
        <w:tc>
          <w:tcPr>
            <w:tcW w:w="615" w:type="pct"/>
            <w:tcBorders>
              <w:top w:val="single" w:sz="4" w:space="0" w:color="auto"/>
              <w:left w:val="single" w:sz="4" w:space="0" w:color="auto"/>
              <w:bottom w:val="single" w:sz="4" w:space="0" w:color="auto"/>
              <w:right w:val="single" w:sz="4" w:space="0" w:color="auto"/>
            </w:tcBorders>
          </w:tcPr>
          <w:p w14:paraId="4C0A538B" w14:textId="530B1125" w:rsidR="002F0974" w:rsidRPr="00DF1ECF" w:rsidRDefault="002F0974" w:rsidP="008444AE">
            <w:pPr>
              <w:pStyle w:val="TableText0"/>
              <w:keepNext w:val="0"/>
              <w:keepLines w:val="0"/>
              <w:jc w:val="center"/>
              <w:rPr>
                <w:rFonts w:eastAsia="Calibri"/>
                <w:szCs w:val="20"/>
              </w:rPr>
            </w:pPr>
            <w:r w:rsidRPr="00DF1ECF">
              <w:t>$</w:t>
            </w:r>
            <w:r w:rsidR="005822E1" w:rsidRPr="005822E1">
              <w:rPr>
                <w:sz w:val="2"/>
                <w:highlight w:val="black"/>
              </w:rPr>
              <w:t>redacted content</w:t>
            </w:r>
          </w:p>
        </w:tc>
        <w:tc>
          <w:tcPr>
            <w:tcW w:w="580" w:type="pct"/>
            <w:tcBorders>
              <w:top w:val="single" w:sz="4" w:space="0" w:color="auto"/>
              <w:bottom w:val="single" w:sz="4" w:space="0" w:color="auto"/>
            </w:tcBorders>
          </w:tcPr>
          <w:p w14:paraId="4333E046" w14:textId="3C2F4CBD" w:rsidR="002F0974" w:rsidRPr="00DF1ECF" w:rsidRDefault="002F0974" w:rsidP="008444AE">
            <w:pPr>
              <w:pStyle w:val="TableText0"/>
              <w:keepNext w:val="0"/>
              <w:keepLines w:val="0"/>
              <w:jc w:val="center"/>
              <w:rPr>
                <w:rFonts w:eastAsia="Calibri"/>
                <w:szCs w:val="20"/>
              </w:rPr>
            </w:pPr>
            <w:r w:rsidRPr="00DF1ECF">
              <w:t>+</w:t>
            </w:r>
            <w:r w:rsidR="005822E1" w:rsidRPr="005822E1">
              <w:rPr>
                <w:sz w:val="2"/>
                <w:highlight w:val="black"/>
              </w:rPr>
              <w:t>redacted content</w:t>
            </w:r>
            <w:r w:rsidRPr="00DF1ECF">
              <w:t>%</w:t>
            </w:r>
          </w:p>
        </w:tc>
      </w:tr>
      <w:tr w:rsidR="00383252" w:rsidRPr="0098262F" w14:paraId="5F0E9257" w14:textId="77777777" w:rsidTr="007B3D7D">
        <w:trPr>
          <w:trHeight w:val="283"/>
        </w:trPr>
        <w:tc>
          <w:tcPr>
            <w:tcW w:w="2434" w:type="pct"/>
            <w:tcBorders>
              <w:top w:val="single" w:sz="4" w:space="0" w:color="auto"/>
              <w:bottom w:val="single" w:sz="4" w:space="0" w:color="auto"/>
              <w:right w:val="single" w:sz="4" w:space="0" w:color="auto"/>
            </w:tcBorders>
          </w:tcPr>
          <w:p w14:paraId="4F5180A0" w14:textId="7221FB80" w:rsidR="00383252" w:rsidRPr="00DF1ECF" w:rsidRDefault="00383252" w:rsidP="008444AE">
            <w:pPr>
              <w:pStyle w:val="TableText0"/>
              <w:keepNext w:val="0"/>
              <w:keepLines w:val="0"/>
              <w:ind w:left="254"/>
            </w:pPr>
            <w:r w:rsidRPr="00DF1ECF">
              <w:t>5 years</w:t>
            </w:r>
          </w:p>
        </w:tc>
        <w:tc>
          <w:tcPr>
            <w:tcW w:w="686" w:type="pct"/>
            <w:tcBorders>
              <w:top w:val="nil"/>
              <w:left w:val="single" w:sz="4" w:space="0" w:color="auto"/>
              <w:bottom w:val="nil"/>
              <w:right w:val="single" w:sz="4" w:space="0" w:color="auto"/>
            </w:tcBorders>
          </w:tcPr>
          <w:p w14:paraId="04C0608E" w14:textId="76B61E57" w:rsidR="00383252" w:rsidRPr="00DF1ECF" w:rsidRDefault="00383252" w:rsidP="008444AE">
            <w:pPr>
              <w:pStyle w:val="TableText0"/>
              <w:keepNext w:val="0"/>
              <w:keepLines w:val="0"/>
              <w:jc w:val="center"/>
            </w:pPr>
            <w:r w:rsidRPr="00DF1ECF">
              <w:t>$</w:t>
            </w:r>
            <w:r w:rsidR="005822E1" w:rsidRPr="005822E1">
              <w:rPr>
                <w:sz w:val="2"/>
                <w:highlight w:val="black"/>
              </w:rPr>
              <w:t>redacted content</w:t>
            </w:r>
          </w:p>
        </w:tc>
        <w:tc>
          <w:tcPr>
            <w:tcW w:w="685" w:type="pct"/>
            <w:tcBorders>
              <w:top w:val="nil"/>
              <w:left w:val="single" w:sz="4" w:space="0" w:color="auto"/>
              <w:bottom w:val="nil"/>
              <w:right w:val="single" w:sz="4" w:space="0" w:color="auto"/>
            </w:tcBorders>
          </w:tcPr>
          <w:p w14:paraId="6344E6AC" w14:textId="318D5809" w:rsidR="00383252" w:rsidRPr="00DF1ECF" w:rsidRDefault="00383252" w:rsidP="008444AE">
            <w:pPr>
              <w:pStyle w:val="TableText0"/>
              <w:keepNext w:val="0"/>
              <w:keepLines w:val="0"/>
              <w:jc w:val="center"/>
            </w:pPr>
            <w:r w:rsidRPr="00DF1ECF">
              <w:t>1.422</w:t>
            </w:r>
          </w:p>
        </w:tc>
        <w:tc>
          <w:tcPr>
            <w:tcW w:w="615" w:type="pct"/>
            <w:tcBorders>
              <w:top w:val="nil"/>
              <w:left w:val="single" w:sz="4" w:space="0" w:color="auto"/>
              <w:bottom w:val="nil"/>
              <w:right w:val="single" w:sz="4" w:space="0" w:color="auto"/>
            </w:tcBorders>
          </w:tcPr>
          <w:p w14:paraId="65525270" w14:textId="5B1DB553" w:rsidR="00383252" w:rsidRPr="00DF1ECF" w:rsidRDefault="00383252" w:rsidP="008444AE">
            <w:pPr>
              <w:pStyle w:val="TableText0"/>
              <w:keepNext w:val="0"/>
              <w:keepLines w:val="0"/>
              <w:jc w:val="center"/>
            </w:pPr>
            <w:r w:rsidRPr="00DF1ECF">
              <w:t>$</w:t>
            </w:r>
            <w:r w:rsidR="005822E1" w:rsidRPr="005822E1">
              <w:rPr>
                <w:sz w:val="2"/>
                <w:highlight w:val="black"/>
              </w:rPr>
              <w:t>redacted content</w:t>
            </w:r>
          </w:p>
        </w:tc>
        <w:tc>
          <w:tcPr>
            <w:tcW w:w="580" w:type="pct"/>
            <w:tcBorders>
              <w:top w:val="nil"/>
              <w:bottom w:val="nil"/>
            </w:tcBorders>
          </w:tcPr>
          <w:p w14:paraId="2231797E" w14:textId="3BC17AB1" w:rsidR="00383252" w:rsidRPr="00DF1ECF" w:rsidRDefault="00383252" w:rsidP="008444AE">
            <w:pPr>
              <w:pStyle w:val="TableText0"/>
              <w:keepNext w:val="0"/>
              <w:keepLines w:val="0"/>
              <w:jc w:val="center"/>
            </w:pPr>
            <w:r w:rsidRPr="00DF1ECF">
              <w:t>+</w:t>
            </w:r>
            <w:r w:rsidR="005822E1" w:rsidRPr="005822E1">
              <w:rPr>
                <w:sz w:val="2"/>
                <w:highlight w:val="black"/>
              </w:rPr>
              <w:t>redacted content</w:t>
            </w:r>
            <w:r w:rsidRPr="00DF1ECF">
              <w:t>%</w:t>
            </w:r>
          </w:p>
        </w:tc>
      </w:tr>
      <w:tr w:rsidR="002F0974" w:rsidRPr="0098262F" w14:paraId="644353E2" w14:textId="77777777">
        <w:trPr>
          <w:trHeight w:val="283"/>
        </w:trPr>
        <w:tc>
          <w:tcPr>
            <w:tcW w:w="5000" w:type="pct"/>
            <w:gridSpan w:val="5"/>
            <w:tcBorders>
              <w:top w:val="single" w:sz="4" w:space="0" w:color="auto"/>
            </w:tcBorders>
          </w:tcPr>
          <w:p w14:paraId="1B59EF70" w14:textId="77777777" w:rsidR="002F0974" w:rsidRPr="0098262F" w:rsidRDefault="002F0974" w:rsidP="008444AE">
            <w:pPr>
              <w:pStyle w:val="TableText0"/>
              <w:keepNext w:val="0"/>
              <w:keepLines w:val="0"/>
              <w:rPr>
                <w:rFonts w:eastAsia="Calibri"/>
                <w:szCs w:val="20"/>
              </w:rPr>
            </w:pPr>
            <w:r>
              <w:t>Extrapolation of OS (base case Gompertz)</w:t>
            </w:r>
          </w:p>
        </w:tc>
      </w:tr>
      <w:tr w:rsidR="002F0974" w:rsidRPr="0098262F" w14:paraId="09A52D15" w14:textId="77777777" w:rsidTr="00575E99">
        <w:trPr>
          <w:trHeight w:val="283"/>
        </w:trPr>
        <w:tc>
          <w:tcPr>
            <w:tcW w:w="2434" w:type="pct"/>
            <w:tcBorders>
              <w:top w:val="nil"/>
              <w:bottom w:val="nil"/>
            </w:tcBorders>
          </w:tcPr>
          <w:p w14:paraId="05F5E7C9" w14:textId="7D99A476" w:rsidR="002F0974" w:rsidRPr="00DF1ECF" w:rsidRDefault="002F0974" w:rsidP="008444AE">
            <w:pPr>
              <w:pStyle w:val="TableText0"/>
              <w:keepNext w:val="0"/>
              <w:keepLines w:val="0"/>
              <w:ind w:left="170"/>
            </w:pPr>
            <w:r w:rsidRPr="00DF1ECF">
              <w:t>Generalised gamma extrapolation</w:t>
            </w:r>
          </w:p>
        </w:tc>
        <w:tc>
          <w:tcPr>
            <w:tcW w:w="686" w:type="pct"/>
            <w:tcBorders>
              <w:top w:val="nil"/>
              <w:bottom w:val="nil"/>
            </w:tcBorders>
            <w:vAlign w:val="top"/>
          </w:tcPr>
          <w:p w14:paraId="45C9C5F6" w14:textId="16FFD33F" w:rsidR="002F0974" w:rsidRPr="00DF1ECF" w:rsidRDefault="002F0974" w:rsidP="008444AE">
            <w:pPr>
              <w:pStyle w:val="TableText0"/>
              <w:keepNext w:val="0"/>
              <w:keepLines w:val="0"/>
              <w:jc w:val="center"/>
              <w:rPr>
                <w:rFonts w:eastAsia="Calibri"/>
                <w:szCs w:val="20"/>
              </w:rPr>
            </w:pPr>
            <w:r w:rsidRPr="00DF1ECF">
              <w:t>$</w:t>
            </w:r>
            <w:r w:rsidR="005822E1" w:rsidRPr="005822E1">
              <w:rPr>
                <w:sz w:val="2"/>
                <w:highlight w:val="black"/>
              </w:rPr>
              <w:t>redacted content</w:t>
            </w:r>
          </w:p>
        </w:tc>
        <w:tc>
          <w:tcPr>
            <w:tcW w:w="685" w:type="pct"/>
            <w:tcBorders>
              <w:top w:val="nil"/>
              <w:bottom w:val="nil"/>
            </w:tcBorders>
            <w:vAlign w:val="top"/>
          </w:tcPr>
          <w:p w14:paraId="68BC5431" w14:textId="77777777" w:rsidR="002F0974" w:rsidRPr="00DF1ECF" w:rsidRDefault="002F0974" w:rsidP="008444AE">
            <w:pPr>
              <w:pStyle w:val="TableText0"/>
              <w:keepNext w:val="0"/>
              <w:keepLines w:val="0"/>
              <w:jc w:val="center"/>
              <w:rPr>
                <w:rFonts w:eastAsia="Calibri"/>
                <w:szCs w:val="20"/>
              </w:rPr>
            </w:pPr>
            <w:r w:rsidRPr="00DF1ECF">
              <w:t>1.133</w:t>
            </w:r>
          </w:p>
        </w:tc>
        <w:tc>
          <w:tcPr>
            <w:tcW w:w="615" w:type="pct"/>
            <w:tcBorders>
              <w:top w:val="nil"/>
              <w:bottom w:val="nil"/>
            </w:tcBorders>
          </w:tcPr>
          <w:p w14:paraId="1BF6D63C" w14:textId="1824094F" w:rsidR="002F0974" w:rsidRPr="008375FC" w:rsidRDefault="002F0974" w:rsidP="008444AE">
            <w:pPr>
              <w:pStyle w:val="TableText0"/>
              <w:keepNext w:val="0"/>
              <w:keepLines w:val="0"/>
              <w:jc w:val="center"/>
              <w:rPr>
                <w:rFonts w:eastAsia="Calibri"/>
                <w:szCs w:val="20"/>
                <w:vertAlign w:val="superscript"/>
              </w:rPr>
            </w:pPr>
            <w:r w:rsidRPr="00DF1ECF">
              <w:t>$</w:t>
            </w:r>
            <w:r w:rsidR="005822E1" w:rsidRPr="005822E1">
              <w:rPr>
                <w:sz w:val="2"/>
                <w:highlight w:val="black"/>
              </w:rPr>
              <w:t>redacted content</w:t>
            </w:r>
            <w:r w:rsidR="008375FC">
              <w:rPr>
                <w:vertAlign w:val="superscript"/>
              </w:rPr>
              <w:t>1</w:t>
            </w:r>
          </w:p>
        </w:tc>
        <w:tc>
          <w:tcPr>
            <w:tcW w:w="580" w:type="pct"/>
            <w:tcBorders>
              <w:top w:val="nil"/>
              <w:bottom w:val="nil"/>
            </w:tcBorders>
          </w:tcPr>
          <w:p w14:paraId="67858DFE" w14:textId="61CAD095" w:rsidR="002F0974" w:rsidRPr="00DF1ECF" w:rsidRDefault="002F0974" w:rsidP="008444AE">
            <w:pPr>
              <w:pStyle w:val="TableText0"/>
              <w:keepNext w:val="0"/>
              <w:keepLines w:val="0"/>
              <w:jc w:val="center"/>
              <w:rPr>
                <w:rFonts w:eastAsia="Calibri"/>
                <w:szCs w:val="20"/>
              </w:rPr>
            </w:pPr>
            <w:r w:rsidRPr="00DF1ECF">
              <w:t>+</w:t>
            </w:r>
            <w:r w:rsidR="005822E1" w:rsidRPr="005822E1">
              <w:rPr>
                <w:sz w:val="2"/>
                <w:highlight w:val="black"/>
              </w:rPr>
              <w:t>redacted content</w:t>
            </w:r>
            <w:r w:rsidRPr="00DF1ECF">
              <w:t>%</w:t>
            </w:r>
          </w:p>
        </w:tc>
      </w:tr>
      <w:tr w:rsidR="002F0974" w:rsidRPr="0098262F" w14:paraId="1553DAA0" w14:textId="77777777" w:rsidTr="00D7448D">
        <w:trPr>
          <w:trHeight w:val="283"/>
        </w:trPr>
        <w:tc>
          <w:tcPr>
            <w:tcW w:w="2434" w:type="pct"/>
            <w:tcBorders>
              <w:top w:val="nil"/>
              <w:bottom w:val="nil"/>
            </w:tcBorders>
          </w:tcPr>
          <w:p w14:paraId="20BF3002" w14:textId="77777777" w:rsidR="002F0974" w:rsidRPr="00DF1ECF" w:rsidRDefault="002F0974" w:rsidP="008444AE">
            <w:pPr>
              <w:pStyle w:val="TableText0"/>
              <w:keepNext w:val="0"/>
              <w:keepLines w:val="0"/>
              <w:ind w:left="170"/>
            </w:pPr>
            <w:r w:rsidRPr="00DF1ECF">
              <w:t>Lognormal extrapolation</w:t>
            </w:r>
          </w:p>
        </w:tc>
        <w:tc>
          <w:tcPr>
            <w:tcW w:w="686" w:type="pct"/>
            <w:tcBorders>
              <w:top w:val="nil"/>
              <w:bottom w:val="nil"/>
            </w:tcBorders>
            <w:vAlign w:val="top"/>
          </w:tcPr>
          <w:p w14:paraId="61A18B1A" w14:textId="63FE9E8E" w:rsidR="002F0974" w:rsidRPr="00DF1ECF" w:rsidRDefault="002F0974" w:rsidP="008444AE">
            <w:pPr>
              <w:pStyle w:val="TableText0"/>
              <w:keepNext w:val="0"/>
              <w:keepLines w:val="0"/>
              <w:jc w:val="center"/>
              <w:rPr>
                <w:rFonts w:eastAsia="Calibri"/>
                <w:szCs w:val="20"/>
              </w:rPr>
            </w:pPr>
            <w:r w:rsidRPr="00DF1ECF">
              <w:t>$</w:t>
            </w:r>
            <w:r w:rsidR="005822E1" w:rsidRPr="005822E1">
              <w:rPr>
                <w:sz w:val="2"/>
                <w:highlight w:val="black"/>
              </w:rPr>
              <w:t>redacted content</w:t>
            </w:r>
          </w:p>
        </w:tc>
        <w:tc>
          <w:tcPr>
            <w:tcW w:w="685" w:type="pct"/>
            <w:tcBorders>
              <w:top w:val="nil"/>
              <w:bottom w:val="nil"/>
            </w:tcBorders>
            <w:vAlign w:val="top"/>
          </w:tcPr>
          <w:p w14:paraId="0D623E23" w14:textId="77777777" w:rsidR="002F0974" w:rsidRPr="00DF1ECF" w:rsidRDefault="002F0974" w:rsidP="008444AE">
            <w:pPr>
              <w:pStyle w:val="TableText0"/>
              <w:keepNext w:val="0"/>
              <w:keepLines w:val="0"/>
              <w:jc w:val="center"/>
              <w:rPr>
                <w:rFonts w:eastAsia="Calibri"/>
                <w:szCs w:val="20"/>
              </w:rPr>
            </w:pPr>
            <w:r w:rsidRPr="00DF1ECF">
              <w:t>0.845</w:t>
            </w:r>
          </w:p>
        </w:tc>
        <w:tc>
          <w:tcPr>
            <w:tcW w:w="615" w:type="pct"/>
            <w:tcBorders>
              <w:top w:val="nil"/>
              <w:bottom w:val="nil"/>
            </w:tcBorders>
          </w:tcPr>
          <w:p w14:paraId="0CF68874" w14:textId="6BC1BB2D" w:rsidR="002F0974" w:rsidRPr="00104CBE" w:rsidRDefault="002F0974" w:rsidP="008444AE">
            <w:pPr>
              <w:pStyle w:val="TableText0"/>
              <w:keepNext w:val="0"/>
              <w:keepLines w:val="0"/>
              <w:jc w:val="center"/>
              <w:rPr>
                <w:rFonts w:eastAsia="Calibri"/>
                <w:szCs w:val="20"/>
                <w:vertAlign w:val="superscript"/>
              </w:rPr>
            </w:pPr>
            <w:r w:rsidRPr="00DF1ECF">
              <w:t>$</w:t>
            </w:r>
            <w:r w:rsidR="005822E1" w:rsidRPr="005822E1">
              <w:rPr>
                <w:sz w:val="2"/>
                <w:highlight w:val="black"/>
              </w:rPr>
              <w:t>redacted content</w:t>
            </w:r>
            <w:r w:rsidR="00104CBE">
              <w:rPr>
                <w:vertAlign w:val="superscript"/>
              </w:rPr>
              <w:t>2</w:t>
            </w:r>
          </w:p>
        </w:tc>
        <w:tc>
          <w:tcPr>
            <w:tcW w:w="580" w:type="pct"/>
            <w:tcBorders>
              <w:top w:val="nil"/>
              <w:bottom w:val="nil"/>
            </w:tcBorders>
          </w:tcPr>
          <w:p w14:paraId="68DD8568" w14:textId="023A7F30" w:rsidR="002F0974" w:rsidRPr="00DF1ECF" w:rsidRDefault="002F0974" w:rsidP="008444AE">
            <w:pPr>
              <w:pStyle w:val="TableText0"/>
              <w:keepNext w:val="0"/>
              <w:keepLines w:val="0"/>
              <w:jc w:val="center"/>
              <w:rPr>
                <w:rFonts w:eastAsia="Calibri"/>
                <w:szCs w:val="20"/>
              </w:rPr>
            </w:pPr>
            <w:r w:rsidRPr="00DF1ECF">
              <w:t>+</w:t>
            </w:r>
            <w:r w:rsidR="005822E1" w:rsidRPr="005822E1">
              <w:rPr>
                <w:sz w:val="2"/>
                <w:highlight w:val="black"/>
              </w:rPr>
              <w:t>redacted content</w:t>
            </w:r>
            <w:r w:rsidRPr="00DF1ECF">
              <w:t>%</w:t>
            </w:r>
          </w:p>
        </w:tc>
      </w:tr>
      <w:tr w:rsidR="002F0974" w:rsidRPr="0098262F" w14:paraId="693D7D5E" w14:textId="77777777" w:rsidTr="00D7448D">
        <w:trPr>
          <w:trHeight w:val="283"/>
        </w:trPr>
        <w:tc>
          <w:tcPr>
            <w:tcW w:w="2434" w:type="pct"/>
            <w:tcBorders>
              <w:top w:val="nil"/>
              <w:left w:val="single" w:sz="4" w:space="0" w:color="auto"/>
              <w:bottom w:val="single" w:sz="4" w:space="0" w:color="auto"/>
              <w:right w:val="single" w:sz="4" w:space="0" w:color="auto"/>
            </w:tcBorders>
          </w:tcPr>
          <w:p w14:paraId="4CF6D88F" w14:textId="77777777" w:rsidR="002F0974" w:rsidRPr="00DF1ECF" w:rsidRDefault="002F0974" w:rsidP="008444AE">
            <w:pPr>
              <w:pStyle w:val="TableText0"/>
              <w:keepNext w:val="0"/>
              <w:keepLines w:val="0"/>
              <w:ind w:left="170"/>
            </w:pPr>
            <w:r w:rsidRPr="00DF1ECF">
              <w:lastRenderedPageBreak/>
              <w:t>Loglogistic extrapolation</w:t>
            </w:r>
          </w:p>
        </w:tc>
        <w:tc>
          <w:tcPr>
            <w:tcW w:w="686" w:type="pct"/>
            <w:tcBorders>
              <w:top w:val="nil"/>
              <w:left w:val="single" w:sz="4" w:space="0" w:color="auto"/>
              <w:bottom w:val="single" w:sz="4" w:space="0" w:color="auto"/>
              <w:right w:val="single" w:sz="4" w:space="0" w:color="auto"/>
            </w:tcBorders>
            <w:vAlign w:val="top"/>
          </w:tcPr>
          <w:p w14:paraId="34DEB4C6" w14:textId="144637F3" w:rsidR="002F0974" w:rsidRPr="00DF1ECF" w:rsidRDefault="002F0974" w:rsidP="008444AE">
            <w:pPr>
              <w:pStyle w:val="TableText0"/>
              <w:keepNext w:val="0"/>
              <w:keepLines w:val="0"/>
              <w:jc w:val="center"/>
              <w:rPr>
                <w:rFonts w:eastAsia="Calibri"/>
                <w:szCs w:val="20"/>
              </w:rPr>
            </w:pPr>
            <w:r w:rsidRPr="00DF1ECF">
              <w:t>$</w:t>
            </w:r>
            <w:r w:rsidR="005822E1" w:rsidRPr="005822E1">
              <w:rPr>
                <w:sz w:val="2"/>
                <w:highlight w:val="black"/>
              </w:rPr>
              <w:t>redacted content</w:t>
            </w:r>
          </w:p>
        </w:tc>
        <w:tc>
          <w:tcPr>
            <w:tcW w:w="685" w:type="pct"/>
            <w:tcBorders>
              <w:top w:val="nil"/>
              <w:left w:val="single" w:sz="4" w:space="0" w:color="auto"/>
              <w:bottom w:val="single" w:sz="4" w:space="0" w:color="auto"/>
              <w:right w:val="single" w:sz="4" w:space="0" w:color="auto"/>
            </w:tcBorders>
            <w:vAlign w:val="top"/>
          </w:tcPr>
          <w:p w14:paraId="5EC9ED10" w14:textId="77777777" w:rsidR="002F0974" w:rsidRPr="00DF1ECF" w:rsidRDefault="002F0974" w:rsidP="008444AE">
            <w:pPr>
              <w:pStyle w:val="TableText0"/>
              <w:keepNext w:val="0"/>
              <w:keepLines w:val="0"/>
              <w:jc w:val="center"/>
              <w:rPr>
                <w:rFonts w:eastAsia="Calibri"/>
                <w:szCs w:val="20"/>
              </w:rPr>
            </w:pPr>
            <w:r w:rsidRPr="00DF1ECF">
              <w:t>0.896</w:t>
            </w:r>
          </w:p>
        </w:tc>
        <w:tc>
          <w:tcPr>
            <w:tcW w:w="615" w:type="pct"/>
            <w:tcBorders>
              <w:top w:val="nil"/>
              <w:left w:val="single" w:sz="4" w:space="0" w:color="auto"/>
              <w:bottom w:val="single" w:sz="4" w:space="0" w:color="auto"/>
              <w:right w:val="single" w:sz="4" w:space="0" w:color="auto"/>
            </w:tcBorders>
          </w:tcPr>
          <w:p w14:paraId="0398768D" w14:textId="144248C5" w:rsidR="002F0974" w:rsidRPr="00104CBE" w:rsidRDefault="002F0974" w:rsidP="008444AE">
            <w:pPr>
              <w:pStyle w:val="TableText0"/>
              <w:keepNext w:val="0"/>
              <w:keepLines w:val="0"/>
              <w:jc w:val="center"/>
              <w:rPr>
                <w:rFonts w:eastAsia="Calibri"/>
                <w:szCs w:val="20"/>
                <w:vertAlign w:val="superscript"/>
              </w:rPr>
            </w:pPr>
            <w:r w:rsidRPr="00DF1ECF">
              <w:t>$</w:t>
            </w:r>
            <w:r w:rsidR="005822E1" w:rsidRPr="005822E1">
              <w:rPr>
                <w:sz w:val="2"/>
                <w:highlight w:val="black"/>
              </w:rPr>
              <w:t>redacted content</w:t>
            </w:r>
            <w:r w:rsidR="00104CBE">
              <w:rPr>
                <w:vertAlign w:val="superscript"/>
              </w:rPr>
              <w:t>2</w:t>
            </w:r>
          </w:p>
        </w:tc>
        <w:tc>
          <w:tcPr>
            <w:tcW w:w="580" w:type="pct"/>
            <w:tcBorders>
              <w:top w:val="nil"/>
              <w:bottom w:val="single" w:sz="4" w:space="0" w:color="auto"/>
            </w:tcBorders>
          </w:tcPr>
          <w:p w14:paraId="0B08BCBE" w14:textId="4CFC7572" w:rsidR="002F0974" w:rsidRPr="00DF1ECF" w:rsidRDefault="002F0974" w:rsidP="008444AE">
            <w:pPr>
              <w:pStyle w:val="TableText0"/>
              <w:keepNext w:val="0"/>
              <w:keepLines w:val="0"/>
              <w:jc w:val="center"/>
              <w:rPr>
                <w:rFonts w:eastAsia="Calibri"/>
                <w:szCs w:val="20"/>
              </w:rPr>
            </w:pPr>
            <w:r w:rsidRPr="00DF1ECF">
              <w:t>+</w:t>
            </w:r>
            <w:r w:rsidR="005822E1" w:rsidRPr="005822E1">
              <w:rPr>
                <w:sz w:val="2"/>
                <w:highlight w:val="black"/>
              </w:rPr>
              <w:t>redacted content</w:t>
            </w:r>
            <w:r w:rsidRPr="00DF1ECF">
              <w:t>%</w:t>
            </w:r>
          </w:p>
        </w:tc>
      </w:tr>
      <w:tr w:rsidR="002F0974" w:rsidRPr="0098262F" w14:paraId="406F8C44" w14:textId="77777777" w:rsidTr="00D7448D">
        <w:trPr>
          <w:trHeight w:val="283"/>
        </w:trPr>
        <w:tc>
          <w:tcPr>
            <w:tcW w:w="5000" w:type="pct"/>
            <w:gridSpan w:val="5"/>
            <w:tcBorders>
              <w:top w:val="single" w:sz="4" w:space="0" w:color="auto"/>
            </w:tcBorders>
          </w:tcPr>
          <w:p w14:paraId="76FF6FC3" w14:textId="77777777" w:rsidR="002F0974" w:rsidRPr="0098262F" w:rsidRDefault="002F0974" w:rsidP="008444AE">
            <w:pPr>
              <w:pStyle w:val="TableText0"/>
              <w:keepNext w:val="0"/>
              <w:keepLines w:val="0"/>
              <w:rPr>
                <w:rFonts w:eastAsia="Calibri"/>
                <w:szCs w:val="20"/>
              </w:rPr>
            </w:pPr>
            <w:r>
              <w:t>Extrapolation of PFS (base case Gompertz)</w:t>
            </w:r>
          </w:p>
        </w:tc>
      </w:tr>
      <w:tr w:rsidR="002F0974" w:rsidRPr="0098262F" w14:paraId="20426B99" w14:textId="77777777">
        <w:trPr>
          <w:trHeight w:val="283"/>
        </w:trPr>
        <w:tc>
          <w:tcPr>
            <w:tcW w:w="2434" w:type="pct"/>
            <w:tcBorders>
              <w:top w:val="nil"/>
              <w:bottom w:val="nil"/>
            </w:tcBorders>
          </w:tcPr>
          <w:p w14:paraId="1264F36F" w14:textId="77777777" w:rsidR="002F0974" w:rsidRPr="00DF1ECF" w:rsidRDefault="002F0974" w:rsidP="008444AE">
            <w:pPr>
              <w:pStyle w:val="TableText0"/>
              <w:keepNext w:val="0"/>
              <w:keepLines w:val="0"/>
              <w:ind w:left="170"/>
            </w:pPr>
            <w:r w:rsidRPr="00DF1ECF">
              <w:t>Generalised gamma extrapolation</w:t>
            </w:r>
          </w:p>
        </w:tc>
        <w:tc>
          <w:tcPr>
            <w:tcW w:w="686" w:type="pct"/>
            <w:tcBorders>
              <w:top w:val="nil"/>
              <w:bottom w:val="nil"/>
            </w:tcBorders>
            <w:vAlign w:val="top"/>
          </w:tcPr>
          <w:p w14:paraId="45DB9DED" w14:textId="03ECD79A" w:rsidR="002F0974" w:rsidRPr="00DF1ECF" w:rsidRDefault="002F0974" w:rsidP="008444AE">
            <w:pPr>
              <w:pStyle w:val="TableText0"/>
              <w:keepNext w:val="0"/>
              <w:keepLines w:val="0"/>
              <w:jc w:val="center"/>
              <w:rPr>
                <w:rFonts w:eastAsia="Calibri"/>
                <w:szCs w:val="20"/>
              </w:rPr>
            </w:pPr>
            <w:r w:rsidRPr="00DF1ECF">
              <w:t>$</w:t>
            </w:r>
            <w:r w:rsidR="005822E1" w:rsidRPr="005822E1">
              <w:rPr>
                <w:sz w:val="2"/>
                <w:highlight w:val="black"/>
              </w:rPr>
              <w:t>redacted content</w:t>
            </w:r>
          </w:p>
        </w:tc>
        <w:tc>
          <w:tcPr>
            <w:tcW w:w="685" w:type="pct"/>
            <w:tcBorders>
              <w:top w:val="nil"/>
              <w:bottom w:val="nil"/>
            </w:tcBorders>
            <w:vAlign w:val="top"/>
          </w:tcPr>
          <w:p w14:paraId="15465435" w14:textId="77777777" w:rsidR="002F0974" w:rsidRPr="00DF1ECF" w:rsidRDefault="002F0974" w:rsidP="008444AE">
            <w:pPr>
              <w:pStyle w:val="TableText0"/>
              <w:keepNext w:val="0"/>
              <w:keepLines w:val="0"/>
              <w:jc w:val="center"/>
              <w:rPr>
                <w:rFonts w:eastAsia="Calibri"/>
                <w:szCs w:val="20"/>
              </w:rPr>
            </w:pPr>
            <w:r w:rsidRPr="00DF1ECF">
              <w:t>1.397</w:t>
            </w:r>
          </w:p>
        </w:tc>
        <w:tc>
          <w:tcPr>
            <w:tcW w:w="615" w:type="pct"/>
            <w:tcBorders>
              <w:top w:val="nil"/>
              <w:bottom w:val="nil"/>
            </w:tcBorders>
          </w:tcPr>
          <w:p w14:paraId="46193731" w14:textId="20644EC0" w:rsidR="002F0974" w:rsidRPr="005D759E" w:rsidRDefault="002F0974" w:rsidP="008444AE">
            <w:pPr>
              <w:pStyle w:val="TableText0"/>
              <w:keepNext w:val="0"/>
              <w:keepLines w:val="0"/>
              <w:jc w:val="center"/>
              <w:rPr>
                <w:rFonts w:eastAsia="Calibri"/>
                <w:szCs w:val="20"/>
                <w:vertAlign w:val="superscript"/>
              </w:rPr>
            </w:pPr>
            <w:r w:rsidRPr="00DF1ECF">
              <w:t>$</w:t>
            </w:r>
            <w:r w:rsidR="005822E1" w:rsidRPr="005822E1">
              <w:rPr>
                <w:sz w:val="2"/>
                <w:highlight w:val="black"/>
              </w:rPr>
              <w:t>redacted content</w:t>
            </w:r>
            <w:r w:rsidR="005D759E">
              <w:rPr>
                <w:vertAlign w:val="superscript"/>
              </w:rPr>
              <w:t>3</w:t>
            </w:r>
          </w:p>
        </w:tc>
        <w:tc>
          <w:tcPr>
            <w:tcW w:w="580" w:type="pct"/>
            <w:tcBorders>
              <w:top w:val="nil"/>
              <w:bottom w:val="nil"/>
            </w:tcBorders>
          </w:tcPr>
          <w:p w14:paraId="506726A5" w14:textId="54927AC5" w:rsidR="002F0974" w:rsidRPr="00DF1ECF" w:rsidRDefault="002F0974" w:rsidP="008444AE">
            <w:pPr>
              <w:pStyle w:val="TableText0"/>
              <w:keepNext w:val="0"/>
              <w:keepLines w:val="0"/>
              <w:jc w:val="center"/>
              <w:rPr>
                <w:rFonts w:eastAsia="Calibri"/>
                <w:szCs w:val="20"/>
              </w:rPr>
            </w:pPr>
            <w:r w:rsidRPr="00DF1ECF">
              <w:t>+</w:t>
            </w:r>
            <w:r w:rsidR="005822E1" w:rsidRPr="005822E1">
              <w:rPr>
                <w:sz w:val="2"/>
                <w:highlight w:val="black"/>
              </w:rPr>
              <w:t>redacted content</w:t>
            </w:r>
            <w:r w:rsidRPr="00DF1ECF">
              <w:t>%</w:t>
            </w:r>
          </w:p>
        </w:tc>
      </w:tr>
      <w:tr w:rsidR="002F0974" w:rsidRPr="0098262F" w14:paraId="5890B2D9" w14:textId="77777777">
        <w:trPr>
          <w:trHeight w:val="80"/>
        </w:trPr>
        <w:tc>
          <w:tcPr>
            <w:tcW w:w="2434" w:type="pct"/>
            <w:tcBorders>
              <w:top w:val="nil"/>
              <w:bottom w:val="nil"/>
              <w:right w:val="single" w:sz="4" w:space="0" w:color="auto"/>
            </w:tcBorders>
          </w:tcPr>
          <w:p w14:paraId="2F269663" w14:textId="77777777" w:rsidR="002F0974" w:rsidRPr="00DF1ECF" w:rsidRDefault="002F0974" w:rsidP="008444AE">
            <w:pPr>
              <w:pStyle w:val="TableText0"/>
              <w:keepNext w:val="0"/>
              <w:keepLines w:val="0"/>
              <w:ind w:left="170"/>
            </w:pPr>
            <w:r w:rsidRPr="00DF1ECF">
              <w:t>Lognormal extrapolation</w:t>
            </w:r>
          </w:p>
        </w:tc>
        <w:tc>
          <w:tcPr>
            <w:tcW w:w="686" w:type="pct"/>
            <w:tcBorders>
              <w:top w:val="nil"/>
              <w:left w:val="single" w:sz="4" w:space="0" w:color="auto"/>
              <w:bottom w:val="nil"/>
              <w:right w:val="single" w:sz="4" w:space="0" w:color="auto"/>
            </w:tcBorders>
            <w:vAlign w:val="top"/>
          </w:tcPr>
          <w:p w14:paraId="76642A94" w14:textId="54B47432" w:rsidR="002F0974" w:rsidRPr="00DF1ECF" w:rsidRDefault="002F0974" w:rsidP="008444AE">
            <w:pPr>
              <w:pStyle w:val="TableText0"/>
              <w:keepNext w:val="0"/>
              <w:keepLines w:val="0"/>
              <w:jc w:val="center"/>
              <w:rPr>
                <w:rFonts w:eastAsia="Calibri"/>
                <w:szCs w:val="20"/>
              </w:rPr>
            </w:pPr>
            <w:r w:rsidRPr="00DF1ECF">
              <w:t>$</w:t>
            </w:r>
            <w:r w:rsidR="005822E1" w:rsidRPr="005822E1">
              <w:rPr>
                <w:sz w:val="2"/>
                <w:highlight w:val="black"/>
              </w:rPr>
              <w:t>redacted content</w:t>
            </w:r>
          </w:p>
        </w:tc>
        <w:tc>
          <w:tcPr>
            <w:tcW w:w="685" w:type="pct"/>
            <w:tcBorders>
              <w:top w:val="nil"/>
              <w:left w:val="single" w:sz="4" w:space="0" w:color="auto"/>
              <w:bottom w:val="nil"/>
              <w:right w:val="single" w:sz="4" w:space="0" w:color="auto"/>
            </w:tcBorders>
            <w:vAlign w:val="top"/>
          </w:tcPr>
          <w:p w14:paraId="7BC26F11" w14:textId="77777777" w:rsidR="002F0974" w:rsidRPr="00DF1ECF" w:rsidRDefault="002F0974" w:rsidP="008444AE">
            <w:pPr>
              <w:pStyle w:val="TableText0"/>
              <w:keepNext w:val="0"/>
              <w:keepLines w:val="0"/>
              <w:jc w:val="center"/>
              <w:rPr>
                <w:rFonts w:eastAsia="Calibri"/>
                <w:szCs w:val="20"/>
              </w:rPr>
            </w:pPr>
            <w:r w:rsidRPr="00DF1ECF">
              <w:t>1.205</w:t>
            </w:r>
          </w:p>
        </w:tc>
        <w:tc>
          <w:tcPr>
            <w:tcW w:w="615" w:type="pct"/>
            <w:tcBorders>
              <w:top w:val="nil"/>
              <w:left w:val="single" w:sz="4" w:space="0" w:color="auto"/>
              <w:bottom w:val="nil"/>
              <w:right w:val="single" w:sz="4" w:space="0" w:color="auto"/>
            </w:tcBorders>
          </w:tcPr>
          <w:p w14:paraId="6D2BD064" w14:textId="3C86930A" w:rsidR="002F0974" w:rsidRPr="008375FC" w:rsidRDefault="002F0974" w:rsidP="008444AE">
            <w:pPr>
              <w:pStyle w:val="TableText0"/>
              <w:keepNext w:val="0"/>
              <w:keepLines w:val="0"/>
              <w:jc w:val="center"/>
              <w:rPr>
                <w:rFonts w:eastAsia="Calibri"/>
                <w:szCs w:val="20"/>
                <w:vertAlign w:val="superscript"/>
              </w:rPr>
            </w:pPr>
            <w:r w:rsidRPr="00DF1ECF">
              <w:t>$</w:t>
            </w:r>
            <w:r w:rsidR="005822E1" w:rsidRPr="005822E1">
              <w:rPr>
                <w:sz w:val="2"/>
                <w:highlight w:val="black"/>
              </w:rPr>
              <w:t>redacted content</w:t>
            </w:r>
            <w:r w:rsidR="008375FC">
              <w:rPr>
                <w:vertAlign w:val="superscript"/>
              </w:rPr>
              <w:t>1</w:t>
            </w:r>
          </w:p>
        </w:tc>
        <w:tc>
          <w:tcPr>
            <w:tcW w:w="580" w:type="pct"/>
            <w:tcBorders>
              <w:top w:val="nil"/>
              <w:bottom w:val="nil"/>
            </w:tcBorders>
          </w:tcPr>
          <w:p w14:paraId="44E677DA" w14:textId="1A91181A" w:rsidR="002F0974" w:rsidRPr="00DF1ECF" w:rsidRDefault="002F0974" w:rsidP="008444AE">
            <w:pPr>
              <w:pStyle w:val="TableText0"/>
              <w:keepNext w:val="0"/>
              <w:keepLines w:val="0"/>
              <w:jc w:val="center"/>
              <w:rPr>
                <w:rFonts w:eastAsia="Calibri"/>
                <w:szCs w:val="20"/>
              </w:rPr>
            </w:pPr>
            <w:r w:rsidRPr="00DF1ECF">
              <w:t>+</w:t>
            </w:r>
            <w:r w:rsidR="005822E1" w:rsidRPr="005822E1">
              <w:rPr>
                <w:sz w:val="2"/>
                <w:highlight w:val="black"/>
              </w:rPr>
              <w:t>redacted content</w:t>
            </w:r>
            <w:r w:rsidRPr="00DF1ECF">
              <w:t>%</w:t>
            </w:r>
          </w:p>
        </w:tc>
      </w:tr>
      <w:tr w:rsidR="002F0974" w:rsidRPr="0098262F" w14:paraId="4065FE17" w14:textId="77777777">
        <w:trPr>
          <w:trHeight w:val="283"/>
        </w:trPr>
        <w:tc>
          <w:tcPr>
            <w:tcW w:w="2434" w:type="pct"/>
            <w:tcBorders>
              <w:top w:val="nil"/>
              <w:left w:val="single" w:sz="4" w:space="0" w:color="auto"/>
              <w:bottom w:val="nil"/>
              <w:right w:val="single" w:sz="4" w:space="0" w:color="auto"/>
            </w:tcBorders>
          </w:tcPr>
          <w:p w14:paraId="422A01B4" w14:textId="77777777" w:rsidR="002F0974" w:rsidRPr="00DF1ECF" w:rsidRDefault="002F0974" w:rsidP="008444AE">
            <w:pPr>
              <w:pStyle w:val="TableText0"/>
              <w:keepNext w:val="0"/>
              <w:keepLines w:val="0"/>
              <w:ind w:left="170"/>
            </w:pPr>
            <w:r w:rsidRPr="00DF1ECF">
              <w:t>Loglogistic extrapolation</w:t>
            </w:r>
          </w:p>
        </w:tc>
        <w:tc>
          <w:tcPr>
            <w:tcW w:w="686" w:type="pct"/>
            <w:tcBorders>
              <w:top w:val="nil"/>
              <w:left w:val="single" w:sz="4" w:space="0" w:color="auto"/>
              <w:bottom w:val="nil"/>
              <w:right w:val="single" w:sz="4" w:space="0" w:color="auto"/>
            </w:tcBorders>
            <w:vAlign w:val="top"/>
          </w:tcPr>
          <w:p w14:paraId="60902C2F" w14:textId="4B092CC8" w:rsidR="002F0974" w:rsidRPr="00DF1ECF" w:rsidRDefault="002F0974" w:rsidP="008444AE">
            <w:pPr>
              <w:pStyle w:val="TableText0"/>
              <w:keepNext w:val="0"/>
              <w:keepLines w:val="0"/>
              <w:jc w:val="center"/>
              <w:rPr>
                <w:rFonts w:eastAsia="Calibri"/>
                <w:szCs w:val="20"/>
              </w:rPr>
            </w:pPr>
            <w:r w:rsidRPr="00DF1ECF">
              <w:t>$</w:t>
            </w:r>
            <w:r w:rsidR="005822E1" w:rsidRPr="005822E1">
              <w:rPr>
                <w:sz w:val="2"/>
                <w:highlight w:val="black"/>
              </w:rPr>
              <w:t>redacted content</w:t>
            </w:r>
          </w:p>
        </w:tc>
        <w:tc>
          <w:tcPr>
            <w:tcW w:w="685" w:type="pct"/>
            <w:tcBorders>
              <w:top w:val="nil"/>
              <w:left w:val="single" w:sz="4" w:space="0" w:color="auto"/>
              <w:bottom w:val="nil"/>
              <w:right w:val="single" w:sz="4" w:space="0" w:color="auto"/>
            </w:tcBorders>
            <w:vAlign w:val="top"/>
          </w:tcPr>
          <w:p w14:paraId="15FBE018" w14:textId="77777777" w:rsidR="002F0974" w:rsidRPr="00DF1ECF" w:rsidRDefault="002F0974" w:rsidP="008444AE">
            <w:pPr>
              <w:pStyle w:val="TableText0"/>
              <w:keepNext w:val="0"/>
              <w:keepLines w:val="0"/>
              <w:jc w:val="center"/>
              <w:rPr>
                <w:rFonts w:eastAsia="Calibri"/>
                <w:szCs w:val="20"/>
              </w:rPr>
            </w:pPr>
            <w:r w:rsidRPr="00DF1ECF">
              <w:t>1.224</w:t>
            </w:r>
          </w:p>
        </w:tc>
        <w:tc>
          <w:tcPr>
            <w:tcW w:w="615" w:type="pct"/>
            <w:tcBorders>
              <w:top w:val="nil"/>
              <w:left w:val="single" w:sz="4" w:space="0" w:color="auto"/>
              <w:bottom w:val="nil"/>
              <w:right w:val="single" w:sz="4" w:space="0" w:color="auto"/>
            </w:tcBorders>
          </w:tcPr>
          <w:p w14:paraId="7AD0A419" w14:textId="5B864D68" w:rsidR="002F0974" w:rsidRPr="008375FC" w:rsidRDefault="002F0974" w:rsidP="008444AE">
            <w:pPr>
              <w:pStyle w:val="TableText0"/>
              <w:keepNext w:val="0"/>
              <w:keepLines w:val="0"/>
              <w:jc w:val="center"/>
              <w:rPr>
                <w:rFonts w:eastAsia="Calibri"/>
                <w:szCs w:val="20"/>
                <w:vertAlign w:val="superscript"/>
              </w:rPr>
            </w:pPr>
            <w:r w:rsidRPr="00DF1ECF">
              <w:t>$</w:t>
            </w:r>
            <w:r w:rsidR="005822E1" w:rsidRPr="005822E1">
              <w:rPr>
                <w:sz w:val="2"/>
                <w:highlight w:val="black"/>
              </w:rPr>
              <w:t>redacted content</w:t>
            </w:r>
            <w:r w:rsidR="008375FC">
              <w:rPr>
                <w:vertAlign w:val="superscript"/>
              </w:rPr>
              <w:t>1</w:t>
            </w:r>
          </w:p>
        </w:tc>
        <w:tc>
          <w:tcPr>
            <w:tcW w:w="580" w:type="pct"/>
            <w:tcBorders>
              <w:top w:val="nil"/>
              <w:bottom w:val="nil"/>
            </w:tcBorders>
          </w:tcPr>
          <w:p w14:paraId="313459CE" w14:textId="259FD205" w:rsidR="002F0974" w:rsidRPr="00DF1ECF" w:rsidRDefault="002F0974" w:rsidP="008444AE">
            <w:pPr>
              <w:pStyle w:val="TableText0"/>
              <w:keepNext w:val="0"/>
              <w:keepLines w:val="0"/>
              <w:jc w:val="center"/>
              <w:rPr>
                <w:rFonts w:eastAsia="Calibri"/>
                <w:szCs w:val="20"/>
              </w:rPr>
            </w:pPr>
            <w:r w:rsidRPr="00DF1ECF">
              <w:t>+</w:t>
            </w:r>
            <w:r w:rsidR="005822E1" w:rsidRPr="005822E1">
              <w:rPr>
                <w:sz w:val="2"/>
                <w:highlight w:val="black"/>
              </w:rPr>
              <w:t>redacted content</w:t>
            </w:r>
            <w:r w:rsidRPr="00DF1ECF">
              <w:t>%</w:t>
            </w:r>
          </w:p>
        </w:tc>
      </w:tr>
      <w:tr w:rsidR="002F0974" w:rsidRPr="0098262F" w14:paraId="39EAF973" w14:textId="77777777">
        <w:trPr>
          <w:trHeight w:val="283"/>
        </w:trPr>
        <w:tc>
          <w:tcPr>
            <w:tcW w:w="5000" w:type="pct"/>
            <w:gridSpan w:val="5"/>
          </w:tcPr>
          <w:p w14:paraId="23D1926C" w14:textId="77777777" w:rsidR="002F0974" w:rsidRPr="0098262F" w:rsidRDefault="002F0974" w:rsidP="008444AE">
            <w:pPr>
              <w:pStyle w:val="TableText0"/>
              <w:keepNext w:val="0"/>
              <w:keepLines w:val="0"/>
              <w:rPr>
                <w:rFonts w:eastAsia="Calibri"/>
                <w:szCs w:val="20"/>
              </w:rPr>
            </w:pPr>
            <w:r>
              <w:t xml:space="preserve">HR for comparator survival curves </w:t>
            </w:r>
            <w:r w:rsidRPr="004D5060">
              <w:t>(base case 1.515)</w:t>
            </w:r>
          </w:p>
        </w:tc>
      </w:tr>
      <w:tr w:rsidR="002F0974" w:rsidRPr="0098262F" w14:paraId="726DA046" w14:textId="77777777">
        <w:trPr>
          <w:trHeight w:val="283"/>
        </w:trPr>
        <w:tc>
          <w:tcPr>
            <w:tcW w:w="2434" w:type="pct"/>
            <w:tcBorders>
              <w:top w:val="nil"/>
              <w:left w:val="single" w:sz="4" w:space="0" w:color="auto"/>
              <w:bottom w:val="dashSmallGap" w:sz="4" w:space="0" w:color="auto"/>
              <w:right w:val="single" w:sz="4" w:space="0" w:color="auto"/>
            </w:tcBorders>
          </w:tcPr>
          <w:p w14:paraId="06707DCF" w14:textId="77777777" w:rsidR="002F0974" w:rsidRPr="0098262F" w:rsidRDefault="002F0974" w:rsidP="008444AE">
            <w:pPr>
              <w:pStyle w:val="TableText0"/>
              <w:keepNext w:val="0"/>
              <w:keepLines w:val="0"/>
              <w:ind w:left="254"/>
            </w:pPr>
            <w:r w:rsidRPr="004D5060">
              <w:t xml:space="preserve">HR </w:t>
            </w:r>
            <w:r>
              <w:t xml:space="preserve">= </w:t>
            </w:r>
            <w:r w:rsidRPr="004D5060">
              <w:t xml:space="preserve">1.471 </w:t>
            </w:r>
            <w:r>
              <w:t>(inverse of naïve unadjusted HR 0.68)</w:t>
            </w:r>
          </w:p>
        </w:tc>
        <w:tc>
          <w:tcPr>
            <w:tcW w:w="686" w:type="pct"/>
            <w:tcBorders>
              <w:top w:val="nil"/>
              <w:left w:val="single" w:sz="4" w:space="0" w:color="auto"/>
              <w:bottom w:val="dashSmallGap" w:sz="4" w:space="0" w:color="auto"/>
              <w:right w:val="single" w:sz="4" w:space="0" w:color="auto"/>
            </w:tcBorders>
          </w:tcPr>
          <w:p w14:paraId="24971730" w14:textId="25CEE9B2" w:rsidR="002F0974" w:rsidRPr="0098262F" w:rsidRDefault="002F0974" w:rsidP="008444AE">
            <w:pPr>
              <w:pStyle w:val="TableText0"/>
              <w:keepNext w:val="0"/>
              <w:keepLines w:val="0"/>
              <w:jc w:val="center"/>
              <w:rPr>
                <w:rFonts w:eastAsia="Calibri"/>
                <w:szCs w:val="20"/>
              </w:rPr>
            </w:pPr>
            <w:r w:rsidRPr="004D5060">
              <w:t>$</w:t>
            </w:r>
            <w:r w:rsidR="005822E1" w:rsidRPr="005822E1">
              <w:rPr>
                <w:sz w:val="2"/>
                <w:highlight w:val="black"/>
              </w:rPr>
              <w:t>redacted content</w:t>
            </w:r>
          </w:p>
        </w:tc>
        <w:tc>
          <w:tcPr>
            <w:tcW w:w="685" w:type="pct"/>
            <w:tcBorders>
              <w:top w:val="nil"/>
              <w:left w:val="single" w:sz="4" w:space="0" w:color="auto"/>
              <w:bottom w:val="dashSmallGap" w:sz="4" w:space="0" w:color="auto"/>
              <w:right w:val="single" w:sz="4" w:space="0" w:color="auto"/>
            </w:tcBorders>
          </w:tcPr>
          <w:p w14:paraId="53614DA0" w14:textId="77777777" w:rsidR="002F0974" w:rsidRPr="0098262F" w:rsidRDefault="002F0974" w:rsidP="008444AE">
            <w:pPr>
              <w:pStyle w:val="TableText0"/>
              <w:keepNext w:val="0"/>
              <w:keepLines w:val="0"/>
              <w:jc w:val="center"/>
              <w:rPr>
                <w:rFonts w:eastAsia="Calibri"/>
                <w:szCs w:val="20"/>
              </w:rPr>
            </w:pPr>
            <w:r w:rsidRPr="004D5060">
              <w:t>1.3</w:t>
            </w:r>
            <w:r w:rsidRPr="00293F2A">
              <w:rPr>
                <w:i/>
                <w:iCs/>
              </w:rPr>
              <w:t>91</w:t>
            </w:r>
          </w:p>
        </w:tc>
        <w:tc>
          <w:tcPr>
            <w:tcW w:w="615" w:type="pct"/>
            <w:tcBorders>
              <w:top w:val="nil"/>
              <w:left w:val="single" w:sz="4" w:space="0" w:color="auto"/>
              <w:bottom w:val="dashSmallGap" w:sz="4" w:space="0" w:color="auto"/>
              <w:right w:val="single" w:sz="4" w:space="0" w:color="auto"/>
            </w:tcBorders>
          </w:tcPr>
          <w:p w14:paraId="56EBCE03" w14:textId="1A16FC5F" w:rsidR="002F0974" w:rsidRPr="009C2D27" w:rsidRDefault="002F0974" w:rsidP="008444AE">
            <w:pPr>
              <w:pStyle w:val="TableText0"/>
              <w:keepNext w:val="0"/>
              <w:keepLines w:val="0"/>
              <w:jc w:val="center"/>
              <w:rPr>
                <w:rFonts w:eastAsia="Calibri"/>
                <w:szCs w:val="20"/>
                <w:vertAlign w:val="superscript"/>
              </w:rPr>
            </w:pPr>
            <w:r w:rsidRPr="00C72E42">
              <w:t>$</w:t>
            </w:r>
            <w:r w:rsidR="005822E1" w:rsidRPr="005822E1">
              <w:rPr>
                <w:sz w:val="2"/>
                <w:highlight w:val="black"/>
              </w:rPr>
              <w:t>redacted content</w:t>
            </w:r>
            <w:r w:rsidR="009C2D27">
              <w:rPr>
                <w:vertAlign w:val="superscript"/>
              </w:rPr>
              <w:t>3</w:t>
            </w:r>
          </w:p>
        </w:tc>
        <w:tc>
          <w:tcPr>
            <w:tcW w:w="580" w:type="pct"/>
            <w:tcBorders>
              <w:top w:val="nil"/>
              <w:bottom w:val="dashSmallGap" w:sz="4" w:space="0" w:color="auto"/>
            </w:tcBorders>
          </w:tcPr>
          <w:p w14:paraId="2F4B2F98" w14:textId="6EA10725" w:rsidR="002F0974" w:rsidRPr="00056EF8" w:rsidRDefault="002F0974" w:rsidP="008444AE">
            <w:pPr>
              <w:pStyle w:val="TableText0"/>
              <w:keepNext w:val="0"/>
              <w:keepLines w:val="0"/>
              <w:jc w:val="center"/>
              <w:rPr>
                <w:rFonts w:eastAsia="Calibri"/>
                <w:szCs w:val="20"/>
              </w:rPr>
            </w:pPr>
            <w:r w:rsidRPr="00056EF8">
              <w:t>+</w:t>
            </w:r>
            <w:r w:rsidR="005822E1" w:rsidRPr="005822E1">
              <w:rPr>
                <w:sz w:val="2"/>
                <w:highlight w:val="black"/>
              </w:rPr>
              <w:t>redacted content</w:t>
            </w:r>
            <w:r w:rsidRPr="00056EF8">
              <w:t>%</w:t>
            </w:r>
          </w:p>
        </w:tc>
      </w:tr>
      <w:tr w:rsidR="002F0974" w:rsidRPr="0098262F" w14:paraId="1DCE639E" w14:textId="77777777">
        <w:trPr>
          <w:trHeight w:val="283"/>
        </w:trPr>
        <w:tc>
          <w:tcPr>
            <w:tcW w:w="2434" w:type="pct"/>
            <w:tcBorders>
              <w:top w:val="dashSmallGap" w:sz="4" w:space="0" w:color="auto"/>
              <w:left w:val="single" w:sz="4" w:space="0" w:color="auto"/>
              <w:bottom w:val="single" w:sz="4" w:space="0" w:color="auto"/>
              <w:right w:val="single" w:sz="4" w:space="0" w:color="auto"/>
            </w:tcBorders>
          </w:tcPr>
          <w:p w14:paraId="72AA9743" w14:textId="1142A5C9" w:rsidR="002F0974" w:rsidRPr="00F42706" w:rsidRDefault="002F0974" w:rsidP="008444AE">
            <w:pPr>
              <w:pStyle w:val="TableText0"/>
              <w:keepNext w:val="0"/>
              <w:keepLines w:val="0"/>
              <w:ind w:left="254"/>
            </w:pPr>
            <w:r w:rsidRPr="00F42706">
              <w:t>HR = 1.176 (upper 95% CI</w:t>
            </w:r>
            <w:r w:rsidR="00C50676" w:rsidRPr="00F42706">
              <w:t xml:space="preserve"> 0.85</w:t>
            </w:r>
            <w:r w:rsidRPr="00F42706">
              <w:t>, weighted bootstrap)</w:t>
            </w:r>
          </w:p>
        </w:tc>
        <w:tc>
          <w:tcPr>
            <w:tcW w:w="686" w:type="pct"/>
            <w:tcBorders>
              <w:top w:val="dashSmallGap" w:sz="4" w:space="0" w:color="auto"/>
              <w:left w:val="single" w:sz="4" w:space="0" w:color="auto"/>
              <w:bottom w:val="single" w:sz="4" w:space="0" w:color="auto"/>
              <w:right w:val="single" w:sz="4" w:space="0" w:color="auto"/>
            </w:tcBorders>
          </w:tcPr>
          <w:p w14:paraId="1579CCAB" w14:textId="268E272D" w:rsidR="002F0974" w:rsidRPr="00F42706" w:rsidRDefault="002F0974" w:rsidP="008444AE">
            <w:pPr>
              <w:pStyle w:val="TableText0"/>
              <w:keepNext w:val="0"/>
              <w:keepLines w:val="0"/>
              <w:jc w:val="center"/>
              <w:rPr>
                <w:rFonts w:eastAsia="Calibri"/>
                <w:szCs w:val="20"/>
              </w:rPr>
            </w:pPr>
            <w:r w:rsidRPr="00F42706">
              <w:t>$</w:t>
            </w:r>
            <w:r w:rsidR="005822E1" w:rsidRPr="005822E1">
              <w:rPr>
                <w:sz w:val="2"/>
                <w:highlight w:val="black"/>
              </w:rPr>
              <w:t>redacted content</w:t>
            </w:r>
          </w:p>
        </w:tc>
        <w:tc>
          <w:tcPr>
            <w:tcW w:w="685" w:type="pct"/>
            <w:tcBorders>
              <w:top w:val="dashSmallGap" w:sz="4" w:space="0" w:color="auto"/>
              <w:left w:val="single" w:sz="4" w:space="0" w:color="auto"/>
              <w:bottom w:val="single" w:sz="4" w:space="0" w:color="auto"/>
              <w:right w:val="single" w:sz="4" w:space="0" w:color="auto"/>
            </w:tcBorders>
          </w:tcPr>
          <w:p w14:paraId="7CAD822D" w14:textId="77777777" w:rsidR="002F0974" w:rsidRPr="00F42706" w:rsidRDefault="002F0974" w:rsidP="008444AE">
            <w:pPr>
              <w:pStyle w:val="TableText0"/>
              <w:keepNext w:val="0"/>
              <w:keepLines w:val="0"/>
              <w:jc w:val="center"/>
              <w:rPr>
                <w:rFonts w:eastAsia="Calibri"/>
                <w:szCs w:val="20"/>
              </w:rPr>
            </w:pPr>
            <w:r w:rsidRPr="00F42706">
              <w:t>0.623</w:t>
            </w:r>
          </w:p>
        </w:tc>
        <w:tc>
          <w:tcPr>
            <w:tcW w:w="615" w:type="pct"/>
            <w:tcBorders>
              <w:top w:val="dashSmallGap" w:sz="4" w:space="0" w:color="auto"/>
              <w:left w:val="single" w:sz="4" w:space="0" w:color="auto"/>
              <w:bottom w:val="single" w:sz="4" w:space="0" w:color="auto"/>
              <w:right w:val="single" w:sz="4" w:space="0" w:color="auto"/>
            </w:tcBorders>
          </w:tcPr>
          <w:p w14:paraId="2767F22F" w14:textId="2938907C" w:rsidR="002F0974" w:rsidRPr="00104CBE" w:rsidRDefault="002F0974" w:rsidP="008444AE">
            <w:pPr>
              <w:pStyle w:val="TableText0"/>
              <w:keepNext w:val="0"/>
              <w:keepLines w:val="0"/>
              <w:jc w:val="center"/>
              <w:rPr>
                <w:rFonts w:eastAsia="Calibri"/>
                <w:szCs w:val="20"/>
                <w:vertAlign w:val="superscript"/>
              </w:rPr>
            </w:pPr>
            <w:r w:rsidRPr="00F42706">
              <w:t>$</w:t>
            </w:r>
            <w:r w:rsidR="005822E1" w:rsidRPr="005822E1">
              <w:rPr>
                <w:sz w:val="2"/>
                <w:highlight w:val="black"/>
              </w:rPr>
              <w:t>redacted content</w:t>
            </w:r>
            <w:r w:rsidR="00104CBE">
              <w:rPr>
                <w:vertAlign w:val="superscript"/>
              </w:rPr>
              <w:t>2</w:t>
            </w:r>
          </w:p>
        </w:tc>
        <w:tc>
          <w:tcPr>
            <w:tcW w:w="580" w:type="pct"/>
            <w:tcBorders>
              <w:top w:val="dashSmallGap" w:sz="4" w:space="0" w:color="auto"/>
              <w:bottom w:val="single" w:sz="4" w:space="0" w:color="auto"/>
            </w:tcBorders>
          </w:tcPr>
          <w:p w14:paraId="59C2B609" w14:textId="2D315876" w:rsidR="002F0974" w:rsidRPr="00F42706" w:rsidRDefault="002F0974" w:rsidP="008444AE">
            <w:pPr>
              <w:pStyle w:val="TableText0"/>
              <w:keepNext w:val="0"/>
              <w:keepLines w:val="0"/>
              <w:jc w:val="center"/>
              <w:rPr>
                <w:rFonts w:eastAsia="Calibri"/>
                <w:szCs w:val="20"/>
              </w:rPr>
            </w:pPr>
            <w:r w:rsidRPr="00F42706">
              <w:t>+</w:t>
            </w:r>
            <w:r w:rsidR="005822E1" w:rsidRPr="005822E1">
              <w:rPr>
                <w:sz w:val="2"/>
                <w:highlight w:val="black"/>
              </w:rPr>
              <w:t>redacted content</w:t>
            </w:r>
            <w:r w:rsidRPr="00F42706">
              <w:t>%</w:t>
            </w:r>
          </w:p>
        </w:tc>
      </w:tr>
      <w:tr w:rsidR="00FB78F9" w:rsidRPr="0098262F" w14:paraId="471D9853" w14:textId="77777777">
        <w:trPr>
          <w:trHeight w:val="283"/>
        </w:trPr>
        <w:tc>
          <w:tcPr>
            <w:tcW w:w="2434" w:type="pct"/>
            <w:tcBorders>
              <w:top w:val="dashSmallGap" w:sz="4" w:space="0" w:color="auto"/>
              <w:left w:val="single" w:sz="4" w:space="0" w:color="auto"/>
              <w:bottom w:val="single" w:sz="4" w:space="0" w:color="auto"/>
              <w:right w:val="single" w:sz="4" w:space="0" w:color="auto"/>
            </w:tcBorders>
          </w:tcPr>
          <w:p w14:paraId="00ED3700" w14:textId="006DD709" w:rsidR="00FB78F9" w:rsidRPr="00F42706" w:rsidRDefault="00FB78F9" w:rsidP="008444AE">
            <w:pPr>
              <w:pStyle w:val="TableText0"/>
              <w:keepNext w:val="0"/>
              <w:keepLines w:val="0"/>
              <w:ind w:left="254"/>
            </w:pPr>
            <w:r w:rsidRPr="00F42706">
              <w:t>HR = 1.136 (upper 95% 0.88, weighted standard)</w:t>
            </w:r>
          </w:p>
        </w:tc>
        <w:tc>
          <w:tcPr>
            <w:tcW w:w="686" w:type="pct"/>
            <w:tcBorders>
              <w:top w:val="dashSmallGap" w:sz="4" w:space="0" w:color="auto"/>
              <w:left w:val="single" w:sz="4" w:space="0" w:color="auto"/>
              <w:bottom w:val="single" w:sz="4" w:space="0" w:color="auto"/>
              <w:right w:val="single" w:sz="4" w:space="0" w:color="auto"/>
            </w:tcBorders>
          </w:tcPr>
          <w:p w14:paraId="2763B96B" w14:textId="0C5C9181" w:rsidR="00FB78F9" w:rsidRPr="00F42706" w:rsidRDefault="00FB78F9" w:rsidP="008444AE">
            <w:pPr>
              <w:pStyle w:val="TableText0"/>
              <w:keepNext w:val="0"/>
              <w:keepLines w:val="0"/>
              <w:jc w:val="center"/>
            </w:pPr>
            <w:r w:rsidRPr="00F42706">
              <w:t>$</w:t>
            </w:r>
            <w:r w:rsidR="005822E1" w:rsidRPr="005822E1">
              <w:rPr>
                <w:sz w:val="2"/>
                <w:highlight w:val="black"/>
              </w:rPr>
              <w:t>redacted content</w:t>
            </w:r>
          </w:p>
        </w:tc>
        <w:tc>
          <w:tcPr>
            <w:tcW w:w="685" w:type="pct"/>
            <w:tcBorders>
              <w:top w:val="dashSmallGap" w:sz="4" w:space="0" w:color="auto"/>
              <w:left w:val="single" w:sz="4" w:space="0" w:color="auto"/>
              <w:bottom w:val="single" w:sz="4" w:space="0" w:color="auto"/>
              <w:right w:val="single" w:sz="4" w:space="0" w:color="auto"/>
            </w:tcBorders>
          </w:tcPr>
          <w:p w14:paraId="37CCFD1D" w14:textId="59559AF8" w:rsidR="00FB78F9" w:rsidRPr="00F42706" w:rsidRDefault="00FB78F9" w:rsidP="008444AE">
            <w:pPr>
              <w:pStyle w:val="TableText0"/>
              <w:keepNext w:val="0"/>
              <w:keepLines w:val="0"/>
              <w:jc w:val="center"/>
            </w:pPr>
            <w:r w:rsidRPr="00F42706">
              <w:t>0.495</w:t>
            </w:r>
          </w:p>
        </w:tc>
        <w:tc>
          <w:tcPr>
            <w:tcW w:w="615" w:type="pct"/>
            <w:tcBorders>
              <w:top w:val="dashSmallGap" w:sz="4" w:space="0" w:color="auto"/>
              <w:left w:val="single" w:sz="4" w:space="0" w:color="auto"/>
              <w:bottom w:val="single" w:sz="4" w:space="0" w:color="auto"/>
              <w:right w:val="single" w:sz="4" w:space="0" w:color="auto"/>
            </w:tcBorders>
          </w:tcPr>
          <w:p w14:paraId="4E170C33" w14:textId="6F8574D9" w:rsidR="00FB78F9" w:rsidRPr="005B03BD" w:rsidRDefault="00FB78F9" w:rsidP="008444AE">
            <w:pPr>
              <w:pStyle w:val="TableText0"/>
              <w:keepNext w:val="0"/>
              <w:keepLines w:val="0"/>
              <w:jc w:val="center"/>
              <w:rPr>
                <w:vertAlign w:val="superscript"/>
              </w:rPr>
            </w:pPr>
            <w:r w:rsidRPr="00F42706">
              <w:t>$</w:t>
            </w:r>
            <w:r w:rsidR="005822E1" w:rsidRPr="005822E1">
              <w:rPr>
                <w:sz w:val="2"/>
                <w:highlight w:val="black"/>
              </w:rPr>
              <w:t>redacted content</w:t>
            </w:r>
            <w:r w:rsidR="005B03BD">
              <w:rPr>
                <w:vertAlign w:val="superscript"/>
              </w:rPr>
              <w:t>4</w:t>
            </w:r>
          </w:p>
        </w:tc>
        <w:tc>
          <w:tcPr>
            <w:tcW w:w="580" w:type="pct"/>
            <w:tcBorders>
              <w:top w:val="dashSmallGap" w:sz="4" w:space="0" w:color="auto"/>
              <w:bottom w:val="single" w:sz="4" w:space="0" w:color="auto"/>
            </w:tcBorders>
          </w:tcPr>
          <w:p w14:paraId="653BEDC5" w14:textId="5B4C37D9" w:rsidR="00FB78F9" w:rsidRPr="00F42706" w:rsidRDefault="00FB78F9" w:rsidP="008444AE">
            <w:pPr>
              <w:pStyle w:val="TableText0"/>
              <w:keepNext w:val="0"/>
              <w:keepLines w:val="0"/>
              <w:jc w:val="center"/>
            </w:pPr>
            <w:r w:rsidRPr="00F42706">
              <w:t>+</w:t>
            </w:r>
            <w:r w:rsidR="005822E1" w:rsidRPr="005822E1">
              <w:rPr>
                <w:sz w:val="2"/>
                <w:highlight w:val="black"/>
              </w:rPr>
              <w:t>redacted content</w:t>
            </w:r>
            <w:r w:rsidRPr="00F42706">
              <w:t>%</w:t>
            </w:r>
          </w:p>
        </w:tc>
      </w:tr>
      <w:tr w:rsidR="002F0974" w:rsidRPr="0098262F" w14:paraId="6B76D9DF" w14:textId="77777777">
        <w:trPr>
          <w:trHeight w:val="283"/>
        </w:trPr>
        <w:tc>
          <w:tcPr>
            <w:tcW w:w="2434" w:type="pct"/>
            <w:tcBorders>
              <w:top w:val="single" w:sz="4" w:space="0" w:color="auto"/>
              <w:left w:val="single" w:sz="4" w:space="0" w:color="auto"/>
              <w:bottom w:val="dashSmallGap" w:sz="4" w:space="0" w:color="auto"/>
              <w:right w:val="single" w:sz="4" w:space="0" w:color="auto"/>
            </w:tcBorders>
          </w:tcPr>
          <w:p w14:paraId="11D070E7" w14:textId="77777777" w:rsidR="002F0974" w:rsidRPr="006F7D12" w:rsidRDefault="002F0974" w:rsidP="008444AE">
            <w:pPr>
              <w:pStyle w:val="TableText0"/>
              <w:keepNext w:val="0"/>
              <w:keepLines w:val="0"/>
            </w:pPr>
            <w:r>
              <w:t>Utility of cured patients (base case 0.88)</w:t>
            </w:r>
          </w:p>
        </w:tc>
        <w:tc>
          <w:tcPr>
            <w:tcW w:w="686" w:type="pct"/>
            <w:tcBorders>
              <w:top w:val="single" w:sz="4" w:space="0" w:color="auto"/>
              <w:left w:val="single" w:sz="4" w:space="0" w:color="auto"/>
              <w:bottom w:val="dashSmallGap" w:sz="4" w:space="0" w:color="auto"/>
              <w:right w:val="single" w:sz="4" w:space="0" w:color="auto"/>
            </w:tcBorders>
          </w:tcPr>
          <w:p w14:paraId="048812DB" w14:textId="77777777" w:rsidR="002F0974" w:rsidRDefault="002F0974" w:rsidP="008444AE">
            <w:pPr>
              <w:pStyle w:val="TableText0"/>
              <w:keepNext w:val="0"/>
              <w:keepLines w:val="0"/>
              <w:jc w:val="center"/>
              <w:rPr>
                <w:i/>
                <w:iCs/>
              </w:rPr>
            </w:pPr>
          </w:p>
        </w:tc>
        <w:tc>
          <w:tcPr>
            <w:tcW w:w="685" w:type="pct"/>
            <w:tcBorders>
              <w:top w:val="single" w:sz="4" w:space="0" w:color="auto"/>
              <w:left w:val="single" w:sz="4" w:space="0" w:color="auto"/>
              <w:bottom w:val="dashSmallGap" w:sz="4" w:space="0" w:color="auto"/>
              <w:right w:val="single" w:sz="4" w:space="0" w:color="auto"/>
            </w:tcBorders>
          </w:tcPr>
          <w:p w14:paraId="7348133A" w14:textId="77777777" w:rsidR="002F0974" w:rsidRDefault="002F0974" w:rsidP="008444AE">
            <w:pPr>
              <w:pStyle w:val="TableText0"/>
              <w:keepNext w:val="0"/>
              <w:keepLines w:val="0"/>
              <w:jc w:val="center"/>
              <w:rPr>
                <w:i/>
                <w:iCs/>
              </w:rPr>
            </w:pPr>
          </w:p>
        </w:tc>
        <w:tc>
          <w:tcPr>
            <w:tcW w:w="615" w:type="pct"/>
            <w:tcBorders>
              <w:top w:val="single" w:sz="4" w:space="0" w:color="auto"/>
              <w:left w:val="single" w:sz="4" w:space="0" w:color="auto"/>
              <w:bottom w:val="dashSmallGap" w:sz="4" w:space="0" w:color="auto"/>
              <w:right w:val="single" w:sz="4" w:space="0" w:color="auto"/>
            </w:tcBorders>
          </w:tcPr>
          <w:p w14:paraId="2F1696B3" w14:textId="77777777" w:rsidR="002F0974" w:rsidRDefault="002F0974" w:rsidP="008444AE">
            <w:pPr>
              <w:pStyle w:val="TableText0"/>
              <w:keepNext w:val="0"/>
              <w:keepLines w:val="0"/>
              <w:jc w:val="center"/>
              <w:rPr>
                <w:i/>
                <w:iCs/>
              </w:rPr>
            </w:pPr>
          </w:p>
        </w:tc>
        <w:tc>
          <w:tcPr>
            <w:tcW w:w="580" w:type="pct"/>
            <w:tcBorders>
              <w:top w:val="single" w:sz="4" w:space="0" w:color="auto"/>
              <w:bottom w:val="dashSmallGap" w:sz="4" w:space="0" w:color="auto"/>
            </w:tcBorders>
          </w:tcPr>
          <w:p w14:paraId="10A029F8" w14:textId="77777777" w:rsidR="002F0974" w:rsidRDefault="002F0974" w:rsidP="008444AE">
            <w:pPr>
              <w:pStyle w:val="TableText0"/>
              <w:keepNext w:val="0"/>
              <w:keepLines w:val="0"/>
              <w:jc w:val="center"/>
              <w:rPr>
                <w:i/>
                <w:iCs/>
              </w:rPr>
            </w:pPr>
          </w:p>
        </w:tc>
      </w:tr>
      <w:tr w:rsidR="00D46582" w:rsidRPr="0098262F" w14:paraId="2335CFDB" w14:textId="77777777">
        <w:trPr>
          <w:trHeight w:val="283"/>
        </w:trPr>
        <w:tc>
          <w:tcPr>
            <w:tcW w:w="2434" w:type="pct"/>
            <w:tcBorders>
              <w:top w:val="dashSmallGap" w:sz="4" w:space="0" w:color="auto"/>
              <w:left w:val="single" w:sz="4" w:space="0" w:color="auto"/>
              <w:bottom w:val="dashSmallGap" w:sz="4" w:space="0" w:color="auto"/>
              <w:right w:val="single" w:sz="4" w:space="0" w:color="auto"/>
            </w:tcBorders>
          </w:tcPr>
          <w:p w14:paraId="4991247E" w14:textId="54A9F187" w:rsidR="00D46582" w:rsidRPr="00F42706" w:rsidRDefault="00D46582" w:rsidP="008444AE">
            <w:pPr>
              <w:pStyle w:val="TableText0"/>
              <w:keepNext w:val="0"/>
              <w:keepLines w:val="0"/>
              <w:ind w:left="254"/>
            </w:pPr>
            <w:r w:rsidRPr="00F42706">
              <w:t>10% decrease in utility i.e. cured utility 0.792</w:t>
            </w:r>
          </w:p>
        </w:tc>
        <w:tc>
          <w:tcPr>
            <w:tcW w:w="686" w:type="pct"/>
            <w:tcBorders>
              <w:top w:val="dashSmallGap" w:sz="4" w:space="0" w:color="auto"/>
              <w:left w:val="single" w:sz="4" w:space="0" w:color="auto"/>
              <w:bottom w:val="dashSmallGap" w:sz="4" w:space="0" w:color="auto"/>
              <w:right w:val="single" w:sz="4" w:space="0" w:color="auto"/>
            </w:tcBorders>
            <w:vAlign w:val="top"/>
          </w:tcPr>
          <w:p w14:paraId="6031BF93" w14:textId="34835C16" w:rsidR="00D46582" w:rsidRPr="00F42706" w:rsidRDefault="00D46582" w:rsidP="008444AE">
            <w:pPr>
              <w:pStyle w:val="TableText0"/>
              <w:keepNext w:val="0"/>
              <w:keepLines w:val="0"/>
              <w:jc w:val="center"/>
            </w:pPr>
            <w:r w:rsidRPr="00F42706">
              <w:t>$</w:t>
            </w:r>
            <w:r w:rsidR="005822E1" w:rsidRPr="005822E1">
              <w:rPr>
                <w:sz w:val="2"/>
                <w:highlight w:val="black"/>
              </w:rPr>
              <w:t>redacted content</w:t>
            </w:r>
          </w:p>
        </w:tc>
        <w:tc>
          <w:tcPr>
            <w:tcW w:w="685" w:type="pct"/>
            <w:tcBorders>
              <w:top w:val="dashSmallGap" w:sz="4" w:space="0" w:color="auto"/>
              <w:left w:val="single" w:sz="4" w:space="0" w:color="auto"/>
              <w:bottom w:val="dashSmallGap" w:sz="4" w:space="0" w:color="auto"/>
              <w:right w:val="single" w:sz="4" w:space="0" w:color="auto"/>
            </w:tcBorders>
            <w:vAlign w:val="top"/>
          </w:tcPr>
          <w:p w14:paraId="6F8F6761" w14:textId="1C953B07" w:rsidR="00D46582" w:rsidRPr="00F42706" w:rsidRDefault="00D46582" w:rsidP="008444AE">
            <w:pPr>
              <w:pStyle w:val="TableText0"/>
              <w:keepNext w:val="0"/>
              <w:keepLines w:val="0"/>
              <w:jc w:val="center"/>
            </w:pPr>
            <w:r w:rsidRPr="00F42706">
              <w:t>1.353</w:t>
            </w:r>
          </w:p>
        </w:tc>
        <w:tc>
          <w:tcPr>
            <w:tcW w:w="615" w:type="pct"/>
            <w:tcBorders>
              <w:top w:val="dashSmallGap" w:sz="4" w:space="0" w:color="auto"/>
              <w:left w:val="single" w:sz="4" w:space="0" w:color="auto"/>
              <w:bottom w:val="dashSmallGap" w:sz="4" w:space="0" w:color="auto"/>
              <w:right w:val="single" w:sz="4" w:space="0" w:color="auto"/>
            </w:tcBorders>
          </w:tcPr>
          <w:p w14:paraId="6B7DF38A" w14:textId="2E7DB6BA" w:rsidR="00D46582" w:rsidRPr="009C2D27" w:rsidRDefault="00D46582" w:rsidP="008444AE">
            <w:pPr>
              <w:pStyle w:val="TableText0"/>
              <w:keepNext w:val="0"/>
              <w:keepLines w:val="0"/>
              <w:jc w:val="center"/>
              <w:rPr>
                <w:vertAlign w:val="superscript"/>
              </w:rPr>
            </w:pPr>
            <w:r w:rsidRPr="00F42706">
              <w:t>$</w:t>
            </w:r>
            <w:r w:rsidR="005822E1" w:rsidRPr="005822E1">
              <w:rPr>
                <w:sz w:val="2"/>
                <w:highlight w:val="black"/>
              </w:rPr>
              <w:t>redacted content</w:t>
            </w:r>
            <w:r w:rsidR="009C2D27">
              <w:rPr>
                <w:vertAlign w:val="superscript"/>
              </w:rPr>
              <w:t>3</w:t>
            </w:r>
          </w:p>
        </w:tc>
        <w:tc>
          <w:tcPr>
            <w:tcW w:w="580" w:type="pct"/>
            <w:tcBorders>
              <w:top w:val="dashSmallGap" w:sz="4" w:space="0" w:color="auto"/>
              <w:bottom w:val="dashSmallGap" w:sz="4" w:space="0" w:color="auto"/>
            </w:tcBorders>
          </w:tcPr>
          <w:p w14:paraId="59F4E659" w14:textId="1BA6C8E4" w:rsidR="00D46582" w:rsidRPr="00F42706" w:rsidRDefault="00D46582" w:rsidP="008444AE">
            <w:pPr>
              <w:pStyle w:val="TableText0"/>
              <w:keepNext w:val="0"/>
              <w:keepLines w:val="0"/>
              <w:jc w:val="center"/>
            </w:pPr>
            <w:r w:rsidRPr="00F42706">
              <w:t>+</w:t>
            </w:r>
            <w:r w:rsidR="005822E1" w:rsidRPr="005822E1">
              <w:rPr>
                <w:sz w:val="2"/>
                <w:highlight w:val="black"/>
              </w:rPr>
              <w:t>redacted content</w:t>
            </w:r>
            <w:r w:rsidRPr="00F42706">
              <w:t>%</w:t>
            </w:r>
          </w:p>
        </w:tc>
      </w:tr>
      <w:tr w:rsidR="00611853" w:rsidRPr="0098262F" w14:paraId="1EA82120" w14:textId="77777777">
        <w:trPr>
          <w:trHeight w:val="283"/>
        </w:trPr>
        <w:tc>
          <w:tcPr>
            <w:tcW w:w="2434" w:type="pct"/>
            <w:tcBorders>
              <w:top w:val="dashSmallGap" w:sz="4" w:space="0" w:color="auto"/>
              <w:left w:val="single" w:sz="4" w:space="0" w:color="auto"/>
              <w:bottom w:val="dashSmallGap" w:sz="4" w:space="0" w:color="auto"/>
              <w:right w:val="single" w:sz="4" w:space="0" w:color="auto"/>
            </w:tcBorders>
          </w:tcPr>
          <w:p w14:paraId="7D07321C" w14:textId="30DA8138" w:rsidR="00611853" w:rsidRPr="00A104A1" w:rsidRDefault="00611853" w:rsidP="008444AE">
            <w:pPr>
              <w:pStyle w:val="TableText0"/>
              <w:keepNext w:val="0"/>
              <w:keepLines w:val="0"/>
            </w:pPr>
            <w:r w:rsidRPr="00A104A1">
              <w:t xml:space="preserve">Utility values for PF and PD (base case </w:t>
            </w:r>
            <w:r w:rsidR="007160C4" w:rsidRPr="00A104A1">
              <w:t>PF 0.693*; PD 0.637)</w:t>
            </w:r>
          </w:p>
        </w:tc>
        <w:tc>
          <w:tcPr>
            <w:tcW w:w="686" w:type="pct"/>
            <w:tcBorders>
              <w:top w:val="dashSmallGap" w:sz="4" w:space="0" w:color="auto"/>
              <w:left w:val="single" w:sz="4" w:space="0" w:color="auto"/>
              <w:bottom w:val="dashSmallGap" w:sz="4" w:space="0" w:color="auto"/>
              <w:right w:val="single" w:sz="4" w:space="0" w:color="auto"/>
            </w:tcBorders>
            <w:vAlign w:val="top"/>
          </w:tcPr>
          <w:p w14:paraId="181A496C" w14:textId="77777777" w:rsidR="00611853" w:rsidRPr="00A104A1" w:rsidRDefault="00611853" w:rsidP="008444AE">
            <w:pPr>
              <w:pStyle w:val="TableText0"/>
              <w:keepNext w:val="0"/>
              <w:keepLines w:val="0"/>
              <w:jc w:val="center"/>
            </w:pPr>
          </w:p>
        </w:tc>
        <w:tc>
          <w:tcPr>
            <w:tcW w:w="685" w:type="pct"/>
            <w:tcBorders>
              <w:top w:val="dashSmallGap" w:sz="4" w:space="0" w:color="auto"/>
              <w:left w:val="single" w:sz="4" w:space="0" w:color="auto"/>
              <w:bottom w:val="dashSmallGap" w:sz="4" w:space="0" w:color="auto"/>
              <w:right w:val="single" w:sz="4" w:space="0" w:color="auto"/>
            </w:tcBorders>
            <w:vAlign w:val="top"/>
          </w:tcPr>
          <w:p w14:paraId="437F616B" w14:textId="77777777" w:rsidR="00611853" w:rsidRPr="00A104A1" w:rsidRDefault="00611853" w:rsidP="008444AE">
            <w:pPr>
              <w:pStyle w:val="TableText0"/>
              <w:keepNext w:val="0"/>
              <w:keepLines w:val="0"/>
              <w:jc w:val="center"/>
            </w:pPr>
          </w:p>
        </w:tc>
        <w:tc>
          <w:tcPr>
            <w:tcW w:w="615" w:type="pct"/>
            <w:tcBorders>
              <w:top w:val="dashSmallGap" w:sz="4" w:space="0" w:color="auto"/>
              <w:left w:val="single" w:sz="4" w:space="0" w:color="auto"/>
              <w:bottom w:val="dashSmallGap" w:sz="4" w:space="0" w:color="auto"/>
              <w:right w:val="single" w:sz="4" w:space="0" w:color="auto"/>
            </w:tcBorders>
          </w:tcPr>
          <w:p w14:paraId="08C90DA8" w14:textId="77777777" w:rsidR="00611853" w:rsidRPr="00A104A1" w:rsidRDefault="00611853" w:rsidP="008444AE">
            <w:pPr>
              <w:pStyle w:val="TableText0"/>
              <w:keepNext w:val="0"/>
              <w:keepLines w:val="0"/>
              <w:jc w:val="center"/>
            </w:pPr>
          </w:p>
        </w:tc>
        <w:tc>
          <w:tcPr>
            <w:tcW w:w="580" w:type="pct"/>
            <w:tcBorders>
              <w:top w:val="dashSmallGap" w:sz="4" w:space="0" w:color="auto"/>
              <w:bottom w:val="dashSmallGap" w:sz="4" w:space="0" w:color="auto"/>
            </w:tcBorders>
          </w:tcPr>
          <w:p w14:paraId="241D99F5" w14:textId="77777777" w:rsidR="00611853" w:rsidRPr="00A104A1" w:rsidRDefault="00611853" w:rsidP="008444AE">
            <w:pPr>
              <w:pStyle w:val="TableText0"/>
              <w:keepNext w:val="0"/>
              <w:keepLines w:val="0"/>
              <w:jc w:val="center"/>
            </w:pPr>
          </w:p>
        </w:tc>
      </w:tr>
      <w:tr w:rsidR="00611853" w:rsidRPr="0098262F" w14:paraId="6DD6C36C" w14:textId="77777777" w:rsidTr="003801AD">
        <w:trPr>
          <w:trHeight w:val="283"/>
        </w:trPr>
        <w:tc>
          <w:tcPr>
            <w:tcW w:w="2434" w:type="pct"/>
            <w:tcBorders>
              <w:top w:val="dashSmallGap" w:sz="4" w:space="0" w:color="auto"/>
              <w:left w:val="single" w:sz="4" w:space="0" w:color="auto"/>
              <w:bottom w:val="dashSmallGap" w:sz="4" w:space="0" w:color="auto"/>
              <w:right w:val="single" w:sz="4" w:space="0" w:color="auto"/>
            </w:tcBorders>
          </w:tcPr>
          <w:p w14:paraId="7749D19A" w14:textId="5365889E" w:rsidR="00611853" w:rsidRPr="00A104A1" w:rsidRDefault="00AE2364" w:rsidP="008444AE">
            <w:pPr>
              <w:pStyle w:val="TableText0"/>
              <w:keepNext w:val="0"/>
              <w:keepLines w:val="0"/>
              <w:ind w:left="254"/>
            </w:pPr>
            <w:r w:rsidRPr="00A104A1">
              <w:t>Utility values for PF 0.763*; PD 0.706 (base case PF 0.693*; PD 0.637)</w:t>
            </w:r>
          </w:p>
        </w:tc>
        <w:tc>
          <w:tcPr>
            <w:tcW w:w="686" w:type="pct"/>
            <w:tcBorders>
              <w:top w:val="dashSmallGap" w:sz="4" w:space="0" w:color="auto"/>
              <w:left w:val="single" w:sz="4" w:space="0" w:color="auto"/>
              <w:bottom w:val="dashSmallGap" w:sz="4" w:space="0" w:color="auto"/>
              <w:right w:val="single" w:sz="4" w:space="0" w:color="auto"/>
            </w:tcBorders>
            <w:vAlign w:val="top"/>
          </w:tcPr>
          <w:p w14:paraId="65FAFEF9" w14:textId="034BC65E" w:rsidR="00611853" w:rsidRPr="00A104A1" w:rsidRDefault="002F15F4" w:rsidP="008444AE">
            <w:pPr>
              <w:pStyle w:val="TableText0"/>
              <w:keepNext w:val="0"/>
              <w:keepLines w:val="0"/>
              <w:jc w:val="center"/>
            </w:pPr>
            <w:r w:rsidRPr="00A104A1">
              <w:t>$</w:t>
            </w:r>
            <w:r w:rsidR="005822E1" w:rsidRPr="005822E1">
              <w:rPr>
                <w:sz w:val="2"/>
                <w:highlight w:val="black"/>
              </w:rPr>
              <w:t>redacted content</w:t>
            </w:r>
          </w:p>
        </w:tc>
        <w:tc>
          <w:tcPr>
            <w:tcW w:w="685" w:type="pct"/>
            <w:tcBorders>
              <w:top w:val="dashSmallGap" w:sz="4" w:space="0" w:color="auto"/>
              <w:left w:val="single" w:sz="4" w:space="0" w:color="auto"/>
              <w:bottom w:val="dashSmallGap" w:sz="4" w:space="0" w:color="auto"/>
              <w:right w:val="single" w:sz="4" w:space="0" w:color="auto"/>
            </w:tcBorders>
            <w:vAlign w:val="top"/>
          </w:tcPr>
          <w:p w14:paraId="69148460" w14:textId="693F9802" w:rsidR="00611853" w:rsidRPr="00A104A1" w:rsidRDefault="006B33BC" w:rsidP="008444AE">
            <w:pPr>
              <w:pStyle w:val="TableText0"/>
              <w:keepNext w:val="0"/>
              <w:keepLines w:val="0"/>
              <w:jc w:val="center"/>
            </w:pPr>
            <w:r w:rsidRPr="00A104A1">
              <w:t>1.501</w:t>
            </w:r>
          </w:p>
        </w:tc>
        <w:tc>
          <w:tcPr>
            <w:tcW w:w="615" w:type="pct"/>
            <w:tcBorders>
              <w:top w:val="dashSmallGap" w:sz="4" w:space="0" w:color="auto"/>
              <w:left w:val="single" w:sz="4" w:space="0" w:color="auto"/>
              <w:bottom w:val="dashSmallGap" w:sz="4" w:space="0" w:color="auto"/>
              <w:right w:val="single" w:sz="4" w:space="0" w:color="auto"/>
            </w:tcBorders>
            <w:vAlign w:val="top"/>
          </w:tcPr>
          <w:p w14:paraId="5327429F" w14:textId="31ACAC6B" w:rsidR="00611853" w:rsidRPr="00BF0133" w:rsidRDefault="003801AD" w:rsidP="008444AE">
            <w:pPr>
              <w:pStyle w:val="TableText0"/>
              <w:keepNext w:val="0"/>
              <w:keepLines w:val="0"/>
              <w:jc w:val="center"/>
              <w:rPr>
                <w:vertAlign w:val="superscript"/>
              </w:rPr>
            </w:pPr>
            <w:r w:rsidRPr="00A104A1">
              <w:t>$</w:t>
            </w:r>
            <w:r w:rsidR="005822E1" w:rsidRPr="005822E1">
              <w:rPr>
                <w:sz w:val="2"/>
                <w:highlight w:val="black"/>
              </w:rPr>
              <w:t>redacted content</w:t>
            </w:r>
            <w:r w:rsidR="00BF0133">
              <w:rPr>
                <w:vertAlign w:val="superscript"/>
              </w:rPr>
              <w:t>5</w:t>
            </w:r>
          </w:p>
        </w:tc>
        <w:tc>
          <w:tcPr>
            <w:tcW w:w="580" w:type="pct"/>
            <w:tcBorders>
              <w:top w:val="dashSmallGap" w:sz="4" w:space="0" w:color="auto"/>
              <w:bottom w:val="dashSmallGap" w:sz="4" w:space="0" w:color="auto"/>
            </w:tcBorders>
            <w:vAlign w:val="top"/>
          </w:tcPr>
          <w:p w14:paraId="2433AF3F" w14:textId="0BE0D76A" w:rsidR="00611853" w:rsidRPr="00A104A1" w:rsidRDefault="00AA1DD9" w:rsidP="008444AE">
            <w:pPr>
              <w:pStyle w:val="TableText0"/>
              <w:keepNext w:val="0"/>
              <w:keepLines w:val="0"/>
              <w:jc w:val="center"/>
            </w:pPr>
            <w:r w:rsidRPr="00A104A1">
              <w:t>-</w:t>
            </w:r>
            <w:r w:rsidR="005822E1" w:rsidRPr="005822E1">
              <w:rPr>
                <w:sz w:val="2"/>
                <w:highlight w:val="black"/>
              </w:rPr>
              <w:t>redacted content</w:t>
            </w:r>
            <w:r w:rsidR="00F90333" w:rsidRPr="00A104A1">
              <w:t>%</w:t>
            </w:r>
          </w:p>
        </w:tc>
      </w:tr>
      <w:tr w:rsidR="002F0974" w:rsidRPr="0098262F" w14:paraId="102AF79F" w14:textId="77777777">
        <w:trPr>
          <w:trHeight w:val="283"/>
        </w:trPr>
        <w:tc>
          <w:tcPr>
            <w:tcW w:w="5000" w:type="pct"/>
            <w:gridSpan w:val="5"/>
          </w:tcPr>
          <w:p w14:paraId="6273D122" w14:textId="24AD0733" w:rsidR="002F0974" w:rsidRPr="0098262F" w:rsidRDefault="002F0974" w:rsidP="008444AE">
            <w:pPr>
              <w:pStyle w:val="TableText0"/>
              <w:keepNext w:val="0"/>
              <w:keepLines w:val="0"/>
              <w:rPr>
                <w:rFonts w:eastAsia="Calibri"/>
                <w:szCs w:val="20"/>
              </w:rPr>
            </w:pPr>
            <w:r>
              <w:t>Costs</w:t>
            </w:r>
          </w:p>
        </w:tc>
      </w:tr>
      <w:tr w:rsidR="002F0974" w:rsidRPr="0098262F" w14:paraId="523C5662" w14:textId="77777777">
        <w:trPr>
          <w:trHeight w:val="283"/>
        </w:trPr>
        <w:tc>
          <w:tcPr>
            <w:tcW w:w="2434" w:type="pct"/>
            <w:tcBorders>
              <w:top w:val="nil"/>
              <w:left w:val="single" w:sz="4" w:space="0" w:color="auto"/>
              <w:bottom w:val="dashSmallGap" w:sz="4" w:space="0" w:color="auto"/>
              <w:right w:val="single" w:sz="4" w:space="0" w:color="auto"/>
            </w:tcBorders>
          </w:tcPr>
          <w:p w14:paraId="5B6A4250" w14:textId="77777777" w:rsidR="002F0974" w:rsidRPr="0098262F" w:rsidRDefault="002F0974" w:rsidP="008444AE">
            <w:pPr>
              <w:pStyle w:val="TableText0"/>
              <w:keepNext w:val="0"/>
              <w:keepLines w:val="0"/>
              <w:ind w:left="254"/>
            </w:pPr>
            <w:r>
              <w:t>LON v</w:t>
            </w:r>
            <w:r w:rsidRPr="008B442E">
              <w:t>ial sharing allowed (base case no sharing)</w:t>
            </w:r>
          </w:p>
        </w:tc>
        <w:tc>
          <w:tcPr>
            <w:tcW w:w="686" w:type="pct"/>
            <w:tcBorders>
              <w:top w:val="nil"/>
              <w:left w:val="single" w:sz="4" w:space="0" w:color="auto"/>
              <w:bottom w:val="dashSmallGap" w:sz="4" w:space="0" w:color="auto"/>
              <w:right w:val="single" w:sz="4" w:space="0" w:color="auto"/>
            </w:tcBorders>
            <w:vAlign w:val="top"/>
          </w:tcPr>
          <w:p w14:paraId="167ECFB5" w14:textId="709FC691" w:rsidR="002F0974" w:rsidRPr="00DF4E18" w:rsidRDefault="002F0974" w:rsidP="008444AE">
            <w:pPr>
              <w:pStyle w:val="TableText0"/>
              <w:keepNext w:val="0"/>
              <w:keepLines w:val="0"/>
              <w:jc w:val="center"/>
              <w:rPr>
                <w:rFonts w:eastAsia="Calibri"/>
                <w:szCs w:val="20"/>
              </w:rPr>
            </w:pPr>
            <w:r w:rsidRPr="00DF4E18">
              <w:t>$</w:t>
            </w:r>
            <w:r w:rsidR="005822E1" w:rsidRPr="005822E1">
              <w:rPr>
                <w:sz w:val="2"/>
                <w:highlight w:val="black"/>
              </w:rPr>
              <w:t>redacted content</w:t>
            </w:r>
          </w:p>
        </w:tc>
        <w:tc>
          <w:tcPr>
            <w:tcW w:w="685" w:type="pct"/>
            <w:tcBorders>
              <w:top w:val="nil"/>
              <w:left w:val="single" w:sz="4" w:space="0" w:color="auto"/>
              <w:bottom w:val="dashSmallGap" w:sz="4" w:space="0" w:color="auto"/>
              <w:right w:val="single" w:sz="4" w:space="0" w:color="auto"/>
            </w:tcBorders>
            <w:vAlign w:val="top"/>
          </w:tcPr>
          <w:p w14:paraId="19F301A9" w14:textId="77777777" w:rsidR="002F0974" w:rsidRPr="00DF4E18" w:rsidRDefault="002F0974" w:rsidP="008444AE">
            <w:pPr>
              <w:pStyle w:val="TableText0"/>
              <w:keepNext w:val="0"/>
              <w:keepLines w:val="0"/>
              <w:jc w:val="center"/>
              <w:rPr>
                <w:rFonts w:eastAsia="Calibri"/>
                <w:szCs w:val="20"/>
              </w:rPr>
            </w:pPr>
            <w:r w:rsidRPr="00DF4E18">
              <w:t>1.484</w:t>
            </w:r>
          </w:p>
        </w:tc>
        <w:tc>
          <w:tcPr>
            <w:tcW w:w="615" w:type="pct"/>
            <w:tcBorders>
              <w:top w:val="nil"/>
              <w:left w:val="single" w:sz="4" w:space="0" w:color="auto"/>
              <w:bottom w:val="dashSmallGap" w:sz="4" w:space="0" w:color="auto"/>
              <w:right w:val="single" w:sz="4" w:space="0" w:color="auto"/>
            </w:tcBorders>
          </w:tcPr>
          <w:p w14:paraId="1A937EFF" w14:textId="3853D0BA" w:rsidR="002F0974" w:rsidRPr="00DF4E18" w:rsidRDefault="002F0974" w:rsidP="008444AE">
            <w:pPr>
              <w:pStyle w:val="TableText0"/>
              <w:keepNext w:val="0"/>
              <w:keepLines w:val="0"/>
              <w:jc w:val="center"/>
              <w:rPr>
                <w:rFonts w:eastAsia="Calibri"/>
                <w:szCs w:val="20"/>
              </w:rPr>
            </w:pPr>
            <w:r w:rsidRPr="00DF4E18">
              <w:t>$</w:t>
            </w:r>
            <w:r w:rsidR="005822E1" w:rsidRPr="005822E1">
              <w:rPr>
                <w:sz w:val="2"/>
                <w:highlight w:val="black"/>
              </w:rPr>
              <w:t>redacted content</w:t>
            </w:r>
            <w:r w:rsidRPr="00DF4E18">
              <w:rPr>
                <w:vertAlign w:val="superscript"/>
              </w:rPr>
              <w:t>b</w:t>
            </w:r>
            <w:r w:rsidR="00DD6FB9">
              <w:rPr>
                <w:vertAlign w:val="superscript"/>
              </w:rPr>
              <w:t>6</w:t>
            </w:r>
          </w:p>
        </w:tc>
        <w:tc>
          <w:tcPr>
            <w:tcW w:w="580" w:type="pct"/>
            <w:tcBorders>
              <w:top w:val="nil"/>
              <w:bottom w:val="dashSmallGap" w:sz="4" w:space="0" w:color="auto"/>
            </w:tcBorders>
          </w:tcPr>
          <w:p w14:paraId="277BC4DF" w14:textId="501DA2E9" w:rsidR="002F0974" w:rsidRPr="00DF4E18" w:rsidRDefault="002F0974" w:rsidP="008444AE">
            <w:pPr>
              <w:pStyle w:val="TableText0"/>
              <w:keepNext w:val="0"/>
              <w:keepLines w:val="0"/>
              <w:jc w:val="center"/>
              <w:rPr>
                <w:rFonts w:eastAsia="Calibri"/>
                <w:szCs w:val="20"/>
              </w:rPr>
            </w:pPr>
            <w:r w:rsidRPr="00DF4E18">
              <w:t>-</w:t>
            </w:r>
            <w:r w:rsidR="005822E1" w:rsidRPr="005822E1">
              <w:rPr>
                <w:sz w:val="2"/>
                <w:highlight w:val="black"/>
              </w:rPr>
              <w:t>redacted content</w:t>
            </w:r>
            <w:r w:rsidRPr="00DF4E18">
              <w:t>%</w:t>
            </w:r>
          </w:p>
        </w:tc>
      </w:tr>
      <w:tr w:rsidR="002F0974" w:rsidRPr="0098262F" w14:paraId="3130FEB0" w14:textId="77777777" w:rsidTr="00FE34F0">
        <w:trPr>
          <w:trHeight w:val="283"/>
        </w:trPr>
        <w:tc>
          <w:tcPr>
            <w:tcW w:w="2434" w:type="pct"/>
            <w:tcBorders>
              <w:top w:val="dashSmallGap" w:sz="4" w:space="0" w:color="auto"/>
              <w:left w:val="single" w:sz="4" w:space="0" w:color="auto"/>
              <w:bottom w:val="dashSmallGap" w:sz="4" w:space="0" w:color="auto"/>
              <w:right w:val="single" w:sz="4" w:space="0" w:color="auto"/>
            </w:tcBorders>
          </w:tcPr>
          <w:p w14:paraId="6FCAD05B" w14:textId="4094986D" w:rsidR="002F0974" w:rsidRPr="00D368D6" w:rsidRDefault="002F0974" w:rsidP="008444AE">
            <w:pPr>
              <w:pStyle w:val="TableText0"/>
              <w:keepNext w:val="0"/>
              <w:keepLines w:val="0"/>
              <w:ind w:left="254"/>
            </w:pPr>
            <w:r w:rsidRPr="00D368D6">
              <w:t xml:space="preserve">Comparator arm: 100% of pts receive R-ICE for 3 cycles (base case follow </w:t>
            </w:r>
            <w:proofErr w:type="spellStart"/>
            <w:r w:rsidRPr="00D368D6">
              <w:t>ToT</w:t>
            </w:r>
            <w:proofErr w:type="spellEnd"/>
            <w:r w:rsidRPr="00D368D6">
              <w:t>; 4 cycles)</w:t>
            </w:r>
          </w:p>
        </w:tc>
        <w:tc>
          <w:tcPr>
            <w:tcW w:w="686" w:type="pct"/>
            <w:tcBorders>
              <w:top w:val="dashSmallGap" w:sz="4" w:space="0" w:color="auto"/>
              <w:left w:val="single" w:sz="4" w:space="0" w:color="auto"/>
              <w:bottom w:val="dashSmallGap" w:sz="4" w:space="0" w:color="auto"/>
              <w:right w:val="single" w:sz="4" w:space="0" w:color="auto"/>
            </w:tcBorders>
            <w:vAlign w:val="top"/>
          </w:tcPr>
          <w:p w14:paraId="52A81C55" w14:textId="37255298" w:rsidR="002F0974" w:rsidRPr="00D368D6" w:rsidRDefault="002F0974" w:rsidP="008444AE">
            <w:pPr>
              <w:pStyle w:val="TableText0"/>
              <w:keepNext w:val="0"/>
              <w:keepLines w:val="0"/>
              <w:jc w:val="center"/>
              <w:rPr>
                <w:rFonts w:eastAsia="Calibri"/>
                <w:szCs w:val="20"/>
              </w:rPr>
            </w:pPr>
            <w:r w:rsidRPr="00D368D6">
              <w:t>$</w:t>
            </w:r>
            <w:r w:rsidR="005822E1" w:rsidRPr="005822E1">
              <w:rPr>
                <w:sz w:val="2"/>
                <w:highlight w:val="black"/>
              </w:rPr>
              <w:t>redacted content</w:t>
            </w:r>
          </w:p>
        </w:tc>
        <w:tc>
          <w:tcPr>
            <w:tcW w:w="685" w:type="pct"/>
            <w:tcBorders>
              <w:top w:val="dashSmallGap" w:sz="4" w:space="0" w:color="auto"/>
              <w:left w:val="single" w:sz="4" w:space="0" w:color="auto"/>
              <w:bottom w:val="dashSmallGap" w:sz="4" w:space="0" w:color="auto"/>
              <w:right w:val="single" w:sz="4" w:space="0" w:color="auto"/>
            </w:tcBorders>
            <w:vAlign w:val="top"/>
          </w:tcPr>
          <w:p w14:paraId="1653CAAA" w14:textId="77777777" w:rsidR="002F0974" w:rsidRPr="00D368D6" w:rsidRDefault="002F0974" w:rsidP="008444AE">
            <w:pPr>
              <w:pStyle w:val="TableText0"/>
              <w:keepNext w:val="0"/>
              <w:keepLines w:val="0"/>
              <w:jc w:val="center"/>
              <w:rPr>
                <w:rFonts w:eastAsia="Calibri"/>
                <w:szCs w:val="20"/>
              </w:rPr>
            </w:pPr>
            <w:r w:rsidRPr="00D368D6">
              <w:t>1.484</w:t>
            </w:r>
          </w:p>
        </w:tc>
        <w:tc>
          <w:tcPr>
            <w:tcW w:w="615" w:type="pct"/>
            <w:tcBorders>
              <w:top w:val="dashSmallGap" w:sz="4" w:space="0" w:color="auto"/>
              <w:left w:val="single" w:sz="4" w:space="0" w:color="auto"/>
              <w:bottom w:val="dashSmallGap" w:sz="4" w:space="0" w:color="auto"/>
              <w:right w:val="single" w:sz="4" w:space="0" w:color="auto"/>
            </w:tcBorders>
            <w:vAlign w:val="top"/>
          </w:tcPr>
          <w:p w14:paraId="279290CF" w14:textId="49592923" w:rsidR="002F0974" w:rsidRPr="00BF0133" w:rsidRDefault="002F0974" w:rsidP="00FE34F0">
            <w:pPr>
              <w:pStyle w:val="TableText0"/>
              <w:keepNext w:val="0"/>
              <w:keepLines w:val="0"/>
              <w:jc w:val="center"/>
              <w:rPr>
                <w:rFonts w:eastAsia="Calibri"/>
                <w:szCs w:val="20"/>
                <w:vertAlign w:val="superscript"/>
              </w:rPr>
            </w:pPr>
            <w:r w:rsidRPr="00D368D6">
              <w:t>$</w:t>
            </w:r>
            <w:r w:rsidR="005822E1" w:rsidRPr="005822E1">
              <w:rPr>
                <w:sz w:val="2"/>
                <w:highlight w:val="black"/>
              </w:rPr>
              <w:t>redacted content</w:t>
            </w:r>
            <w:r w:rsidR="00BF0133">
              <w:rPr>
                <w:vertAlign w:val="superscript"/>
              </w:rPr>
              <w:t>5</w:t>
            </w:r>
          </w:p>
        </w:tc>
        <w:tc>
          <w:tcPr>
            <w:tcW w:w="580" w:type="pct"/>
            <w:tcBorders>
              <w:top w:val="dashSmallGap" w:sz="4" w:space="0" w:color="auto"/>
              <w:bottom w:val="dashSmallGap" w:sz="4" w:space="0" w:color="auto"/>
            </w:tcBorders>
          </w:tcPr>
          <w:p w14:paraId="3CCA1FC1" w14:textId="229EF5D8" w:rsidR="002F0974" w:rsidRPr="00D368D6" w:rsidRDefault="002F0974" w:rsidP="008444AE">
            <w:pPr>
              <w:pStyle w:val="TableText0"/>
              <w:keepNext w:val="0"/>
              <w:keepLines w:val="0"/>
              <w:jc w:val="center"/>
              <w:rPr>
                <w:rFonts w:eastAsia="Calibri"/>
                <w:szCs w:val="20"/>
              </w:rPr>
            </w:pPr>
            <w:r w:rsidRPr="00D368D6">
              <w:t>-</w:t>
            </w:r>
            <w:r w:rsidR="005822E1" w:rsidRPr="005822E1">
              <w:rPr>
                <w:sz w:val="2"/>
                <w:highlight w:val="black"/>
              </w:rPr>
              <w:t>redacted content</w:t>
            </w:r>
            <w:r w:rsidRPr="00D368D6">
              <w:t>%</w:t>
            </w:r>
          </w:p>
        </w:tc>
      </w:tr>
      <w:tr w:rsidR="00E61A71" w:rsidRPr="0098262F" w14:paraId="42D9375F" w14:textId="77777777" w:rsidTr="00E61A71">
        <w:trPr>
          <w:trHeight w:val="283"/>
        </w:trPr>
        <w:tc>
          <w:tcPr>
            <w:tcW w:w="2434" w:type="pct"/>
            <w:tcBorders>
              <w:top w:val="dashSmallGap" w:sz="4" w:space="0" w:color="auto"/>
              <w:left w:val="single" w:sz="4" w:space="0" w:color="auto"/>
              <w:bottom w:val="dashSmallGap" w:sz="4" w:space="0" w:color="auto"/>
              <w:right w:val="single" w:sz="4" w:space="0" w:color="auto"/>
            </w:tcBorders>
          </w:tcPr>
          <w:p w14:paraId="096ECD41" w14:textId="4F4C7BBE" w:rsidR="00E61A71" w:rsidRPr="00A104A1" w:rsidRDefault="00E61A71" w:rsidP="008444AE">
            <w:pPr>
              <w:pStyle w:val="TableText0"/>
              <w:keepNext w:val="0"/>
              <w:keepLines w:val="0"/>
              <w:ind w:left="254"/>
            </w:pPr>
            <w:r w:rsidRPr="00A104A1">
              <w:t>Comparator R-</w:t>
            </w:r>
            <w:proofErr w:type="spellStart"/>
            <w:r w:rsidRPr="00A104A1">
              <w:t>GemOx</w:t>
            </w:r>
            <w:proofErr w:type="spellEnd"/>
            <w:r w:rsidRPr="00A104A1">
              <w:t xml:space="preserve"> (base case R-ICE)</w:t>
            </w:r>
          </w:p>
        </w:tc>
        <w:tc>
          <w:tcPr>
            <w:tcW w:w="686" w:type="pct"/>
            <w:tcBorders>
              <w:top w:val="dashSmallGap" w:sz="4" w:space="0" w:color="auto"/>
              <w:left w:val="single" w:sz="4" w:space="0" w:color="auto"/>
              <w:bottom w:val="dashSmallGap" w:sz="4" w:space="0" w:color="auto"/>
              <w:right w:val="single" w:sz="4" w:space="0" w:color="auto"/>
            </w:tcBorders>
            <w:vAlign w:val="top"/>
          </w:tcPr>
          <w:p w14:paraId="7AC4EAE9" w14:textId="03ADF296" w:rsidR="00E61A71" w:rsidRPr="00A104A1" w:rsidRDefault="00E61A71" w:rsidP="008444AE">
            <w:pPr>
              <w:pStyle w:val="TableText0"/>
              <w:keepNext w:val="0"/>
              <w:keepLines w:val="0"/>
              <w:jc w:val="center"/>
            </w:pPr>
            <w:r w:rsidRPr="00A104A1">
              <w:t>$</w:t>
            </w:r>
            <w:r w:rsidR="005822E1" w:rsidRPr="005822E1">
              <w:rPr>
                <w:sz w:val="2"/>
                <w:highlight w:val="black"/>
              </w:rPr>
              <w:t>redacted content</w:t>
            </w:r>
          </w:p>
        </w:tc>
        <w:tc>
          <w:tcPr>
            <w:tcW w:w="685" w:type="pct"/>
            <w:tcBorders>
              <w:top w:val="dashSmallGap" w:sz="4" w:space="0" w:color="auto"/>
              <w:left w:val="single" w:sz="4" w:space="0" w:color="auto"/>
              <w:bottom w:val="dashSmallGap" w:sz="4" w:space="0" w:color="auto"/>
              <w:right w:val="single" w:sz="4" w:space="0" w:color="auto"/>
            </w:tcBorders>
            <w:vAlign w:val="top"/>
          </w:tcPr>
          <w:p w14:paraId="6F74E49A" w14:textId="4E70C1AE" w:rsidR="00E61A71" w:rsidRPr="00A104A1" w:rsidRDefault="00E61A71" w:rsidP="008444AE">
            <w:pPr>
              <w:pStyle w:val="TableText0"/>
              <w:keepNext w:val="0"/>
              <w:keepLines w:val="0"/>
              <w:jc w:val="center"/>
            </w:pPr>
            <w:r w:rsidRPr="00A104A1">
              <w:t>1.484</w:t>
            </w:r>
          </w:p>
        </w:tc>
        <w:tc>
          <w:tcPr>
            <w:tcW w:w="615" w:type="pct"/>
            <w:tcBorders>
              <w:top w:val="dashSmallGap" w:sz="4" w:space="0" w:color="auto"/>
              <w:left w:val="single" w:sz="4" w:space="0" w:color="auto"/>
              <w:bottom w:val="dashSmallGap" w:sz="4" w:space="0" w:color="auto"/>
              <w:right w:val="single" w:sz="4" w:space="0" w:color="auto"/>
            </w:tcBorders>
            <w:vAlign w:val="top"/>
          </w:tcPr>
          <w:p w14:paraId="7272E0CD" w14:textId="0A9FB0E5" w:rsidR="00E61A71" w:rsidRPr="009C2D27" w:rsidRDefault="00E61A71" w:rsidP="008444AE">
            <w:pPr>
              <w:pStyle w:val="TableText0"/>
              <w:keepNext w:val="0"/>
              <w:keepLines w:val="0"/>
              <w:jc w:val="center"/>
              <w:rPr>
                <w:vertAlign w:val="superscript"/>
              </w:rPr>
            </w:pPr>
            <w:r w:rsidRPr="00A104A1">
              <w:t>$</w:t>
            </w:r>
            <w:r w:rsidR="005822E1" w:rsidRPr="005822E1">
              <w:rPr>
                <w:sz w:val="2"/>
                <w:highlight w:val="black"/>
              </w:rPr>
              <w:t>redacted content</w:t>
            </w:r>
            <w:r w:rsidR="009C2D27">
              <w:rPr>
                <w:vertAlign w:val="superscript"/>
              </w:rPr>
              <w:t>3</w:t>
            </w:r>
          </w:p>
        </w:tc>
        <w:tc>
          <w:tcPr>
            <w:tcW w:w="580" w:type="pct"/>
            <w:tcBorders>
              <w:top w:val="dashSmallGap" w:sz="4" w:space="0" w:color="auto"/>
              <w:bottom w:val="dashSmallGap" w:sz="4" w:space="0" w:color="auto"/>
            </w:tcBorders>
            <w:vAlign w:val="top"/>
          </w:tcPr>
          <w:p w14:paraId="3C27183A" w14:textId="00582A7D" w:rsidR="00E61A71" w:rsidRPr="00A104A1" w:rsidRDefault="00E61A71" w:rsidP="008444AE">
            <w:pPr>
              <w:pStyle w:val="TableText0"/>
              <w:keepNext w:val="0"/>
              <w:keepLines w:val="0"/>
              <w:jc w:val="center"/>
            </w:pPr>
            <w:r w:rsidRPr="00A104A1">
              <w:t>+</w:t>
            </w:r>
            <w:r w:rsidR="005822E1" w:rsidRPr="005822E1">
              <w:rPr>
                <w:sz w:val="2"/>
                <w:highlight w:val="black"/>
              </w:rPr>
              <w:t>redacted content</w:t>
            </w:r>
            <w:r w:rsidRPr="00A104A1">
              <w:t>%</w:t>
            </w:r>
          </w:p>
        </w:tc>
      </w:tr>
      <w:tr w:rsidR="000837E2" w:rsidRPr="0098262F" w14:paraId="5F9B8855" w14:textId="77777777" w:rsidTr="00E61A71">
        <w:trPr>
          <w:trHeight w:val="283"/>
        </w:trPr>
        <w:tc>
          <w:tcPr>
            <w:tcW w:w="2434" w:type="pct"/>
            <w:tcBorders>
              <w:top w:val="dashSmallGap" w:sz="4" w:space="0" w:color="auto"/>
              <w:left w:val="single" w:sz="4" w:space="0" w:color="auto"/>
              <w:bottom w:val="dashSmallGap" w:sz="4" w:space="0" w:color="auto"/>
              <w:right w:val="single" w:sz="4" w:space="0" w:color="auto"/>
            </w:tcBorders>
          </w:tcPr>
          <w:p w14:paraId="2309056B" w14:textId="44CAD573" w:rsidR="000837E2" w:rsidRPr="00315864" w:rsidRDefault="000837E2" w:rsidP="008444AE">
            <w:pPr>
              <w:pStyle w:val="TableText0"/>
              <w:keepNext w:val="0"/>
              <w:keepLines w:val="0"/>
              <w:ind w:left="254"/>
            </w:pPr>
            <w:r w:rsidRPr="00315864">
              <w:t>No half-cycle correction to costs (base case half-cycle correction to costs and outcomes)</w:t>
            </w:r>
          </w:p>
        </w:tc>
        <w:tc>
          <w:tcPr>
            <w:tcW w:w="686" w:type="pct"/>
            <w:tcBorders>
              <w:top w:val="dashSmallGap" w:sz="4" w:space="0" w:color="auto"/>
              <w:left w:val="single" w:sz="4" w:space="0" w:color="auto"/>
              <w:bottom w:val="dashSmallGap" w:sz="4" w:space="0" w:color="auto"/>
              <w:right w:val="single" w:sz="4" w:space="0" w:color="auto"/>
            </w:tcBorders>
            <w:vAlign w:val="top"/>
          </w:tcPr>
          <w:p w14:paraId="2C219ECF" w14:textId="532B7A7F" w:rsidR="000837E2" w:rsidRPr="00315864" w:rsidRDefault="000837E2" w:rsidP="008444AE">
            <w:pPr>
              <w:pStyle w:val="TableText0"/>
              <w:keepNext w:val="0"/>
              <w:keepLines w:val="0"/>
              <w:jc w:val="center"/>
            </w:pPr>
            <w:r w:rsidRPr="00315864">
              <w:t>$</w:t>
            </w:r>
            <w:r w:rsidR="005822E1" w:rsidRPr="005822E1">
              <w:rPr>
                <w:sz w:val="2"/>
                <w:highlight w:val="black"/>
              </w:rPr>
              <w:t>redacted content</w:t>
            </w:r>
          </w:p>
        </w:tc>
        <w:tc>
          <w:tcPr>
            <w:tcW w:w="685" w:type="pct"/>
            <w:tcBorders>
              <w:top w:val="dashSmallGap" w:sz="4" w:space="0" w:color="auto"/>
              <w:left w:val="single" w:sz="4" w:space="0" w:color="auto"/>
              <w:bottom w:val="dashSmallGap" w:sz="4" w:space="0" w:color="auto"/>
              <w:right w:val="single" w:sz="4" w:space="0" w:color="auto"/>
            </w:tcBorders>
            <w:vAlign w:val="top"/>
          </w:tcPr>
          <w:p w14:paraId="20D622E0" w14:textId="11BF20AB" w:rsidR="000837E2" w:rsidRPr="00315864" w:rsidRDefault="000837E2" w:rsidP="008444AE">
            <w:pPr>
              <w:pStyle w:val="TableText0"/>
              <w:keepNext w:val="0"/>
              <w:keepLines w:val="0"/>
              <w:jc w:val="center"/>
            </w:pPr>
            <w:r w:rsidRPr="00315864">
              <w:t>1.484</w:t>
            </w:r>
          </w:p>
        </w:tc>
        <w:tc>
          <w:tcPr>
            <w:tcW w:w="615" w:type="pct"/>
            <w:tcBorders>
              <w:top w:val="dashSmallGap" w:sz="4" w:space="0" w:color="auto"/>
              <w:left w:val="single" w:sz="4" w:space="0" w:color="auto"/>
              <w:bottom w:val="dashSmallGap" w:sz="4" w:space="0" w:color="auto"/>
              <w:right w:val="single" w:sz="4" w:space="0" w:color="auto"/>
            </w:tcBorders>
            <w:vAlign w:val="top"/>
          </w:tcPr>
          <w:p w14:paraId="52049D47" w14:textId="21612174" w:rsidR="000837E2" w:rsidRPr="009C2D27" w:rsidRDefault="000837E2" w:rsidP="008444AE">
            <w:pPr>
              <w:pStyle w:val="TableText0"/>
              <w:keepNext w:val="0"/>
              <w:keepLines w:val="0"/>
              <w:jc w:val="center"/>
              <w:rPr>
                <w:vertAlign w:val="superscript"/>
              </w:rPr>
            </w:pPr>
            <w:r w:rsidRPr="00315864">
              <w:t>$</w:t>
            </w:r>
            <w:r w:rsidR="005822E1" w:rsidRPr="005822E1">
              <w:rPr>
                <w:sz w:val="2"/>
                <w:highlight w:val="black"/>
              </w:rPr>
              <w:t>redacted content</w:t>
            </w:r>
            <w:r w:rsidR="009C2D27">
              <w:rPr>
                <w:vertAlign w:val="superscript"/>
              </w:rPr>
              <w:t>3</w:t>
            </w:r>
          </w:p>
        </w:tc>
        <w:tc>
          <w:tcPr>
            <w:tcW w:w="580" w:type="pct"/>
            <w:tcBorders>
              <w:top w:val="dashSmallGap" w:sz="4" w:space="0" w:color="auto"/>
              <w:bottom w:val="dashSmallGap" w:sz="4" w:space="0" w:color="auto"/>
            </w:tcBorders>
            <w:vAlign w:val="top"/>
          </w:tcPr>
          <w:p w14:paraId="16128596" w14:textId="7A1A17AA" w:rsidR="000837E2" w:rsidRPr="00315864" w:rsidRDefault="000837E2" w:rsidP="008444AE">
            <w:pPr>
              <w:pStyle w:val="TableText0"/>
              <w:keepNext w:val="0"/>
              <w:keepLines w:val="0"/>
              <w:jc w:val="center"/>
            </w:pPr>
            <w:r w:rsidRPr="00315864">
              <w:t>+</w:t>
            </w:r>
            <w:r w:rsidR="005822E1" w:rsidRPr="005822E1">
              <w:rPr>
                <w:sz w:val="2"/>
                <w:highlight w:val="black"/>
              </w:rPr>
              <w:t>redacted content</w:t>
            </w:r>
            <w:r w:rsidRPr="00315864">
              <w:t>%</w:t>
            </w:r>
          </w:p>
        </w:tc>
      </w:tr>
      <w:tr w:rsidR="00715E23" w:rsidRPr="0098262F" w14:paraId="63DAF289" w14:textId="77777777" w:rsidTr="00E61A71">
        <w:trPr>
          <w:trHeight w:val="283"/>
        </w:trPr>
        <w:tc>
          <w:tcPr>
            <w:tcW w:w="2434" w:type="pct"/>
            <w:tcBorders>
              <w:top w:val="dashSmallGap" w:sz="4" w:space="0" w:color="auto"/>
              <w:left w:val="single" w:sz="4" w:space="0" w:color="auto"/>
              <w:bottom w:val="dashSmallGap" w:sz="4" w:space="0" w:color="auto"/>
              <w:right w:val="single" w:sz="4" w:space="0" w:color="auto"/>
            </w:tcBorders>
          </w:tcPr>
          <w:p w14:paraId="15111474" w14:textId="146DE830" w:rsidR="00715E23" w:rsidRPr="00315864" w:rsidRDefault="00715E23" w:rsidP="008444AE">
            <w:pPr>
              <w:pStyle w:val="TableText0"/>
              <w:keepNext w:val="0"/>
              <w:keepLines w:val="0"/>
              <w:ind w:left="254"/>
            </w:pPr>
            <w:r w:rsidRPr="00315864">
              <w:t xml:space="preserve">Exclude terminal care costs </w:t>
            </w:r>
          </w:p>
        </w:tc>
        <w:tc>
          <w:tcPr>
            <w:tcW w:w="686" w:type="pct"/>
            <w:tcBorders>
              <w:top w:val="dashSmallGap" w:sz="4" w:space="0" w:color="auto"/>
              <w:left w:val="single" w:sz="4" w:space="0" w:color="auto"/>
              <w:bottom w:val="dashSmallGap" w:sz="4" w:space="0" w:color="auto"/>
              <w:right w:val="single" w:sz="4" w:space="0" w:color="auto"/>
            </w:tcBorders>
            <w:vAlign w:val="top"/>
          </w:tcPr>
          <w:p w14:paraId="4B4A6B26" w14:textId="7853B637" w:rsidR="00715E23" w:rsidRPr="00315864" w:rsidRDefault="00715E23" w:rsidP="008444AE">
            <w:pPr>
              <w:pStyle w:val="TableText0"/>
              <w:keepNext w:val="0"/>
              <w:keepLines w:val="0"/>
              <w:jc w:val="center"/>
            </w:pPr>
            <w:r w:rsidRPr="00315864">
              <w:t>$</w:t>
            </w:r>
            <w:r w:rsidR="005822E1" w:rsidRPr="005822E1">
              <w:rPr>
                <w:sz w:val="2"/>
                <w:highlight w:val="black"/>
              </w:rPr>
              <w:t>redacted content</w:t>
            </w:r>
          </w:p>
        </w:tc>
        <w:tc>
          <w:tcPr>
            <w:tcW w:w="685" w:type="pct"/>
            <w:tcBorders>
              <w:top w:val="dashSmallGap" w:sz="4" w:space="0" w:color="auto"/>
              <w:left w:val="single" w:sz="4" w:space="0" w:color="auto"/>
              <w:bottom w:val="dashSmallGap" w:sz="4" w:space="0" w:color="auto"/>
              <w:right w:val="single" w:sz="4" w:space="0" w:color="auto"/>
            </w:tcBorders>
            <w:vAlign w:val="top"/>
          </w:tcPr>
          <w:p w14:paraId="00FD75D0" w14:textId="3A7179E7" w:rsidR="00715E23" w:rsidRPr="00315864" w:rsidRDefault="00715E23" w:rsidP="008444AE">
            <w:pPr>
              <w:pStyle w:val="TableText0"/>
              <w:keepNext w:val="0"/>
              <w:keepLines w:val="0"/>
              <w:jc w:val="center"/>
            </w:pPr>
            <w:r w:rsidRPr="00315864">
              <w:t>1.484</w:t>
            </w:r>
          </w:p>
        </w:tc>
        <w:tc>
          <w:tcPr>
            <w:tcW w:w="615" w:type="pct"/>
            <w:tcBorders>
              <w:top w:val="dashSmallGap" w:sz="4" w:space="0" w:color="auto"/>
              <w:left w:val="single" w:sz="4" w:space="0" w:color="auto"/>
              <w:bottom w:val="dashSmallGap" w:sz="4" w:space="0" w:color="auto"/>
              <w:right w:val="single" w:sz="4" w:space="0" w:color="auto"/>
            </w:tcBorders>
            <w:vAlign w:val="top"/>
          </w:tcPr>
          <w:p w14:paraId="169D5A59" w14:textId="28A47995" w:rsidR="00715E23" w:rsidRPr="009C2D27" w:rsidRDefault="00715E23" w:rsidP="008444AE">
            <w:pPr>
              <w:pStyle w:val="TableText0"/>
              <w:keepNext w:val="0"/>
              <w:keepLines w:val="0"/>
              <w:jc w:val="center"/>
              <w:rPr>
                <w:vertAlign w:val="superscript"/>
              </w:rPr>
            </w:pPr>
            <w:r w:rsidRPr="00315864">
              <w:t>$</w:t>
            </w:r>
            <w:r w:rsidR="005822E1" w:rsidRPr="005822E1">
              <w:rPr>
                <w:sz w:val="2"/>
                <w:highlight w:val="black"/>
              </w:rPr>
              <w:t>redacted content</w:t>
            </w:r>
            <w:r w:rsidR="009C2D27">
              <w:rPr>
                <w:vertAlign w:val="superscript"/>
              </w:rPr>
              <w:t>3</w:t>
            </w:r>
          </w:p>
        </w:tc>
        <w:tc>
          <w:tcPr>
            <w:tcW w:w="580" w:type="pct"/>
            <w:tcBorders>
              <w:top w:val="dashSmallGap" w:sz="4" w:space="0" w:color="auto"/>
              <w:bottom w:val="dashSmallGap" w:sz="4" w:space="0" w:color="auto"/>
            </w:tcBorders>
            <w:vAlign w:val="top"/>
          </w:tcPr>
          <w:p w14:paraId="2D9FBB23" w14:textId="48932A24" w:rsidR="00715E23" w:rsidRPr="00315864" w:rsidRDefault="00715E23" w:rsidP="008444AE">
            <w:pPr>
              <w:pStyle w:val="TableText0"/>
              <w:keepNext w:val="0"/>
              <w:keepLines w:val="0"/>
              <w:jc w:val="center"/>
            </w:pPr>
            <w:r w:rsidRPr="00315864">
              <w:t>+</w:t>
            </w:r>
            <w:r w:rsidR="005822E1" w:rsidRPr="005822E1">
              <w:rPr>
                <w:sz w:val="2"/>
                <w:highlight w:val="black"/>
              </w:rPr>
              <w:t>redacted content</w:t>
            </w:r>
            <w:r w:rsidRPr="00315864">
              <w:t>%</w:t>
            </w:r>
          </w:p>
        </w:tc>
      </w:tr>
      <w:tr w:rsidR="002F0974" w:rsidRPr="0098262F" w14:paraId="174E0D6F" w14:textId="77777777">
        <w:trPr>
          <w:trHeight w:val="283"/>
        </w:trPr>
        <w:tc>
          <w:tcPr>
            <w:tcW w:w="5000" w:type="pct"/>
            <w:gridSpan w:val="5"/>
          </w:tcPr>
          <w:p w14:paraId="3FA77C08" w14:textId="77777777" w:rsidR="002F0974" w:rsidRPr="0098262F" w:rsidRDefault="002F0974" w:rsidP="008444AE">
            <w:pPr>
              <w:pStyle w:val="TableText0"/>
              <w:keepNext w:val="0"/>
              <w:keepLines w:val="0"/>
              <w:rPr>
                <w:rFonts w:eastAsia="Calibri"/>
                <w:szCs w:val="20"/>
              </w:rPr>
            </w:pPr>
            <w:r w:rsidRPr="00F9758C">
              <w:rPr>
                <w:b/>
                <w:bCs w:val="0"/>
              </w:rPr>
              <w:t>Multivariate analyses</w:t>
            </w:r>
          </w:p>
        </w:tc>
      </w:tr>
      <w:tr w:rsidR="002F0974" w:rsidRPr="0098262F" w14:paraId="108876E4" w14:textId="77777777">
        <w:trPr>
          <w:trHeight w:val="283"/>
        </w:trPr>
        <w:tc>
          <w:tcPr>
            <w:tcW w:w="2434" w:type="pct"/>
            <w:tcBorders>
              <w:top w:val="nil"/>
            </w:tcBorders>
            <w:shd w:val="clear" w:color="auto" w:fill="F2F2F2" w:themeFill="background1" w:themeFillShade="F2"/>
          </w:tcPr>
          <w:p w14:paraId="28661C97" w14:textId="77777777" w:rsidR="002F0974" w:rsidRPr="00B65809" w:rsidRDefault="002F0974" w:rsidP="008444AE">
            <w:pPr>
              <w:pStyle w:val="TableText0"/>
              <w:keepNext w:val="0"/>
              <w:keepLines w:val="0"/>
            </w:pPr>
            <w:r w:rsidRPr="00B65809">
              <w:t>(A)</w:t>
            </w:r>
          </w:p>
          <w:p w14:paraId="70638859" w14:textId="065C0753" w:rsidR="002F0974" w:rsidRPr="00B65809" w:rsidRDefault="002F0974" w:rsidP="008444AE">
            <w:pPr>
              <w:pStyle w:val="TableText0"/>
              <w:keepNext w:val="0"/>
              <w:keepLines w:val="0"/>
            </w:pPr>
            <w:r w:rsidRPr="00B65809">
              <w:t>PF pts follow background mortality after cure timepoint of 2 years* AND KM truncation points of 2 years for OS and PFS</w:t>
            </w:r>
          </w:p>
        </w:tc>
        <w:tc>
          <w:tcPr>
            <w:tcW w:w="686" w:type="pct"/>
            <w:tcBorders>
              <w:top w:val="nil"/>
            </w:tcBorders>
            <w:shd w:val="clear" w:color="auto" w:fill="F2F2F2" w:themeFill="background1" w:themeFillShade="F2"/>
          </w:tcPr>
          <w:p w14:paraId="3572A0B7" w14:textId="2069C853" w:rsidR="002F0974" w:rsidRPr="00B65809" w:rsidRDefault="002F0974" w:rsidP="008444AE">
            <w:pPr>
              <w:pStyle w:val="TableText0"/>
              <w:keepNext w:val="0"/>
              <w:keepLines w:val="0"/>
              <w:jc w:val="center"/>
              <w:rPr>
                <w:rFonts w:eastAsia="Calibri"/>
                <w:szCs w:val="20"/>
              </w:rPr>
            </w:pPr>
            <w:r w:rsidRPr="00B65809">
              <w:t>$</w:t>
            </w:r>
            <w:r w:rsidR="005822E1" w:rsidRPr="005822E1">
              <w:rPr>
                <w:sz w:val="2"/>
                <w:highlight w:val="black"/>
              </w:rPr>
              <w:t>redacted content</w:t>
            </w:r>
          </w:p>
        </w:tc>
        <w:tc>
          <w:tcPr>
            <w:tcW w:w="685" w:type="pct"/>
            <w:tcBorders>
              <w:top w:val="nil"/>
            </w:tcBorders>
            <w:shd w:val="clear" w:color="auto" w:fill="F2F2F2" w:themeFill="background1" w:themeFillShade="F2"/>
          </w:tcPr>
          <w:p w14:paraId="098C52FE" w14:textId="77777777" w:rsidR="002F0974" w:rsidRPr="00B65809" w:rsidRDefault="002F0974" w:rsidP="008444AE">
            <w:pPr>
              <w:pStyle w:val="TableText0"/>
              <w:keepNext w:val="0"/>
              <w:keepLines w:val="0"/>
              <w:jc w:val="center"/>
              <w:rPr>
                <w:rFonts w:eastAsia="Calibri"/>
                <w:szCs w:val="20"/>
              </w:rPr>
            </w:pPr>
            <w:r w:rsidRPr="00B65809">
              <w:t>1.456</w:t>
            </w:r>
          </w:p>
        </w:tc>
        <w:tc>
          <w:tcPr>
            <w:tcW w:w="615" w:type="pct"/>
            <w:tcBorders>
              <w:top w:val="nil"/>
            </w:tcBorders>
            <w:shd w:val="clear" w:color="auto" w:fill="F2F2F2" w:themeFill="background1" w:themeFillShade="F2"/>
          </w:tcPr>
          <w:p w14:paraId="67588AD3" w14:textId="76D79B7D" w:rsidR="002F0974" w:rsidRPr="009C2D27" w:rsidRDefault="002F0974" w:rsidP="008444AE">
            <w:pPr>
              <w:pStyle w:val="TableText0"/>
              <w:keepNext w:val="0"/>
              <w:keepLines w:val="0"/>
              <w:jc w:val="center"/>
              <w:rPr>
                <w:rFonts w:eastAsia="Calibri"/>
                <w:szCs w:val="20"/>
                <w:vertAlign w:val="superscript"/>
              </w:rPr>
            </w:pPr>
            <w:r w:rsidRPr="00B65809">
              <w:t>$</w:t>
            </w:r>
            <w:r w:rsidR="005822E1" w:rsidRPr="005822E1">
              <w:rPr>
                <w:sz w:val="2"/>
                <w:highlight w:val="black"/>
              </w:rPr>
              <w:t>redacted content</w:t>
            </w:r>
            <w:r w:rsidR="009C2D27">
              <w:rPr>
                <w:vertAlign w:val="superscript"/>
              </w:rPr>
              <w:t>3</w:t>
            </w:r>
          </w:p>
        </w:tc>
        <w:tc>
          <w:tcPr>
            <w:tcW w:w="580" w:type="pct"/>
            <w:tcBorders>
              <w:top w:val="nil"/>
            </w:tcBorders>
            <w:shd w:val="clear" w:color="auto" w:fill="F2F2F2" w:themeFill="background1" w:themeFillShade="F2"/>
          </w:tcPr>
          <w:p w14:paraId="4AD2B577" w14:textId="49BE01E4" w:rsidR="002F0974" w:rsidRPr="00B65809" w:rsidRDefault="002F0974" w:rsidP="008444AE">
            <w:pPr>
              <w:pStyle w:val="TableText0"/>
              <w:keepNext w:val="0"/>
              <w:keepLines w:val="0"/>
              <w:jc w:val="center"/>
              <w:rPr>
                <w:rFonts w:eastAsia="Calibri"/>
                <w:szCs w:val="20"/>
              </w:rPr>
            </w:pPr>
            <w:r w:rsidRPr="00B65809">
              <w:t>+</w:t>
            </w:r>
            <w:r w:rsidR="005822E1" w:rsidRPr="005822E1">
              <w:rPr>
                <w:sz w:val="2"/>
                <w:highlight w:val="black"/>
              </w:rPr>
              <w:t>redacted content</w:t>
            </w:r>
            <w:r w:rsidRPr="00B65809">
              <w:t>%</w:t>
            </w:r>
          </w:p>
        </w:tc>
      </w:tr>
      <w:tr w:rsidR="002F0974" w:rsidRPr="0098262F" w14:paraId="75EEE80E" w14:textId="77777777">
        <w:trPr>
          <w:trHeight w:val="283"/>
        </w:trPr>
        <w:tc>
          <w:tcPr>
            <w:tcW w:w="2434" w:type="pct"/>
            <w:shd w:val="clear" w:color="auto" w:fill="F2F2F2" w:themeFill="background1" w:themeFillShade="F2"/>
          </w:tcPr>
          <w:p w14:paraId="5E45C871" w14:textId="462EFEC4" w:rsidR="002F0974" w:rsidRPr="00B65809" w:rsidRDefault="002F0974" w:rsidP="008444AE">
            <w:pPr>
              <w:pStyle w:val="TableText0"/>
              <w:keepNext w:val="0"/>
              <w:keepLines w:val="0"/>
            </w:pPr>
            <w:r w:rsidRPr="00B65809">
              <w:t xml:space="preserve">(B) =(A) + 100% of comparator pts receive </w:t>
            </w:r>
            <w:r w:rsidR="008F625F" w:rsidRPr="00B65809">
              <w:t xml:space="preserve">3 </w:t>
            </w:r>
            <w:r w:rsidRPr="00B65809">
              <w:t xml:space="preserve">R-ICE </w:t>
            </w:r>
            <w:proofErr w:type="spellStart"/>
            <w:r w:rsidRPr="00B65809">
              <w:t>cycles</w:t>
            </w:r>
            <w:r w:rsidRPr="00B65809">
              <w:rPr>
                <w:vertAlign w:val="superscript"/>
              </w:rPr>
              <w:t>c</w:t>
            </w:r>
            <w:proofErr w:type="spellEnd"/>
          </w:p>
        </w:tc>
        <w:tc>
          <w:tcPr>
            <w:tcW w:w="686" w:type="pct"/>
            <w:shd w:val="clear" w:color="auto" w:fill="F2F2F2" w:themeFill="background1" w:themeFillShade="F2"/>
          </w:tcPr>
          <w:p w14:paraId="3627790F" w14:textId="64D52B3A" w:rsidR="002F0974" w:rsidRPr="00B65809" w:rsidRDefault="002F0974" w:rsidP="008444AE">
            <w:pPr>
              <w:pStyle w:val="TableText0"/>
              <w:keepNext w:val="0"/>
              <w:keepLines w:val="0"/>
              <w:jc w:val="center"/>
              <w:rPr>
                <w:rFonts w:eastAsia="Calibri"/>
                <w:szCs w:val="20"/>
              </w:rPr>
            </w:pPr>
            <w:r w:rsidRPr="00B65809">
              <w:t>$</w:t>
            </w:r>
            <w:r w:rsidR="005822E1" w:rsidRPr="005822E1">
              <w:rPr>
                <w:sz w:val="2"/>
                <w:highlight w:val="black"/>
              </w:rPr>
              <w:t>redacted content</w:t>
            </w:r>
          </w:p>
        </w:tc>
        <w:tc>
          <w:tcPr>
            <w:tcW w:w="685" w:type="pct"/>
            <w:shd w:val="clear" w:color="auto" w:fill="F2F2F2" w:themeFill="background1" w:themeFillShade="F2"/>
          </w:tcPr>
          <w:p w14:paraId="235BFE68" w14:textId="77777777" w:rsidR="002F0974" w:rsidRPr="00B65809" w:rsidRDefault="002F0974" w:rsidP="008444AE">
            <w:pPr>
              <w:pStyle w:val="TableText0"/>
              <w:keepNext w:val="0"/>
              <w:keepLines w:val="0"/>
              <w:jc w:val="center"/>
              <w:rPr>
                <w:rFonts w:eastAsia="Calibri"/>
                <w:szCs w:val="20"/>
              </w:rPr>
            </w:pPr>
            <w:r w:rsidRPr="00B65809">
              <w:t>1.456</w:t>
            </w:r>
          </w:p>
        </w:tc>
        <w:tc>
          <w:tcPr>
            <w:tcW w:w="615" w:type="pct"/>
            <w:shd w:val="clear" w:color="auto" w:fill="F2F2F2" w:themeFill="background1" w:themeFillShade="F2"/>
          </w:tcPr>
          <w:p w14:paraId="1B3B99F9" w14:textId="482EE3B3" w:rsidR="002F0974" w:rsidRPr="00BF0133" w:rsidRDefault="002F0974" w:rsidP="008444AE">
            <w:pPr>
              <w:pStyle w:val="TableText0"/>
              <w:keepNext w:val="0"/>
              <w:keepLines w:val="0"/>
              <w:jc w:val="center"/>
              <w:rPr>
                <w:rFonts w:eastAsia="Calibri"/>
                <w:szCs w:val="20"/>
                <w:vertAlign w:val="superscript"/>
              </w:rPr>
            </w:pPr>
            <w:r w:rsidRPr="00B65809">
              <w:t>$</w:t>
            </w:r>
            <w:r w:rsidR="005822E1" w:rsidRPr="005822E1">
              <w:rPr>
                <w:sz w:val="2"/>
                <w:highlight w:val="black"/>
              </w:rPr>
              <w:t>redacted content</w:t>
            </w:r>
            <w:r w:rsidR="00BF0133">
              <w:rPr>
                <w:vertAlign w:val="superscript"/>
              </w:rPr>
              <w:t>5</w:t>
            </w:r>
          </w:p>
        </w:tc>
        <w:tc>
          <w:tcPr>
            <w:tcW w:w="580" w:type="pct"/>
            <w:shd w:val="clear" w:color="auto" w:fill="F2F2F2" w:themeFill="background1" w:themeFillShade="F2"/>
          </w:tcPr>
          <w:p w14:paraId="588EB627" w14:textId="05C2D397" w:rsidR="002F0974" w:rsidRPr="00B65809" w:rsidRDefault="002F0974" w:rsidP="008444AE">
            <w:pPr>
              <w:pStyle w:val="TableText0"/>
              <w:keepNext w:val="0"/>
              <w:keepLines w:val="0"/>
              <w:jc w:val="center"/>
              <w:rPr>
                <w:rFonts w:eastAsia="Calibri"/>
                <w:szCs w:val="20"/>
              </w:rPr>
            </w:pPr>
            <w:r w:rsidRPr="00B65809">
              <w:t>-</w:t>
            </w:r>
            <w:r w:rsidR="005822E1" w:rsidRPr="005822E1">
              <w:rPr>
                <w:sz w:val="2"/>
                <w:highlight w:val="black"/>
              </w:rPr>
              <w:t>redacted content</w:t>
            </w:r>
            <w:r w:rsidRPr="00B65809">
              <w:t>%</w:t>
            </w:r>
          </w:p>
        </w:tc>
      </w:tr>
      <w:tr w:rsidR="002F0974" w:rsidRPr="0098262F" w14:paraId="3DD6C164" w14:textId="77777777">
        <w:trPr>
          <w:trHeight w:val="283"/>
        </w:trPr>
        <w:tc>
          <w:tcPr>
            <w:tcW w:w="2434" w:type="pct"/>
            <w:shd w:val="clear" w:color="auto" w:fill="F2F2F2" w:themeFill="background1" w:themeFillShade="F2"/>
          </w:tcPr>
          <w:p w14:paraId="694964E2" w14:textId="09C3550E" w:rsidR="002F0974" w:rsidRPr="00B65809" w:rsidRDefault="002F0974" w:rsidP="008444AE">
            <w:pPr>
              <w:pStyle w:val="TableText0"/>
              <w:keepNext w:val="0"/>
              <w:keepLines w:val="0"/>
            </w:pPr>
            <w:r w:rsidRPr="00B65809">
              <w:t xml:space="preserve">(C) = (B) +Time horizon of </w:t>
            </w:r>
            <w:r w:rsidR="00F1709A" w:rsidRPr="00B65809">
              <w:t>2</w:t>
            </w:r>
            <w:r w:rsidRPr="00B65809">
              <w:t>0 years</w:t>
            </w:r>
          </w:p>
        </w:tc>
        <w:tc>
          <w:tcPr>
            <w:tcW w:w="686" w:type="pct"/>
            <w:shd w:val="clear" w:color="auto" w:fill="F2F2F2" w:themeFill="background1" w:themeFillShade="F2"/>
          </w:tcPr>
          <w:p w14:paraId="3FB01F6C" w14:textId="7BE9B749" w:rsidR="002F0974" w:rsidRPr="00B65809" w:rsidRDefault="002F0974" w:rsidP="008444AE">
            <w:pPr>
              <w:pStyle w:val="TableText0"/>
              <w:keepNext w:val="0"/>
              <w:keepLines w:val="0"/>
              <w:jc w:val="center"/>
              <w:rPr>
                <w:rFonts w:eastAsia="Calibri"/>
                <w:szCs w:val="20"/>
              </w:rPr>
            </w:pPr>
            <w:r w:rsidRPr="00B65809">
              <w:t>$</w:t>
            </w:r>
            <w:r w:rsidR="005822E1" w:rsidRPr="005822E1">
              <w:rPr>
                <w:sz w:val="2"/>
                <w:highlight w:val="black"/>
              </w:rPr>
              <w:t>redacted content</w:t>
            </w:r>
          </w:p>
        </w:tc>
        <w:tc>
          <w:tcPr>
            <w:tcW w:w="685" w:type="pct"/>
            <w:shd w:val="clear" w:color="auto" w:fill="F2F2F2" w:themeFill="background1" w:themeFillShade="F2"/>
          </w:tcPr>
          <w:p w14:paraId="62B24C99" w14:textId="6C67E4CD" w:rsidR="002F0974" w:rsidRPr="00B65809" w:rsidRDefault="00F1709A" w:rsidP="008444AE">
            <w:pPr>
              <w:pStyle w:val="TableText0"/>
              <w:keepNext w:val="0"/>
              <w:keepLines w:val="0"/>
              <w:jc w:val="center"/>
              <w:rPr>
                <w:rFonts w:eastAsia="Calibri"/>
                <w:szCs w:val="20"/>
              </w:rPr>
            </w:pPr>
            <w:r w:rsidRPr="00B65809">
              <w:t>1.291</w:t>
            </w:r>
          </w:p>
        </w:tc>
        <w:tc>
          <w:tcPr>
            <w:tcW w:w="615" w:type="pct"/>
            <w:shd w:val="clear" w:color="auto" w:fill="F2F2F2" w:themeFill="background1" w:themeFillShade="F2"/>
          </w:tcPr>
          <w:p w14:paraId="6D3165AB" w14:textId="5C70340F" w:rsidR="002F0974" w:rsidRPr="009C2D27" w:rsidRDefault="002F0974" w:rsidP="008444AE">
            <w:pPr>
              <w:pStyle w:val="TableText0"/>
              <w:keepNext w:val="0"/>
              <w:keepLines w:val="0"/>
              <w:jc w:val="center"/>
              <w:rPr>
                <w:rFonts w:eastAsia="Calibri"/>
                <w:szCs w:val="20"/>
                <w:vertAlign w:val="superscript"/>
              </w:rPr>
            </w:pPr>
            <w:r w:rsidRPr="00B65809">
              <w:t>$</w:t>
            </w:r>
            <w:r w:rsidR="005822E1" w:rsidRPr="005822E1">
              <w:rPr>
                <w:sz w:val="2"/>
                <w:highlight w:val="black"/>
              </w:rPr>
              <w:t>redacted content</w:t>
            </w:r>
            <w:r w:rsidR="009C2D27">
              <w:rPr>
                <w:vertAlign w:val="superscript"/>
              </w:rPr>
              <w:t>3</w:t>
            </w:r>
          </w:p>
        </w:tc>
        <w:tc>
          <w:tcPr>
            <w:tcW w:w="580" w:type="pct"/>
            <w:shd w:val="clear" w:color="auto" w:fill="F2F2F2" w:themeFill="background1" w:themeFillShade="F2"/>
          </w:tcPr>
          <w:p w14:paraId="1B163407" w14:textId="654AE018" w:rsidR="002F0974" w:rsidRPr="00B65809" w:rsidRDefault="002F0974" w:rsidP="008444AE">
            <w:pPr>
              <w:pStyle w:val="TableText0"/>
              <w:keepNext w:val="0"/>
              <w:keepLines w:val="0"/>
              <w:jc w:val="center"/>
              <w:rPr>
                <w:rFonts w:eastAsia="Calibri"/>
                <w:szCs w:val="20"/>
              </w:rPr>
            </w:pPr>
            <w:r w:rsidRPr="00B65809">
              <w:t>+</w:t>
            </w:r>
            <w:r w:rsidR="005822E1" w:rsidRPr="005822E1">
              <w:rPr>
                <w:sz w:val="2"/>
                <w:highlight w:val="black"/>
              </w:rPr>
              <w:t>redacted content</w:t>
            </w:r>
            <w:r w:rsidRPr="00B65809">
              <w:t>%</w:t>
            </w:r>
          </w:p>
        </w:tc>
      </w:tr>
      <w:tr w:rsidR="002F0974" w:rsidRPr="0098262F" w14:paraId="48B8A97C" w14:textId="77777777">
        <w:trPr>
          <w:trHeight w:val="283"/>
        </w:trPr>
        <w:tc>
          <w:tcPr>
            <w:tcW w:w="2434" w:type="pct"/>
            <w:shd w:val="clear" w:color="auto" w:fill="F2F2F2" w:themeFill="background1" w:themeFillShade="F2"/>
          </w:tcPr>
          <w:p w14:paraId="72C5F2CA" w14:textId="1D3268FF" w:rsidR="002F0974" w:rsidRPr="00B65809" w:rsidRDefault="002F0974" w:rsidP="008444AE">
            <w:pPr>
              <w:pStyle w:val="TableText0"/>
              <w:keepNext w:val="0"/>
              <w:keepLines w:val="0"/>
            </w:pPr>
            <w:r w:rsidRPr="00B65809">
              <w:t>(D) = (C) + HR = 1.176 (upper 95% CI</w:t>
            </w:r>
            <w:r w:rsidR="00F81650" w:rsidRPr="00B65809">
              <w:t xml:space="preserve"> 0.85</w:t>
            </w:r>
            <w:r w:rsidRPr="00B65809">
              <w:t>, weighted bootstrap)</w:t>
            </w:r>
          </w:p>
        </w:tc>
        <w:tc>
          <w:tcPr>
            <w:tcW w:w="686" w:type="pct"/>
            <w:shd w:val="clear" w:color="auto" w:fill="F2F2F2" w:themeFill="background1" w:themeFillShade="F2"/>
          </w:tcPr>
          <w:p w14:paraId="2F002AF1" w14:textId="52FD496B" w:rsidR="002F0974" w:rsidRPr="00B65809" w:rsidRDefault="002F0974" w:rsidP="008444AE">
            <w:pPr>
              <w:pStyle w:val="TableText0"/>
              <w:keepNext w:val="0"/>
              <w:keepLines w:val="0"/>
              <w:jc w:val="center"/>
              <w:rPr>
                <w:rFonts w:eastAsia="Calibri"/>
                <w:szCs w:val="20"/>
              </w:rPr>
            </w:pPr>
            <w:r w:rsidRPr="00B65809">
              <w:t>$</w:t>
            </w:r>
            <w:r w:rsidR="005822E1" w:rsidRPr="005822E1">
              <w:rPr>
                <w:sz w:val="2"/>
                <w:highlight w:val="black"/>
              </w:rPr>
              <w:t>redacted content</w:t>
            </w:r>
          </w:p>
        </w:tc>
        <w:tc>
          <w:tcPr>
            <w:tcW w:w="685" w:type="pct"/>
            <w:shd w:val="clear" w:color="auto" w:fill="F2F2F2" w:themeFill="background1" w:themeFillShade="F2"/>
          </w:tcPr>
          <w:p w14:paraId="347C2742" w14:textId="7A52A086" w:rsidR="002F0974" w:rsidRPr="00B65809" w:rsidRDefault="002F0974" w:rsidP="008444AE">
            <w:pPr>
              <w:pStyle w:val="TableText0"/>
              <w:keepNext w:val="0"/>
              <w:keepLines w:val="0"/>
              <w:jc w:val="center"/>
              <w:rPr>
                <w:rFonts w:eastAsia="Calibri"/>
                <w:szCs w:val="20"/>
              </w:rPr>
            </w:pPr>
            <w:r w:rsidRPr="00B65809">
              <w:t>0.</w:t>
            </w:r>
            <w:r w:rsidR="00267531" w:rsidRPr="00B65809">
              <w:t>543</w:t>
            </w:r>
          </w:p>
        </w:tc>
        <w:tc>
          <w:tcPr>
            <w:tcW w:w="615" w:type="pct"/>
            <w:shd w:val="clear" w:color="auto" w:fill="F2F2F2" w:themeFill="background1" w:themeFillShade="F2"/>
          </w:tcPr>
          <w:p w14:paraId="19FAE24D" w14:textId="5E5712E1" w:rsidR="002F0974" w:rsidRPr="00104CBE" w:rsidRDefault="002F0974" w:rsidP="008444AE">
            <w:pPr>
              <w:pStyle w:val="TableText0"/>
              <w:keepNext w:val="0"/>
              <w:keepLines w:val="0"/>
              <w:jc w:val="center"/>
              <w:rPr>
                <w:rFonts w:eastAsia="Calibri"/>
                <w:szCs w:val="20"/>
                <w:vertAlign w:val="superscript"/>
              </w:rPr>
            </w:pPr>
            <w:r w:rsidRPr="00B65809">
              <w:t>$</w:t>
            </w:r>
            <w:r w:rsidR="005822E1" w:rsidRPr="005822E1">
              <w:rPr>
                <w:sz w:val="2"/>
                <w:highlight w:val="black"/>
              </w:rPr>
              <w:t>redacted content</w:t>
            </w:r>
            <w:r w:rsidR="00104CBE">
              <w:rPr>
                <w:vertAlign w:val="superscript"/>
              </w:rPr>
              <w:t>2</w:t>
            </w:r>
          </w:p>
        </w:tc>
        <w:tc>
          <w:tcPr>
            <w:tcW w:w="580" w:type="pct"/>
            <w:shd w:val="clear" w:color="auto" w:fill="F2F2F2" w:themeFill="background1" w:themeFillShade="F2"/>
          </w:tcPr>
          <w:p w14:paraId="48C856D9" w14:textId="31AFFB19" w:rsidR="002F0974" w:rsidRPr="00B65809" w:rsidRDefault="002F0974" w:rsidP="008444AE">
            <w:pPr>
              <w:pStyle w:val="TableText0"/>
              <w:keepNext w:val="0"/>
              <w:keepLines w:val="0"/>
              <w:jc w:val="center"/>
              <w:rPr>
                <w:rFonts w:eastAsia="Calibri"/>
                <w:szCs w:val="20"/>
              </w:rPr>
            </w:pPr>
            <w:r w:rsidRPr="00B65809">
              <w:t>+</w:t>
            </w:r>
            <w:r w:rsidR="005822E1" w:rsidRPr="005822E1">
              <w:rPr>
                <w:sz w:val="2"/>
                <w:highlight w:val="black"/>
              </w:rPr>
              <w:t>redacted content</w:t>
            </w:r>
            <w:r w:rsidRPr="00B65809">
              <w:t>%</w:t>
            </w:r>
          </w:p>
        </w:tc>
      </w:tr>
      <w:tr w:rsidR="00A55EAC" w:rsidRPr="0098262F" w14:paraId="0E05378E" w14:textId="77777777">
        <w:trPr>
          <w:trHeight w:val="283"/>
        </w:trPr>
        <w:tc>
          <w:tcPr>
            <w:tcW w:w="2434" w:type="pct"/>
            <w:shd w:val="clear" w:color="auto" w:fill="F2F2F2" w:themeFill="background1" w:themeFillShade="F2"/>
          </w:tcPr>
          <w:p w14:paraId="6CB1B90D" w14:textId="14466256" w:rsidR="00A55EAC" w:rsidRPr="00B65809" w:rsidRDefault="00A55EAC" w:rsidP="008444AE">
            <w:pPr>
              <w:pStyle w:val="TableText0"/>
              <w:keepNext w:val="0"/>
              <w:keepLines w:val="0"/>
            </w:pPr>
            <w:r w:rsidRPr="00B65809">
              <w:t>(E) = (C) + HR = 1.136 (upper 95% CI 0.88, weighted standard)</w:t>
            </w:r>
          </w:p>
        </w:tc>
        <w:tc>
          <w:tcPr>
            <w:tcW w:w="686" w:type="pct"/>
            <w:shd w:val="clear" w:color="auto" w:fill="F2F2F2" w:themeFill="background1" w:themeFillShade="F2"/>
          </w:tcPr>
          <w:p w14:paraId="79151C28" w14:textId="1779C5FE" w:rsidR="00A55EAC" w:rsidRPr="00B65809" w:rsidRDefault="00A55EAC" w:rsidP="008444AE">
            <w:pPr>
              <w:pStyle w:val="TableText0"/>
              <w:keepNext w:val="0"/>
              <w:keepLines w:val="0"/>
              <w:jc w:val="center"/>
            </w:pPr>
            <w:r w:rsidRPr="00B65809">
              <w:t>$</w:t>
            </w:r>
            <w:r w:rsidR="005822E1" w:rsidRPr="005822E1">
              <w:rPr>
                <w:sz w:val="2"/>
                <w:highlight w:val="black"/>
              </w:rPr>
              <w:t>redacted content</w:t>
            </w:r>
          </w:p>
        </w:tc>
        <w:tc>
          <w:tcPr>
            <w:tcW w:w="685" w:type="pct"/>
            <w:shd w:val="clear" w:color="auto" w:fill="F2F2F2" w:themeFill="background1" w:themeFillShade="F2"/>
          </w:tcPr>
          <w:p w14:paraId="39E63539" w14:textId="436565B3" w:rsidR="00A55EAC" w:rsidRPr="00B65809" w:rsidRDefault="00A55EAC" w:rsidP="008444AE">
            <w:pPr>
              <w:pStyle w:val="TableText0"/>
              <w:keepNext w:val="0"/>
              <w:keepLines w:val="0"/>
              <w:jc w:val="center"/>
            </w:pPr>
            <w:r w:rsidRPr="00B65809">
              <w:t>0.431</w:t>
            </w:r>
          </w:p>
        </w:tc>
        <w:tc>
          <w:tcPr>
            <w:tcW w:w="615" w:type="pct"/>
            <w:shd w:val="clear" w:color="auto" w:fill="F2F2F2" w:themeFill="background1" w:themeFillShade="F2"/>
          </w:tcPr>
          <w:p w14:paraId="4F94ADF0" w14:textId="56AFEEE0" w:rsidR="00A55EAC" w:rsidRPr="005B03BD" w:rsidRDefault="00A55EAC" w:rsidP="008444AE">
            <w:pPr>
              <w:pStyle w:val="TableText0"/>
              <w:keepNext w:val="0"/>
              <w:keepLines w:val="0"/>
              <w:jc w:val="center"/>
              <w:rPr>
                <w:vertAlign w:val="superscript"/>
              </w:rPr>
            </w:pPr>
            <w:r w:rsidRPr="00B65809">
              <w:t>$</w:t>
            </w:r>
            <w:r w:rsidR="005822E1" w:rsidRPr="005822E1">
              <w:rPr>
                <w:sz w:val="2"/>
                <w:highlight w:val="black"/>
              </w:rPr>
              <w:t>redacted content</w:t>
            </w:r>
            <w:r w:rsidR="005B03BD">
              <w:rPr>
                <w:vertAlign w:val="superscript"/>
              </w:rPr>
              <w:t>4</w:t>
            </w:r>
          </w:p>
        </w:tc>
        <w:tc>
          <w:tcPr>
            <w:tcW w:w="580" w:type="pct"/>
            <w:shd w:val="clear" w:color="auto" w:fill="F2F2F2" w:themeFill="background1" w:themeFillShade="F2"/>
          </w:tcPr>
          <w:p w14:paraId="15E1AF0D" w14:textId="66F04704" w:rsidR="00A55EAC" w:rsidRPr="00B65809" w:rsidRDefault="00A55EAC" w:rsidP="008444AE">
            <w:pPr>
              <w:pStyle w:val="TableText0"/>
              <w:keepNext w:val="0"/>
              <w:keepLines w:val="0"/>
              <w:jc w:val="center"/>
            </w:pPr>
            <w:r w:rsidRPr="00B65809">
              <w:t>+</w:t>
            </w:r>
            <w:r w:rsidR="005822E1" w:rsidRPr="005822E1">
              <w:rPr>
                <w:sz w:val="2"/>
                <w:highlight w:val="black"/>
              </w:rPr>
              <w:t>redacted content</w:t>
            </w:r>
            <w:r w:rsidRPr="00B65809">
              <w:t>%</w:t>
            </w:r>
          </w:p>
        </w:tc>
      </w:tr>
      <w:tr w:rsidR="00AB48B3" w:rsidRPr="0098262F" w14:paraId="25A7C05B" w14:textId="77777777">
        <w:trPr>
          <w:trHeight w:val="283"/>
        </w:trPr>
        <w:tc>
          <w:tcPr>
            <w:tcW w:w="2434" w:type="pct"/>
            <w:shd w:val="clear" w:color="auto" w:fill="F2F2F2" w:themeFill="background1" w:themeFillShade="F2"/>
          </w:tcPr>
          <w:p w14:paraId="464AA55A" w14:textId="29B468B2" w:rsidR="00AB48B3" w:rsidRPr="00A104A1" w:rsidRDefault="00AB48B3" w:rsidP="008444AE">
            <w:pPr>
              <w:pStyle w:val="TableText0"/>
              <w:keepNext w:val="0"/>
              <w:keepLines w:val="0"/>
            </w:pPr>
            <w:r w:rsidRPr="00A104A1">
              <w:t>(F) = (B) + Time horizon of 15 years</w:t>
            </w:r>
          </w:p>
        </w:tc>
        <w:tc>
          <w:tcPr>
            <w:tcW w:w="686" w:type="pct"/>
            <w:shd w:val="clear" w:color="auto" w:fill="F2F2F2" w:themeFill="background1" w:themeFillShade="F2"/>
          </w:tcPr>
          <w:p w14:paraId="38B649EF" w14:textId="224FC4AE" w:rsidR="00AB48B3" w:rsidRPr="00A104A1" w:rsidRDefault="006133CC" w:rsidP="008444AE">
            <w:pPr>
              <w:pStyle w:val="TableText0"/>
              <w:keepNext w:val="0"/>
              <w:keepLines w:val="0"/>
              <w:jc w:val="center"/>
            </w:pPr>
            <w:r w:rsidRPr="00A104A1">
              <w:t>$</w:t>
            </w:r>
            <w:r w:rsidR="005822E1" w:rsidRPr="005822E1">
              <w:rPr>
                <w:sz w:val="2"/>
                <w:highlight w:val="black"/>
              </w:rPr>
              <w:t>redacted content</w:t>
            </w:r>
          </w:p>
        </w:tc>
        <w:tc>
          <w:tcPr>
            <w:tcW w:w="685" w:type="pct"/>
            <w:shd w:val="clear" w:color="auto" w:fill="F2F2F2" w:themeFill="background1" w:themeFillShade="F2"/>
          </w:tcPr>
          <w:p w14:paraId="443F204E" w14:textId="1D5E0DDE" w:rsidR="00AB48B3" w:rsidRPr="00A104A1" w:rsidRDefault="00DE0F41" w:rsidP="008444AE">
            <w:pPr>
              <w:pStyle w:val="TableText0"/>
              <w:keepNext w:val="0"/>
              <w:keepLines w:val="0"/>
              <w:jc w:val="center"/>
            </w:pPr>
            <w:r w:rsidRPr="00A104A1">
              <w:t>1.105</w:t>
            </w:r>
          </w:p>
        </w:tc>
        <w:tc>
          <w:tcPr>
            <w:tcW w:w="615" w:type="pct"/>
            <w:shd w:val="clear" w:color="auto" w:fill="F2F2F2" w:themeFill="background1" w:themeFillShade="F2"/>
          </w:tcPr>
          <w:p w14:paraId="44C718F1" w14:textId="4F3FE6B2" w:rsidR="00AB48B3" w:rsidRPr="009C2D27" w:rsidRDefault="00B53C91" w:rsidP="008444AE">
            <w:pPr>
              <w:pStyle w:val="TableText0"/>
              <w:keepNext w:val="0"/>
              <w:keepLines w:val="0"/>
              <w:jc w:val="center"/>
              <w:rPr>
                <w:vertAlign w:val="superscript"/>
              </w:rPr>
            </w:pPr>
            <w:r w:rsidRPr="00A104A1">
              <w:t>$</w:t>
            </w:r>
            <w:r w:rsidR="005822E1" w:rsidRPr="005822E1">
              <w:rPr>
                <w:sz w:val="2"/>
                <w:highlight w:val="black"/>
              </w:rPr>
              <w:t>redacted content</w:t>
            </w:r>
            <w:r w:rsidR="009C2D27">
              <w:rPr>
                <w:vertAlign w:val="superscript"/>
              </w:rPr>
              <w:t>3</w:t>
            </w:r>
          </w:p>
        </w:tc>
        <w:tc>
          <w:tcPr>
            <w:tcW w:w="580" w:type="pct"/>
            <w:shd w:val="clear" w:color="auto" w:fill="F2F2F2" w:themeFill="background1" w:themeFillShade="F2"/>
          </w:tcPr>
          <w:p w14:paraId="2514AFC4" w14:textId="589B308A" w:rsidR="00AB48B3" w:rsidRPr="00A104A1" w:rsidRDefault="0019561F" w:rsidP="008444AE">
            <w:pPr>
              <w:pStyle w:val="TableText0"/>
              <w:keepNext w:val="0"/>
              <w:keepLines w:val="0"/>
              <w:jc w:val="center"/>
            </w:pPr>
            <w:r w:rsidRPr="00A104A1">
              <w:t>+</w:t>
            </w:r>
            <w:r w:rsidR="005822E1" w:rsidRPr="005822E1">
              <w:rPr>
                <w:sz w:val="2"/>
                <w:highlight w:val="black"/>
              </w:rPr>
              <w:t>redacted content</w:t>
            </w:r>
            <w:r w:rsidR="00943C37" w:rsidRPr="00A104A1">
              <w:t>%</w:t>
            </w:r>
          </w:p>
        </w:tc>
      </w:tr>
      <w:tr w:rsidR="00AB48B3" w:rsidRPr="0098262F" w14:paraId="5B5873B6" w14:textId="77777777">
        <w:trPr>
          <w:trHeight w:val="283"/>
        </w:trPr>
        <w:tc>
          <w:tcPr>
            <w:tcW w:w="2434" w:type="pct"/>
            <w:shd w:val="clear" w:color="auto" w:fill="F2F2F2" w:themeFill="background1" w:themeFillShade="F2"/>
          </w:tcPr>
          <w:p w14:paraId="0D08D072" w14:textId="714B8C36" w:rsidR="00AB48B3" w:rsidRPr="00A104A1" w:rsidRDefault="00AB48B3" w:rsidP="008444AE">
            <w:pPr>
              <w:pStyle w:val="TableText0"/>
              <w:keepNext w:val="0"/>
              <w:keepLines w:val="0"/>
            </w:pPr>
            <w:r w:rsidRPr="00A104A1">
              <w:t xml:space="preserve">(G) = (F) </w:t>
            </w:r>
            <w:r w:rsidR="00AF08A8" w:rsidRPr="00A104A1">
              <w:t xml:space="preserve">+ </w:t>
            </w:r>
            <w:r w:rsidR="00BD3B12" w:rsidRPr="00A104A1">
              <w:t>Utility values for PF 0.763</w:t>
            </w:r>
            <w:r w:rsidR="00B46F90" w:rsidRPr="00A104A1">
              <w:t>**</w:t>
            </w:r>
            <w:r w:rsidR="00BD3B12" w:rsidRPr="00A104A1">
              <w:t>; PD 0.706</w:t>
            </w:r>
          </w:p>
        </w:tc>
        <w:tc>
          <w:tcPr>
            <w:tcW w:w="686" w:type="pct"/>
            <w:shd w:val="clear" w:color="auto" w:fill="F2F2F2" w:themeFill="background1" w:themeFillShade="F2"/>
          </w:tcPr>
          <w:p w14:paraId="26314F87" w14:textId="66FA62E0" w:rsidR="00AB48B3" w:rsidRPr="00A104A1" w:rsidRDefault="00624149" w:rsidP="008444AE">
            <w:pPr>
              <w:pStyle w:val="TableText0"/>
              <w:keepNext w:val="0"/>
              <w:keepLines w:val="0"/>
              <w:jc w:val="center"/>
            </w:pPr>
            <w:r w:rsidRPr="00A104A1">
              <w:t>$</w:t>
            </w:r>
            <w:r w:rsidR="005822E1" w:rsidRPr="005822E1">
              <w:rPr>
                <w:sz w:val="2"/>
                <w:highlight w:val="black"/>
              </w:rPr>
              <w:t>redacted content</w:t>
            </w:r>
          </w:p>
        </w:tc>
        <w:tc>
          <w:tcPr>
            <w:tcW w:w="685" w:type="pct"/>
            <w:shd w:val="clear" w:color="auto" w:fill="F2F2F2" w:themeFill="background1" w:themeFillShade="F2"/>
          </w:tcPr>
          <w:p w14:paraId="4CC4A4AA" w14:textId="3773A2CC" w:rsidR="00AB48B3" w:rsidRPr="00A104A1" w:rsidRDefault="00D1212D" w:rsidP="008444AE">
            <w:pPr>
              <w:pStyle w:val="TableText0"/>
              <w:keepNext w:val="0"/>
              <w:keepLines w:val="0"/>
              <w:jc w:val="center"/>
            </w:pPr>
            <w:r w:rsidRPr="00A104A1">
              <w:rPr>
                <w:rFonts w:eastAsia="Calibri"/>
                <w:szCs w:val="20"/>
              </w:rPr>
              <w:t>1.122</w:t>
            </w:r>
          </w:p>
        </w:tc>
        <w:tc>
          <w:tcPr>
            <w:tcW w:w="615" w:type="pct"/>
            <w:shd w:val="clear" w:color="auto" w:fill="F2F2F2" w:themeFill="background1" w:themeFillShade="F2"/>
          </w:tcPr>
          <w:p w14:paraId="2EEDF78F" w14:textId="32D034A0" w:rsidR="00AB48B3" w:rsidRPr="009C2D27" w:rsidRDefault="005E1EA7" w:rsidP="008444AE">
            <w:pPr>
              <w:pStyle w:val="TableText0"/>
              <w:keepNext w:val="0"/>
              <w:keepLines w:val="0"/>
              <w:jc w:val="center"/>
              <w:rPr>
                <w:vertAlign w:val="superscript"/>
              </w:rPr>
            </w:pPr>
            <w:r w:rsidRPr="00A104A1">
              <w:rPr>
                <w:rFonts w:eastAsia="Calibri"/>
                <w:szCs w:val="20"/>
              </w:rPr>
              <w:t>$</w:t>
            </w:r>
            <w:r w:rsidR="005822E1" w:rsidRPr="005822E1">
              <w:rPr>
                <w:rFonts w:eastAsia="Calibri"/>
                <w:sz w:val="2"/>
                <w:szCs w:val="20"/>
                <w:highlight w:val="black"/>
              </w:rPr>
              <w:t>redacted content</w:t>
            </w:r>
            <w:r w:rsidR="009C2D27">
              <w:rPr>
                <w:rFonts w:eastAsia="Calibri"/>
                <w:szCs w:val="20"/>
                <w:vertAlign w:val="superscript"/>
              </w:rPr>
              <w:t>3</w:t>
            </w:r>
          </w:p>
        </w:tc>
        <w:tc>
          <w:tcPr>
            <w:tcW w:w="580" w:type="pct"/>
            <w:shd w:val="clear" w:color="auto" w:fill="F2F2F2" w:themeFill="background1" w:themeFillShade="F2"/>
          </w:tcPr>
          <w:p w14:paraId="7A3EEEB4" w14:textId="56BE7088" w:rsidR="00AB48B3" w:rsidRPr="00A104A1" w:rsidRDefault="00FA6C5A" w:rsidP="008444AE">
            <w:pPr>
              <w:pStyle w:val="TableText0"/>
              <w:keepNext w:val="0"/>
              <w:keepLines w:val="0"/>
              <w:jc w:val="center"/>
            </w:pPr>
            <w:r w:rsidRPr="00A104A1">
              <w:t>+</w:t>
            </w:r>
            <w:r w:rsidR="005822E1" w:rsidRPr="005822E1">
              <w:rPr>
                <w:sz w:val="2"/>
                <w:highlight w:val="black"/>
              </w:rPr>
              <w:t>redacted content</w:t>
            </w:r>
            <w:r w:rsidR="001618B4" w:rsidRPr="00A104A1">
              <w:t>%</w:t>
            </w:r>
          </w:p>
        </w:tc>
      </w:tr>
      <w:tr w:rsidR="00715E23" w:rsidRPr="0098262F" w14:paraId="13EF9B9E" w14:textId="77777777">
        <w:trPr>
          <w:trHeight w:val="283"/>
        </w:trPr>
        <w:tc>
          <w:tcPr>
            <w:tcW w:w="2434" w:type="pct"/>
            <w:shd w:val="clear" w:color="auto" w:fill="F2F2F2" w:themeFill="background1" w:themeFillShade="F2"/>
          </w:tcPr>
          <w:p w14:paraId="4D4F40A2" w14:textId="2DBCF843" w:rsidR="00715E23" w:rsidRPr="00A104A1" w:rsidRDefault="00D0147E" w:rsidP="008444AE">
            <w:pPr>
              <w:pStyle w:val="TableText0"/>
              <w:keepNext w:val="0"/>
              <w:keepLines w:val="0"/>
            </w:pPr>
            <w:r w:rsidRPr="00A104A1">
              <w:t>(</w:t>
            </w:r>
            <w:r w:rsidR="00D40BCF" w:rsidRPr="00A104A1">
              <w:t>H</w:t>
            </w:r>
            <w:r w:rsidRPr="00A104A1">
              <w:t>) = (</w:t>
            </w:r>
            <w:r w:rsidR="00D40BCF" w:rsidRPr="00A104A1">
              <w:t>G</w:t>
            </w:r>
            <w:r w:rsidRPr="00A104A1">
              <w:t>) + No half-cycle corrections to costs</w:t>
            </w:r>
          </w:p>
        </w:tc>
        <w:tc>
          <w:tcPr>
            <w:tcW w:w="686" w:type="pct"/>
            <w:shd w:val="clear" w:color="auto" w:fill="F2F2F2" w:themeFill="background1" w:themeFillShade="F2"/>
          </w:tcPr>
          <w:p w14:paraId="746F6987" w14:textId="29B05B18" w:rsidR="00715E23" w:rsidRPr="00A104A1" w:rsidRDefault="00C54320" w:rsidP="008444AE">
            <w:pPr>
              <w:pStyle w:val="TableText0"/>
              <w:keepNext w:val="0"/>
              <w:keepLines w:val="0"/>
              <w:jc w:val="center"/>
            </w:pPr>
            <w:r w:rsidRPr="00A104A1">
              <w:t>$</w:t>
            </w:r>
            <w:r w:rsidR="005822E1" w:rsidRPr="005822E1">
              <w:rPr>
                <w:sz w:val="2"/>
                <w:highlight w:val="black"/>
              </w:rPr>
              <w:t>redacted content</w:t>
            </w:r>
          </w:p>
        </w:tc>
        <w:tc>
          <w:tcPr>
            <w:tcW w:w="685" w:type="pct"/>
            <w:shd w:val="clear" w:color="auto" w:fill="F2F2F2" w:themeFill="background1" w:themeFillShade="F2"/>
          </w:tcPr>
          <w:p w14:paraId="713068B6" w14:textId="6C70C734" w:rsidR="00715E23" w:rsidRPr="00A104A1" w:rsidRDefault="003B0E47" w:rsidP="008444AE">
            <w:pPr>
              <w:pStyle w:val="TableText0"/>
              <w:keepNext w:val="0"/>
              <w:keepLines w:val="0"/>
              <w:jc w:val="center"/>
              <w:rPr>
                <w:rFonts w:eastAsia="Calibri"/>
                <w:szCs w:val="20"/>
              </w:rPr>
            </w:pPr>
            <w:r w:rsidRPr="00A104A1">
              <w:rPr>
                <w:rFonts w:eastAsia="Calibri"/>
                <w:szCs w:val="20"/>
              </w:rPr>
              <w:t>1.122</w:t>
            </w:r>
          </w:p>
        </w:tc>
        <w:tc>
          <w:tcPr>
            <w:tcW w:w="615" w:type="pct"/>
            <w:shd w:val="clear" w:color="auto" w:fill="F2F2F2" w:themeFill="background1" w:themeFillShade="F2"/>
          </w:tcPr>
          <w:p w14:paraId="692DF3F1" w14:textId="327AB5F8" w:rsidR="00715E23" w:rsidRPr="008375FC" w:rsidRDefault="00487C28" w:rsidP="008444AE">
            <w:pPr>
              <w:pStyle w:val="TableText0"/>
              <w:keepNext w:val="0"/>
              <w:keepLines w:val="0"/>
              <w:jc w:val="center"/>
              <w:rPr>
                <w:rFonts w:eastAsia="Calibri"/>
                <w:szCs w:val="20"/>
                <w:vertAlign w:val="superscript"/>
              </w:rPr>
            </w:pPr>
            <w:r w:rsidRPr="00A104A1">
              <w:rPr>
                <w:rFonts w:eastAsia="Calibri"/>
                <w:szCs w:val="20"/>
              </w:rPr>
              <w:t>$</w:t>
            </w:r>
            <w:r w:rsidR="005822E1" w:rsidRPr="005822E1">
              <w:rPr>
                <w:rFonts w:eastAsia="Calibri"/>
                <w:sz w:val="2"/>
                <w:szCs w:val="20"/>
                <w:highlight w:val="black"/>
              </w:rPr>
              <w:t>redacted content</w:t>
            </w:r>
            <w:r w:rsidR="008375FC">
              <w:rPr>
                <w:rFonts w:eastAsia="Calibri"/>
                <w:szCs w:val="20"/>
                <w:vertAlign w:val="superscript"/>
              </w:rPr>
              <w:t>1</w:t>
            </w:r>
          </w:p>
        </w:tc>
        <w:tc>
          <w:tcPr>
            <w:tcW w:w="580" w:type="pct"/>
            <w:shd w:val="clear" w:color="auto" w:fill="F2F2F2" w:themeFill="background1" w:themeFillShade="F2"/>
          </w:tcPr>
          <w:p w14:paraId="22F45F10" w14:textId="2E0BD365" w:rsidR="00715E23" w:rsidRPr="00A104A1" w:rsidRDefault="00BB4998" w:rsidP="008444AE">
            <w:pPr>
              <w:pStyle w:val="TableText0"/>
              <w:keepNext w:val="0"/>
              <w:keepLines w:val="0"/>
              <w:jc w:val="center"/>
            </w:pPr>
            <w:r w:rsidRPr="00A104A1">
              <w:t>+</w:t>
            </w:r>
            <w:r w:rsidR="005822E1" w:rsidRPr="005822E1">
              <w:rPr>
                <w:sz w:val="2"/>
                <w:highlight w:val="black"/>
              </w:rPr>
              <w:t>redacted content</w:t>
            </w:r>
            <w:r w:rsidR="00DF4D53" w:rsidRPr="00A104A1">
              <w:t>%</w:t>
            </w:r>
          </w:p>
        </w:tc>
      </w:tr>
      <w:tr w:rsidR="00715E23" w:rsidRPr="0098262F" w14:paraId="2ADC5D0B" w14:textId="77777777">
        <w:trPr>
          <w:trHeight w:val="283"/>
        </w:trPr>
        <w:tc>
          <w:tcPr>
            <w:tcW w:w="2434" w:type="pct"/>
            <w:shd w:val="clear" w:color="auto" w:fill="F2F2F2" w:themeFill="background1" w:themeFillShade="F2"/>
          </w:tcPr>
          <w:p w14:paraId="77E2F09B" w14:textId="2C3CD95D" w:rsidR="00715E23" w:rsidRPr="00A104A1" w:rsidRDefault="00516F44" w:rsidP="008444AE">
            <w:pPr>
              <w:pStyle w:val="TableText0"/>
              <w:keepNext w:val="0"/>
              <w:keepLines w:val="0"/>
            </w:pPr>
            <w:r w:rsidRPr="00A104A1">
              <w:t>(</w:t>
            </w:r>
            <w:r w:rsidR="00D40BCF" w:rsidRPr="00A104A1">
              <w:t>I</w:t>
            </w:r>
            <w:r w:rsidRPr="00A104A1">
              <w:t>) = (</w:t>
            </w:r>
            <w:r w:rsidR="00D40BCF" w:rsidRPr="00A104A1">
              <w:t>H</w:t>
            </w:r>
            <w:r w:rsidRPr="00A104A1">
              <w:t>) + Exclude terminal care costs</w:t>
            </w:r>
          </w:p>
        </w:tc>
        <w:tc>
          <w:tcPr>
            <w:tcW w:w="686" w:type="pct"/>
            <w:shd w:val="clear" w:color="auto" w:fill="F2F2F2" w:themeFill="background1" w:themeFillShade="F2"/>
          </w:tcPr>
          <w:p w14:paraId="5835681D" w14:textId="675F5122" w:rsidR="00715E23" w:rsidRPr="00A104A1" w:rsidRDefault="003B0E47" w:rsidP="008444AE">
            <w:pPr>
              <w:pStyle w:val="TableText0"/>
              <w:keepNext w:val="0"/>
              <w:keepLines w:val="0"/>
              <w:jc w:val="center"/>
            </w:pPr>
            <w:r w:rsidRPr="00A104A1">
              <w:t>$</w:t>
            </w:r>
            <w:r w:rsidR="005822E1" w:rsidRPr="005822E1">
              <w:rPr>
                <w:sz w:val="2"/>
                <w:highlight w:val="black"/>
              </w:rPr>
              <w:t>redacted content</w:t>
            </w:r>
          </w:p>
        </w:tc>
        <w:tc>
          <w:tcPr>
            <w:tcW w:w="685" w:type="pct"/>
            <w:shd w:val="clear" w:color="auto" w:fill="F2F2F2" w:themeFill="background1" w:themeFillShade="F2"/>
          </w:tcPr>
          <w:p w14:paraId="13E7F97A" w14:textId="36AFC184" w:rsidR="00715E23" w:rsidRPr="00A104A1" w:rsidRDefault="003B0E47" w:rsidP="008444AE">
            <w:pPr>
              <w:pStyle w:val="TableText0"/>
              <w:keepNext w:val="0"/>
              <w:keepLines w:val="0"/>
              <w:jc w:val="center"/>
              <w:rPr>
                <w:rFonts w:eastAsia="Calibri"/>
                <w:szCs w:val="20"/>
              </w:rPr>
            </w:pPr>
            <w:r w:rsidRPr="00A104A1">
              <w:rPr>
                <w:rFonts w:eastAsia="Calibri"/>
                <w:szCs w:val="20"/>
              </w:rPr>
              <w:t>1.122</w:t>
            </w:r>
          </w:p>
        </w:tc>
        <w:tc>
          <w:tcPr>
            <w:tcW w:w="615" w:type="pct"/>
            <w:shd w:val="clear" w:color="auto" w:fill="F2F2F2" w:themeFill="background1" w:themeFillShade="F2"/>
          </w:tcPr>
          <w:p w14:paraId="455A8819" w14:textId="14A11006" w:rsidR="00715E23" w:rsidRPr="008375FC" w:rsidRDefault="00D40BCF" w:rsidP="008444AE">
            <w:pPr>
              <w:pStyle w:val="TableText0"/>
              <w:keepNext w:val="0"/>
              <w:keepLines w:val="0"/>
              <w:jc w:val="center"/>
              <w:rPr>
                <w:rFonts w:eastAsia="Calibri"/>
                <w:szCs w:val="20"/>
                <w:vertAlign w:val="superscript"/>
              </w:rPr>
            </w:pPr>
            <w:r w:rsidRPr="008375FC">
              <w:rPr>
                <w:rFonts w:eastAsia="Calibri"/>
                <w:szCs w:val="20"/>
              </w:rPr>
              <w:t>$</w:t>
            </w:r>
            <w:r w:rsidR="005822E1" w:rsidRPr="005822E1">
              <w:rPr>
                <w:rFonts w:eastAsia="Calibri"/>
                <w:sz w:val="2"/>
                <w:szCs w:val="20"/>
                <w:highlight w:val="black"/>
              </w:rPr>
              <w:t>redacted content</w:t>
            </w:r>
            <w:r w:rsidR="008375FC">
              <w:rPr>
                <w:rFonts w:eastAsia="Calibri"/>
                <w:szCs w:val="20"/>
                <w:vertAlign w:val="superscript"/>
              </w:rPr>
              <w:t>1</w:t>
            </w:r>
          </w:p>
        </w:tc>
        <w:tc>
          <w:tcPr>
            <w:tcW w:w="580" w:type="pct"/>
            <w:shd w:val="clear" w:color="auto" w:fill="F2F2F2" w:themeFill="background1" w:themeFillShade="F2"/>
          </w:tcPr>
          <w:p w14:paraId="3D240B90" w14:textId="011D4C2C" w:rsidR="00715E23" w:rsidRPr="00A104A1" w:rsidRDefault="00363828" w:rsidP="008444AE">
            <w:pPr>
              <w:pStyle w:val="TableText0"/>
              <w:keepNext w:val="0"/>
              <w:keepLines w:val="0"/>
              <w:jc w:val="center"/>
            </w:pPr>
            <w:r w:rsidRPr="00A104A1">
              <w:t>+</w:t>
            </w:r>
            <w:r w:rsidR="005822E1" w:rsidRPr="005822E1">
              <w:rPr>
                <w:sz w:val="2"/>
                <w:highlight w:val="black"/>
              </w:rPr>
              <w:t>redacted content</w:t>
            </w:r>
            <w:r w:rsidR="007F7FE1" w:rsidRPr="00A104A1">
              <w:t>%</w:t>
            </w:r>
          </w:p>
        </w:tc>
      </w:tr>
    </w:tbl>
    <w:p w14:paraId="23CF473A" w14:textId="06B8063C" w:rsidR="002F0974" w:rsidRDefault="002F0974" w:rsidP="00D32010">
      <w:pPr>
        <w:pStyle w:val="TableFigureFooter"/>
      </w:pPr>
      <w:r w:rsidRPr="00777AF1">
        <w:t>Source: constructed during the evaluation</w:t>
      </w:r>
      <w:r w:rsidR="00E821A1">
        <w:t xml:space="preserve"> and during the preparation of Sub-Committee advice</w:t>
      </w:r>
      <w:r w:rsidRPr="00777AF1">
        <w:t>.</w:t>
      </w:r>
      <w:r w:rsidRPr="009C341E">
        <w:t xml:space="preserve">HR = hazard ratio; KM = Kaplan-Meier; </w:t>
      </w:r>
      <w:r>
        <w:t xml:space="preserve">LON = loncastuximab tesirine; </w:t>
      </w:r>
      <w:r w:rsidRPr="00146457">
        <w:t>MAIC = matching adjusted</w:t>
      </w:r>
      <w:r w:rsidRPr="00E930CC">
        <w:t xml:space="preserve"> indirect comparison</w:t>
      </w:r>
      <w:r>
        <w:t xml:space="preserve">; LY = </w:t>
      </w:r>
      <w:r w:rsidR="005774E5">
        <w:t>life years</w:t>
      </w:r>
      <w:r>
        <w:t xml:space="preserve">; </w:t>
      </w:r>
      <w:r w:rsidRPr="009C341E">
        <w:t xml:space="preserve">OS = overall survival; PD = progressive disease; </w:t>
      </w:r>
      <w:r>
        <w:t xml:space="preserve">PF = progression free; </w:t>
      </w:r>
      <w:r w:rsidRPr="009C341E">
        <w:t>PFS = progression free survival;</w:t>
      </w:r>
      <w:r>
        <w:t xml:space="preserve"> pts=patients;</w:t>
      </w:r>
      <w:r w:rsidRPr="009C341E">
        <w:t xml:space="preserve"> </w:t>
      </w:r>
      <w:r>
        <w:t xml:space="preserve">R-ICE = rituximab, ifosfamide, carboplatin, etoposide; </w:t>
      </w:r>
      <w:proofErr w:type="spellStart"/>
      <w:r w:rsidRPr="009C341E">
        <w:t>T</w:t>
      </w:r>
      <w:r>
        <w:t>o</w:t>
      </w:r>
      <w:r w:rsidRPr="009C341E">
        <w:t>T</w:t>
      </w:r>
      <w:proofErr w:type="spellEnd"/>
      <w:r w:rsidRPr="009C341E">
        <w:t xml:space="preserve"> = time on treatment.</w:t>
      </w:r>
      <w:r>
        <w:t xml:space="preserve"> </w:t>
      </w:r>
    </w:p>
    <w:p w14:paraId="3F054738" w14:textId="6C0C7F8D" w:rsidR="002F0974" w:rsidRPr="00A104A1" w:rsidRDefault="002F0974" w:rsidP="00F90333">
      <w:pPr>
        <w:pStyle w:val="FooterTableFigure"/>
        <w:ind w:left="165" w:hanging="165"/>
        <w:rPr>
          <w:szCs w:val="18"/>
        </w:rPr>
      </w:pPr>
      <w:r w:rsidRPr="00EE3DA7">
        <w:rPr>
          <w:i/>
          <w:iCs/>
          <w:szCs w:val="18"/>
        </w:rPr>
        <w:t>*</w:t>
      </w:r>
      <w:r>
        <w:rPr>
          <w:i/>
          <w:iCs/>
          <w:szCs w:val="18"/>
        </w:rPr>
        <w:tab/>
      </w:r>
      <w:r w:rsidRPr="00A104A1">
        <w:rPr>
          <w:rFonts w:cs="Calibri"/>
          <w:szCs w:val="18"/>
        </w:rPr>
        <w:t xml:space="preserve">The model structure (partitioned survival analysis) however limited a full exploration of </w:t>
      </w:r>
      <w:r w:rsidRPr="00A104A1">
        <w:rPr>
          <w:rFonts w:cstheme="minorHAnsi"/>
          <w:szCs w:val="18"/>
        </w:rPr>
        <w:t>cure and mortality. The scenario analysed during the evaluation was based on the submitted model with the following amendments:</w:t>
      </w:r>
    </w:p>
    <w:p w14:paraId="488A013D" w14:textId="77777777" w:rsidR="002F0974" w:rsidRPr="00A104A1" w:rsidRDefault="002F0974" w:rsidP="002A3163">
      <w:pPr>
        <w:pStyle w:val="FooterTableFigure"/>
        <w:numPr>
          <w:ilvl w:val="0"/>
          <w:numId w:val="10"/>
        </w:numPr>
        <w:spacing w:after="0"/>
        <w:rPr>
          <w:rFonts w:cstheme="minorHAnsi"/>
          <w:szCs w:val="18"/>
        </w:rPr>
      </w:pPr>
      <w:r w:rsidRPr="00A104A1">
        <w:rPr>
          <w:rFonts w:cstheme="minorHAnsi"/>
          <w:szCs w:val="18"/>
        </w:rPr>
        <w:t>After the cure timepoint, patients in the PF health state can only exit due to background mortality.</w:t>
      </w:r>
    </w:p>
    <w:p w14:paraId="715E6F74" w14:textId="77777777" w:rsidR="002F0974" w:rsidRPr="00A104A1" w:rsidRDefault="002F0974" w:rsidP="002A3163">
      <w:pPr>
        <w:pStyle w:val="FooterTableFigure"/>
        <w:numPr>
          <w:ilvl w:val="0"/>
          <w:numId w:val="10"/>
        </w:numPr>
        <w:spacing w:after="0"/>
        <w:rPr>
          <w:rFonts w:cstheme="minorHAnsi"/>
          <w:szCs w:val="18"/>
        </w:rPr>
      </w:pPr>
      <w:r w:rsidRPr="00A104A1">
        <w:rPr>
          <w:rFonts w:cstheme="minorHAnsi"/>
          <w:szCs w:val="18"/>
        </w:rPr>
        <w:t>No adjustment was made to PD death, and the distance between OS and PFS curves was assumed to remain unchanged from the submitted model. Total deaths in the model were then the sum of deaths from both PF and PD patients.</w:t>
      </w:r>
    </w:p>
    <w:p w14:paraId="4EE69D5E" w14:textId="77777777" w:rsidR="002F0974" w:rsidRPr="00A104A1" w:rsidRDefault="002F0974" w:rsidP="002F0974">
      <w:pPr>
        <w:pStyle w:val="FooterTableFigure"/>
        <w:spacing w:after="0"/>
      </w:pPr>
      <w:r w:rsidRPr="00A104A1">
        <w:t>In this analysis, a minor error in summing QALYs for the comparator arm was also corrected. Cell AQ5 in the ‘</w:t>
      </w:r>
      <w:proofErr w:type="spellStart"/>
      <w:r w:rsidRPr="00A104A1">
        <w:t>Model_Cx</w:t>
      </w:r>
      <w:proofErr w:type="spellEnd"/>
      <w:r w:rsidRPr="00A104A1">
        <w:t>” worksheet should include cell AP5 in calculations.</w:t>
      </w:r>
    </w:p>
    <w:p w14:paraId="5869166E" w14:textId="0697380A" w:rsidR="00F90333" w:rsidRPr="00877D7E" w:rsidRDefault="00F90333" w:rsidP="002F0974">
      <w:pPr>
        <w:pStyle w:val="FooterTableFigure"/>
        <w:spacing w:after="0"/>
        <w:rPr>
          <w:i/>
          <w:iCs/>
        </w:rPr>
      </w:pPr>
      <w:r>
        <w:rPr>
          <w:i/>
          <w:iCs/>
        </w:rPr>
        <w:lastRenderedPageBreak/>
        <w:t>**</w:t>
      </w:r>
      <w:r w:rsidR="00133248">
        <w:rPr>
          <w:i/>
          <w:iCs/>
        </w:rPr>
        <w:tab/>
      </w:r>
      <w:r w:rsidR="00763B84" w:rsidRPr="00315864">
        <w:rPr>
          <w:i/>
          <w:szCs w:val="18"/>
        </w:rPr>
        <w:t>UK preference weights were used to estimate utility for PF and PD in the submission. Assumption made that the utility value for PF was increased by 10%, and the same disutility of PD vs PF was assumed.</w:t>
      </w:r>
    </w:p>
    <w:p w14:paraId="002FEC1B" w14:textId="77777777" w:rsidR="002F0974" w:rsidRDefault="002F0974" w:rsidP="002F0974">
      <w:pPr>
        <w:pStyle w:val="TableFigureFooter"/>
      </w:pPr>
      <w:r w:rsidRPr="0098262F">
        <w:rPr>
          <w:rFonts w:eastAsia="Calibri"/>
          <w:szCs w:val="20"/>
          <w:vertAlign w:val="superscript"/>
        </w:rPr>
        <w:t>a</w:t>
      </w:r>
      <w:r>
        <w:rPr>
          <w:rFonts w:eastAsia="Calibri"/>
          <w:szCs w:val="20"/>
          <w:vertAlign w:val="superscript"/>
        </w:rPr>
        <w:tab/>
      </w:r>
      <w:r>
        <w:rPr>
          <w:rFonts w:eastAsia="Calibri"/>
          <w:szCs w:val="20"/>
        </w:rPr>
        <w:t>Correcting error in summing QALYs for the comparator arm. T</w:t>
      </w:r>
      <w:r w:rsidRPr="00314488">
        <w:t xml:space="preserve">he disutility of AEs was excluded </w:t>
      </w:r>
      <w:r>
        <w:t xml:space="preserve">in calculating total QALYs </w:t>
      </w:r>
      <w:r w:rsidRPr="00314488">
        <w:t xml:space="preserve">for the comparator arm. </w:t>
      </w:r>
      <w:r>
        <w:t>Cell AQ5 in the ‘</w:t>
      </w:r>
      <w:proofErr w:type="spellStart"/>
      <w:r>
        <w:t>Model_Cx</w:t>
      </w:r>
      <w:proofErr w:type="spellEnd"/>
      <w:r>
        <w:t xml:space="preserve">’ worksheet should include cell AP5 in calculations. </w:t>
      </w:r>
    </w:p>
    <w:p w14:paraId="498169D3" w14:textId="77777777" w:rsidR="002F0974" w:rsidRDefault="002F0974" w:rsidP="002F0974">
      <w:pPr>
        <w:pStyle w:val="TableFigureFooter"/>
        <w:rPr>
          <w:iCs/>
        </w:rPr>
      </w:pPr>
      <w:r>
        <w:rPr>
          <w:rFonts w:eastAsia="Calibri"/>
          <w:vertAlign w:val="superscript"/>
        </w:rPr>
        <w:t>b</w:t>
      </w:r>
      <w:r>
        <w:rPr>
          <w:rFonts w:eastAsia="Calibri"/>
          <w:vertAlign w:val="superscript"/>
        </w:rPr>
        <w:tab/>
      </w:r>
      <w:r w:rsidRPr="0098262F">
        <w:rPr>
          <w:rFonts w:eastAsia="Calibri"/>
          <w:vertAlign w:val="superscript"/>
        </w:rPr>
        <w:t xml:space="preserve"> </w:t>
      </w:r>
      <w:r>
        <w:rPr>
          <w:rFonts w:eastAsia="Calibri"/>
        </w:rPr>
        <w:t>Including assumed 98.1% dose intensity for loncastuximab dosing for all doses.</w:t>
      </w:r>
      <w:r>
        <w:rPr>
          <w:iCs/>
        </w:rPr>
        <w:t xml:space="preserve"> </w:t>
      </w:r>
    </w:p>
    <w:p w14:paraId="0E229C43" w14:textId="77777777" w:rsidR="00D833F0" w:rsidRDefault="002F0974" w:rsidP="00D833F0">
      <w:pPr>
        <w:pStyle w:val="TableFigureFooter"/>
        <w:rPr>
          <w:i/>
        </w:rPr>
      </w:pPr>
      <w:r>
        <w:rPr>
          <w:rFonts w:eastAsia="Calibri"/>
          <w:vertAlign w:val="superscript"/>
        </w:rPr>
        <w:t>c</w:t>
      </w:r>
      <w:r>
        <w:rPr>
          <w:rFonts w:eastAsia="Calibri"/>
          <w:vertAlign w:val="superscript"/>
        </w:rPr>
        <w:tab/>
      </w:r>
      <w:r w:rsidRPr="0098262F">
        <w:rPr>
          <w:rFonts w:eastAsia="Calibri"/>
          <w:vertAlign w:val="superscript"/>
        </w:rPr>
        <w:t xml:space="preserve"> </w:t>
      </w:r>
      <w:r w:rsidRPr="00874E1A">
        <w:rPr>
          <w:rFonts w:eastAsia="Calibri"/>
        </w:rPr>
        <w:t>Changes made to column W of ‘</w:t>
      </w:r>
      <w:proofErr w:type="spellStart"/>
      <w:r w:rsidRPr="00874E1A">
        <w:rPr>
          <w:rFonts w:eastAsia="Calibri"/>
        </w:rPr>
        <w:t>Model_C</w:t>
      </w:r>
      <w:r>
        <w:rPr>
          <w:rFonts w:eastAsia="Calibri"/>
        </w:rPr>
        <w:t>x</w:t>
      </w:r>
      <w:proofErr w:type="spellEnd"/>
      <w:r w:rsidRPr="00874E1A">
        <w:rPr>
          <w:rFonts w:eastAsia="Calibri"/>
        </w:rPr>
        <w:t>’ worksheet and Cell D21 of ‘Settings and Results’ worksheet.</w:t>
      </w:r>
    </w:p>
    <w:p w14:paraId="62228291" w14:textId="575FB7FF" w:rsidR="00D833F0" w:rsidRPr="00D833F0" w:rsidRDefault="00D833F0" w:rsidP="00D833F0">
      <w:pPr>
        <w:pStyle w:val="TableFigureFooter"/>
        <w:rPr>
          <w:rFonts w:eastAsia="Calibri"/>
          <w:i/>
        </w:rPr>
      </w:pPr>
      <w:r w:rsidRPr="00D833F0">
        <w:rPr>
          <w:rFonts w:eastAsia="Calibri"/>
          <w:i/>
        </w:rPr>
        <w:t xml:space="preserve">The redacted values correspond to the following ranges: </w:t>
      </w:r>
    </w:p>
    <w:p w14:paraId="60F7EC7C" w14:textId="3C686270" w:rsidR="00D833F0" w:rsidRPr="00D833F0" w:rsidRDefault="00D833F0" w:rsidP="00D833F0">
      <w:pPr>
        <w:pStyle w:val="TableFigureFooter"/>
        <w:rPr>
          <w:rFonts w:eastAsia="Calibri"/>
          <w:i/>
        </w:rPr>
      </w:pPr>
      <w:r w:rsidRPr="00D833F0">
        <w:rPr>
          <w:rFonts w:eastAsia="Calibri"/>
          <w:i/>
          <w:vertAlign w:val="superscript"/>
        </w:rPr>
        <w:t>1</w:t>
      </w:r>
      <w:r w:rsidRPr="00D833F0">
        <w:rPr>
          <w:rFonts w:eastAsia="Calibri"/>
          <w:i/>
        </w:rPr>
        <w:t xml:space="preserve"> </w:t>
      </w:r>
      <w:r w:rsidR="008375FC" w:rsidRPr="008375FC">
        <w:rPr>
          <w:rFonts w:eastAsia="Calibri"/>
          <w:i/>
        </w:rPr>
        <w:t>$115,000 to &lt; $135,000</w:t>
      </w:r>
    </w:p>
    <w:p w14:paraId="22383BE6" w14:textId="418D404E" w:rsidR="00D833F0" w:rsidRPr="00D833F0" w:rsidRDefault="00D833F0" w:rsidP="00D833F0">
      <w:pPr>
        <w:pStyle w:val="TableFigureFooter"/>
        <w:rPr>
          <w:rFonts w:eastAsia="Calibri"/>
          <w:i/>
        </w:rPr>
      </w:pPr>
      <w:r w:rsidRPr="00D833F0">
        <w:rPr>
          <w:rFonts w:eastAsia="Calibri"/>
          <w:i/>
          <w:vertAlign w:val="superscript"/>
        </w:rPr>
        <w:t>2</w:t>
      </w:r>
      <w:r w:rsidRPr="00D833F0">
        <w:rPr>
          <w:rFonts w:eastAsia="Calibri"/>
          <w:i/>
        </w:rPr>
        <w:t xml:space="preserve"> </w:t>
      </w:r>
      <w:r w:rsidR="005D759E" w:rsidRPr="005D759E">
        <w:rPr>
          <w:rFonts w:eastAsia="Calibri"/>
          <w:i/>
        </w:rPr>
        <w:t>$155,000 to &lt; $255,000</w:t>
      </w:r>
    </w:p>
    <w:p w14:paraId="625E9AC7" w14:textId="1A217B30" w:rsidR="00D833F0" w:rsidRPr="00D833F0" w:rsidRDefault="00D833F0" w:rsidP="00D833F0">
      <w:pPr>
        <w:pStyle w:val="TableFigureFooter"/>
        <w:rPr>
          <w:rFonts w:eastAsia="Calibri"/>
          <w:i/>
        </w:rPr>
      </w:pPr>
      <w:r w:rsidRPr="00D833F0">
        <w:rPr>
          <w:rFonts w:eastAsia="Calibri"/>
          <w:i/>
          <w:vertAlign w:val="superscript"/>
        </w:rPr>
        <w:t>3</w:t>
      </w:r>
      <w:r w:rsidRPr="00D833F0">
        <w:rPr>
          <w:rFonts w:eastAsia="Calibri"/>
          <w:i/>
        </w:rPr>
        <w:t xml:space="preserve"> </w:t>
      </w:r>
      <w:r w:rsidR="009C2D27" w:rsidRPr="009C2D27">
        <w:rPr>
          <w:rFonts w:eastAsia="Calibri"/>
          <w:i/>
        </w:rPr>
        <w:t>$95,000 to &lt; $115,000</w:t>
      </w:r>
    </w:p>
    <w:p w14:paraId="6264B548" w14:textId="1C93ADBE" w:rsidR="00D833F0" w:rsidRPr="00D833F0" w:rsidRDefault="00D833F0" w:rsidP="00D833F0">
      <w:pPr>
        <w:pStyle w:val="TableFigureFooter"/>
        <w:rPr>
          <w:rFonts w:eastAsia="Calibri"/>
          <w:i/>
        </w:rPr>
      </w:pPr>
      <w:r w:rsidRPr="00D833F0">
        <w:rPr>
          <w:rFonts w:eastAsia="Calibri"/>
          <w:i/>
          <w:vertAlign w:val="superscript"/>
        </w:rPr>
        <w:t>4</w:t>
      </w:r>
      <w:r w:rsidRPr="00D833F0">
        <w:rPr>
          <w:rFonts w:eastAsia="Calibri"/>
          <w:i/>
        </w:rPr>
        <w:t xml:space="preserve"> </w:t>
      </w:r>
      <w:r w:rsidR="005B03BD" w:rsidRPr="005B03BD">
        <w:rPr>
          <w:rFonts w:eastAsia="Calibri"/>
          <w:i/>
        </w:rPr>
        <w:t>$255,000 to &lt; $355,000</w:t>
      </w:r>
    </w:p>
    <w:p w14:paraId="4C8B8810" w14:textId="75A87CB5" w:rsidR="00D833F0" w:rsidRPr="00D833F0" w:rsidRDefault="00D833F0" w:rsidP="00D833F0">
      <w:pPr>
        <w:pStyle w:val="TableFigureFooter"/>
        <w:rPr>
          <w:rFonts w:eastAsia="Calibri"/>
          <w:i/>
        </w:rPr>
      </w:pPr>
      <w:r w:rsidRPr="00D833F0">
        <w:rPr>
          <w:rFonts w:eastAsia="Calibri"/>
          <w:i/>
          <w:vertAlign w:val="superscript"/>
        </w:rPr>
        <w:t>5</w:t>
      </w:r>
      <w:r w:rsidRPr="00D833F0">
        <w:rPr>
          <w:rFonts w:eastAsia="Calibri"/>
          <w:i/>
        </w:rPr>
        <w:t xml:space="preserve"> </w:t>
      </w:r>
      <w:r w:rsidR="00BF0133" w:rsidRPr="00BF0133">
        <w:rPr>
          <w:rFonts w:eastAsia="Calibri"/>
          <w:i/>
        </w:rPr>
        <w:t>$75,000 to &lt; $95,000</w:t>
      </w:r>
    </w:p>
    <w:p w14:paraId="1FEF9FC9" w14:textId="59881058" w:rsidR="00D833F0" w:rsidRPr="00D833F0" w:rsidRDefault="00D833F0" w:rsidP="00D833F0">
      <w:pPr>
        <w:pStyle w:val="TableFigureFooter"/>
        <w:rPr>
          <w:rFonts w:eastAsia="Calibri"/>
          <w:i/>
        </w:rPr>
      </w:pPr>
      <w:r w:rsidRPr="00D833F0">
        <w:rPr>
          <w:rFonts w:eastAsia="Calibri"/>
          <w:i/>
          <w:vertAlign w:val="superscript"/>
        </w:rPr>
        <w:t>6</w:t>
      </w:r>
      <w:r w:rsidRPr="00D833F0">
        <w:rPr>
          <w:rFonts w:eastAsia="Calibri"/>
          <w:i/>
        </w:rPr>
        <w:t xml:space="preserve"> </w:t>
      </w:r>
      <w:r w:rsidR="00DD6FB9" w:rsidRPr="00DD6FB9">
        <w:rPr>
          <w:rFonts w:eastAsia="Calibri"/>
          <w:i/>
        </w:rPr>
        <w:t>$45,000 to &lt; $55,000</w:t>
      </w:r>
    </w:p>
    <w:p w14:paraId="04C5AF54" w14:textId="46D1B0EB" w:rsidR="002F0974" w:rsidRDefault="002F0974" w:rsidP="002F0974">
      <w:pPr>
        <w:pStyle w:val="TableFigureFooter"/>
        <w:rPr>
          <w:rFonts w:eastAsia="Calibri"/>
        </w:rPr>
      </w:pPr>
    </w:p>
    <w:p w14:paraId="53259F3E" w14:textId="3E872619" w:rsidR="00747A3D" w:rsidRPr="00BE20A7" w:rsidRDefault="00872EDC" w:rsidP="002F0974">
      <w:pPr>
        <w:pStyle w:val="3-BodyText"/>
        <w:rPr>
          <w:color w:val="0066FF"/>
        </w:rPr>
      </w:pPr>
      <w:bookmarkStart w:id="65" w:name="_Ref221881274"/>
      <w:r w:rsidRPr="00BE20A7">
        <w:t xml:space="preserve">The </w:t>
      </w:r>
      <w:r w:rsidR="00DE2564" w:rsidRPr="00BE20A7">
        <w:t xml:space="preserve">Sub-Committees noted that </w:t>
      </w:r>
      <w:r w:rsidR="00590D4F" w:rsidRPr="00BE20A7">
        <w:t xml:space="preserve">the model was sensitive to the presence of a cure assumption (the ICER increasing to </w:t>
      </w:r>
      <w:r w:rsidR="00CE40B9" w:rsidRPr="00CE40B9">
        <w:t>$115,000 to &lt; $135,000</w:t>
      </w:r>
      <w:r w:rsidR="00590D4F" w:rsidRPr="00BE20A7">
        <w:t xml:space="preserve"> per QALY gained assuming no cure, from an error-corrected base case of </w:t>
      </w:r>
      <w:r w:rsidR="00920DCB" w:rsidRPr="00920DCB">
        <w:t>$95,000 to &lt; $115,000</w:t>
      </w:r>
      <w:r w:rsidR="00590D4F" w:rsidRPr="00BE20A7">
        <w:t xml:space="preserve">) but not to the variation between cure points of 2 to 5 years (ICER minimally increasing to </w:t>
      </w:r>
      <w:r w:rsidR="008905A3" w:rsidRPr="008905A3">
        <w:t>$95,000 to &lt; $115,000</w:t>
      </w:r>
      <w:r w:rsidR="005822E1">
        <w:t xml:space="preserve"> </w:t>
      </w:r>
      <w:r w:rsidR="00590D4F" w:rsidRPr="00BE20A7">
        <w:t>per QALY gained assuming a cure point of 5 years).</w:t>
      </w:r>
      <w:r w:rsidR="00C37C5C" w:rsidRPr="00BE20A7">
        <w:t xml:space="preserve"> </w:t>
      </w:r>
      <w:r w:rsidR="009D61F0" w:rsidRPr="00BE20A7">
        <w:t xml:space="preserve">The Sub-Committees considered that the inclusion of a cure assumption was appropriate. </w:t>
      </w:r>
      <w:r w:rsidR="003038CF" w:rsidRPr="00BE20A7">
        <w:t>However, t</w:t>
      </w:r>
      <w:r w:rsidR="00C37C5C" w:rsidRPr="00BE20A7">
        <w:t xml:space="preserve">he Sub-Committees </w:t>
      </w:r>
      <w:r w:rsidR="00414F15" w:rsidRPr="00BE20A7">
        <w:t xml:space="preserve">noted that the </w:t>
      </w:r>
      <w:r w:rsidR="001F5200" w:rsidRPr="00BE20A7">
        <w:t>model</w:t>
      </w:r>
      <w:r w:rsidR="00BB029E" w:rsidRPr="00BE20A7">
        <w:t>’</w:t>
      </w:r>
      <w:r w:rsidR="001F5200" w:rsidRPr="00BE20A7">
        <w:t xml:space="preserve">s treatment of cure was inconsistent with the submission’s claim that cured patients </w:t>
      </w:r>
      <w:r w:rsidR="00557C5C" w:rsidRPr="00BE20A7">
        <w:t xml:space="preserve">returned to general-population mortality </w:t>
      </w:r>
      <w:r w:rsidR="007610F7" w:rsidRPr="00BE20A7">
        <w:t xml:space="preserve">and accepted the </w:t>
      </w:r>
      <w:r w:rsidR="00126A3A" w:rsidRPr="00BE20A7">
        <w:t xml:space="preserve">evaluations approach to correct this </w:t>
      </w:r>
      <w:r w:rsidR="009715EF" w:rsidRPr="00BE20A7">
        <w:t xml:space="preserve">by </w:t>
      </w:r>
      <w:r w:rsidR="00622760" w:rsidRPr="00BE20A7">
        <w:t xml:space="preserve">modifying PF patients so that they follow background mortality after </w:t>
      </w:r>
      <w:r w:rsidR="00F81257" w:rsidRPr="00BE20A7">
        <w:t>2 years</w:t>
      </w:r>
      <w:r w:rsidR="0075399B" w:rsidRPr="00BE20A7">
        <w:t>,</w:t>
      </w:r>
      <w:r w:rsidR="000B36F6" w:rsidRPr="00BE20A7">
        <w:t xml:space="preserve"> noting that this </w:t>
      </w:r>
      <w:r w:rsidR="0075399B" w:rsidRPr="00BE20A7">
        <w:t>may overestimate life expectancy</w:t>
      </w:r>
      <w:r w:rsidR="00F81257" w:rsidRPr="00BE20A7">
        <w:t>.</w:t>
      </w:r>
      <w:bookmarkEnd w:id="65"/>
      <w:r w:rsidR="00602936" w:rsidRPr="00BE20A7">
        <w:t xml:space="preserve"> </w:t>
      </w:r>
    </w:p>
    <w:p w14:paraId="72D59C6D" w14:textId="1CEA2054" w:rsidR="002F0974" w:rsidRPr="002B5B36" w:rsidRDefault="00602936" w:rsidP="000277A4">
      <w:pPr>
        <w:pStyle w:val="3-BodyText"/>
        <w:rPr>
          <w:color w:val="0066FF"/>
        </w:rPr>
      </w:pPr>
      <w:bookmarkStart w:id="66" w:name="_Ref221881283"/>
      <w:r w:rsidRPr="00BE20A7">
        <w:t xml:space="preserve">The Sub-Committees considered that </w:t>
      </w:r>
      <w:r w:rsidR="00490A45" w:rsidRPr="00BE20A7">
        <w:t>there should be no half-cycle correction to costs,</w:t>
      </w:r>
      <w:r w:rsidR="0045652A" w:rsidRPr="00BE20A7">
        <w:t xml:space="preserve"> no terminal care costs</w:t>
      </w:r>
      <w:r w:rsidR="00BE1CE1" w:rsidRPr="00BE20A7">
        <w:t>,</w:t>
      </w:r>
      <w:r w:rsidR="00490A45" w:rsidRPr="00BE20A7">
        <w:t xml:space="preserve"> </w:t>
      </w:r>
      <w:r w:rsidR="007135BF" w:rsidRPr="00BE20A7">
        <w:t xml:space="preserve">100% of </w:t>
      </w:r>
      <w:r w:rsidR="00753D11" w:rsidRPr="00BE20A7">
        <w:t xml:space="preserve">comparator patients </w:t>
      </w:r>
      <w:r w:rsidR="002653F0" w:rsidRPr="00BE20A7">
        <w:t xml:space="preserve">should receive </w:t>
      </w:r>
      <w:r w:rsidR="00467D84" w:rsidRPr="00BE20A7">
        <w:t>3 R-ICE cycles</w:t>
      </w:r>
      <w:r w:rsidR="006542F7" w:rsidRPr="00BE20A7">
        <w:t xml:space="preserve">, </w:t>
      </w:r>
      <w:r w:rsidR="001740DF" w:rsidRPr="00BE20A7">
        <w:t xml:space="preserve">a time horizon of 15 years was appropriate and that </w:t>
      </w:r>
      <w:r w:rsidR="00A16D4B" w:rsidRPr="00BE20A7">
        <w:t>the</w:t>
      </w:r>
      <w:r w:rsidR="00073157" w:rsidRPr="00BE20A7">
        <w:t xml:space="preserve"> </w:t>
      </w:r>
      <w:r w:rsidR="00332476" w:rsidRPr="00BE20A7">
        <w:t xml:space="preserve">PF utility values should be increased by </w:t>
      </w:r>
      <w:r w:rsidR="005822E1" w:rsidRPr="005822E1">
        <w:rPr>
          <w:sz w:val="2"/>
          <w:highlight w:val="black"/>
        </w:rPr>
        <w:t>redacted content</w:t>
      </w:r>
      <w:r w:rsidR="00E27B8A" w:rsidRPr="00BE20A7">
        <w:t xml:space="preserve">% </w:t>
      </w:r>
      <w:r w:rsidR="0049162E" w:rsidRPr="00BE20A7">
        <w:t xml:space="preserve">with the same disutility of PD vs PF assumed. </w:t>
      </w:r>
      <w:r w:rsidR="0083701D" w:rsidRPr="00BE20A7">
        <w:t xml:space="preserve">The Sub-Committees noted that </w:t>
      </w:r>
      <w:r w:rsidR="00D92CBB" w:rsidRPr="00BE20A7">
        <w:t xml:space="preserve">correcting the </w:t>
      </w:r>
      <w:r w:rsidR="00D65769" w:rsidRPr="00BE20A7">
        <w:t xml:space="preserve">models </w:t>
      </w:r>
      <w:r w:rsidR="004F0BBE" w:rsidRPr="00BE20A7">
        <w:t xml:space="preserve">approach to cure and </w:t>
      </w:r>
      <w:r w:rsidR="005A476D" w:rsidRPr="00BE20A7">
        <w:t>incorporating these inputs increase</w:t>
      </w:r>
      <w:r w:rsidR="004A39D6" w:rsidRPr="00BE20A7">
        <w:t>d</w:t>
      </w:r>
      <w:r w:rsidR="005A476D" w:rsidRPr="00BE20A7">
        <w:t xml:space="preserve"> the ICER from the error-corrected base case </w:t>
      </w:r>
      <w:r w:rsidR="005324F6" w:rsidRPr="00BE20A7">
        <w:t xml:space="preserve">of </w:t>
      </w:r>
      <w:r w:rsidR="008905A3" w:rsidRPr="008905A3">
        <w:t>$95,000 to &lt; $115,000</w:t>
      </w:r>
      <w:r w:rsidR="005822E1">
        <w:t xml:space="preserve"> </w:t>
      </w:r>
      <w:r w:rsidR="00F82F39" w:rsidRPr="00BE20A7">
        <w:t>per QALY gained</w:t>
      </w:r>
      <w:r w:rsidR="00662C6E" w:rsidRPr="00BE20A7">
        <w:t xml:space="preserve"> to </w:t>
      </w:r>
      <w:r w:rsidR="00AD17FA" w:rsidRPr="00AD17FA">
        <w:t>$115,000 to &lt; $135,000</w:t>
      </w:r>
      <w:r w:rsidR="00744AD5" w:rsidRPr="00BE20A7">
        <w:t xml:space="preserve"> per QALY gained. </w:t>
      </w:r>
      <w:r w:rsidR="00A54850" w:rsidRPr="00BE20A7">
        <w:t>The Sub-Committees considered th</w:t>
      </w:r>
      <w:r w:rsidR="00373800" w:rsidRPr="00BE20A7">
        <w:t xml:space="preserve">e </w:t>
      </w:r>
      <w:r w:rsidR="00E17770" w:rsidRPr="00BE20A7">
        <w:t xml:space="preserve">ICER of </w:t>
      </w:r>
      <w:r w:rsidR="00AD17FA" w:rsidRPr="00AD17FA">
        <w:t>$115,000 to &lt; $135,000</w:t>
      </w:r>
      <w:r w:rsidR="00E17770" w:rsidRPr="00BE20A7">
        <w:t xml:space="preserve"> per QALY gained remained </w:t>
      </w:r>
      <w:r w:rsidR="00465523" w:rsidRPr="00BE20A7">
        <w:t xml:space="preserve">highly uncertain </w:t>
      </w:r>
      <w:r w:rsidR="00C133C9" w:rsidRPr="00BE20A7">
        <w:t xml:space="preserve">due to </w:t>
      </w:r>
      <w:r w:rsidR="00682A4D" w:rsidRPr="00BE20A7">
        <w:t>the</w:t>
      </w:r>
      <w:r w:rsidR="00880E62" w:rsidRPr="00BE20A7">
        <w:t xml:space="preserve"> reliance on </w:t>
      </w:r>
      <w:r w:rsidR="00176832" w:rsidRPr="00BE20A7">
        <w:t xml:space="preserve">a single HR </w:t>
      </w:r>
      <w:r w:rsidR="007B4012" w:rsidRPr="00BE20A7">
        <w:t xml:space="preserve">from </w:t>
      </w:r>
      <w:r w:rsidR="00F22CF0" w:rsidRPr="00BE20A7">
        <w:t>the una</w:t>
      </w:r>
      <w:r w:rsidR="00A909E9" w:rsidRPr="00BE20A7">
        <w:t>nchored MAIC to inform all curves in the comparator arm.</w:t>
      </w:r>
      <w:bookmarkEnd w:id="66"/>
      <w:r w:rsidR="00A909E9" w:rsidRPr="00BE20A7">
        <w:t xml:space="preserve"> </w:t>
      </w:r>
    </w:p>
    <w:p w14:paraId="173FB0C4" w14:textId="2D9318D8" w:rsidR="002B5B36" w:rsidRPr="000277A4" w:rsidRDefault="0084354E" w:rsidP="000277A4">
      <w:pPr>
        <w:pStyle w:val="3-BodyText"/>
        <w:rPr>
          <w:color w:val="0066FF"/>
        </w:rPr>
      </w:pPr>
      <w:bookmarkStart w:id="67" w:name="_Ref226636463"/>
      <w:r w:rsidRPr="00D578AA">
        <w:t xml:space="preserve">The pre-PBAC response </w:t>
      </w:r>
      <w:r w:rsidR="00AA15EC" w:rsidRPr="00D578AA">
        <w:t xml:space="preserve">accepted the </w:t>
      </w:r>
      <w:r w:rsidR="00A001E4" w:rsidRPr="00D578AA">
        <w:t>Sub-Committees recommendation</w:t>
      </w:r>
      <w:r w:rsidR="00197AA3" w:rsidRPr="00D578AA">
        <w:t>s</w:t>
      </w:r>
      <w:r w:rsidR="00A001E4" w:rsidRPr="00D578AA">
        <w:t xml:space="preserve"> </w:t>
      </w:r>
      <w:r w:rsidR="00197AA3" w:rsidRPr="00D578AA">
        <w:t>for a 15 year time horizon</w:t>
      </w:r>
      <w:r w:rsidR="00A60AC6" w:rsidRPr="00D578AA">
        <w:t xml:space="preserve">, </w:t>
      </w:r>
      <w:r w:rsidR="00412A7B" w:rsidRPr="00D578AA">
        <w:t>no half-cycle correction to costs, 100% of comparator patients receive 3 R-ICE cycles</w:t>
      </w:r>
      <w:r w:rsidR="00A60AC6" w:rsidRPr="00D578AA">
        <w:t xml:space="preserve"> and </w:t>
      </w:r>
      <w:r w:rsidR="00FA1FB9" w:rsidRPr="00D578AA">
        <w:t xml:space="preserve">that the </w:t>
      </w:r>
      <w:r w:rsidR="00FA1FB9" w:rsidRPr="00BE20A7">
        <w:t>PF utility values should be increased by 10% with the same disutility of PD vs PF assumed</w:t>
      </w:r>
      <w:r w:rsidR="00FA1FB9">
        <w:t xml:space="preserve">. </w:t>
      </w:r>
      <w:r w:rsidR="00604FEE">
        <w:t xml:space="preserve">However, the </w:t>
      </w:r>
      <w:r w:rsidR="00180803">
        <w:t>revised economic</w:t>
      </w:r>
      <w:r w:rsidR="00650AC9">
        <w:t xml:space="preserve"> base case proposed in the pre-PBAC response did not modify </w:t>
      </w:r>
      <w:r w:rsidR="00A606D7">
        <w:t xml:space="preserve">PF patients so that they follow background mortality after 2 years. </w:t>
      </w:r>
      <w:r w:rsidR="007206FC">
        <w:t>In addition, t</w:t>
      </w:r>
      <w:r w:rsidR="00C547EE">
        <w:t xml:space="preserve">he pre-PBAC response </w:t>
      </w:r>
      <w:r w:rsidR="007206FC">
        <w:t xml:space="preserve">revised base case did not </w:t>
      </w:r>
      <w:r w:rsidR="00177CBA">
        <w:t xml:space="preserve">exclude </w:t>
      </w:r>
      <w:r w:rsidR="00B059DD">
        <w:t xml:space="preserve">all </w:t>
      </w:r>
      <w:r w:rsidR="00177CBA">
        <w:t xml:space="preserve">terminal care costs </w:t>
      </w:r>
      <w:r w:rsidR="00793F8F">
        <w:t xml:space="preserve">as advised by the Sub-Committees. The pre-PBAC response </w:t>
      </w:r>
      <w:r w:rsidR="00C53FC6">
        <w:t>instead</w:t>
      </w:r>
      <w:r w:rsidR="00B059DD">
        <w:t xml:space="preserve"> excluded terminal care costs for deaths occurring after 5 years </w:t>
      </w:r>
      <w:r w:rsidR="00933D2F">
        <w:t>based on the assumption that most deaths within the first 5 years would be cancer related.</w:t>
      </w:r>
      <w:r w:rsidR="001A0B07">
        <w:t xml:space="preserve"> Incorporating the </w:t>
      </w:r>
      <w:r w:rsidR="002A75F9">
        <w:t xml:space="preserve">price reduction proposed (see paragraph </w:t>
      </w:r>
      <w:r w:rsidR="002A75F9">
        <w:fldChar w:fldCharType="begin"/>
      </w:r>
      <w:r w:rsidR="002A75F9">
        <w:instrText xml:space="preserve"> REF _Ref226633595 \r \h </w:instrText>
      </w:r>
      <w:r w:rsidR="002A75F9">
        <w:fldChar w:fldCharType="separate"/>
      </w:r>
      <w:r w:rsidR="008C4274">
        <w:t>3.2</w:t>
      </w:r>
      <w:r w:rsidR="002A75F9">
        <w:fldChar w:fldCharType="end"/>
      </w:r>
      <w:r w:rsidR="002A75F9">
        <w:t xml:space="preserve">) the </w:t>
      </w:r>
      <w:r w:rsidR="009073D3">
        <w:t xml:space="preserve">pre-PBAC </w:t>
      </w:r>
      <w:r w:rsidR="009073D3">
        <w:lastRenderedPageBreak/>
        <w:t xml:space="preserve">response </w:t>
      </w:r>
      <w:r w:rsidR="007003C2">
        <w:t xml:space="preserve">stated the </w:t>
      </w:r>
      <w:r w:rsidR="004E7CEC">
        <w:t xml:space="preserve">revised base case </w:t>
      </w:r>
      <w:r w:rsidR="009073D3">
        <w:t xml:space="preserve">returned an ICER of </w:t>
      </w:r>
      <w:r w:rsidR="00011B16" w:rsidRPr="00011B16">
        <w:t>$75,000 to &lt; $95,000</w:t>
      </w:r>
      <w:r w:rsidR="0045736F">
        <w:t xml:space="preserve"> per QALY gained.</w:t>
      </w:r>
      <w:bookmarkEnd w:id="67"/>
    </w:p>
    <w:p w14:paraId="6B30F0A3" w14:textId="77777777" w:rsidR="002F0974" w:rsidRPr="000B298F" w:rsidRDefault="002F0974" w:rsidP="000B298F">
      <w:pPr>
        <w:pStyle w:val="4-SubsectionHeading"/>
      </w:pPr>
      <w:bookmarkStart w:id="68" w:name="_Toc219124955"/>
      <w:bookmarkStart w:id="69" w:name="_Toc219880989"/>
      <w:bookmarkStart w:id="70" w:name="_Toc22897647"/>
      <w:r w:rsidRPr="000B298F">
        <w:t>Drug cost/patient/cycle</w:t>
      </w:r>
      <w:bookmarkEnd w:id="68"/>
      <w:bookmarkEnd w:id="69"/>
    </w:p>
    <w:p w14:paraId="4F8C7C4C" w14:textId="4ABB99C9" w:rsidR="002F0974" w:rsidRPr="003153AA" w:rsidRDefault="002F0974" w:rsidP="002F0974">
      <w:pPr>
        <w:pStyle w:val="3-BodyText"/>
        <w:numPr>
          <w:ilvl w:val="1"/>
          <w:numId w:val="1"/>
        </w:numPr>
        <w:rPr>
          <w:color w:val="0066FF"/>
        </w:rPr>
      </w:pPr>
      <w:r w:rsidRPr="003153AA">
        <w:t>The cost per patient for loncastuximab tesirine was $</w:t>
      </w:r>
      <w:r w:rsidR="005822E1" w:rsidRPr="005822E1">
        <w:rPr>
          <w:sz w:val="2"/>
          <w:highlight w:val="black"/>
        </w:rPr>
        <w:t>redacted content</w:t>
      </w:r>
      <w:r w:rsidRPr="003153AA">
        <w:t xml:space="preserve"> per cycle for the first two cycles (loading doses) in the model, with a dose of 0.15 mg/kg every 3 weeks, using individual patient-level weight data in LOTIS-2 and a dose intensity of 98.1%. The cost per patient on loncastuximab tesirine was $</w:t>
      </w:r>
      <w:r w:rsidR="005822E1" w:rsidRPr="005822E1">
        <w:rPr>
          <w:sz w:val="2"/>
          <w:highlight w:val="black"/>
        </w:rPr>
        <w:t>redacted content</w:t>
      </w:r>
      <w:r w:rsidRPr="003153AA">
        <w:t xml:space="preserve"> per cycle for subsequent doses, applying the dose of 0.075 mg/kg every 3 weeks, individual patient-level weight data in LOTIS-2 and a dose intensity of 98.1%. The average cost per patient on R-ICE was $2,508 per cycle.</w:t>
      </w:r>
    </w:p>
    <w:p w14:paraId="5B895CC7" w14:textId="075B89CC" w:rsidR="002F0974" w:rsidRPr="003153AA" w:rsidRDefault="002F0974" w:rsidP="002F0974">
      <w:pPr>
        <w:pStyle w:val="Caption"/>
        <w:rPr>
          <w:rStyle w:val="CommentReference"/>
          <w:b/>
          <w:szCs w:val="24"/>
        </w:rPr>
      </w:pPr>
      <w:r w:rsidRPr="003153AA">
        <w:t xml:space="preserve">Table </w:t>
      </w:r>
      <w:r w:rsidRPr="003153AA">
        <w:fldChar w:fldCharType="begin"/>
      </w:r>
      <w:r w:rsidRPr="003153AA">
        <w:instrText>SEQ Table \* ARABIC</w:instrText>
      </w:r>
      <w:r w:rsidRPr="003153AA">
        <w:fldChar w:fldCharType="separate"/>
      </w:r>
      <w:r w:rsidR="007D33FD" w:rsidRPr="003153AA">
        <w:rPr>
          <w:noProof/>
        </w:rPr>
        <w:t>17</w:t>
      </w:r>
      <w:r w:rsidRPr="003153AA">
        <w:fldChar w:fldCharType="end"/>
      </w:r>
      <w:r w:rsidRPr="003153AA">
        <w:t>:</w:t>
      </w:r>
      <w:r w:rsidRPr="003153AA">
        <w:rPr>
          <w:rStyle w:val="CommentReference"/>
          <w:b/>
          <w:szCs w:val="24"/>
        </w:rPr>
        <w:t xml:space="preserve"> Drug cost per patient for loncastuximab tesirine</w:t>
      </w:r>
      <w:r w:rsidR="00437FF5">
        <w:rPr>
          <w:rStyle w:val="CommentReference"/>
          <w:b/>
          <w:szCs w:val="24"/>
        </w:rPr>
        <w:t xml:space="preserve"> (</w:t>
      </w:r>
      <w:r w:rsidR="00297AB0">
        <w:rPr>
          <w:rStyle w:val="CommentReference"/>
          <w:b/>
          <w:szCs w:val="24"/>
        </w:rPr>
        <w:t>u</w:t>
      </w:r>
      <w:r w:rsidR="00437FF5">
        <w:rPr>
          <w:rStyle w:val="CommentReference"/>
          <w:b/>
          <w:szCs w:val="24"/>
        </w:rPr>
        <w:t>sing price proposed in the submission)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Drug cost per patient for loncastuximab tesirine (using price proposed in the submission)"/>
      </w:tblPr>
      <w:tblGrid>
        <w:gridCol w:w="2343"/>
        <w:gridCol w:w="1933"/>
        <w:gridCol w:w="2525"/>
        <w:gridCol w:w="2216"/>
      </w:tblGrid>
      <w:tr w:rsidR="002F0974" w:rsidRPr="003153AA" w14:paraId="039ED656" w14:textId="77777777">
        <w:trPr>
          <w:cantSplit/>
          <w:tblHeader/>
          <w:jc w:val="center"/>
        </w:trPr>
        <w:tc>
          <w:tcPr>
            <w:tcW w:w="1299" w:type="pct"/>
            <w:vAlign w:val="center"/>
          </w:tcPr>
          <w:p w14:paraId="3FB93115" w14:textId="77777777" w:rsidR="002F0974" w:rsidRPr="003153AA" w:rsidRDefault="002F0974">
            <w:pPr>
              <w:pStyle w:val="In-tableHeading"/>
              <w:jc w:val="center"/>
              <w:rPr>
                <w:szCs w:val="20"/>
                <w:lang w:val="en-AU"/>
              </w:rPr>
            </w:pPr>
          </w:p>
        </w:tc>
        <w:tc>
          <w:tcPr>
            <w:tcW w:w="1072" w:type="pct"/>
            <w:vAlign w:val="center"/>
          </w:tcPr>
          <w:p w14:paraId="3E9CD6F5" w14:textId="77777777" w:rsidR="002F0974" w:rsidRPr="003153AA" w:rsidRDefault="002F0974">
            <w:pPr>
              <w:pStyle w:val="In-tableHeading"/>
              <w:jc w:val="center"/>
              <w:rPr>
                <w:szCs w:val="20"/>
                <w:lang w:val="en-AU"/>
              </w:rPr>
            </w:pPr>
            <w:r w:rsidRPr="003153AA">
              <w:rPr>
                <w:szCs w:val="20"/>
                <w:lang w:val="en-AU"/>
              </w:rPr>
              <w:t>Trial dose and duration</w:t>
            </w:r>
          </w:p>
        </w:tc>
        <w:tc>
          <w:tcPr>
            <w:tcW w:w="1400" w:type="pct"/>
            <w:vAlign w:val="center"/>
          </w:tcPr>
          <w:p w14:paraId="21EF572A" w14:textId="77777777" w:rsidR="002F0974" w:rsidRPr="003153AA" w:rsidRDefault="002F0974">
            <w:pPr>
              <w:pStyle w:val="In-tableHeading"/>
              <w:jc w:val="center"/>
              <w:rPr>
                <w:szCs w:val="20"/>
                <w:lang w:val="en-AU"/>
              </w:rPr>
            </w:pPr>
            <w:r w:rsidRPr="003153AA">
              <w:rPr>
                <w:szCs w:val="20"/>
                <w:lang w:val="en-AU"/>
              </w:rPr>
              <w:t>Model</w:t>
            </w:r>
          </w:p>
        </w:tc>
        <w:tc>
          <w:tcPr>
            <w:tcW w:w="1229" w:type="pct"/>
            <w:vAlign w:val="center"/>
          </w:tcPr>
          <w:p w14:paraId="75EF97C8" w14:textId="77777777" w:rsidR="002F0974" w:rsidRPr="003153AA" w:rsidRDefault="002F0974">
            <w:pPr>
              <w:pStyle w:val="In-tableHeading"/>
              <w:jc w:val="center"/>
              <w:rPr>
                <w:szCs w:val="20"/>
                <w:lang w:val="en-AU"/>
              </w:rPr>
            </w:pPr>
            <w:r w:rsidRPr="003153AA">
              <w:rPr>
                <w:szCs w:val="20"/>
                <w:lang w:val="en-AU"/>
              </w:rPr>
              <w:t xml:space="preserve">Financial </w:t>
            </w:r>
            <w:proofErr w:type="spellStart"/>
            <w:r w:rsidRPr="003153AA">
              <w:rPr>
                <w:szCs w:val="20"/>
                <w:lang w:val="en-AU"/>
              </w:rPr>
              <w:t>estimates</w:t>
            </w:r>
            <w:r w:rsidRPr="003153AA">
              <w:rPr>
                <w:b w:val="0"/>
                <w:bCs/>
                <w:szCs w:val="20"/>
                <w:vertAlign w:val="superscript"/>
                <w:lang w:val="en-AU"/>
              </w:rPr>
              <w:t>a</w:t>
            </w:r>
            <w:proofErr w:type="spellEnd"/>
          </w:p>
        </w:tc>
      </w:tr>
      <w:tr w:rsidR="002F0974" w:rsidRPr="003153AA" w14:paraId="607E4C39" w14:textId="77777777">
        <w:trPr>
          <w:cantSplit/>
          <w:jc w:val="center"/>
        </w:trPr>
        <w:tc>
          <w:tcPr>
            <w:tcW w:w="1299" w:type="pct"/>
            <w:vAlign w:val="center"/>
          </w:tcPr>
          <w:p w14:paraId="7F914C53" w14:textId="77777777" w:rsidR="002F0974" w:rsidRPr="003153AA" w:rsidRDefault="002F0974">
            <w:pPr>
              <w:pStyle w:val="TableText0"/>
              <w:rPr>
                <w:szCs w:val="20"/>
              </w:rPr>
            </w:pPr>
            <w:r w:rsidRPr="003153AA">
              <w:rPr>
                <w:szCs w:val="20"/>
              </w:rPr>
              <w:t>Dose regimen:</w:t>
            </w:r>
          </w:p>
        </w:tc>
        <w:tc>
          <w:tcPr>
            <w:tcW w:w="3701" w:type="pct"/>
            <w:gridSpan w:val="3"/>
            <w:vAlign w:val="center"/>
          </w:tcPr>
          <w:p w14:paraId="0429F701" w14:textId="77777777" w:rsidR="002F0974" w:rsidRPr="003153AA" w:rsidRDefault="002F0974">
            <w:pPr>
              <w:pStyle w:val="TableText0"/>
              <w:jc w:val="center"/>
              <w:rPr>
                <w:bCs w:val="0"/>
                <w:szCs w:val="20"/>
              </w:rPr>
            </w:pPr>
            <w:r w:rsidRPr="003153AA">
              <w:rPr>
                <w:bCs w:val="0"/>
                <w:szCs w:val="20"/>
              </w:rPr>
              <w:t>Initial: 0.15 mg/kg</w:t>
            </w:r>
          </w:p>
          <w:p w14:paraId="58F595BD" w14:textId="77777777" w:rsidR="002F0974" w:rsidRPr="003153AA" w:rsidRDefault="002F0974">
            <w:pPr>
              <w:pStyle w:val="TableText0"/>
              <w:jc w:val="center"/>
              <w:rPr>
                <w:szCs w:val="20"/>
              </w:rPr>
            </w:pPr>
            <w:r w:rsidRPr="003153AA">
              <w:rPr>
                <w:szCs w:val="20"/>
              </w:rPr>
              <w:t xml:space="preserve">Continuing: 0.075 mg/kg </w:t>
            </w:r>
          </w:p>
        </w:tc>
      </w:tr>
      <w:tr w:rsidR="002F0974" w:rsidRPr="003153AA" w14:paraId="4E3FD71F" w14:textId="77777777">
        <w:trPr>
          <w:cantSplit/>
          <w:jc w:val="center"/>
        </w:trPr>
        <w:tc>
          <w:tcPr>
            <w:tcW w:w="1299" w:type="pct"/>
            <w:vAlign w:val="center"/>
          </w:tcPr>
          <w:p w14:paraId="683F1B5E" w14:textId="77777777" w:rsidR="002F0974" w:rsidRPr="003153AA" w:rsidRDefault="002F0974">
            <w:pPr>
              <w:pStyle w:val="TableText0"/>
              <w:rPr>
                <w:szCs w:val="20"/>
              </w:rPr>
            </w:pPr>
            <w:r w:rsidRPr="003153AA">
              <w:rPr>
                <w:szCs w:val="20"/>
              </w:rPr>
              <w:t>Mean dose</w:t>
            </w:r>
          </w:p>
        </w:tc>
        <w:tc>
          <w:tcPr>
            <w:tcW w:w="1072" w:type="pct"/>
            <w:vAlign w:val="center"/>
          </w:tcPr>
          <w:p w14:paraId="5809DE3B" w14:textId="77777777" w:rsidR="002F0974" w:rsidRPr="003153AA" w:rsidRDefault="002F0974">
            <w:pPr>
              <w:pStyle w:val="TableText0"/>
              <w:jc w:val="center"/>
              <w:rPr>
                <w:szCs w:val="20"/>
              </w:rPr>
            </w:pPr>
            <w:r w:rsidRPr="003153AA">
              <w:rPr>
                <w:szCs w:val="20"/>
              </w:rPr>
              <w:t xml:space="preserve">9.24 mg per </w:t>
            </w:r>
            <w:proofErr w:type="spellStart"/>
            <w:r w:rsidRPr="003153AA">
              <w:rPr>
                <w:szCs w:val="20"/>
              </w:rPr>
              <w:t>cycle</w:t>
            </w:r>
            <w:r w:rsidRPr="003153AA">
              <w:rPr>
                <w:szCs w:val="20"/>
                <w:vertAlign w:val="superscript"/>
              </w:rPr>
              <w:t>c</w:t>
            </w:r>
            <w:proofErr w:type="spellEnd"/>
          </w:p>
        </w:tc>
        <w:tc>
          <w:tcPr>
            <w:tcW w:w="1400" w:type="pct"/>
            <w:vAlign w:val="center"/>
          </w:tcPr>
          <w:p w14:paraId="0D9F6BA8" w14:textId="77777777" w:rsidR="002F0974" w:rsidRPr="003153AA" w:rsidRDefault="002F0974">
            <w:pPr>
              <w:pStyle w:val="TableText0"/>
              <w:jc w:val="center"/>
              <w:rPr>
                <w:bCs w:val="0"/>
                <w:szCs w:val="20"/>
              </w:rPr>
            </w:pPr>
            <w:r w:rsidRPr="003153AA">
              <w:rPr>
                <w:bCs w:val="0"/>
                <w:szCs w:val="20"/>
              </w:rPr>
              <w:t>Initial:16.8 mg</w:t>
            </w:r>
          </w:p>
          <w:p w14:paraId="37F1C6ED" w14:textId="77777777" w:rsidR="002F0974" w:rsidRPr="003153AA" w:rsidRDefault="002F0974">
            <w:pPr>
              <w:pStyle w:val="TableText0"/>
              <w:jc w:val="center"/>
              <w:rPr>
                <w:bCs w:val="0"/>
                <w:szCs w:val="20"/>
              </w:rPr>
            </w:pPr>
            <w:r w:rsidRPr="003153AA">
              <w:rPr>
                <w:szCs w:val="20"/>
              </w:rPr>
              <w:t>Continuing: 10.1 mg</w:t>
            </w:r>
          </w:p>
        </w:tc>
        <w:tc>
          <w:tcPr>
            <w:tcW w:w="1229" w:type="pct"/>
            <w:vAlign w:val="center"/>
          </w:tcPr>
          <w:p w14:paraId="51694318" w14:textId="77777777" w:rsidR="002F0974" w:rsidRPr="003153AA" w:rsidRDefault="002F0974">
            <w:pPr>
              <w:pStyle w:val="TableText0"/>
              <w:jc w:val="center"/>
              <w:rPr>
                <w:szCs w:val="20"/>
              </w:rPr>
            </w:pPr>
            <w:r w:rsidRPr="003153AA">
              <w:rPr>
                <w:szCs w:val="20"/>
              </w:rPr>
              <w:t>10 mg vial</w:t>
            </w:r>
          </w:p>
        </w:tc>
      </w:tr>
      <w:tr w:rsidR="002F0974" w:rsidRPr="003153AA" w14:paraId="0C54CF03" w14:textId="77777777">
        <w:trPr>
          <w:cantSplit/>
          <w:jc w:val="center"/>
        </w:trPr>
        <w:tc>
          <w:tcPr>
            <w:tcW w:w="1299" w:type="pct"/>
            <w:vAlign w:val="center"/>
          </w:tcPr>
          <w:p w14:paraId="022C8D38" w14:textId="77777777" w:rsidR="002F0974" w:rsidRPr="003153AA" w:rsidRDefault="002F0974">
            <w:pPr>
              <w:pStyle w:val="TableText0"/>
              <w:rPr>
                <w:szCs w:val="20"/>
              </w:rPr>
            </w:pPr>
            <w:r w:rsidRPr="003153AA">
              <w:rPr>
                <w:szCs w:val="20"/>
              </w:rPr>
              <w:t>Mean duration</w:t>
            </w:r>
          </w:p>
        </w:tc>
        <w:tc>
          <w:tcPr>
            <w:tcW w:w="1072" w:type="pct"/>
            <w:vAlign w:val="center"/>
          </w:tcPr>
          <w:p w14:paraId="02323F5E" w14:textId="77777777" w:rsidR="002F0974" w:rsidRPr="003153AA" w:rsidRDefault="002F0974">
            <w:pPr>
              <w:pStyle w:val="TableText0"/>
              <w:jc w:val="center"/>
              <w:rPr>
                <w:bCs w:val="0"/>
                <w:szCs w:val="20"/>
              </w:rPr>
            </w:pPr>
            <w:r w:rsidRPr="003153AA">
              <w:rPr>
                <w:bCs w:val="0"/>
                <w:szCs w:val="20"/>
              </w:rPr>
              <w:t xml:space="preserve">85.7 days </w:t>
            </w:r>
            <w:r w:rsidRPr="003153AA">
              <w:rPr>
                <w:szCs w:val="20"/>
              </w:rPr>
              <w:t>(12.2 weeks)</w:t>
            </w:r>
          </w:p>
        </w:tc>
        <w:tc>
          <w:tcPr>
            <w:tcW w:w="1400" w:type="pct"/>
            <w:vAlign w:val="center"/>
          </w:tcPr>
          <w:p w14:paraId="5CB59818" w14:textId="77777777" w:rsidR="002F0974" w:rsidRPr="003153AA" w:rsidRDefault="002F0974">
            <w:pPr>
              <w:pStyle w:val="TableText0"/>
              <w:jc w:val="center"/>
              <w:rPr>
                <w:szCs w:val="20"/>
              </w:rPr>
            </w:pPr>
            <w:r w:rsidRPr="003153AA">
              <w:rPr>
                <w:bCs w:val="0"/>
                <w:szCs w:val="20"/>
              </w:rPr>
              <w:t>12.4 weeks</w:t>
            </w:r>
            <w:r w:rsidRPr="003153AA">
              <w:rPr>
                <w:bCs w:val="0"/>
                <w:szCs w:val="20"/>
                <w:vertAlign w:val="superscript"/>
              </w:rPr>
              <w:t>b</w:t>
            </w:r>
          </w:p>
        </w:tc>
        <w:tc>
          <w:tcPr>
            <w:tcW w:w="1229" w:type="pct"/>
            <w:vAlign w:val="center"/>
          </w:tcPr>
          <w:p w14:paraId="3D98C23B" w14:textId="77777777" w:rsidR="002F0974" w:rsidRPr="003153AA" w:rsidRDefault="002F0974">
            <w:pPr>
              <w:pStyle w:val="TableText0"/>
              <w:jc w:val="center"/>
              <w:rPr>
                <w:szCs w:val="20"/>
              </w:rPr>
            </w:pPr>
            <w:r w:rsidRPr="003153AA">
              <w:rPr>
                <w:szCs w:val="20"/>
              </w:rPr>
              <w:t xml:space="preserve">Initial: 6 weeks </w:t>
            </w:r>
          </w:p>
          <w:p w14:paraId="28602AC0" w14:textId="77777777" w:rsidR="002F0974" w:rsidRPr="003153AA" w:rsidRDefault="002F0974">
            <w:pPr>
              <w:pStyle w:val="TableText0"/>
              <w:jc w:val="center"/>
              <w:rPr>
                <w:szCs w:val="20"/>
              </w:rPr>
            </w:pPr>
            <w:r w:rsidRPr="003153AA">
              <w:rPr>
                <w:szCs w:val="20"/>
              </w:rPr>
              <w:t xml:space="preserve">Continuing: 6.79 weeks Grandfathered: 6.4 weeks </w:t>
            </w:r>
          </w:p>
        </w:tc>
      </w:tr>
      <w:tr w:rsidR="002F0974" w:rsidRPr="003153AA" w14:paraId="51D4C2DD" w14:textId="77777777">
        <w:trPr>
          <w:cantSplit/>
          <w:jc w:val="center"/>
        </w:trPr>
        <w:tc>
          <w:tcPr>
            <w:tcW w:w="1299" w:type="pct"/>
            <w:vAlign w:val="center"/>
          </w:tcPr>
          <w:p w14:paraId="2C964F9A" w14:textId="02C3AABA" w:rsidR="002F0974" w:rsidRPr="003153AA" w:rsidRDefault="002F0974">
            <w:pPr>
              <w:pStyle w:val="TableText0"/>
              <w:rPr>
                <w:szCs w:val="20"/>
              </w:rPr>
            </w:pPr>
            <w:r w:rsidRPr="003153AA">
              <w:rPr>
                <w:szCs w:val="20"/>
              </w:rPr>
              <w:t>Average weighted cost</w:t>
            </w:r>
          </w:p>
        </w:tc>
        <w:tc>
          <w:tcPr>
            <w:tcW w:w="1072" w:type="pct"/>
            <w:vAlign w:val="center"/>
          </w:tcPr>
          <w:p w14:paraId="1D78928D" w14:textId="77777777" w:rsidR="002F0974" w:rsidRPr="003153AA" w:rsidRDefault="002F0974">
            <w:pPr>
              <w:pStyle w:val="TableText0"/>
              <w:jc w:val="center"/>
              <w:rPr>
                <w:szCs w:val="20"/>
              </w:rPr>
            </w:pPr>
            <w:r w:rsidRPr="003153AA">
              <w:rPr>
                <w:szCs w:val="20"/>
              </w:rPr>
              <w:t>-</w:t>
            </w:r>
          </w:p>
        </w:tc>
        <w:tc>
          <w:tcPr>
            <w:tcW w:w="1400" w:type="pct"/>
            <w:vAlign w:val="center"/>
          </w:tcPr>
          <w:p w14:paraId="359AE944" w14:textId="2D1996C5" w:rsidR="002F0974" w:rsidRPr="003153AA" w:rsidRDefault="002F0974">
            <w:pPr>
              <w:pStyle w:val="TableText0"/>
              <w:jc w:val="center"/>
              <w:rPr>
                <w:szCs w:val="20"/>
              </w:rPr>
            </w:pPr>
            <w:r w:rsidRPr="003153AA">
              <w:rPr>
                <w:szCs w:val="20"/>
              </w:rPr>
              <w:t>Initial: $</w:t>
            </w:r>
            <w:r w:rsidR="005822E1" w:rsidRPr="005822E1">
              <w:rPr>
                <w:sz w:val="2"/>
                <w:szCs w:val="20"/>
                <w:highlight w:val="black"/>
              </w:rPr>
              <w:t>redacted content</w:t>
            </w:r>
          </w:p>
          <w:p w14:paraId="12F39878" w14:textId="78FA0143" w:rsidR="002F0974" w:rsidRPr="003153AA" w:rsidRDefault="002F0974">
            <w:pPr>
              <w:pStyle w:val="TableText0"/>
              <w:jc w:val="center"/>
              <w:rPr>
                <w:szCs w:val="20"/>
                <w:highlight w:val="yellow"/>
              </w:rPr>
            </w:pPr>
            <w:r w:rsidRPr="003153AA">
              <w:rPr>
                <w:szCs w:val="20"/>
              </w:rPr>
              <w:t>Continuing: $</w:t>
            </w:r>
            <w:r w:rsidR="005822E1" w:rsidRPr="005822E1">
              <w:rPr>
                <w:sz w:val="2"/>
                <w:szCs w:val="20"/>
                <w:highlight w:val="black"/>
              </w:rPr>
              <w:t>redacted content</w:t>
            </w:r>
          </w:p>
        </w:tc>
        <w:tc>
          <w:tcPr>
            <w:tcW w:w="1229" w:type="pct"/>
            <w:vAlign w:val="center"/>
          </w:tcPr>
          <w:p w14:paraId="262CE101" w14:textId="2BBF1459" w:rsidR="002F0974" w:rsidRPr="003153AA" w:rsidRDefault="002F0974">
            <w:pPr>
              <w:pStyle w:val="TableText0"/>
              <w:jc w:val="center"/>
              <w:rPr>
                <w:szCs w:val="20"/>
              </w:rPr>
            </w:pPr>
            <w:r w:rsidRPr="003153AA">
              <w:rPr>
                <w:szCs w:val="20"/>
              </w:rPr>
              <w:t>Initial: $</w:t>
            </w:r>
            <w:r w:rsidR="005822E1" w:rsidRPr="005822E1">
              <w:rPr>
                <w:sz w:val="2"/>
                <w:szCs w:val="20"/>
                <w:highlight w:val="black"/>
              </w:rPr>
              <w:t>redacted content</w:t>
            </w:r>
          </w:p>
          <w:p w14:paraId="22C099B0" w14:textId="062D764E" w:rsidR="002F0974" w:rsidRPr="003153AA" w:rsidRDefault="002F0974">
            <w:pPr>
              <w:pStyle w:val="TableText0"/>
              <w:jc w:val="center"/>
              <w:rPr>
                <w:szCs w:val="20"/>
              </w:rPr>
            </w:pPr>
            <w:r w:rsidRPr="003153AA">
              <w:rPr>
                <w:szCs w:val="20"/>
              </w:rPr>
              <w:t>Continuing: $</w:t>
            </w:r>
            <w:r w:rsidR="005822E1" w:rsidRPr="005822E1">
              <w:rPr>
                <w:sz w:val="2"/>
                <w:szCs w:val="20"/>
                <w:highlight w:val="black"/>
              </w:rPr>
              <w:t>redacted content</w:t>
            </w:r>
            <w:r w:rsidRPr="003153AA">
              <w:rPr>
                <w:szCs w:val="20"/>
              </w:rPr>
              <w:t xml:space="preserve"> Grandfathered: $</w:t>
            </w:r>
            <w:r w:rsidR="005822E1" w:rsidRPr="005822E1">
              <w:rPr>
                <w:sz w:val="2"/>
                <w:szCs w:val="20"/>
                <w:highlight w:val="black"/>
              </w:rPr>
              <w:t>redacted content</w:t>
            </w:r>
          </w:p>
        </w:tc>
      </w:tr>
    </w:tbl>
    <w:p w14:paraId="5E510D81" w14:textId="77777777" w:rsidR="002F0974" w:rsidRPr="003153AA" w:rsidRDefault="002F0974" w:rsidP="002F0974">
      <w:pPr>
        <w:pStyle w:val="FooterTableFigure"/>
        <w:spacing w:after="0"/>
      </w:pPr>
      <w:r w:rsidRPr="003153AA">
        <w:t>Source: compiled during the evaluation from economic and financial model assumptions.</w:t>
      </w:r>
    </w:p>
    <w:p w14:paraId="667FED3F" w14:textId="77777777" w:rsidR="002F0974" w:rsidRPr="003153AA" w:rsidRDefault="002F0974" w:rsidP="002F0974">
      <w:pPr>
        <w:pStyle w:val="TableFigureFooter"/>
        <w:spacing w:after="0"/>
        <w:ind w:left="165" w:hanging="165"/>
      </w:pPr>
      <w:proofErr w:type="spellStart"/>
      <w:r w:rsidRPr="003153AA">
        <w:rPr>
          <w:rFonts w:eastAsia="Calibri"/>
          <w:szCs w:val="20"/>
          <w:vertAlign w:val="superscript"/>
        </w:rPr>
        <w:t>a</w:t>
      </w:r>
      <w:proofErr w:type="spellEnd"/>
      <w:r w:rsidRPr="003153AA">
        <w:rPr>
          <w:rFonts w:eastAsia="Calibri"/>
          <w:szCs w:val="20"/>
          <w:vertAlign w:val="superscript"/>
        </w:rPr>
        <w:tab/>
      </w:r>
      <w:r w:rsidRPr="003153AA">
        <w:rPr>
          <w:rFonts w:eastAsia="Calibri"/>
          <w:szCs w:val="20"/>
        </w:rPr>
        <w:t>T</w:t>
      </w:r>
      <w:r w:rsidRPr="003153AA">
        <w:t xml:space="preserve">he financial estimates assumed a 50:50 split for public: private scripts, compared to 75: 25 based on rituximab PBS use in the economic model. </w:t>
      </w:r>
    </w:p>
    <w:p w14:paraId="54BD6C7E" w14:textId="77777777" w:rsidR="002F0974" w:rsidRPr="003153AA" w:rsidRDefault="002F0974" w:rsidP="002F0974">
      <w:pPr>
        <w:pStyle w:val="TableFigureFooter"/>
        <w:spacing w:after="0"/>
      </w:pPr>
      <w:r w:rsidRPr="003153AA">
        <w:rPr>
          <w:rFonts w:eastAsia="Calibri"/>
          <w:szCs w:val="20"/>
          <w:vertAlign w:val="superscript"/>
        </w:rPr>
        <w:t>b</w:t>
      </w:r>
      <w:r w:rsidRPr="003153AA">
        <w:rPr>
          <w:rFonts w:eastAsia="Calibri"/>
          <w:szCs w:val="20"/>
          <w:vertAlign w:val="superscript"/>
        </w:rPr>
        <w:tab/>
      </w:r>
      <w:r w:rsidRPr="003153AA">
        <w:t>Calculated during the evaluation (Gompertz extrapolation).</w:t>
      </w:r>
    </w:p>
    <w:p w14:paraId="01F7F91D" w14:textId="77777777" w:rsidR="002F0974" w:rsidRDefault="002F0974" w:rsidP="002F0974">
      <w:pPr>
        <w:pStyle w:val="TableFigureFooter"/>
        <w:spacing w:after="0"/>
      </w:pPr>
      <w:r w:rsidRPr="003153AA">
        <w:rPr>
          <w:rFonts w:eastAsia="Calibri"/>
          <w:szCs w:val="20"/>
          <w:vertAlign w:val="superscript"/>
        </w:rPr>
        <w:t>c</w:t>
      </w:r>
      <w:r w:rsidRPr="003153AA">
        <w:rPr>
          <w:rFonts w:eastAsia="Calibri"/>
          <w:szCs w:val="20"/>
          <w:vertAlign w:val="superscript"/>
        </w:rPr>
        <w:tab/>
      </w:r>
      <w:r w:rsidRPr="003153AA">
        <w:t>This dose was across all cycles.</w:t>
      </w:r>
    </w:p>
    <w:p w14:paraId="5EBC269D" w14:textId="08441AD0" w:rsidR="00C75097" w:rsidRPr="00C75097" w:rsidRDefault="00C75097" w:rsidP="00C75097">
      <w:pPr>
        <w:pStyle w:val="3-BodyText"/>
      </w:pPr>
      <w:r>
        <w:t>The pre-PBAC response proposed a revised ex-manufacturer price of $</w:t>
      </w:r>
      <w:r w:rsidR="005822E1" w:rsidRPr="005822E1">
        <w:rPr>
          <w:sz w:val="2"/>
          <w:highlight w:val="black"/>
        </w:rPr>
        <w:t>redacted content</w:t>
      </w:r>
      <w:r>
        <w:t xml:space="preserve"> per 10 mg vial.</w:t>
      </w:r>
    </w:p>
    <w:p w14:paraId="268768EF" w14:textId="3626F292" w:rsidR="00B60939" w:rsidRPr="000B298F" w:rsidRDefault="00B60939" w:rsidP="000B298F">
      <w:pPr>
        <w:pStyle w:val="4-SubsectionHeading"/>
      </w:pPr>
      <w:bookmarkStart w:id="71" w:name="_Toc219880990"/>
      <w:r w:rsidRPr="000B298F">
        <w:t>Estimated PBS usage &amp; financial implications</w:t>
      </w:r>
      <w:bookmarkEnd w:id="70"/>
      <w:bookmarkEnd w:id="71"/>
    </w:p>
    <w:p w14:paraId="3E5352DF" w14:textId="625CA3C4" w:rsidR="002F0974" w:rsidRPr="003153AA" w:rsidRDefault="002F0974" w:rsidP="420C3841">
      <w:pPr>
        <w:pStyle w:val="3-BodyText"/>
      </w:pPr>
      <w:r w:rsidRPr="003153AA">
        <w:t xml:space="preserve">This submission </w:t>
      </w:r>
      <w:r w:rsidR="00265590">
        <w:t>was</w:t>
      </w:r>
      <w:r w:rsidRPr="003153AA">
        <w:t xml:space="preserve"> considered </w:t>
      </w:r>
      <w:r w:rsidR="00AB795A">
        <w:t>at</w:t>
      </w:r>
      <w:r w:rsidR="005114A1" w:rsidRPr="003153AA">
        <w:t xml:space="preserve"> the joint ESC</w:t>
      </w:r>
      <w:r w:rsidR="0099174A" w:rsidRPr="003153AA">
        <w:t>-</w:t>
      </w:r>
      <w:r w:rsidRPr="003153AA">
        <w:t>DUSC</w:t>
      </w:r>
      <w:r w:rsidR="0099174A" w:rsidRPr="003153AA">
        <w:t xml:space="preserve"> meeting</w:t>
      </w:r>
      <w:r w:rsidRPr="003153AA">
        <w:t>.</w:t>
      </w:r>
    </w:p>
    <w:p w14:paraId="1D9F0437" w14:textId="77777777" w:rsidR="002F0974" w:rsidRPr="003153AA" w:rsidRDefault="002F0974" w:rsidP="002F0974">
      <w:pPr>
        <w:pStyle w:val="3-BodyText"/>
        <w:numPr>
          <w:ilvl w:val="1"/>
          <w:numId w:val="1"/>
        </w:numPr>
      </w:pPr>
      <w:r w:rsidRPr="003153AA">
        <w:t>The submission estimated the financial implications of the proposed listing using an epidemiological approach, based on four incident patient subpopulations of adults with DLBCL, PMBL or HGBL who failed or were ineligible to receive the following treatments:</w:t>
      </w:r>
    </w:p>
    <w:p w14:paraId="7871653A" w14:textId="77777777" w:rsidR="002F0974" w:rsidRPr="003153AA" w:rsidRDefault="002F0974" w:rsidP="002A3163">
      <w:pPr>
        <w:pStyle w:val="3-BodyText"/>
        <w:numPr>
          <w:ilvl w:val="0"/>
          <w:numId w:val="13"/>
        </w:numPr>
      </w:pPr>
      <w:r w:rsidRPr="003153AA">
        <w:t>Patients who receive 3L CAR T-cell therapy but then are R/R and require 4L treatment</w:t>
      </w:r>
    </w:p>
    <w:p w14:paraId="31456B91" w14:textId="77777777" w:rsidR="002F0974" w:rsidRPr="003153AA" w:rsidRDefault="002F0974" w:rsidP="002A3163">
      <w:pPr>
        <w:pStyle w:val="3-BodyText"/>
        <w:numPr>
          <w:ilvl w:val="0"/>
          <w:numId w:val="13"/>
        </w:numPr>
      </w:pPr>
      <w:r w:rsidRPr="003153AA">
        <w:t>Patients who receive 2L glofitamab but then are R/R and require 3L treatment</w:t>
      </w:r>
    </w:p>
    <w:p w14:paraId="4F3C5924" w14:textId="77777777" w:rsidR="002F0974" w:rsidRPr="003153AA" w:rsidRDefault="002F0974" w:rsidP="002A3163">
      <w:pPr>
        <w:pStyle w:val="3-BodyText"/>
        <w:numPr>
          <w:ilvl w:val="0"/>
          <w:numId w:val="13"/>
        </w:numPr>
      </w:pPr>
      <w:r w:rsidRPr="003153AA">
        <w:t>Patients who are ineligible for, or do not receive epcoritamab in the 3L, and</w:t>
      </w:r>
    </w:p>
    <w:p w14:paraId="59348E25" w14:textId="77777777" w:rsidR="002F0974" w:rsidRPr="003153AA" w:rsidRDefault="002F0974" w:rsidP="002A3163">
      <w:pPr>
        <w:pStyle w:val="3-BodyText"/>
        <w:numPr>
          <w:ilvl w:val="0"/>
          <w:numId w:val="13"/>
        </w:numPr>
      </w:pPr>
      <w:r w:rsidRPr="003153AA">
        <w:t>Patients who receive 3L epcoritamab but then are R/R and require 4L treatment</w:t>
      </w:r>
    </w:p>
    <w:bookmarkStart w:id="72" w:name="_Ref104805262"/>
    <w:p w14:paraId="503E1A00" w14:textId="33ADD414" w:rsidR="002F0974" w:rsidRPr="003153AA" w:rsidRDefault="002F0974" w:rsidP="002F0974">
      <w:pPr>
        <w:pStyle w:val="3-BodyText"/>
        <w:numPr>
          <w:ilvl w:val="1"/>
          <w:numId w:val="1"/>
        </w:numPr>
      </w:pPr>
      <w:r w:rsidRPr="003153AA">
        <w:fldChar w:fldCharType="begin"/>
      </w:r>
      <w:r w:rsidRPr="003153AA">
        <w:instrText xml:space="preserve"> REF _Ref219129047 \h  \* MERGEFORMAT </w:instrText>
      </w:r>
      <w:r w:rsidRPr="003153AA">
        <w:fldChar w:fldCharType="separate"/>
      </w:r>
      <w:r w:rsidR="007D33FD" w:rsidRPr="003153AA">
        <w:t>Table 18</w:t>
      </w:r>
      <w:r w:rsidRPr="003153AA">
        <w:fldChar w:fldCharType="end"/>
      </w:r>
      <w:r w:rsidRPr="003153AA">
        <w:t xml:space="preserve"> summarises the key inputs and calculations of the number of patients likely to receive loncastuximab tesirine and number of scripts dispensed.</w:t>
      </w:r>
    </w:p>
    <w:p w14:paraId="797855CD" w14:textId="77777777" w:rsidR="002F0974" w:rsidRPr="003153AA" w:rsidRDefault="002F0974" w:rsidP="002F0974">
      <w:pPr>
        <w:pStyle w:val="3-BodyText"/>
        <w:numPr>
          <w:ilvl w:val="0"/>
          <w:numId w:val="0"/>
        </w:numPr>
        <w:ind w:left="720"/>
      </w:pPr>
    </w:p>
    <w:p w14:paraId="527AFD5E" w14:textId="77777777" w:rsidR="00A13371" w:rsidRDefault="00A13371">
      <w:pPr>
        <w:jc w:val="left"/>
        <w:rPr>
          <w:rFonts w:ascii="Arial Narrow" w:eastAsiaTheme="majorEastAsia" w:hAnsi="Arial Narrow" w:cstheme="majorBidi"/>
          <w:b/>
          <w:bCs/>
          <w:sz w:val="20"/>
        </w:rPr>
      </w:pPr>
      <w:bookmarkStart w:id="73" w:name="_Ref219129047"/>
      <w:bookmarkEnd w:id="72"/>
      <w:r>
        <w:br w:type="page"/>
      </w:r>
    </w:p>
    <w:p w14:paraId="18809794" w14:textId="42E47C22" w:rsidR="002F0974" w:rsidRDefault="002F0974" w:rsidP="00A13371">
      <w:pPr>
        <w:pStyle w:val="TableFigureHeading"/>
        <w:keepNext w:val="0"/>
        <w:widowControl w:val="0"/>
        <w:rPr>
          <w:rStyle w:val="CommentReference"/>
          <w:b/>
          <w:bCs w:val="0"/>
        </w:rPr>
      </w:pPr>
      <w:r w:rsidRPr="003153AA">
        <w:lastRenderedPageBreak/>
        <w:t xml:space="preserve">Table </w:t>
      </w:r>
      <w:r w:rsidRPr="003153AA">
        <w:fldChar w:fldCharType="begin"/>
      </w:r>
      <w:r w:rsidRPr="003153AA">
        <w:instrText>SEQ Table \* ARABIC</w:instrText>
      </w:r>
      <w:r w:rsidRPr="003153AA">
        <w:fldChar w:fldCharType="separate"/>
      </w:r>
      <w:r w:rsidR="007D33FD" w:rsidRPr="003153AA">
        <w:rPr>
          <w:noProof/>
        </w:rPr>
        <w:t>18</w:t>
      </w:r>
      <w:r w:rsidRPr="003153AA">
        <w:fldChar w:fldCharType="end"/>
      </w:r>
      <w:bookmarkEnd w:id="73"/>
      <w:r w:rsidRPr="003153AA">
        <w:t>:</w:t>
      </w:r>
      <w:r w:rsidRPr="003153AA">
        <w:rPr>
          <w:rStyle w:val="CommentReference"/>
          <w:b/>
          <w:bCs w:val="0"/>
        </w:rPr>
        <w:t xml:space="preserve"> Data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Data sources and parameter values applied in the utilisation and financial estimates"/>
      </w:tblPr>
      <w:tblGrid>
        <w:gridCol w:w="1271"/>
        <w:gridCol w:w="3402"/>
        <w:gridCol w:w="1559"/>
        <w:gridCol w:w="2948"/>
      </w:tblGrid>
      <w:tr w:rsidR="002F0974" w:rsidRPr="003153AA" w14:paraId="794FAC05" w14:textId="77777777" w:rsidTr="005C4AAD">
        <w:trPr>
          <w:tblHeader/>
        </w:trPr>
        <w:tc>
          <w:tcPr>
            <w:tcW w:w="1271" w:type="dxa"/>
            <w:vAlign w:val="center"/>
          </w:tcPr>
          <w:p w14:paraId="1843D738" w14:textId="77777777" w:rsidR="002F0974" w:rsidRPr="003153AA" w:rsidRDefault="002F0974" w:rsidP="008B520A">
            <w:pPr>
              <w:pStyle w:val="In-tableHeading"/>
              <w:keepNext w:val="0"/>
              <w:widowControl w:val="0"/>
              <w:rPr>
                <w:b w:val="0"/>
                <w:bCs/>
              </w:rPr>
            </w:pPr>
            <w:r w:rsidRPr="003153AA">
              <w:t>Data</w:t>
            </w:r>
          </w:p>
        </w:tc>
        <w:tc>
          <w:tcPr>
            <w:tcW w:w="3402" w:type="dxa"/>
            <w:vAlign w:val="center"/>
          </w:tcPr>
          <w:p w14:paraId="7DA439A2" w14:textId="77777777" w:rsidR="002F0974" w:rsidRPr="003153AA" w:rsidRDefault="002F0974" w:rsidP="008B520A">
            <w:pPr>
              <w:pStyle w:val="In-tableHeading"/>
              <w:keepNext w:val="0"/>
              <w:widowControl w:val="0"/>
              <w:rPr>
                <w:b w:val="0"/>
                <w:bCs/>
              </w:rPr>
            </w:pPr>
            <w:r w:rsidRPr="003153AA">
              <w:t>Value</w:t>
            </w:r>
          </w:p>
        </w:tc>
        <w:tc>
          <w:tcPr>
            <w:tcW w:w="1559" w:type="dxa"/>
            <w:vAlign w:val="center"/>
          </w:tcPr>
          <w:p w14:paraId="20440832" w14:textId="77777777" w:rsidR="002F0974" w:rsidRPr="003153AA" w:rsidRDefault="002F0974" w:rsidP="008B520A">
            <w:pPr>
              <w:pStyle w:val="In-tableHeading"/>
              <w:keepNext w:val="0"/>
              <w:widowControl w:val="0"/>
              <w:rPr>
                <w:b w:val="0"/>
                <w:bCs/>
              </w:rPr>
            </w:pPr>
            <w:r w:rsidRPr="003153AA">
              <w:t>Source</w:t>
            </w:r>
          </w:p>
        </w:tc>
        <w:tc>
          <w:tcPr>
            <w:tcW w:w="2948" w:type="dxa"/>
            <w:vAlign w:val="center"/>
          </w:tcPr>
          <w:p w14:paraId="6CFB21E1" w14:textId="0C5AA3CC" w:rsidR="002F0974" w:rsidRPr="003153AA" w:rsidRDefault="002F0974" w:rsidP="008B520A">
            <w:pPr>
              <w:pStyle w:val="In-tableHeading"/>
              <w:keepNext w:val="0"/>
              <w:widowControl w:val="0"/>
              <w:rPr>
                <w:b w:val="0"/>
                <w:bCs/>
              </w:rPr>
            </w:pPr>
            <w:r w:rsidRPr="003153AA">
              <w:t>Comment</w:t>
            </w:r>
          </w:p>
        </w:tc>
      </w:tr>
      <w:tr w:rsidR="002F0974" w:rsidRPr="003153AA" w14:paraId="6013522E" w14:textId="77777777">
        <w:tc>
          <w:tcPr>
            <w:tcW w:w="9180" w:type="dxa"/>
            <w:gridSpan w:val="4"/>
            <w:vAlign w:val="center"/>
          </w:tcPr>
          <w:p w14:paraId="0087429E" w14:textId="77777777" w:rsidR="002F0974" w:rsidRPr="003153AA" w:rsidRDefault="002F0974" w:rsidP="008B520A">
            <w:pPr>
              <w:pStyle w:val="In-tableHeading"/>
              <w:keepNext w:val="0"/>
              <w:widowControl w:val="0"/>
              <w:rPr>
                <w:b w:val="0"/>
                <w:bCs/>
              </w:rPr>
            </w:pPr>
            <w:r w:rsidRPr="003153AA">
              <w:t>Eligible population</w:t>
            </w:r>
          </w:p>
        </w:tc>
      </w:tr>
      <w:tr w:rsidR="002F0974" w:rsidRPr="003153AA" w14:paraId="6DC32E47" w14:textId="77777777" w:rsidTr="00693983">
        <w:tc>
          <w:tcPr>
            <w:tcW w:w="1271" w:type="dxa"/>
          </w:tcPr>
          <w:p w14:paraId="6044A40C" w14:textId="77777777" w:rsidR="002F0974" w:rsidRPr="003153AA" w:rsidRDefault="002F0974" w:rsidP="008B520A">
            <w:pPr>
              <w:pStyle w:val="TableText0"/>
              <w:keepNext w:val="0"/>
              <w:widowControl w:val="0"/>
            </w:pPr>
            <w:r w:rsidRPr="003153AA">
              <w:t>Incident patients</w:t>
            </w:r>
          </w:p>
        </w:tc>
        <w:tc>
          <w:tcPr>
            <w:tcW w:w="3402" w:type="dxa"/>
            <w:vAlign w:val="center"/>
          </w:tcPr>
          <w:tbl>
            <w:tblPr>
              <w:tblStyle w:val="TableGrid"/>
              <w:tblW w:w="3283" w:type="dxa"/>
              <w:tblLayout w:type="fixed"/>
              <w:tblCellMar>
                <w:left w:w="57" w:type="dxa"/>
                <w:right w:w="57" w:type="dxa"/>
              </w:tblCellMar>
              <w:tblLook w:val="04A0" w:firstRow="1" w:lastRow="0" w:firstColumn="1" w:lastColumn="0" w:noHBand="0" w:noVBand="1"/>
            </w:tblPr>
            <w:tblGrid>
              <w:gridCol w:w="573"/>
              <w:gridCol w:w="733"/>
              <w:gridCol w:w="708"/>
              <w:gridCol w:w="645"/>
              <w:gridCol w:w="624"/>
            </w:tblGrid>
            <w:tr w:rsidR="002F0974" w:rsidRPr="003153AA" w14:paraId="46956363" w14:textId="77777777">
              <w:trPr>
                <w:trHeight w:val="221"/>
              </w:trPr>
              <w:tc>
                <w:tcPr>
                  <w:tcW w:w="573" w:type="dxa"/>
                </w:tcPr>
                <w:p w14:paraId="445656E5" w14:textId="77777777" w:rsidR="002F0974" w:rsidRPr="003153AA" w:rsidRDefault="002F0974" w:rsidP="008B520A">
                  <w:pPr>
                    <w:pStyle w:val="In-tableHeading"/>
                    <w:keepNext w:val="0"/>
                    <w:widowControl w:val="0"/>
                  </w:pPr>
                </w:p>
              </w:tc>
              <w:tc>
                <w:tcPr>
                  <w:tcW w:w="733" w:type="dxa"/>
                </w:tcPr>
                <w:p w14:paraId="3F5076AB" w14:textId="77777777" w:rsidR="002F0974" w:rsidRPr="003153AA" w:rsidRDefault="002F0974" w:rsidP="008B520A">
                  <w:pPr>
                    <w:pStyle w:val="TableText0"/>
                    <w:keepNext w:val="0"/>
                    <w:widowControl w:val="0"/>
                    <w:rPr>
                      <w:snapToGrid w:val="0"/>
                    </w:rPr>
                  </w:pPr>
                  <w:r w:rsidRPr="003153AA">
                    <w:rPr>
                      <w:snapToGrid w:val="0"/>
                    </w:rPr>
                    <w:t>DLBCL</w:t>
                  </w:r>
                </w:p>
              </w:tc>
              <w:tc>
                <w:tcPr>
                  <w:tcW w:w="708" w:type="dxa"/>
                </w:tcPr>
                <w:p w14:paraId="0CE5520B" w14:textId="77777777" w:rsidR="002F0974" w:rsidRPr="003153AA" w:rsidRDefault="002F0974" w:rsidP="008B520A">
                  <w:pPr>
                    <w:pStyle w:val="TableText0"/>
                    <w:keepNext w:val="0"/>
                    <w:widowControl w:val="0"/>
                    <w:rPr>
                      <w:snapToGrid w:val="0"/>
                    </w:rPr>
                  </w:pPr>
                  <w:r w:rsidRPr="003153AA">
                    <w:rPr>
                      <w:snapToGrid w:val="0"/>
                    </w:rPr>
                    <w:t>PMBL</w:t>
                  </w:r>
                </w:p>
              </w:tc>
              <w:tc>
                <w:tcPr>
                  <w:tcW w:w="645" w:type="dxa"/>
                </w:tcPr>
                <w:p w14:paraId="54893441" w14:textId="77777777" w:rsidR="002F0974" w:rsidRPr="003153AA" w:rsidRDefault="002F0974" w:rsidP="008B520A">
                  <w:pPr>
                    <w:pStyle w:val="TableText0"/>
                    <w:keepNext w:val="0"/>
                    <w:widowControl w:val="0"/>
                    <w:rPr>
                      <w:snapToGrid w:val="0"/>
                    </w:rPr>
                  </w:pPr>
                  <w:r w:rsidRPr="003153AA">
                    <w:rPr>
                      <w:snapToGrid w:val="0"/>
                    </w:rPr>
                    <w:t>HGBL</w:t>
                  </w:r>
                </w:p>
              </w:tc>
              <w:tc>
                <w:tcPr>
                  <w:tcW w:w="624" w:type="dxa"/>
                </w:tcPr>
                <w:p w14:paraId="2EA68DA9" w14:textId="77777777" w:rsidR="002F0974" w:rsidRPr="003153AA" w:rsidRDefault="002F0974" w:rsidP="008B520A">
                  <w:pPr>
                    <w:pStyle w:val="TableText0"/>
                    <w:keepNext w:val="0"/>
                    <w:widowControl w:val="0"/>
                    <w:rPr>
                      <w:snapToGrid w:val="0"/>
                    </w:rPr>
                  </w:pPr>
                  <w:r w:rsidRPr="003153AA">
                    <w:rPr>
                      <w:snapToGrid w:val="0"/>
                    </w:rPr>
                    <w:t>Total</w:t>
                  </w:r>
                </w:p>
              </w:tc>
            </w:tr>
            <w:tr w:rsidR="002F0974" w:rsidRPr="003153AA" w14:paraId="1EDE8E71" w14:textId="77777777">
              <w:trPr>
                <w:trHeight w:val="221"/>
              </w:trPr>
              <w:tc>
                <w:tcPr>
                  <w:tcW w:w="573" w:type="dxa"/>
                </w:tcPr>
                <w:p w14:paraId="6C12A261" w14:textId="77777777" w:rsidR="002F0974" w:rsidRPr="003153AA" w:rsidRDefault="002F0974" w:rsidP="008B520A">
                  <w:pPr>
                    <w:pStyle w:val="In-tableHeading"/>
                    <w:keepNext w:val="0"/>
                    <w:widowControl w:val="0"/>
                  </w:pPr>
                  <w:r w:rsidRPr="003153AA">
                    <w:t>Yr 1</w:t>
                  </w:r>
                </w:p>
              </w:tc>
              <w:tc>
                <w:tcPr>
                  <w:tcW w:w="733" w:type="dxa"/>
                </w:tcPr>
                <w:p w14:paraId="21EC6624" w14:textId="64AB5FCF" w:rsidR="002F0974" w:rsidRPr="007A6552" w:rsidRDefault="005822E1" w:rsidP="008B520A">
                  <w:pPr>
                    <w:pStyle w:val="TableText0"/>
                    <w:keepNext w:val="0"/>
                    <w:widowControl w:val="0"/>
                    <w:rPr>
                      <w:snapToGrid w:val="0"/>
                      <w:vertAlign w:val="superscript"/>
                    </w:rPr>
                  </w:pPr>
                  <w:r w:rsidRPr="005822E1">
                    <w:rPr>
                      <w:snapToGrid w:val="0"/>
                      <w:sz w:val="2"/>
                      <w:highlight w:val="black"/>
                    </w:rPr>
                    <w:t>redacted content</w:t>
                  </w:r>
                  <w:r w:rsidR="007A6552">
                    <w:rPr>
                      <w:snapToGrid w:val="0"/>
                      <w:vertAlign w:val="superscript"/>
                    </w:rPr>
                    <w:t>1</w:t>
                  </w:r>
                </w:p>
              </w:tc>
              <w:tc>
                <w:tcPr>
                  <w:tcW w:w="708" w:type="dxa"/>
                </w:tcPr>
                <w:p w14:paraId="05173325" w14:textId="7110458A"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645" w:type="dxa"/>
                </w:tcPr>
                <w:p w14:paraId="6611D187" w14:textId="37B37114"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624" w:type="dxa"/>
                </w:tcPr>
                <w:p w14:paraId="54A025FF" w14:textId="4F67CAD5" w:rsidR="002F0974" w:rsidRPr="007A6552" w:rsidRDefault="005822E1" w:rsidP="008B520A">
                  <w:pPr>
                    <w:pStyle w:val="TableText0"/>
                    <w:keepNext w:val="0"/>
                    <w:widowControl w:val="0"/>
                    <w:rPr>
                      <w:snapToGrid w:val="0"/>
                      <w:vertAlign w:val="superscript"/>
                    </w:rPr>
                  </w:pPr>
                  <w:r w:rsidRPr="005822E1">
                    <w:rPr>
                      <w:snapToGrid w:val="0"/>
                      <w:sz w:val="2"/>
                      <w:highlight w:val="black"/>
                    </w:rPr>
                    <w:t>redacted content</w:t>
                  </w:r>
                  <w:r w:rsidR="007A6552">
                    <w:rPr>
                      <w:snapToGrid w:val="0"/>
                      <w:vertAlign w:val="superscript"/>
                    </w:rPr>
                    <w:t>1</w:t>
                  </w:r>
                </w:p>
              </w:tc>
            </w:tr>
            <w:tr w:rsidR="002F0974" w:rsidRPr="003153AA" w14:paraId="2228A7E2" w14:textId="77777777">
              <w:trPr>
                <w:trHeight w:val="221"/>
              </w:trPr>
              <w:tc>
                <w:tcPr>
                  <w:tcW w:w="573" w:type="dxa"/>
                </w:tcPr>
                <w:p w14:paraId="5B0B409E" w14:textId="77777777" w:rsidR="002F0974" w:rsidRPr="003153AA" w:rsidRDefault="002F0974" w:rsidP="008B520A">
                  <w:pPr>
                    <w:pStyle w:val="In-tableHeading"/>
                    <w:keepNext w:val="0"/>
                    <w:widowControl w:val="0"/>
                  </w:pPr>
                  <w:r w:rsidRPr="003153AA">
                    <w:t>Yr 2</w:t>
                  </w:r>
                </w:p>
              </w:tc>
              <w:tc>
                <w:tcPr>
                  <w:tcW w:w="733" w:type="dxa"/>
                </w:tcPr>
                <w:p w14:paraId="59BAD6BF" w14:textId="50D14303" w:rsidR="002F0974" w:rsidRPr="007A6552" w:rsidRDefault="005822E1" w:rsidP="008B520A">
                  <w:pPr>
                    <w:pStyle w:val="TableText0"/>
                    <w:keepNext w:val="0"/>
                    <w:widowControl w:val="0"/>
                    <w:rPr>
                      <w:snapToGrid w:val="0"/>
                      <w:vertAlign w:val="superscript"/>
                    </w:rPr>
                  </w:pPr>
                  <w:r w:rsidRPr="005822E1">
                    <w:rPr>
                      <w:snapToGrid w:val="0"/>
                      <w:sz w:val="2"/>
                      <w:highlight w:val="black"/>
                    </w:rPr>
                    <w:t>redacted content</w:t>
                  </w:r>
                  <w:r w:rsidR="007A6552">
                    <w:rPr>
                      <w:snapToGrid w:val="0"/>
                      <w:vertAlign w:val="superscript"/>
                    </w:rPr>
                    <w:t>1</w:t>
                  </w:r>
                </w:p>
              </w:tc>
              <w:tc>
                <w:tcPr>
                  <w:tcW w:w="708" w:type="dxa"/>
                </w:tcPr>
                <w:p w14:paraId="6FCD460F" w14:textId="58736EBC"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645" w:type="dxa"/>
                </w:tcPr>
                <w:p w14:paraId="3105A423" w14:textId="4EA30624"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624" w:type="dxa"/>
                </w:tcPr>
                <w:p w14:paraId="4076A1C4" w14:textId="3C636329" w:rsidR="002F0974" w:rsidRPr="007A6552" w:rsidRDefault="005822E1" w:rsidP="008B520A">
                  <w:pPr>
                    <w:pStyle w:val="TableText0"/>
                    <w:keepNext w:val="0"/>
                    <w:widowControl w:val="0"/>
                    <w:rPr>
                      <w:snapToGrid w:val="0"/>
                      <w:vertAlign w:val="superscript"/>
                    </w:rPr>
                  </w:pPr>
                  <w:r w:rsidRPr="005822E1">
                    <w:rPr>
                      <w:snapToGrid w:val="0"/>
                      <w:sz w:val="2"/>
                      <w:highlight w:val="black"/>
                    </w:rPr>
                    <w:t>redacted content</w:t>
                  </w:r>
                  <w:r w:rsidR="007A6552">
                    <w:rPr>
                      <w:snapToGrid w:val="0"/>
                      <w:vertAlign w:val="superscript"/>
                    </w:rPr>
                    <w:t>1</w:t>
                  </w:r>
                </w:p>
              </w:tc>
            </w:tr>
            <w:tr w:rsidR="002F0974" w:rsidRPr="003153AA" w14:paraId="0F20A1DF" w14:textId="77777777">
              <w:trPr>
                <w:trHeight w:val="235"/>
              </w:trPr>
              <w:tc>
                <w:tcPr>
                  <w:tcW w:w="573" w:type="dxa"/>
                </w:tcPr>
                <w:p w14:paraId="0CBD4E1D" w14:textId="77777777" w:rsidR="002F0974" w:rsidRPr="003153AA" w:rsidRDefault="002F0974" w:rsidP="008B520A">
                  <w:pPr>
                    <w:pStyle w:val="In-tableHeading"/>
                    <w:keepNext w:val="0"/>
                    <w:widowControl w:val="0"/>
                  </w:pPr>
                  <w:r w:rsidRPr="003153AA">
                    <w:t>Yr 3</w:t>
                  </w:r>
                </w:p>
              </w:tc>
              <w:tc>
                <w:tcPr>
                  <w:tcW w:w="733" w:type="dxa"/>
                </w:tcPr>
                <w:p w14:paraId="556A6D2D" w14:textId="68FD0950" w:rsidR="002F0974" w:rsidRPr="007A6552" w:rsidRDefault="005822E1" w:rsidP="008B520A">
                  <w:pPr>
                    <w:pStyle w:val="TableText0"/>
                    <w:keepNext w:val="0"/>
                    <w:widowControl w:val="0"/>
                    <w:rPr>
                      <w:snapToGrid w:val="0"/>
                      <w:vertAlign w:val="superscript"/>
                    </w:rPr>
                  </w:pPr>
                  <w:r w:rsidRPr="005822E1">
                    <w:rPr>
                      <w:snapToGrid w:val="0"/>
                      <w:sz w:val="2"/>
                      <w:highlight w:val="black"/>
                    </w:rPr>
                    <w:t>redacted content</w:t>
                  </w:r>
                  <w:r w:rsidR="007A6552">
                    <w:rPr>
                      <w:snapToGrid w:val="0"/>
                      <w:vertAlign w:val="superscript"/>
                    </w:rPr>
                    <w:t>1</w:t>
                  </w:r>
                </w:p>
              </w:tc>
              <w:tc>
                <w:tcPr>
                  <w:tcW w:w="708" w:type="dxa"/>
                </w:tcPr>
                <w:p w14:paraId="6EEB2B7D" w14:textId="1BA2D80E"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645" w:type="dxa"/>
                </w:tcPr>
                <w:p w14:paraId="4EF059F0" w14:textId="35FB9B8A"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624" w:type="dxa"/>
                </w:tcPr>
                <w:p w14:paraId="75B72C05" w14:textId="353E4FFB" w:rsidR="002F0974" w:rsidRPr="007A6552" w:rsidRDefault="005822E1" w:rsidP="008B520A">
                  <w:pPr>
                    <w:pStyle w:val="TableText0"/>
                    <w:keepNext w:val="0"/>
                    <w:widowControl w:val="0"/>
                    <w:rPr>
                      <w:snapToGrid w:val="0"/>
                      <w:vertAlign w:val="superscript"/>
                    </w:rPr>
                  </w:pPr>
                  <w:r w:rsidRPr="005822E1">
                    <w:rPr>
                      <w:snapToGrid w:val="0"/>
                      <w:sz w:val="2"/>
                      <w:highlight w:val="black"/>
                    </w:rPr>
                    <w:t>redacted content</w:t>
                  </w:r>
                  <w:r w:rsidR="007A6552">
                    <w:rPr>
                      <w:snapToGrid w:val="0"/>
                      <w:vertAlign w:val="superscript"/>
                    </w:rPr>
                    <w:t>1</w:t>
                  </w:r>
                </w:p>
              </w:tc>
            </w:tr>
            <w:tr w:rsidR="002F0974" w:rsidRPr="003153AA" w14:paraId="23C40EF0" w14:textId="77777777">
              <w:trPr>
                <w:trHeight w:val="221"/>
              </w:trPr>
              <w:tc>
                <w:tcPr>
                  <w:tcW w:w="573" w:type="dxa"/>
                </w:tcPr>
                <w:p w14:paraId="71EEAAC5" w14:textId="77777777" w:rsidR="002F0974" w:rsidRPr="003153AA" w:rsidRDefault="002F0974" w:rsidP="008B520A">
                  <w:pPr>
                    <w:pStyle w:val="In-tableHeading"/>
                    <w:keepNext w:val="0"/>
                    <w:widowControl w:val="0"/>
                  </w:pPr>
                  <w:r w:rsidRPr="003153AA">
                    <w:t>Yr 4</w:t>
                  </w:r>
                </w:p>
              </w:tc>
              <w:tc>
                <w:tcPr>
                  <w:tcW w:w="733" w:type="dxa"/>
                </w:tcPr>
                <w:p w14:paraId="6C1A41B2" w14:textId="37C50B71" w:rsidR="002F0974" w:rsidRPr="007A6552" w:rsidRDefault="005822E1" w:rsidP="008B520A">
                  <w:pPr>
                    <w:pStyle w:val="TableText0"/>
                    <w:keepNext w:val="0"/>
                    <w:widowControl w:val="0"/>
                    <w:rPr>
                      <w:snapToGrid w:val="0"/>
                      <w:vertAlign w:val="superscript"/>
                    </w:rPr>
                  </w:pPr>
                  <w:r w:rsidRPr="005822E1">
                    <w:rPr>
                      <w:snapToGrid w:val="0"/>
                      <w:sz w:val="2"/>
                      <w:highlight w:val="black"/>
                    </w:rPr>
                    <w:t>redacted content</w:t>
                  </w:r>
                  <w:r w:rsidR="007A6552">
                    <w:rPr>
                      <w:snapToGrid w:val="0"/>
                      <w:vertAlign w:val="superscript"/>
                    </w:rPr>
                    <w:t>1</w:t>
                  </w:r>
                </w:p>
              </w:tc>
              <w:tc>
                <w:tcPr>
                  <w:tcW w:w="708" w:type="dxa"/>
                </w:tcPr>
                <w:p w14:paraId="46574CDD" w14:textId="56352224"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645" w:type="dxa"/>
                </w:tcPr>
                <w:p w14:paraId="1E2C9639" w14:textId="6E82B948"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624" w:type="dxa"/>
                </w:tcPr>
                <w:p w14:paraId="2F8BDDAD" w14:textId="46529C6E" w:rsidR="002F0974" w:rsidRPr="007A6552" w:rsidRDefault="005822E1" w:rsidP="008B520A">
                  <w:pPr>
                    <w:pStyle w:val="TableText0"/>
                    <w:keepNext w:val="0"/>
                    <w:widowControl w:val="0"/>
                    <w:rPr>
                      <w:snapToGrid w:val="0"/>
                      <w:vertAlign w:val="superscript"/>
                    </w:rPr>
                  </w:pPr>
                  <w:r w:rsidRPr="005822E1">
                    <w:rPr>
                      <w:snapToGrid w:val="0"/>
                      <w:sz w:val="2"/>
                      <w:highlight w:val="black"/>
                    </w:rPr>
                    <w:t>redacted content</w:t>
                  </w:r>
                  <w:r w:rsidR="007A6552">
                    <w:rPr>
                      <w:snapToGrid w:val="0"/>
                      <w:vertAlign w:val="superscript"/>
                    </w:rPr>
                    <w:t>1</w:t>
                  </w:r>
                </w:p>
              </w:tc>
            </w:tr>
            <w:tr w:rsidR="002F0974" w:rsidRPr="003153AA" w14:paraId="6AE4E2AB" w14:textId="77777777">
              <w:trPr>
                <w:trHeight w:val="221"/>
              </w:trPr>
              <w:tc>
                <w:tcPr>
                  <w:tcW w:w="573" w:type="dxa"/>
                </w:tcPr>
                <w:p w14:paraId="337DE5E7" w14:textId="77777777" w:rsidR="002F0974" w:rsidRPr="003153AA" w:rsidRDefault="002F0974" w:rsidP="008B520A">
                  <w:pPr>
                    <w:pStyle w:val="In-tableHeading"/>
                    <w:keepNext w:val="0"/>
                    <w:widowControl w:val="0"/>
                  </w:pPr>
                  <w:r w:rsidRPr="003153AA">
                    <w:t>Yr 5</w:t>
                  </w:r>
                </w:p>
              </w:tc>
              <w:tc>
                <w:tcPr>
                  <w:tcW w:w="733" w:type="dxa"/>
                </w:tcPr>
                <w:p w14:paraId="7FE9AB27" w14:textId="693D32D7" w:rsidR="002F0974" w:rsidRPr="007A6552" w:rsidRDefault="005822E1" w:rsidP="008B520A">
                  <w:pPr>
                    <w:pStyle w:val="TableText0"/>
                    <w:keepNext w:val="0"/>
                    <w:widowControl w:val="0"/>
                    <w:rPr>
                      <w:snapToGrid w:val="0"/>
                      <w:vertAlign w:val="superscript"/>
                    </w:rPr>
                  </w:pPr>
                  <w:r w:rsidRPr="005822E1">
                    <w:rPr>
                      <w:snapToGrid w:val="0"/>
                      <w:sz w:val="2"/>
                      <w:highlight w:val="black"/>
                    </w:rPr>
                    <w:t>redacted content</w:t>
                  </w:r>
                  <w:r w:rsidR="007A6552">
                    <w:rPr>
                      <w:snapToGrid w:val="0"/>
                      <w:vertAlign w:val="superscript"/>
                    </w:rPr>
                    <w:t>1</w:t>
                  </w:r>
                </w:p>
              </w:tc>
              <w:tc>
                <w:tcPr>
                  <w:tcW w:w="708" w:type="dxa"/>
                </w:tcPr>
                <w:p w14:paraId="4257E803" w14:textId="48C19C70"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645" w:type="dxa"/>
                </w:tcPr>
                <w:p w14:paraId="416C83D8" w14:textId="506813F9"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624" w:type="dxa"/>
                </w:tcPr>
                <w:p w14:paraId="7B0ADD9E" w14:textId="11CFF35B" w:rsidR="002F0974" w:rsidRPr="007A6552" w:rsidRDefault="005822E1" w:rsidP="008B520A">
                  <w:pPr>
                    <w:pStyle w:val="TableText0"/>
                    <w:keepNext w:val="0"/>
                    <w:widowControl w:val="0"/>
                    <w:rPr>
                      <w:snapToGrid w:val="0"/>
                      <w:vertAlign w:val="superscript"/>
                    </w:rPr>
                  </w:pPr>
                  <w:r w:rsidRPr="005822E1">
                    <w:rPr>
                      <w:snapToGrid w:val="0"/>
                      <w:sz w:val="2"/>
                      <w:highlight w:val="black"/>
                    </w:rPr>
                    <w:t>redacted content</w:t>
                  </w:r>
                  <w:r w:rsidR="007A6552">
                    <w:rPr>
                      <w:snapToGrid w:val="0"/>
                      <w:vertAlign w:val="superscript"/>
                    </w:rPr>
                    <w:t>1</w:t>
                  </w:r>
                </w:p>
              </w:tc>
            </w:tr>
            <w:tr w:rsidR="002F0974" w:rsidRPr="003153AA" w14:paraId="6605AE79" w14:textId="77777777">
              <w:trPr>
                <w:trHeight w:val="221"/>
              </w:trPr>
              <w:tc>
                <w:tcPr>
                  <w:tcW w:w="573" w:type="dxa"/>
                </w:tcPr>
                <w:p w14:paraId="69D8A617" w14:textId="77777777" w:rsidR="002F0974" w:rsidRPr="003153AA" w:rsidRDefault="002F0974" w:rsidP="008B520A">
                  <w:pPr>
                    <w:pStyle w:val="In-tableHeading"/>
                    <w:keepNext w:val="0"/>
                    <w:widowControl w:val="0"/>
                  </w:pPr>
                  <w:r w:rsidRPr="003153AA">
                    <w:t>Yr 6</w:t>
                  </w:r>
                </w:p>
              </w:tc>
              <w:tc>
                <w:tcPr>
                  <w:tcW w:w="733" w:type="dxa"/>
                </w:tcPr>
                <w:p w14:paraId="3768B6D1" w14:textId="2D1A9752" w:rsidR="002F0974" w:rsidRPr="007A6552" w:rsidRDefault="005822E1" w:rsidP="008B520A">
                  <w:pPr>
                    <w:pStyle w:val="TableText0"/>
                    <w:keepNext w:val="0"/>
                    <w:widowControl w:val="0"/>
                    <w:rPr>
                      <w:snapToGrid w:val="0"/>
                      <w:vertAlign w:val="superscript"/>
                    </w:rPr>
                  </w:pPr>
                  <w:r w:rsidRPr="005822E1">
                    <w:rPr>
                      <w:snapToGrid w:val="0"/>
                      <w:sz w:val="2"/>
                      <w:highlight w:val="black"/>
                    </w:rPr>
                    <w:t>redacted content</w:t>
                  </w:r>
                  <w:r w:rsidR="007A6552">
                    <w:rPr>
                      <w:snapToGrid w:val="0"/>
                      <w:vertAlign w:val="superscript"/>
                    </w:rPr>
                    <w:t>1</w:t>
                  </w:r>
                </w:p>
              </w:tc>
              <w:tc>
                <w:tcPr>
                  <w:tcW w:w="708" w:type="dxa"/>
                </w:tcPr>
                <w:p w14:paraId="473A506F" w14:textId="616448B6"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645" w:type="dxa"/>
                </w:tcPr>
                <w:p w14:paraId="232C8A5E" w14:textId="2A87A289"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624" w:type="dxa"/>
                </w:tcPr>
                <w:p w14:paraId="7EC4FC08" w14:textId="4AFA1870" w:rsidR="002F0974" w:rsidRPr="007A6552" w:rsidRDefault="005822E1" w:rsidP="008B520A">
                  <w:pPr>
                    <w:pStyle w:val="TableText0"/>
                    <w:keepNext w:val="0"/>
                    <w:widowControl w:val="0"/>
                    <w:rPr>
                      <w:snapToGrid w:val="0"/>
                      <w:vertAlign w:val="superscript"/>
                    </w:rPr>
                  </w:pPr>
                  <w:r w:rsidRPr="005822E1">
                    <w:rPr>
                      <w:snapToGrid w:val="0"/>
                      <w:sz w:val="2"/>
                      <w:highlight w:val="black"/>
                    </w:rPr>
                    <w:t>redacted content</w:t>
                  </w:r>
                  <w:r w:rsidR="007A6552">
                    <w:rPr>
                      <w:snapToGrid w:val="0"/>
                      <w:vertAlign w:val="superscript"/>
                    </w:rPr>
                    <w:t>1</w:t>
                  </w:r>
                </w:p>
              </w:tc>
            </w:tr>
          </w:tbl>
          <w:p w14:paraId="030343A2" w14:textId="77777777" w:rsidR="002F0974" w:rsidRPr="003153AA" w:rsidRDefault="002F0974" w:rsidP="008B520A">
            <w:pPr>
              <w:pStyle w:val="TableText0"/>
              <w:keepNext w:val="0"/>
              <w:widowControl w:val="0"/>
            </w:pPr>
          </w:p>
        </w:tc>
        <w:tc>
          <w:tcPr>
            <w:tcW w:w="1559" w:type="dxa"/>
            <w:vAlign w:val="center"/>
          </w:tcPr>
          <w:p w14:paraId="2F465201" w14:textId="77777777" w:rsidR="002F0974" w:rsidRPr="003153AA" w:rsidRDefault="002F0974" w:rsidP="008B520A">
            <w:pPr>
              <w:pStyle w:val="TableText0"/>
              <w:keepNext w:val="0"/>
              <w:widowControl w:val="0"/>
            </w:pPr>
            <w:r w:rsidRPr="003153AA">
              <w:t>AIHW</w:t>
            </w:r>
            <w:r w:rsidRPr="003153AA">
              <w:rPr>
                <w:rStyle w:val="FootnoteReference"/>
              </w:rPr>
              <w:footnoteReference w:id="17"/>
            </w:r>
            <w:r w:rsidRPr="003153AA">
              <w:t xml:space="preserve"> data from 2016-2021 extrapolated using an annual fixed rate:</w:t>
            </w:r>
          </w:p>
          <w:p w14:paraId="37C4B407" w14:textId="77777777" w:rsidR="002F0974" w:rsidRPr="003153AA" w:rsidRDefault="002F0974" w:rsidP="008B520A">
            <w:pPr>
              <w:pStyle w:val="TableText0"/>
              <w:keepNext w:val="0"/>
              <w:widowControl w:val="0"/>
            </w:pPr>
            <w:r w:rsidRPr="003153AA">
              <w:t>DLBCL: 3.0%</w:t>
            </w:r>
          </w:p>
          <w:p w14:paraId="103B3BD9" w14:textId="77777777" w:rsidR="002F0974" w:rsidRPr="003153AA" w:rsidRDefault="002F0974" w:rsidP="008B520A">
            <w:pPr>
              <w:pStyle w:val="TableText0"/>
              <w:keepNext w:val="0"/>
              <w:widowControl w:val="0"/>
            </w:pPr>
            <w:r w:rsidRPr="003153AA">
              <w:t>PMBL: 8.8%</w:t>
            </w:r>
          </w:p>
          <w:p w14:paraId="4B73BC5D" w14:textId="77777777" w:rsidR="002F0974" w:rsidRPr="003153AA" w:rsidRDefault="002F0974" w:rsidP="008B520A">
            <w:pPr>
              <w:pStyle w:val="TableText0"/>
              <w:keepNext w:val="0"/>
              <w:widowControl w:val="0"/>
            </w:pPr>
            <w:r w:rsidRPr="003153AA">
              <w:t>HGBL: -6.6%</w:t>
            </w:r>
          </w:p>
        </w:tc>
        <w:tc>
          <w:tcPr>
            <w:tcW w:w="2948" w:type="dxa"/>
            <w:vAlign w:val="center"/>
          </w:tcPr>
          <w:p w14:paraId="320E0F08" w14:textId="2EADD889" w:rsidR="002F0974" w:rsidRPr="003153AA" w:rsidRDefault="002F0974" w:rsidP="008B520A">
            <w:pPr>
              <w:pStyle w:val="TableText0"/>
              <w:keepNext w:val="0"/>
              <w:widowControl w:val="0"/>
            </w:pPr>
            <w:r w:rsidRPr="003153AA">
              <w:t xml:space="preserve">The </w:t>
            </w:r>
            <w:r w:rsidR="0014093A">
              <w:t xml:space="preserve">evaluation considered the </w:t>
            </w:r>
            <w:r w:rsidRPr="003153AA">
              <w:t>inclusion of PMBL population was inconsistent with the restriction.</w:t>
            </w:r>
          </w:p>
          <w:p w14:paraId="6063782D" w14:textId="5E58CE5E" w:rsidR="002F0974" w:rsidRPr="003153AA" w:rsidRDefault="002F0974" w:rsidP="008B520A">
            <w:pPr>
              <w:pStyle w:val="TableText0"/>
              <w:keepNext w:val="0"/>
              <w:widowControl w:val="0"/>
            </w:pPr>
            <w:r w:rsidRPr="003153AA">
              <w:t xml:space="preserve">The submission used the population of AIHW data from a different diagnostic subgroup to estimate incident HGBL patients. </w:t>
            </w:r>
          </w:p>
          <w:p w14:paraId="6306411E" w14:textId="77777777" w:rsidR="002F0974" w:rsidRPr="003153AA" w:rsidRDefault="002F0974" w:rsidP="008B520A">
            <w:pPr>
              <w:pStyle w:val="TableText0"/>
              <w:keepNext w:val="0"/>
              <w:widowControl w:val="0"/>
            </w:pPr>
            <w:r w:rsidRPr="003153AA">
              <w:t>Applying a linear trend to AIHW data from 2010-2021 results in lower patient numbers for DLBCL and PMBL, and higher numbers for HGBL.</w:t>
            </w:r>
          </w:p>
          <w:p w14:paraId="01FD15E3" w14:textId="7DB31E05" w:rsidR="002F0974" w:rsidRPr="003153AA" w:rsidRDefault="002F0974" w:rsidP="008B520A">
            <w:pPr>
              <w:pStyle w:val="TableText0"/>
              <w:keepNext w:val="0"/>
              <w:widowControl w:val="0"/>
            </w:pPr>
            <w:r w:rsidRPr="003153AA">
              <w:t xml:space="preserve">• DLBCL: </w:t>
            </w:r>
            <w:r w:rsidR="005822E1" w:rsidRPr="005822E1">
              <w:rPr>
                <w:sz w:val="2"/>
                <w:highlight w:val="black"/>
              </w:rPr>
              <w:t>redacted content</w:t>
            </w:r>
            <w:r w:rsidR="007A6552">
              <w:rPr>
                <w:vertAlign w:val="superscript"/>
              </w:rPr>
              <w:t>1</w:t>
            </w:r>
            <w:r w:rsidRPr="003153AA">
              <w:t xml:space="preserve"> in Y1 to </w:t>
            </w:r>
            <w:r w:rsidR="005822E1" w:rsidRPr="005822E1">
              <w:rPr>
                <w:sz w:val="2"/>
                <w:highlight w:val="black"/>
              </w:rPr>
              <w:t>redacted content</w:t>
            </w:r>
            <w:r w:rsidR="007A6552">
              <w:rPr>
                <w:vertAlign w:val="superscript"/>
              </w:rPr>
              <w:t>1</w:t>
            </w:r>
            <w:r w:rsidRPr="003153AA">
              <w:t xml:space="preserve"> in Y6.</w:t>
            </w:r>
          </w:p>
          <w:p w14:paraId="653D4DD9" w14:textId="15CBBD07" w:rsidR="002F0974" w:rsidRPr="003153AA" w:rsidRDefault="002F0974" w:rsidP="008B520A">
            <w:pPr>
              <w:pStyle w:val="TableText0"/>
              <w:keepNext w:val="0"/>
              <w:widowControl w:val="0"/>
            </w:pPr>
            <w:r w:rsidRPr="003153AA">
              <w:t xml:space="preserve">• PMBL: </w:t>
            </w:r>
            <w:r w:rsidR="005822E1" w:rsidRPr="005822E1">
              <w:rPr>
                <w:sz w:val="2"/>
                <w:highlight w:val="black"/>
              </w:rPr>
              <w:t>redacted content</w:t>
            </w:r>
            <w:r w:rsidRPr="003153AA">
              <w:t xml:space="preserve"> in Y1 to </w:t>
            </w:r>
            <w:r w:rsidR="005822E1" w:rsidRPr="005822E1">
              <w:rPr>
                <w:sz w:val="2"/>
                <w:highlight w:val="black"/>
              </w:rPr>
              <w:t>redacted content</w:t>
            </w:r>
            <w:r w:rsidRPr="003153AA">
              <w:t xml:space="preserve"> in Y6.</w:t>
            </w:r>
          </w:p>
          <w:p w14:paraId="46A32655" w14:textId="6F212E5B" w:rsidR="002F0974" w:rsidRDefault="002F0974" w:rsidP="008B520A">
            <w:pPr>
              <w:pStyle w:val="TableText0"/>
              <w:keepNext w:val="0"/>
              <w:widowControl w:val="0"/>
            </w:pPr>
            <w:r w:rsidRPr="003153AA">
              <w:t xml:space="preserve">• HGBL: </w:t>
            </w:r>
            <w:r w:rsidR="005822E1" w:rsidRPr="005822E1">
              <w:rPr>
                <w:sz w:val="2"/>
                <w:highlight w:val="black"/>
              </w:rPr>
              <w:t>redacted content</w:t>
            </w:r>
            <w:r w:rsidRPr="003153AA">
              <w:t xml:space="preserve"> in Y1 to </w:t>
            </w:r>
            <w:r w:rsidR="005822E1" w:rsidRPr="005822E1">
              <w:rPr>
                <w:sz w:val="2"/>
                <w:highlight w:val="black"/>
              </w:rPr>
              <w:t>redacted content</w:t>
            </w:r>
            <w:r w:rsidRPr="003153AA">
              <w:t xml:space="preserve"> in Y6.</w:t>
            </w:r>
          </w:p>
          <w:p w14:paraId="1E10BAC0" w14:textId="77777777" w:rsidR="0061459B" w:rsidRDefault="0061459B" w:rsidP="008B520A">
            <w:pPr>
              <w:pStyle w:val="TableText0"/>
              <w:keepNext w:val="0"/>
              <w:widowControl w:val="0"/>
            </w:pPr>
          </w:p>
          <w:p w14:paraId="7BE07A5D" w14:textId="410F74C6" w:rsidR="0061459B" w:rsidRPr="00DB151F" w:rsidRDefault="0061459B" w:rsidP="008B520A">
            <w:pPr>
              <w:pStyle w:val="TableText0"/>
              <w:keepNext w:val="0"/>
              <w:widowControl w:val="0"/>
            </w:pPr>
            <w:r w:rsidRPr="00DB151F">
              <w:t xml:space="preserve">The Sub-Committees noted that the current epidemiological model assumes patients are treated in the same year of diagnosis. The Sub-Committees considered a large proportion of patients would take longer than 12 months to progress through treatment options to be eligible for </w:t>
            </w:r>
            <w:r w:rsidR="00162DD0" w:rsidRPr="00DB151F">
              <w:t>loncastuximab</w:t>
            </w:r>
            <w:r w:rsidRPr="00DB151F">
              <w:t xml:space="preserve"> tesirine.</w:t>
            </w:r>
          </w:p>
        </w:tc>
      </w:tr>
      <w:tr w:rsidR="002F0974" w:rsidRPr="003153AA" w14:paraId="070FD5EE" w14:textId="77777777" w:rsidTr="005C4AAD">
        <w:tc>
          <w:tcPr>
            <w:tcW w:w="1271" w:type="dxa"/>
            <w:vAlign w:val="center"/>
          </w:tcPr>
          <w:p w14:paraId="73D35A98" w14:textId="77777777" w:rsidR="002F0974" w:rsidRPr="003153AA" w:rsidRDefault="002F0974" w:rsidP="008B520A">
            <w:pPr>
              <w:pStyle w:val="TableText0"/>
              <w:keepNext w:val="0"/>
              <w:widowControl w:val="0"/>
            </w:pPr>
            <w:r w:rsidRPr="003153AA">
              <w:t>Prevalent patients</w:t>
            </w:r>
          </w:p>
        </w:tc>
        <w:tc>
          <w:tcPr>
            <w:tcW w:w="3402" w:type="dxa"/>
            <w:vAlign w:val="center"/>
          </w:tcPr>
          <w:p w14:paraId="0E475C5A" w14:textId="77777777" w:rsidR="002F0974" w:rsidRPr="003153AA" w:rsidRDefault="002F0974" w:rsidP="008B520A">
            <w:pPr>
              <w:pStyle w:val="TableText0"/>
              <w:keepNext w:val="0"/>
              <w:widowControl w:val="0"/>
            </w:pPr>
            <w:r w:rsidRPr="003153AA">
              <w:t>0</w:t>
            </w:r>
          </w:p>
        </w:tc>
        <w:tc>
          <w:tcPr>
            <w:tcW w:w="1559" w:type="dxa"/>
            <w:vAlign w:val="center"/>
          </w:tcPr>
          <w:p w14:paraId="62AEA828" w14:textId="77777777" w:rsidR="002F0974" w:rsidRPr="003153AA" w:rsidRDefault="002F0974" w:rsidP="008B520A">
            <w:pPr>
              <w:pStyle w:val="TableText0"/>
              <w:keepNext w:val="0"/>
              <w:widowControl w:val="0"/>
            </w:pPr>
            <w:r w:rsidRPr="003153AA">
              <w:t xml:space="preserve">The submission did not include prevalent patients. </w:t>
            </w:r>
          </w:p>
        </w:tc>
        <w:tc>
          <w:tcPr>
            <w:tcW w:w="2948" w:type="dxa"/>
            <w:vAlign w:val="center"/>
          </w:tcPr>
          <w:p w14:paraId="7EEC6558" w14:textId="77777777" w:rsidR="002F0974" w:rsidRDefault="002F0974" w:rsidP="008B520A">
            <w:pPr>
              <w:pStyle w:val="TableText0"/>
              <w:keepNext w:val="0"/>
              <w:widowControl w:val="0"/>
            </w:pPr>
            <w:r w:rsidRPr="003153AA">
              <w:t>There were 1867 prevalent DLBCL patients in 2021 in Australia (AIHW</w:t>
            </w:r>
            <w:r w:rsidRPr="003153AA">
              <w:rPr>
                <w:rStyle w:val="FootnoteReference"/>
              </w:rPr>
              <w:footnoteReference w:id="18"/>
            </w:r>
            <w:r w:rsidRPr="003153AA">
              <w:t xml:space="preserve">). Given access to CAR-T and </w:t>
            </w:r>
            <w:proofErr w:type="spellStart"/>
            <w:r w:rsidRPr="003153AA">
              <w:t>bispecifics</w:t>
            </w:r>
            <w:proofErr w:type="spellEnd"/>
            <w:r w:rsidRPr="003153AA">
              <w:t xml:space="preserve"> in 2L, some of these patients may be eligible to receive LT in 3L+.</w:t>
            </w:r>
          </w:p>
          <w:p w14:paraId="72641BAC" w14:textId="77777777" w:rsidR="00C1079D" w:rsidRDefault="00C1079D" w:rsidP="008B520A">
            <w:pPr>
              <w:pStyle w:val="TableText0"/>
              <w:keepNext w:val="0"/>
              <w:widowControl w:val="0"/>
            </w:pPr>
          </w:p>
          <w:p w14:paraId="65337A4D" w14:textId="77777777" w:rsidR="00C1079D" w:rsidRPr="00DB151F" w:rsidRDefault="00C1079D" w:rsidP="008B520A">
            <w:pPr>
              <w:pStyle w:val="TableText0"/>
              <w:keepNext w:val="0"/>
              <w:widowControl w:val="0"/>
            </w:pPr>
            <w:r w:rsidRPr="00DB151F">
              <w:t xml:space="preserve">The Sub-Committees considered that a prevalent pool consisting of relapsing patients in the weeks prior to listing on the PBS would need to be considered as part of the epidemiological model. </w:t>
            </w:r>
          </w:p>
          <w:p w14:paraId="02E7BD29" w14:textId="77777777" w:rsidR="00C1079D" w:rsidRPr="00DB151F" w:rsidRDefault="00C1079D" w:rsidP="008B520A">
            <w:pPr>
              <w:pStyle w:val="TableText0"/>
              <w:keepNext w:val="0"/>
              <w:widowControl w:val="0"/>
            </w:pPr>
          </w:p>
          <w:p w14:paraId="617600F6" w14:textId="550C461F" w:rsidR="00C1079D" w:rsidRPr="003153AA" w:rsidRDefault="00C1079D" w:rsidP="008B520A">
            <w:pPr>
              <w:pStyle w:val="TableText0"/>
              <w:keepNext w:val="0"/>
              <w:widowControl w:val="0"/>
            </w:pPr>
            <w:r w:rsidRPr="00DB151F">
              <w:t>The Sub-Committees noted the treatment duration would differ between prevalent patients and grandfathered patients. The Sub-Committees considered that a prevalent population should be added using the full treatment duration estimate.</w:t>
            </w:r>
          </w:p>
        </w:tc>
      </w:tr>
      <w:tr w:rsidR="002F0974" w:rsidRPr="003153AA" w14:paraId="1FB14B18" w14:textId="77777777" w:rsidTr="005C4AAD">
        <w:tc>
          <w:tcPr>
            <w:tcW w:w="1271" w:type="dxa"/>
            <w:vAlign w:val="center"/>
          </w:tcPr>
          <w:p w14:paraId="058EC8E8" w14:textId="77777777" w:rsidR="002F0974" w:rsidRPr="003153AA" w:rsidRDefault="002F0974" w:rsidP="008B520A">
            <w:pPr>
              <w:pStyle w:val="TableText0"/>
              <w:keepNext w:val="0"/>
              <w:widowControl w:val="0"/>
            </w:pPr>
            <w:r w:rsidRPr="003153AA">
              <w:lastRenderedPageBreak/>
              <w:t>Total eligible patients (3L+)</w:t>
            </w:r>
          </w:p>
        </w:tc>
        <w:tc>
          <w:tcPr>
            <w:tcW w:w="3402" w:type="dxa"/>
            <w:vAlign w:val="center"/>
          </w:tcPr>
          <w:p w14:paraId="51BE1DA9" w14:textId="76F6D3BE" w:rsidR="002F0974" w:rsidRPr="00DE1FED" w:rsidRDefault="002F0974" w:rsidP="008B520A">
            <w:pPr>
              <w:pStyle w:val="TableText0"/>
              <w:keepNext w:val="0"/>
              <w:widowControl w:val="0"/>
              <w:rPr>
                <w:vertAlign w:val="superscript"/>
              </w:rPr>
            </w:pPr>
            <w:r w:rsidRPr="003153AA">
              <w:t xml:space="preserve">Yr 1: </w:t>
            </w:r>
            <w:r w:rsidR="005822E1" w:rsidRPr="005822E1">
              <w:rPr>
                <w:sz w:val="2"/>
                <w:highlight w:val="black"/>
              </w:rPr>
              <w:t>redacted content</w:t>
            </w:r>
            <w:r w:rsidR="00DE1FED">
              <w:rPr>
                <w:vertAlign w:val="superscript"/>
              </w:rPr>
              <w:t>2</w:t>
            </w:r>
          </w:p>
          <w:p w14:paraId="0584AAC6" w14:textId="2F72C59C" w:rsidR="002F0974" w:rsidRPr="00DE1FED" w:rsidRDefault="002F0974" w:rsidP="008B520A">
            <w:pPr>
              <w:pStyle w:val="TableText0"/>
              <w:keepNext w:val="0"/>
              <w:widowControl w:val="0"/>
              <w:rPr>
                <w:vertAlign w:val="superscript"/>
              </w:rPr>
            </w:pPr>
            <w:r w:rsidRPr="003153AA">
              <w:t xml:space="preserve">Yr 2: </w:t>
            </w:r>
            <w:r w:rsidR="005822E1" w:rsidRPr="005822E1">
              <w:rPr>
                <w:sz w:val="2"/>
                <w:highlight w:val="black"/>
              </w:rPr>
              <w:t>redacted content</w:t>
            </w:r>
            <w:r w:rsidR="00DE1FED">
              <w:rPr>
                <w:vertAlign w:val="superscript"/>
              </w:rPr>
              <w:t>2</w:t>
            </w:r>
          </w:p>
          <w:p w14:paraId="4D982141" w14:textId="4D344C20" w:rsidR="002F0974" w:rsidRPr="00360B52" w:rsidRDefault="002F0974" w:rsidP="008B520A">
            <w:pPr>
              <w:pStyle w:val="TableText0"/>
              <w:keepNext w:val="0"/>
              <w:widowControl w:val="0"/>
              <w:rPr>
                <w:vertAlign w:val="superscript"/>
              </w:rPr>
            </w:pPr>
            <w:r w:rsidRPr="003153AA">
              <w:t xml:space="preserve">Yr 3: </w:t>
            </w:r>
            <w:r w:rsidR="005822E1" w:rsidRPr="005822E1">
              <w:rPr>
                <w:sz w:val="2"/>
                <w:highlight w:val="black"/>
              </w:rPr>
              <w:t>redacted content</w:t>
            </w:r>
            <w:r w:rsidR="00360B52">
              <w:rPr>
                <w:vertAlign w:val="superscript"/>
              </w:rPr>
              <w:t>1</w:t>
            </w:r>
          </w:p>
          <w:p w14:paraId="6040A4B6" w14:textId="7FE8E49A" w:rsidR="002F0974" w:rsidRPr="00360B52" w:rsidRDefault="002F0974" w:rsidP="008B520A">
            <w:pPr>
              <w:pStyle w:val="TableText0"/>
              <w:keepNext w:val="0"/>
              <w:widowControl w:val="0"/>
              <w:rPr>
                <w:vertAlign w:val="superscript"/>
              </w:rPr>
            </w:pPr>
            <w:r w:rsidRPr="003153AA">
              <w:t xml:space="preserve">Yr 4: </w:t>
            </w:r>
            <w:r w:rsidR="005822E1" w:rsidRPr="005822E1">
              <w:rPr>
                <w:sz w:val="2"/>
                <w:highlight w:val="black"/>
              </w:rPr>
              <w:t>redacted content</w:t>
            </w:r>
            <w:r w:rsidR="00360B52">
              <w:rPr>
                <w:vertAlign w:val="superscript"/>
              </w:rPr>
              <w:t>1</w:t>
            </w:r>
          </w:p>
          <w:p w14:paraId="2AFBBBC0" w14:textId="4C494C11" w:rsidR="002F0974" w:rsidRPr="00360B52" w:rsidRDefault="002F0974" w:rsidP="008B520A">
            <w:pPr>
              <w:pStyle w:val="TableText0"/>
              <w:keepNext w:val="0"/>
              <w:widowControl w:val="0"/>
              <w:rPr>
                <w:vertAlign w:val="superscript"/>
              </w:rPr>
            </w:pPr>
            <w:r w:rsidRPr="003153AA">
              <w:t xml:space="preserve">Yr 5: </w:t>
            </w:r>
            <w:r w:rsidR="005822E1" w:rsidRPr="005822E1">
              <w:rPr>
                <w:sz w:val="2"/>
                <w:highlight w:val="black"/>
              </w:rPr>
              <w:t>redacted content</w:t>
            </w:r>
            <w:r w:rsidR="00360B52">
              <w:rPr>
                <w:vertAlign w:val="superscript"/>
              </w:rPr>
              <w:t>1</w:t>
            </w:r>
          </w:p>
          <w:p w14:paraId="165E823B" w14:textId="72E49D6B" w:rsidR="002F0974" w:rsidRPr="00360B52" w:rsidRDefault="002F0974" w:rsidP="008B520A">
            <w:pPr>
              <w:pStyle w:val="TableText0"/>
              <w:keepNext w:val="0"/>
              <w:widowControl w:val="0"/>
              <w:rPr>
                <w:vertAlign w:val="superscript"/>
              </w:rPr>
            </w:pPr>
            <w:r w:rsidRPr="003153AA">
              <w:t xml:space="preserve">Yr 6: </w:t>
            </w:r>
            <w:r w:rsidR="005822E1" w:rsidRPr="005822E1">
              <w:rPr>
                <w:sz w:val="2"/>
                <w:highlight w:val="black"/>
              </w:rPr>
              <w:t>redacted content</w:t>
            </w:r>
            <w:r w:rsidR="00360B52">
              <w:rPr>
                <w:vertAlign w:val="superscript"/>
              </w:rPr>
              <w:t>1</w:t>
            </w:r>
          </w:p>
        </w:tc>
        <w:tc>
          <w:tcPr>
            <w:tcW w:w="1559" w:type="dxa"/>
            <w:vAlign w:val="center"/>
          </w:tcPr>
          <w:p w14:paraId="42B6BDDE" w14:textId="77777777" w:rsidR="002F0974" w:rsidRPr="003153AA" w:rsidRDefault="002F0974" w:rsidP="008B520A">
            <w:pPr>
              <w:pStyle w:val="TableText0"/>
              <w:keepNext w:val="0"/>
              <w:widowControl w:val="0"/>
            </w:pPr>
            <w:r w:rsidRPr="003153AA">
              <w:t>Estimated as 18.25% of incident patients entering 3L treatment, based on Kanas et al. 2022</w:t>
            </w:r>
            <w:r w:rsidRPr="003153AA">
              <w:rPr>
                <w:rStyle w:val="FootnoteReference"/>
              </w:rPr>
              <w:footnoteReference w:id="19"/>
            </w:r>
            <w:r w:rsidRPr="003153AA">
              <w:t xml:space="preserve">. </w:t>
            </w:r>
          </w:p>
        </w:tc>
        <w:tc>
          <w:tcPr>
            <w:tcW w:w="2948" w:type="dxa"/>
            <w:vAlign w:val="center"/>
          </w:tcPr>
          <w:p w14:paraId="2A2B4954" w14:textId="54C85D3B" w:rsidR="002F0974" w:rsidRDefault="002F0974" w:rsidP="008B520A">
            <w:pPr>
              <w:pStyle w:val="TableText0"/>
              <w:keepNext w:val="0"/>
              <w:widowControl w:val="0"/>
            </w:pPr>
            <w:r w:rsidRPr="003153AA">
              <w:t>T</w:t>
            </w:r>
            <w:r w:rsidR="00E701BA">
              <w:t>he evaluation considered t</w:t>
            </w:r>
            <w:r w:rsidRPr="003153AA">
              <w:t>hese numbers may be underestimated. Kanas et al. 2022 based their estimates on physicians’ surveys conducted in 2018-2019 in US/Europe. This was much lower than the proportion of patients entering 3L (32%) reported by Wellard et al. 2025, based on current Australian registry data of patients with DLBCL. Given treatment changes since 2019 (e.g., CAR-T), the</w:t>
            </w:r>
            <w:r w:rsidR="001E157C">
              <w:t xml:space="preserve"> evaluation considered </w:t>
            </w:r>
            <w:r w:rsidR="00FC2A8C">
              <w:t>the</w:t>
            </w:r>
            <w:r w:rsidRPr="003153AA">
              <w:t xml:space="preserve"> 32% estimate seems more appropriate. </w:t>
            </w:r>
          </w:p>
          <w:p w14:paraId="7FA7EBA8" w14:textId="77777777" w:rsidR="002B608F" w:rsidRDefault="002B608F" w:rsidP="008B520A">
            <w:pPr>
              <w:pStyle w:val="TableText0"/>
              <w:keepNext w:val="0"/>
              <w:widowControl w:val="0"/>
            </w:pPr>
          </w:p>
          <w:p w14:paraId="779EBC78" w14:textId="1D260720" w:rsidR="002B608F" w:rsidRPr="00DB151F" w:rsidRDefault="002B608F" w:rsidP="008B520A">
            <w:pPr>
              <w:pStyle w:val="TableText0"/>
              <w:keepNext w:val="0"/>
              <w:widowControl w:val="0"/>
            </w:pPr>
            <w:r w:rsidRPr="00DB151F">
              <w:t xml:space="preserve">The Sub-Committees agreed with the </w:t>
            </w:r>
            <w:r w:rsidR="00C54AD4">
              <w:t>evaluation</w:t>
            </w:r>
            <w:r w:rsidRPr="00DB151F">
              <w:t xml:space="preserve"> that the 32% estimate using Australian registry data would be more appropriate</w:t>
            </w:r>
            <w:r w:rsidR="00A67347" w:rsidRPr="00DB151F">
              <w:t>.</w:t>
            </w:r>
          </w:p>
        </w:tc>
      </w:tr>
      <w:tr w:rsidR="002F0974" w:rsidRPr="003153AA" w14:paraId="529E67E6" w14:textId="77777777" w:rsidTr="005C4AAD">
        <w:tc>
          <w:tcPr>
            <w:tcW w:w="1271" w:type="dxa"/>
            <w:vAlign w:val="center"/>
          </w:tcPr>
          <w:p w14:paraId="6F9AA92A" w14:textId="77777777" w:rsidR="002F0974" w:rsidRPr="003153AA" w:rsidRDefault="002F0974" w:rsidP="008B520A">
            <w:pPr>
              <w:pStyle w:val="TableText0"/>
              <w:keepNext w:val="0"/>
              <w:widowControl w:val="0"/>
            </w:pPr>
            <w:r w:rsidRPr="003153AA">
              <w:t>Grandfathered patients</w:t>
            </w:r>
          </w:p>
        </w:tc>
        <w:tc>
          <w:tcPr>
            <w:tcW w:w="3402" w:type="dxa"/>
            <w:vAlign w:val="center"/>
          </w:tcPr>
          <w:p w14:paraId="1B589B1C" w14:textId="646893ED" w:rsidR="002F0974" w:rsidRPr="003153AA" w:rsidRDefault="005822E1" w:rsidP="008B520A">
            <w:pPr>
              <w:pStyle w:val="TableText0"/>
              <w:keepNext w:val="0"/>
              <w:widowControl w:val="0"/>
            </w:pPr>
            <w:r w:rsidRPr="005822E1">
              <w:rPr>
                <w:sz w:val="2"/>
                <w:highlight w:val="black"/>
              </w:rPr>
              <w:t>redacted content</w:t>
            </w:r>
            <w:r w:rsidR="00DC7C5E">
              <w:rPr>
                <w:vertAlign w:val="superscript"/>
              </w:rPr>
              <w:t>2</w:t>
            </w:r>
            <w:r w:rsidR="002F0974" w:rsidRPr="003153AA">
              <w:t xml:space="preserve"> grandfather patients requiring continuing prescriptions</w:t>
            </w:r>
          </w:p>
        </w:tc>
        <w:tc>
          <w:tcPr>
            <w:tcW w:w="1559" w:type="dxa"/>
            <w:vAlign w:val="center"/>
          </w:tcPr>
          <w:p w14:paraId="3143358C" w14:textId="77777777" w:rsidR="002F0974" w:rsidRPr="003153AA" w:rsidRDefault="002F0974" w:rsidP="008B520A">
            <w:pPr>
              <w:pStyle w:val="TableText0"/>
              <w:keepNext w:val="0"/>
              <w:widowControl w:val="0"/>
            </w:pPr>
            <w:r w:rsidRPr="003153AA">
              <w:t>Currently receiving ongoing compassionate access to LT in Australia</w:t>
            </w:r>
          </w:p>
        </w:tc>
        <w:tc>
          <w:tcPr>
            <w:tcW w:w="2948" w:type="dxa"/>
            <w:vAlign w:val="center"/>
          </w:tcPr>
          <w:p w14:paraId="7A6A146C" w14:textId="14D3B8A1" w:rsidR="002F0974" w:rsidRPr="003153AA" w:rsidRDefault="002F0974" w:rsidP="008B520A">
            <w:pPr>
              <w:pStyle w:val="TableText0"/>
              <w:keepNext w:val="0"/>
              <w:widowControl w:val="0"/>
            </w:pPr>
            <w:r w:rsidRPr="003153AA">
              <w:t>Scripts for these patients were added to the total number of scripts. T</w:t>
            </w:r>
            <w:r w:rsidR="00FC2A8C">
              <w:t>he evaluation considered t</w:t>
            </w:r>
            <w:r w:rsidRPr="003153AA">
              <w:t xml:space="preserve">his was reasonable. </w:t>
            </w:r>
          </w:p>
        </w:tc>
      </w:tr>
      <w:tr w:rsidR="002F0974" w:rsidRPr="003153AA" w14:paraId="29AE0C86" w14:textId="77777777">
        <w:tc>
          <w:tcPr>
            <w:tcW w:w="9180" w:type="dxa"/>
            <w:gridSpan w:val="4"/>
            <w:vAlign w:val="center"/>
          </w:tcPr>
          <w:p w14:paraId="2204B55A" w14:textId="77777777" w:rsidR="002F0974" w:rsidRPr="003153AA" w:rsidRDefault="002F0974" w:rsidP="008B520A">
            <w:pPr>
              <w:pStyle w:val="In-tableHeading"/>
              <w:keepNext w:val="0"/>
              <w:widowControl w:val="0"/>
            </w:pPr>
            <w:r w:rsidRPr="003153AA">
              <w:t xml:space="preserve">Treatment </w:t>
            </w:r>
            <w:proofErr w:type="spellStart"/>
            <w:r w:rsidRPr="003153AA">
              <w:t>utilisation</w:t>
            </w:r>
            <w:proofErr w:type="spellEnd"/>
          </w:p>
        </w:tc>
      </w:tr>
      <w:tr w:rsidR="002F0974" w:rsidRPr="003153AA" w14:paraId="2A51002A" w14:textId="77777777" w:rsidTr="005C4AAD">
        <w:tc>
          <w:tcPr>
            <w:tcW w:w="1271" w:type="dxa"/>
            <w:vAlign w:val="center"/>
          </w:tcPr>
          <w:p w14:paraId="15232775" w14:textId="77777777" w:rsidR="002F0974" w:rsidRPr="003153AA" w:rsidRDefault="002F0974" w:rsidP="008B520A">
            <w:pPr>
              <w:pStyle w:val="TableText0"/>
              <w:keepNext w:val="0"/>
              <w:widowControl w:val="0"/>
            </w:pPr>
            <w:r w:rsidRPr="003153AA">
              <w:t>Uptake rate</w:t>
            </w:r>
          </w:p>
        </w:tc>
        <w:tc>
          <w:tcPr>
            <w:tcW w:w="3402" w:type="dxa"/>
            <w:vAlign w:val="center"/>
          </w:tcPr>
          <w:tbl>
            <w:tblPr>
              <w:tblStyle w:val="TableGrid"/>
              <w:tblpPr w:leftFromText="180" w:rightFromText="180" w:vertAnchor="page" w:horzAnchor="margin" w:tblpY="73"/>
              <w:tblOverlap w:val="never"/>
              <w:tblW w:w="0" w:type="auto"/>
              <w:tblLayout w:type="fixed"/>
              <w:tblCellMar>
                <w:left w:w="57" w:type="dxa"/>
                <w:right w:w="57" w:type="dxa"/>
              </w:tblCellMar>
              <w:tblLook w:val="04A0" w:firstRow="1" w:lastRow="0" w:firstColumn="1" w:lastColumn="0" w:noHBand="0" w:noVBand="1"/>
            </w:tblPr>
            <w:tblGrid>
              <w:gridCol w:w="542"/>
              <w:gridCol w:w="682"/>
              <w:gridCol w:w="682"/>
              <w:gridCol w:w="682"/>
              <w:gridCol w:w="682"/>
            </w:tblGrid>
            <w:tr w:rsidR="002F0974" w:rsidRPr="003153AA" w14:paraId="3937E4F9" w14:textId="77777777">
              <w:tc>
                <w:tcPr>
                  <w:tcW w:w="542" w:type="dxa"/>
                </w:tcPr>
                <w:p w14:paraId="00AD5E84" w14:textId="77777777" w:rsidR="002F0974" w:rsidRPr="003153AA" w:rsidRDefault="002F0974" w:rsidP="008B520A">
                  <w:pPr>
                    <w:pStyle w:val="In-tableHeading"/>
                    <w:keepNext w:val="0"/>
                    <w:widowControl w:val="0"/>
                  </w:pPr>
                </w:p>
              </w:tc>
              <w:tc>
                <w:tcPr>
                  <w:tcW w:w="682" w:type="dxa"/>
                </w:tcPr>
                <w:p w14:paraId="160FAB79" w14:textId="77777777" w:rsidR="002F0974" w:rsidRPr="003153AA" w:rsidRDefault="002F0974" w:rsidP="008B520A">
                  <w:pPr>
                    <w:pStyle w:val="TableText0"/>
                    <w:keepNext w:val="0"/>
                    <w:widowControl w:val="0"/>
                  </w:pPr>
                  <w:r w:rsidRPr="003153AA">
                    <w:t xml:space="preserve">S1 </w:t>
                  </w:r>
                </w:p>
              </w:tc>
              <w:tc>
                <w:tcPr>
                  <w:tcW w:w="682" w:type="dxa"/>
                </w:tcPr>
                <w:p w14:paraId="7231F94D" w14:textId="77777777" w:rsidR="002F0974" w:rsidRPr="003153AA" w:rsidRDefault="002F0974" w:rsidP="008B520A">
                  <w:pPr>
                    <w:pStyle w:val="TableText0"/>
                    <w:keepNext w:val="0"/>
                    <w:widowControl w:val="0"/>
                  </w:pPr>
                  <w:r w:rsidRPr="003153AA">
                    <w:t>S2</w:t>
                  </w:r>
                </w:p>
              </w:tc>
              <w:tc>
                <w:tcPr>
                  <w:tcW w:w="682" w:type="dxa"/>
                </w:tcPr>
                <w:p w14:paraId="0235FB18" w14:textId="77777777" w:rsidR="002F0974" w:rsidRPr="003153AA" w:rsidRDefault="002F0974" w:rsidP="008B520A">
                  <w:pPr>
                    <w:pStyle w:val="TableText0"/>
                    <w:keepNext w:val="0"/>
                    <w:widowControl w:val="0"/>
                  </w:pPr>
                  <w:r w:rsidRPr="003153AA">
                    <w:t>S3</w:t>
                  </w:r>
                </w:p>
              </w:tc>
              <w:tc>
                <w:tcPr>
                  <w:tcW w:w="682" w:type="dxa"/>
                </w:tcPr>
                <w:p w14:paraId="6BEE8A2E" w14:textId="77777777" w:rsidR="002F0974" w:rsidRPr="003153AA" w:rsidRDefault="002F0974" w:rsidP="008B520A">
                  <w:pPr>
                    <w:pStyle w:val="TableText0"/>
                    <w:keepNext w:val="0"/>
                    <w:widowControl w:val="0"/>
                  </w:pPr>
                  <w:r w:rsidRPr="003153AA">
                    <w:t>S4</w:t>
                  </w:r>
                </w:p>
              </w:tc>
            </w:tr>
            <w:tr w:rsidR="002F0974" w:rsidRPr="003153AA" w14:paraId="26CC4E50" w14:textId="77777777">
              <w:tc>
                <w:tcPr>
                  <w:tcW w:w="542" w:type="dxa"/>
                </w:tcPr>
                <w:p w14:paraId="30580258" w14:textId="77777777" w:rsidR="002F0974" w:rsidRPr="003153AA" w:rsidRDefault="002F0974" w:rsidP="008B520A">
                  <w:pPr>
                    <w:pStyle w:val="In-tableHeading"/>
                    <w:keepNext w:val="0"/>
                    <w:widowControl w:val="0"/>
                    <w:rPr>
                      <w:b w:val="0"/>
                    </w:rPr>
                  </w:pPr>
                  <w:r w:rsidRPr="003153AA">
                    <w:t>Yr 1</w:t>
                  </w:r>
                </w:p>
              </w:tc>
              <w:tc>
                <w:tcPr>
                  <w:tcW w:w="682" w:type="dxa"/>
                </w:tcPr>
                <w:p w14:paraId="3B5EB44C" w14:textId="63CAFEFC" w:rsidR="002F0974" w:rsidRPr="003153AA" w:rsidRDefault="005822E1" w:rsidP="008B520A">
                  <w:pPr>
                    <w:pStyle w:val="TableText0"/>
                    <w:keepNext w:val="0"/>
                    <w:widowControl w:val="0"/>
                  </w:pPr>
                  <w:r w:rsidRPr="005822E1">
                    <w:rPr>
                      <w:sz w:val="2"/>
                      <w:highlight w:val="black"/>
                    </w:rPr>
                    <w:t>redacted content</w:t>
                  </w:r>
                  <w:r w:rsidR="002F0974" w:rsidRPr="003153AA">
                    <w:t>%</w:t>
                  </w:r>
                </w:p>
              </w:tc>
              <w:tc>
                <w:tcPr>
                  <w:tcW w:w="682" w:type="dxa"/>
                </w:tcPr>
                <w:p w14:paraId="3B37A8A4" w14:textId="3AB3F321" w:rsidR="002F0974" w:rsidRPr="003153AA" w:rsidRDefault="005822E1" w:rsidP="008B520A">
                  <w:pPr>
                    <w:pStyle w:val="TableText0"/>
                    <w:keepNext w:val="0"/>
                    <w:widowControl w:val="0"/>
                  </w:pPr>
                  <w:r w:rsidRPr="005822E1">
                    <w:rPr>
                      <w:sz w:val="2"/>
                      <w:highlight w:val="black"/>
                    </w:rPr>
                    <w:t>redacted content</w:t>
                  </w:r>
                  <w:r w:rsidR="002F0974" w:rsidRPr="003153AA">
                    <w:t>%</w:t>
                  </w:r>
                </w:p>
              </w:tc>
              <w:tc>
                <w:tcPr>
                  <w:tcW w:w="682" w:type="dxa"/>
                </w:tcPr>
                <w:p w14:paraId="614D7E08" w14:textId="502EC673" w:rsidR="002F0974" w:rsidRPr="003153AA" w:rsidRDefault="005822E1" w:rsidP="008B520A">
                  <w:pPr>
                    <w:pStyle w:val="TableText0"/>
                    <w:keepNext w:val="0"/>
                    <w:widowControl w:val="0"/>
                  </w:pPr>
                  <w:r w:rsidRPr="005822E1">
                    <w:rPr>
                      <w:sz w:val="2"/>
                      <w:highlight w:val="black"/>
                    </w:rPr>
                    <w:t>redacted content</w:t>
                  </w:r>
                  <w:r w:rsidR="002F0974" w:rsidRPr="003153AA">
                    <w:t>%</w:t>
                  </w:r>
                </w:p>
              </w:tc>
              <w:tc>
                <w:tcPr>
                  <w:tcW w:w="682" w:type="dxa"/>
                </w:tcPr>
                <w:p w14:paraId="74E8ECAB" w14:textId="2522BE89" w:rsidR="002F0974" w:rsidRPr="003153AA" w:rsidRDefault="005822E1" w:rsidP="008B520A">
                  <w:pPr>
                    <w:pStyle w:val="TableText0"/>
                    <w:keepNext w:val="0"/>
                    <w:widowControl w:val="0"/>
                  </w:pPr>
                  <w:r w:rsidRPr="005822E1">
                    <w:rPr>
                      <w:sz w:val="2"/>
                      <w:highlight w:val="black"/>
                    </w:rPr>
                    <w:t>redacted content</w:t>
                  </w:r>
                  <w:r w:rsidR="002F0974" w:rsidRPr="003153AA">
                    <w:t>%</w:t>
                  </w:r>
                </w:p>
              </w:tc>
            </w:tr>
            <w:tr w:rsidR="002F0974" w:rsidRPr="003153AA" w14:paraId="33C21F78" w14:textId="77777777">
              <w:tc>
                <w:tcPr>
                  <w:tcW w:w="542" w:type="dxa"/>
                </w:tcPr>
                <w:p w14:paraId="06E52603" w14:textId="77777777" w:rsidR="002F0974" w:rsidRPr="003153AA" w:rsidRDefault="002F0974" w:rsidP="008B520A">
                  <w:pPr>
                    <w:pStyle w:val="In-tableHeading"/>
                    <w:keepNext w:val="0"/>
                    <w:widowControl w:val="0"/>
                    <w:rPr>
                      <w:b w:val="0"/>
                    </w:rPr>
                  </w:pPr>
                  <w:r w:rsidRPr="003153AA">
                    <w:t>Yr 2</w:t>
                  </w:r>
                </w:p>
              </w:tc>
              <w:tc>
                <w:tcPr>
                  <w:tcW w:w="682" w:type="dxa"/>
                </w:tcPr>
                <w:p w14:paraId="1FEFF77D" w14:textId="77FBC296" w:rsidR="002F0974" w:rsidRPr="003153AA" w:rsidRDefault="005822E1" w:rsidP="008B520A">
                  <w:pPr>
                    <w:pStyle w:val="TableText0"/>
                    <w:keepNext w:val="0"/>
                    <w:widowControl w:val="0"/>
                  </w:pPr>
                  <w:r w:rsidRPr="005822E1">
                    <w:rPr>
                      <w:sz w:val="2"/>
                      <w:highlight w:val="black"/>
                    </w:rPr>
                    <w:t>redacted content</w:t>
                  </w:r>
                  <w:r w:rsidR="002F0974" w:rsidRPr="003153AA">
                    <w:t>%</w:t>
                  </w:r>
                </w:p>
              </w:tc>
              <w:tc>
                <w:tcPr>
                  <w:tcW w:w="682" w:type="dxa"/>
                </w:tcPr>
                <w:p w14:paraId="53F64B4E" w14:textId="0B9EE754" w:rsidR="002F0974" w:rsidRPr="003153AA" w:rsidRDefault="005822E1" w:rsidP="008B520A">
                  <w:pPr>
                    <w:pStyle w:val="TableText0"/>
                    <w:keepNext w:val="0"/>
                    <w:widowControl w:val="0"/>
                  </w:pPr>
                  <w:r w:rsidRPr="005822E1">
                    <w:rPr>
                      <w:sz w:val="2"/>
                      <w:highlight w:val="black"/>
                    </w:rPr>
                    <w:t>redacted content</w:t>
                  </w:r>
                  <w:r w:rsidR="002F0974" w:rsidRPr="003153AA">
                    <w:t>%</w:t>
                  </w:r>
                </w:p>
              </w:tc>
              <w:tc>
                <w:tcPr>
                  <w:tcW w:w="682" w:type="dxa"/>
                </w:tcPr>
                <w:p w14:paraId="2AB3C175" w14:textId="7EF99542" w:rsidR="002F0974" w:rsidRPr="003153AA" w:rsidRDefault="005822E1" w:rsidP="008B520A">
                  <w:pPr>
                    <w:pStyle w:val="TableText0"/>
                    <w:keepNext w:val="0"/>
                    <w:widowControl w:val="0"/>
                  </w:pPr>
                  <w:r w:rsidRPr="005822E1">
                    <w:rPr>
                      <w:sz w:val="2"/>
                      <w:highlight w:val="black"/>
                    </w:rPr>
                    <w:t>redacted content</w:t>
                  </w:r>
                  <w:r w:rsidR="002F0974" w:rsidRPr="003153AA">
                    <w:t>%</w:t>
                  </w:r>
                </w:p>
              </w:tc>
              <w:tc>
                <w:tcPr>
                  <w:tcW w:w="682" w:type="dxa"/>
                </w:tcPr>
                <w:p w14:paraId="4D118257" w14:textId="78F41EDD" w:rsidR="002F0974" w:rsidRPr="003153AA" w:rsidRDefault="005822E1" w:rsidP="008B520A">
                  <w:pPr>
                    <w:pStyle w:val="TableText0"/>
                    <w:keepNext w:val="0"/>
                    <w:widowControl w:val="0"/>
                  </w:pPr>
                  <w:r w:rsidRPr="005822E1">
                    <w:rPr>
                      <w:sz w:val="2"/>
                      <w:highlight w:val="black"/>
                    </w:rPr>
                    <w:t>redacted content</w:t>
                  </w:r>
                  <w:r w:rsidR="002F0974" w:rsidRPr="003153AA">
                    <w:t>%</w:t>
                  </w:r>
                </w:p>
              </w:tc>
            </w:tr>
            <w:tr w:rsidR="002F0974" w:rsidRPr="003153AA" w14:paraId="11248C4B" w14:textId="77777777">
              <w:tc>
                <w:tcPr>
                  <w:tcW w:w="542" w:type="dxa"/>
                </w:tcPr>
                <w:p w14:paraId="393E0C98" w14:textId="77777777" w:rsidR="002F0974" w:rsidRPr="003153AA" w:rsidRDefault="002F0974" w:rsidP="008B520A">
                  <w:pPr>
                    <w:pStyle w:val="In-tableHeading"/>
                    <w:keepNext w:val="0"/>
                    <w:widowControl w:val="0"/>
                    <w:rPr>
                      <w:b w:val="0"/>
                    </w:rPr>
                  </w:pPr>
                  <w:r w:rsidRPr="003153AA">
                    <w:t>Yr 3</w:t>
                  </w:r>
                </w:p>
              </w:tc>
              <w:tc>
                <w:tcPr>
                  <w:tcW w:w="682" w:type="dxa"/>
                </w:tcPr>
                <w:p w14:paraId="1C76006F" w14:textId="68091703" w:rsidR="002F0974" w:rsidRPr="003153AA" w:rsidRDefault="005822E1" w:rsidP="008B520A">
                  <w:pPr>
                    <w:pStyle w:val="TableText0"/>
                    <w:keepNext w:val="0"/>
                    <w:widowControl w:val="0"/>
                  </w:pPr>
                  <w:r w:rsidRPr="005822E1">
                    <w:rPr>
                      <w:sz w:val="2"/>
                      <w:highlight w:val="black"/>
                    </w:rPr>
                    <w:t>redacted content</w:t>
                  </w:r>
                  <w:r w:rsidR="002F0974" w:rsidRPr="003153AA">
                    <w:t>%</w:t>
                  </w:r>
                </w:p>
              </w:tc>
              <w:tc>
                <w:tcPr>
                  <w:tcW w:w="682" w:type="dxa"/>
                </w:tcPr>
                <w:p w14:paraId="75FB544C" w14:textId="7B648DD7" w:rsidR="002F0974" w:rsidRPr="003153AA" w:rsidRDefault="005822E1" w:rsidP="008B520A">
                  <w:pPr>
                    <w:pStyle w:val="TableText0"/>
                    <w:keepNext w:val="0"/>
                    <w:widowControl w:val="0"/>
                  </w:pPr>
                  <w:r w:rsidRPr="005822E1">
                    <w:rPr>
                      <w:sz w:val="2"/>
                      <w:highlight w:val="black"/>
                    </w:rPr>
                    <w:t>redacted content</w:t>
                  </w:r>
                  <w:r w:rsidR="002F0974" w:rsidRPr="003153AA">
                    <w:t>%</w:t>
                  </w:r>
                </w:p>
              </w:tc>
              <w:tc>
                <w:tcPr>
                  <w:tcW w:w="682" w:type="dxa"/>
                </w:tcPr>
                <w:p w14:paraId="45DDEDBB" w14:textId="7E6F3D12" w:rsidR="002F0974" w:rsidRPr="003153AA" w:rsidRDefault="005822E1" w:rsidP="008B520A">
                  <w:pPr>
                    <w:pStyle w:val="TableText0"/>
                    <w:keepNext w:val="0"/>
                    <w:widowControl w:val="0"/>
                  </w:pPr>
                  <w:r w:rsidRPr="005822E1">
                    <w:rPr>
                      <w:sz w:val="2"/>
                      <w:highlight w:val="black"/>
                    </w:rPr>
                    <w:t>redacted content</w:t>
                  </w:r>
                  <w:r w:rsidR="002F0974" w:rsidRPr="003153AA">
                    <w:t>%</w:t>
                  </w:r>
                </w:p>
              </w:tc>
              <w:tc>
                <w:tcPr>
                  <w:tcW w:w="682" w:type="dxa"/>
                </w:tcPr>
                <w:p w14:paraId="6DF5FE2A" w14:textId="2C77FC0C" w:rsidR="002F0974" w:rsidRPr="003153AA" w:rsidRDefault="005822E1" w:rsidP="008B520A">
                  <w:pPr>
                    <w:pStyle w:val="TableText0"/>
                    <w:keepNext w:val="0"/>
                    <w:widowControl w:val="0"/>
                  </w:pPr>
                  <w:r w:rsidRPr="005822E1">
                    <w:rPr>
                      <w:sz w:val="2"/>
                      <w:highlight w:val="black"/>
                    </w:rPr>
                    <w:t>redacted content</w:t>
                  </w:r>
                  <w:r w:rsidR="002F0974" w:rsidRPr="003153AA">
                    <w:t>%</w:t>
                  </w:r>
                </w:p>
              </w:tc>
            </w:tr>
            <w:tr w:rsidR="002F0974" w:rsidRPr="003153AA" w14:paraId="0D17D7EE" w14:textId="77777777">
              <w:tc>
                <w:tcPr>
                  <w:tcW w:w="542" w:type="dxa"/>
                </w:tcPr>
                <w:p w14:paraId="4226D69D" w14:textId="77777777" w:rsidR="002F0974" w:rsidRPr="003153AA" w:rsidRDefault="002F0974" w:rsidP="008B520A">
                  <w:pPr>
                    <w:pStyle w:val="In-tableHeading"/>
                    <w:keepNext w:val="0"/>
                    <w:widowControl w:val="0"/>
                    <w:rPr>
                      <w:b w:val="0"/>
                    </w:rPr>
                  </w:pPr>
                  <w:r w:rsidRPr="003153AA">
                    <w:t>Yr 4</w:t>
                  </w:r>
                </w:p>
              </w:tc>
              <w:tc>
                <w:tcPr>
                  <w:tcW w:w="682" w:type="dxa"/>
                </w:tcPr>
                <w:p w14:paraId="670415CE" w14:textId="1A9176A6" w:rsidR="002F0974" w:rsidRPr="003153AA" w:rsidRDefault="005822E1" w:rsidP="008B520A">
                  <w:pPr>
                    <w:pStyle w:val="TableText0"/>
                    <w:keepNext w:val="0"/>
                    <w:widowControl w:val="0"/>
                  </w:pPr>
                  <w:r w:rsidRPr="005822E1">
                    <w:rPr>
                      <w:sz w:val="2"/>
                      <w:highlight w:val="black"/>
                    </w:rPr>
                    <w:t>redacted content</w:t>
                  </w:r>
                  <w:r w:rsidR="002F0974" w:rsidRPr="003153AA">
                    <w:t>%</w:t>
                  </w:r>
                </w:p>
              </w:tc>
              <w:tc>
                <w:tcPr>
                  <w:tcW w:w="682" w:type="dxa"/>
                </w:tcPr>
                <w:p w14:paraId="22C578B3" w14:textId="5730293B" w:rsidR="002F0974" w:rsidRPr="003153AA" w:rsidRDefault="005822E1" w:rsidP="008B520A">
                  <w:pPr>
                    <w:pStyle w:val="TableText0"/>
                    <w:keepNext w:val="0"/>
                    <w:widowControl w:val="0"/>
                  </w:pPr>
                  <w:r w:rsidRPr="005822E1">
                    <w:rPr>
                      <w:sz w:val="2"/>
                      <w:highlight w:val="black"/>
                    </w:rPr>
                    <w:t>redacted content</w:t>
                  </w:r>
                  <w:r w:rsidR="002F0974" w:rsidRPr="003153AA">
                    <w:t>%</w:t>
                  </w:r>
                </w:p>
              </w:tc>
              <w:tc>
                <w:tcPr>
                  <w:tcW w:w="682" w:type="dxa"/>
                </w:tcPr>
                <w:p w14:paraId="0CB41DFB" w14:textId="45EEDA9C" w:rsidR="002F0974" w:rsidRPr="003153AA" w:rsidRDefault="005822E1" w:rsidP="008B520A">
                  <w:pPr>
                    <w:pStyle w:val="TableText0"/>
                    <w:keepNext w:val="0"/>
                    <w:widowControl w:val="0"/>
                  </w:pPr>
                  <w:r w:rsidRPr="005822E1">
                    <w:rPr>
                      <w:sz w:val="2"/>
                      <w:highlight w:val="black"/>
                    </w:rPr>
                    <w:t>redacted content</w:t>
                  </w:r>
                  <w:r w:rsidR="002F0974" w:rsidRPr="003153AA">
                    <w:t>%</w:t>
                  </w:r>
                </w:p>
              </w:tc>
              <w:tc>
                <w:tcPr>
                  <w:tcW w:w="682" w:type="dxa"/>
                </w:tcPr>
                <w:p w14:paraId="74EEED70" w14:textId="3B3E87D6" w:rsidR="002F0974" w:rsidRPr="003153AA" w:rsidRDefault="005822E1" w:rsidP="008B520A">
                  <w:pPr>
                    <w:pStyle w:val="TableText0"/>
                    <w:keepNext w:val="0"/>
                    <w:widowControl w:val="0"/>
                  </w:pPr>
                  <w:r w:rsidRPr="005822E1">
                    <w:rPr>
                      <w:sz w:val="2"/>
                      <w:highlight w:val="black"/>
                    </w:rPr>
                    <w:t>redacted content</w:t>
                  </w:r>
                  <w:r w:rsidR="002F0974" w:rsidRPr="003153AA">
                    <w:t>%</w:t>
                  </w:r>
                </w:p>
              </w:tc>
            </w:tr>
            <w:tr w:rsidR="002F0974" w:rsidRPr="003153AA" w14:paraId="737072AB" w14:textId="77777777">
              <w:tc>
                <w:tcPr>
                  <w:tcW w:w="542" w:type="dxa"/>
                </w:tcPr>
                <w:p w14:paraId="66C36AD9" w14:textId="77777777" w:rsidR="002F0974" w:rsidRPr="003153AA" w:rsidRDefault="002F0974" w:rsidP="008B520A">
                  <w:pPr>
                    <w:pStyle w:val="In-tableHeading"/>
                    <w:keepNext w:val="0"/>
                    <w:widowControl w:val="0"/>
                    <w:rPr>
                      <w:b w:val="0"/>
                    </w:rPr>
                  </w:pPr>
                  <w:r w:rsidRPr="003153AA">
                    <w:t>Yr 5</w:t>
                  </w:r>
                </w:p>
              </w:tc>
              <w:tc>
                <w:tcPr>
                  <w:tcW w:w="682" w:type="dxa"/>
                </w:tcPr>
                <w:p w14:paraId="71E6F92B" w14:textId="08A42BA3" w:rsidR="002F0974" w:rsidRPr="003153AA" w:rsidRDefault="005822E1" w:rsidP="008B520A">
                  <w:pPr>
                    <w:pStyle w:val="TableText0"/>
                    <w:keepNext w:val="0"/>
                    <w:widowControl w:val="0"/>
                  </w:pPr>
                  <w:r w:rsidRPr="005822E1">
                    <w:rPr>
                      <w:sz w:val="2"/>
                      <w:highlight w:val="black"/>
                    </w:rPr>
                    <w:t>redacted content</w:t>
                  </w:r>
                  <w:r w:rsidR="002F0974" w:rsidRPr="003153AA">
                    <w:t>%</w:t>
                  </w:r>
                </w:p>
              </w:tc>
              <w:tc>
                <w:tcPr>
                  <w:tcW w:w="682" w:type="dxa"/>
                </w:tcPr>
                <w:p w14:paraId="44F1EDDE" w14:textId="0C75F610" w:rsidR="002F0974" w:rsidRPr="003153AA" w:rsidRDefault="005822E1" w:rsidP="008B520A">
                  <w:pPr>
                    <w:pStyle w:val="TableText0"/>
                    <w:keepNext w:val="0"/>
                    <w:widowControl w:val="0"/>
                  </w:pPr>
                  <w:r w:rsidRPr="005822E1">
                    <w:rPr>
                      <w:sz w:val="2"/>
                      <w:highlight w:val="black"/>
                    </w:rPr>
                    <w:t>redacted content</w:t>
                  </w:r>
                  <w:r w:rsidR="002F0974" w:rsidRPr="003153AA">
                    <w:t>%</w:t>
                  </w:r>
                </w:p>
              </w:tc>
              <w:tc>
                <w:tcPr>
                  <w:tcW w:w="682" w:type="dxa"/>
                </w:tcPr>
                <w:p w14:paraId="103F323F" w14:textId="15FC29C4" w:rsidR="002F0974" w:rsidRPr="003153AA" w:rsidRDefault="005822E1" w:rsidP="008B520A">
                  <w:pPr>
                    <w:pStyle w:val="TableText0"/>
                    <w:keepNext w:val="0"/>
                    <w:widowControl w:val="0"/>
                  </w:pPr>
                  <w:r w:rsidRPr="005822E1">
                    <w:rPr>
                      <w:sz w:val="2"/>
                      <w:highlight w:val="black"/>
                    </w:rPr>
                    <w:t>redacted content</w:t>
                  </w:r>
                  <w:r w:rsidR="002F0974" w:rsidRPr="003153AA">
                    <w:t>%</w:t>
                  </w:r>
                </w:p>
              </w:tc>
              <w:tc>
                <w:tcPr>
                  <w:tcW w:w="682" w:type="dxa"/>
                </w:tcPr>
                <w:p w14:paraId="63775122" w14:textId="3D315650" w:rsidR="002F0974" w:rsidRPr="003153AA" w:rsidRDefault="005822E1" w:rsidP="008B520A">
                  <w:pPr>
                    <w:pStyle w:val="TableText0"/>
                    <w:keepNext w:val="0"/>
                    <w:widowControl w:val="0"/>
                  </w:pPr>
                  <w:r w:rsidRPr="005822E1">
                    <w:rPr>
                      <w:sz w:val="2"/>
                      <w:highlight w:val="black"/>
                    </w:rPr>
                    <w:t>redacted content</w:t>
                  </w:r>
                  <w:r w:rsidR="002F0974" w:rsidRPr="003153AA">
                    <w:t>%</w:t>
                  </w:r>
                </w:p>
              </w:tc>
            </w:tr>
            <w:tr w:rsidR="002F0974" w:rsidRPr="003153AA" w14:paraId="4DF0DACC" w14:textId="77777777">
              <w:tc>
                <w:tcPr>
                  <w:tcW w:w="542" w:type="dxa"/>
                </w:tcPr>
                <w:p w14:paraId="3BEC0AD9" w14:textId="77777777" w:rsidR="002F0974" w:rsidRPr="003153AA" w:rsidRDefault="002F0974" w:rsidP="008B520A">
                  <w:pPr>
                    <w:pStyle w:val="In-tableHeading"/>
                    <w:keepNext w:val="0"/>
                    <w:widowControl w:val="0"/>
                    <w:rPr>
                      <w:b w:val="0"/>
                    </w:rPr>
                  </w:pPr>
                  <w:r w:rsidRPr="003153AA">
                    <w:t>Yr 6</w:t>
                  </w:r>
                </w:p>
              </w:tc>
              <w:tc>
                <w:tcPr>
                  <w:tcW w:w="682" w:type="dxa"/>
                </w:tcPr>
                <w:p w14:paraId="69690311" w14:textId="456D3101" w:rsidR="002F0974" w:rsidRPr="003153AA" w:rsidRDefault="005822E1" w:rsidP="008B520A">
                  <w:pPr>
                    <w:pStyle w:val="TableText0"/>
                    <w:keepNext w:val="0"/>
                    <w:widowControl w:val="0"/>
                  </w:pPr>
                  <w:r w:rsidRPr="005822E1">
                    <w:rPr>
                      <w:sz w:val="2"/>
                      <w:highlight w:val="black"/>
                    </w:rPr>
                    <w:t>redacted content</w:t>
                  </w:r>
                  <w:r w:rsidR="002F0974" w:rsidRPr="003153AA">
                    <w:t>%</w:t>
                  </w:r>
                </w:p>
              </w:tc>
              <w:tc>
                <w:tcPr>
                  <w:tcW w:w="682" w:type="dxa"/>
                </w:tcPr>
                <w:p w14:paraId="7CA79404" w14:textId="0ACA602C" w:rsidR="002F0974" w:rsidRPr="003153AA" w:rsidRDefault="005822E1" w:rsidP="008B520A">
                  <w:pPr>
                    <w:pStyle w:val="TableText0"/>
                    <w:keepNext w:val="0"/>
                    <w:widowControl w:val="0"/>
                  </w:pPr>
                  <w:r w:rsidRPr="005822E1">
                    <w:rPr>
                      <w:sz w:val="2"/>
                      <w:highlight w:val="black"/>
                    </w:rPr>
                    <w:t>redacted content</w:t>
                  </w:r>
                  <w:r w:rsidR="002F0974" w:rsidRPr="003153AA">
                    <w:t>%</w:t>
                  </w:r>
                </w:p>
              </w:tc>
              <w:tc>
                <w:tcPr>
                  <w:tcW w:w="682" w:type="dxa"/>
                </w:tcPr>
                <w:p w14:paraId="43E64C6C" w14:textId="4EDD2CFD" w:rsidR="002F0974" w:rsidRPr="003153AA" w:rsidRDefault="005822E1" w:rsidP="008B520A">
                  <w:pPr>
                    <w:pStyle w:val="TableText0"/>
                    <w:keepNext w:val="0"/>
                    <w:widowControl w:val="0"/>
                  </w:pPr>
                  <w:r w:rsidRPr="005822E1">
                    <w:rPr>
                      <w:sz w:val="2"/>
                      <w:highlight w:val="black"/>
                    </w:rPr>
                    <w:t>redacted content</w:t>
                  </w:r>
                  <w:r w:rsidR="002F0974" w:rsidRPr="003153AA">
                    <w:t>%</w:t>
                  </w:r>
                </w:p>
              </w:tc>
              <w:tc>
                <w:tcPr>
                  <w:tcW w:w="682" w:type="dxa"/>
                </w:tcPr>
                <w:p w14:paraId="750EA585" w14:textId="0F9BAFD2" w:rsidR="002F0974" w:rsidRPr="003153AA" w:rsidRDefault="005822E1" w:rsidP="008B520A">
                  <w:pPr>
                    <w:pStyle w:val="TableText0"/>
                    <w:keepNext w:val="0"/>
                    <w:widowControl w:val="0"/>
                  </w:pPr>
                  <w:r w:rsidRPr="005822E1">
                    <w:rPr>
                      <w:sz w:val="2"/>
                      <w:highlight w:val="black"/>
                    </w:rPr>
                    <w:t>redacted content</w:t>
                  </w:r>
                  <w:r w:rsidR="002F0974" w:rsidRPr="003153AA">
                    <w:t>%</w:t>
                  </w:r>
                </w:p>
              </w:tc>
            </w:tr>
          </w:tbl>
          <w:p w14:paraId="2C06AB23" w14:textId="77777777" w:rsidR="002F0974" w:rsidRPr="003153AA" w:rsidRDefault="002F0974" w:rsidP="008B520A">
            <w:pPr>
              <w:pStyle w:val="TableText0"/>
              <w:keepNext w:val="0"/>
              <w:widowControl w:val="0"/>
            </w:pPr>
            <w:r w:rsidRPr="003153AA">
              <w:rPr>
                <w:u w:val="single"/>
              </w:rPr>
              <w:t>S1</w:t>
            </w:r>
            <w:r w:rsidRPr="003153AA">
              <w:t>: Patients who received 3L CAR T-cell therapy but then are R/R and require 4L treatment</w:t>
            </w:r>
          </w:p>
          <w:p w14:paraId="16E02E31" w14:textId="77777777" w:rsidR="002F0974" w:rsidRPr="003153AA" w:rsidRDefault="002F0974" w:rsidP="008B520A">
            <w:pPr>
              <w:pStyle w:val="TableText0"/>
              <w:keepNext w:val="0"/>
              <w:widowControl w:val="0"/>
            </w:pPr>
            <w:r w:rsidRPr="003153AA">
              <w:rPr>
                <w:u w:val="single"/>
              </w:rPr>
              <w:t>S2</w:t>
            </w:r>
            <w:r w:rsidRPr="003153AA">
              <w:t>: Patients who received 2L glofitamab but then are R/R and require 3L treatment</w:t>
            </w:r>
          </w:p>
          <w:p w14:paraId="3158C46D" w14:textId="77777777" w:rsidR="002F0974" w:rsidRPr="003153AA" w:rsidRDefault="002F0974" w:rsidP="008B520A">
            <w:pPr>
              <w:pStyle w:val="TableText0"/>
              <w:keepNext w:val="0"/>
              <w:widowControl w:val="0"/>
            </w:pPr>
            <w:r w:rsidRPr="003153AA">
              <w:rPr>
                <w:u w:val="single"/>
              </w:rPr>
              <w:t>S3</w:t>
            </w:r>
            <w:r w:rsidRPr="003153AA">
              <w:t>: patients who are ineligible for, or do not receive epcoritamab in the 3L</w:t>
            </w:r>
          </w:p>
          <w:p w14:paraId="35744D09" w14:textId="77777777" w:rsidR="002F0974" w:rsidRPr="003153AA" w:rsidRDefault="002F0974" w:rsidP="008B520A">
            <w:pPr>
              <w:pStyle w:val="TableText0"/>
              <w:keepNext w:val="0"/>
              <w:widowControl w:val="0"/>
            </w:pPr>
            <w:r w:rsidRPr="003153AA">
              <w:rPr>
                <w:u w:val="single"/>
              </w:rPr>
              <w:t>S4</w:t>
            </w:r>
            <w:r w:rsidRPr="003153AA">
              <w:t>: Patients who received 3L epcoritamab but then are R/R and require 4L treatment</w:t>
            </w:r>
          </w:p>
        </w:tc>
        <w:tc>
          <w:tcPr>
            <w:tcW w:w="1559" w:type="dxa"/>
            <w:vAlign w:val="center"/>
          </w:tcPr>
          <w:p w14:paraId="49BC1807" w14:textId="77777777" w:rsidR="002F0974" w:rsidRPr="003153AA" w:rsidRDefault="002F0974" w:rsidP="008B520A">
            <w:pPr>
              <w:pStyle w:val="TableText0"/>
              <w:keepNext w:val="0"/>
              <w:widowControl w:val="0"/>
            </w:pPr>
            <w:r w:rsidRPr="003153AA">
              <w:t xml:space="preserve">Submission’s assumptions, based on uptake of epcoritamab in 3L. </w:t>
            </w:r>
          </w:p>
        </w:tc>
        <w:tc>
          <w:tcPr>
            <w:tcW w:w="2948" w:type="dxa"/>
            <w:vAlign w:val="center"/>
          </w:tcPr>
          <w:p w14:paraId="002A8EBF" w14:textId="7B6B4E8D" w:rsidR="00B92040" w:rsidRDefault="002F0974" w:rsidP="008B520A">
            <w:pPr>
              <w:pStyle w:val="TableText0"/>
              <w:keepNext w:val="0"/>
              <w:widowControl w:val="0"/>
            </w:pPr>
            <w:r w:rsidRPr="003153AA">
              <w:t>Th</w:t>
            </w:r>
            <w:r w:rsidR="00FC2A8C">
              <w:t>e evaluation considered th</w:t>
            </w:r>
            <w:r w:rsidRPr="003153AA">
              <w:t>ese rates were highly uncertain, but may be higher due to the lack of other treatment options.</w:t>
            </w:r>
          </w:p>
          <w:p w14:paraId="72A526EA" w14:textId="77777777" w:rsidR="00B92040" w:rsidRDefault="00B92040" w:rsidP="008B520A">
            <w:pPr>
              <w:pStyle w:val="TableText0"/>
              <w:keepNext w:val="0"/>
              <w:widowControl w:val="0"/>
            </w:pPr>
          </w:p>
          <w:p w14:paraId="4FF2A281" w14:textId="76435952" w:rsidR="002F0974" w:rsidRPr="00DB151F" w:rsidRDefault="00B92040" w:rsidP="008B520A">
            <w:pPr>
              <w:pStyle w:val="TableText0"/>
              <w:keepNext w:val="0"/>
              <w:widowControl w:val="0"/>
            </w:pPr>
            <w:r w:rsidRPr="00DB151F">
              <w:t xml:space="preserve">The Sub-Committees agreed with the </w:t>
            </w:r>
            <w:r w:rsidR="00C54AD4">
              <w:t>evaluation</w:t>
            </w:r>
            <w:r w:rsidRPr="00DB151F">
              <w:t xml:space="preserve"> that uptake rates are likely underestimated due to the lack of other treatment options. The Sub-Committees considered that uptake would likely reach 50% for all subpopulations</w:t>
            </w:r>
            <w:r w:rsidR="00A67347" w:rsidRPr="00DB151F">
              <w:t xml:space="preserve">. </w:t>
            </w:r>
          </w:p>
        </w:tc>
      </w:tr>
      <w:tr w:rsidR="002F0974" w:rsidRPr="003153AA" w14:paraId="78D6E5BA" w14:textId="77777777" w:rsidTr="005C4AAD">
        <w:tc>
          <w:tcPr>
            <w:tcW w:w="1271" w:type="dxa"/>
            <w:vAlign w:val="center"/>
          </w:tcPr>
          <w:p w14:paraId="008001CF" w14:textId="77777777" w:rsidR="002F0974" w:rsidRPr="003153AA" w:rsidRDefault="002F0974" w:rsidP="008B520A">
            <w:pPr>
              <w:pStyle w:val="TableText0"/>
              <w:keepNext w:val="0"/>
              <w:widowControl w:val="0"/>
            </w:pPr>
            <w:r w:rsidRPr="003153AA">
              <w:t>Number treated</w:t>
            </w:r>
          </w:p>
        </w:tc>
        <w:tc>
          <w:tcPr>
            <w:tcW w:w="3402" w:type="dxa"/>
            <w:vAlign w:val="center"/>
          </w:tcPr>
          <w:tbl>
            <w:tblPr>
              <w:tblStyle w:val="TableGrid"/>
              <w:tblW w:w="0" w:type="auto"/>
              <w:tblLayout w:type="fixed"/>
              <w:tblLook w:val="04A0" w:firstRow="1" w:lastRow="0" w:firstColumn="1" w:lastColumn="0" w:noHBand="0" w:noVBand="1"/>
            </w:tblPr>
            <w:tblGrid>
              <w:gridCol w:w="542"/>
              <w:gridCol w:w="523"/>
              <w:gridCol w:w="567"/>
              <w:gridCol w:w="567"/>
              <w:gridCol w:w="567"/>
              <w:gridCol w:w="678"/>
            </w:tblGrid>
            <w:tr w:rsidR="002F0974" w:rsidRPr="003153AA" w14:paraId="59AF8021" w14:textId="77777777">
              <w:tc>
                <w:tcPr>
                  <w:tcW w:w="542" w:type="dxa"/>
                </w:tcPr>
                <w:p w14:paraId="49D21EAB" w14:textId="77777777" w:rsidR="002F0974" w:rsidRPr="003153AA" w:rsidRDefault="002F0974" w:rsidP="008B520A">
                  <w:pPr>
                    <w:pStyle w:val="In-tableHeading"/>
                    <w:keepNext w:val="0"/>
                    <w:widowControl w:val="0"/>
                  </w:pPr>
                </w:p>
              </w:tc>
              <w:tc>
                <w:tcPr>
                  <w:tcW w:w="523" w:type="dxa"/>
                </w:tcPr>
                <w:p w14:paraId="1CEF5001" w14:textId="77777777" w:rsidR="002F0974" w:rsidRPr="003153AA" w:rsidRDefault="002F0974" w:rsidP="008B520A">
                  <w:pPr>
                    <w:pStyle w:val="TableText0"/>
                    <w:keepNext w:val="0"/>
                    <w:widowControl w:val="0"/>
                  </w:pPr>
                  <w:r w:rsidRPr="003153AA">
                    <w:t xml:space="preserve">S1 </w:t>
                  </w:r>
                </w:p>
              </w:tc>
              <w:tc>
                <w:tcPr>
                  <w:tcW w:w="567" w:type="dxa"/>
                </w:tcPr>
                <w:p w14:paraId="23DCF90D" w14:textId="77777777" w:rsidR="002F0974" w:rsidRPr="003153AA" w:rsidRDefault="002F0974" w:rsidP="008B520A">
                  <w:pPr>
                    <w:pStyle w:val="TableText0"/>
                    <w:keepNext w:val="0"/>
                    <w:widowControl w:val="0"/>
                  </w:pPr>
                  <w:r w:rsidRPr="003153AA">
                    <w:t>S2</w:t>
                  </w:r>
                </w:p>
              </w:tc>
              <w:tc>
                <w:tcPr>
                  <w:tcW w:w="567" w:type="dxa"/>
                </w:tcPr>
                <w:p w14:paraId="6F4B3486" w14:textId="77777777" w:rsidR="002F0974" w:rsidRPr="003153AA" w:rsidRDefault="002F0974" w:rsidP="008B520A">
                  <w:pPr>
                    <w:pStyle w:val="TableText0"/>
                    <w:keepNext w:val="0"/>
                    <w:widowControl w:val="0"/>
                  </w:pPr>
                  <w:r w:rsidRPr="003153AA">
                    <w:t>S3</w:t>
                  </w:r>
                </w:p>
              </w:tc>
              <w:tc>
                <w:tcPr>
                  <w:tcW w:w="567" w:type="dxa"/>
                </w:tcPr>
                <w:p w14:paraId="332AD97D" w14:textId="77777777" w:rsidR="002F0974" w:rsidRPr="003153AA" w:rsidRDefault="002F0974" w:rsidP="008B520A">
                  <w:pPr>
                    <w:pStyle w:val="TableText0"/>
                    <w:keepNext w:val="0"/>
                    <w:widowControl w:val="0"/>
                  </w:pPr>
                  <w:r w:rsidRPr="003153AA">
                    <w:t>S4</w:t>
                  </w:r>
                </w:p>
              </w:tc>
              <w:tc>
                <w:tcPr>
                  <w:tcW w:w="678" w:type="dxa"/>
                </w:tcPr>
                <w:p w14:paraId="0DE65DF7" w14:textId="77777777" w:rsidR="002F0974" w:rsidRPr="003153AA" w:rsidRDefault="002F0974" w:rsidP="008B520A">
                  <w:pPr>
                    <w:pStyle w:val="TableText0"/>
                    <w:keepNext w:val="0"/>
                    <w:widowControl w:val="0"/>
                  </w:pPr>
                  <w:r w:rsidRPr="003153AA">
                    <w:t>Total</w:t>
                  </w:r>
                </w:p>
              </w:tc>
            </w:tr>
            <w:tr w:rsidR="002F0974" w:rsidRPr="003153AA" w14:paraId="2A565FD5" w14:textId="77777777">
              <w:tc>
                <w:tcPr>
                  <w:tcW w:w="542" w:type="dxa"/>
                </w:tcPr>
                <w:p w14:paraId="3CD3630E" w14:textId="77777777" w:rsidR="002F0974" w:rsidRPr="003153AA" w:rsidRDefault="002F0974" w:rsidP="008B520A">
                  <w:pPr>
                    <w:pStyle w:val="In-tableHeading"/>
                    <w:keepNext w:val="0"/>
                    <w:widowControl w:val="0"/>
                    <w:rPr>
                      <w:b w:val="0"/>
                    </w:rPr>
                  </w:pPr>
                  <w:r w:rsidRPr="003153AA">
                    <w:t>Yr 1</w:t>
                  </w:r>
                </w:p>
              </w:tc>
              <w:tc>
                <w:tcPr>
                  <w:tcW w:w="523" w:type="dxa"/>
                </w:tcPr>
                <w:p w14:paraId="148BED99" w14:textId="4C0FAAFA"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67" w:type="dxa"/>
                </w:tcPr>
                <w:p w14:paraId="5726D46E" w14:textId="13B6E816"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67" w:type="dxa"/>
                </w:tcPr>
                <w:p w14:paraId="07B0759A" w14:textId="6CC08BD9"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67" w:type="dxa"/>
                </w:tcPr>
                <w:p w14:paraId="179C4F2B" w14:textId="794A3439"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678" w:type="dxa"/>
                </w:tcPr>
                <w:p w14:paraId="6295DD44" w14:textId="72EC608F"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r>
            <w:tr w:rsidR="002F0974" w:rsidRPr="003153AA" w14:paraId="2E963CB3" w14:textId="77777777">
              <w:tc>
                <w:tcPr>
                  <w:tcW w:w="542" w:type="dxa"/>
                </w:tcPr>
                <w:p w14:paraId="4EA737F5" w14:textId="77777777" w:rsidR="002F0974" w:rsidRPr="003153AA" w:rsidRDefault="002F0974" w:rsidP="008B520A">
                  <w:pPr>
                    <w:pStyle w:val="In-tableHeading"/>
                    <w:keepNext w:val="0"/>
                    <w:widowControl w:val="0"/>
                    <w:rPr>
                      <w:b w:val="0"/>
                    </w:rPr>
                  </w:pPr>
                  <w:r w:rsidRPr="003153AA">
                    <w:t>Yr 2</w:t>
                  </w:r>
                </w:p>
              </w:tc>
              <w:tc>
                <w:tcPr>
                  <w:tcW w:w="523" w:type="dxa"/>
                </w:tcPr>
                <w:p w14:paraId="001A9A15" w14:textId="71B91BFA"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67" w:type="dxa"/>
                </w:tcPr>
                <w:p w14:paraId="1795D692" w14:textId="1274A461"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67" w:type="dxa"/>
                </w:tcPr>
                <w:p w14:paraId="6A5568B1" w14:textId="74EE760A"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67" w:type="dxa"/>
                </w:tcPr>
                <w:p w14:paraId="699E4BB6" w14:textId="7A002ACD"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678" w:type="dxa"/>
                </w:tcPr>
                <w:p w14:paraId="78CB695E" w14:textId="37D48113"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r>
            <w:tr w:rsidR="002F0974" w:rsidRPr="003153AA" w14:paraId="61C2BA8F" w14:textId="77777777">
              <w:tc>
                <w:tcPr>
                  <w:tcW w:w="542" w:type="dxa"/>
                </w:tcPr>
                <w:p w14:paraId="54A37B1D" w14:textId="77777777" w:rsidR="002F0974" w:rsidRPr="003153AA" w:rsidRDefault="002F0974" w:rsidP="008B520A">
                  <w:pPr>
                    <w:pStyle w:val="In-tableHeading"/>
                    <w:keepNext w:val="0"/>
                    <w:widowControl w:val="0"/>
                    <w:rPr>
                      <w:b w:val="0"/>
                    </w:rPr>
                  </w:pPr>
                  <w:r w:rsidRPr="003153AA">
                    <w:t>Yr 3</w:t>
                  </w:r>
                </w:p>
              </w:tc>
              <w:tc>
                <w:tcPr>
                  <w:tcW w:w="523" w:type="dxa"/>
                </w:tcPr>
                <w:p w14:paraId="1EB6EA71" w14:textId="3DFD2B13"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67" w:type="dxa"/>
                </w:tcPr>
                <w:p w14:paraId="6A4CC1E5" w14:textId="6B115740"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67" w:type="dxa"/>
                </w:tcPr>
                <w:p w14:paraId="1DB76E06" w14:textId="0EFAD2EA"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67" w:type="dxa"/>
                </w:tcPr>
                <w:p w14:paraId="21048B03" w14:textId="31C3CEA0"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678" w:type="dxa"/>
                </w:tcPr>
                <w:p w14:paraId="4655B9B9" w14:textId="3E928A20"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r>
            <w:tr w:rsidR="002F0974" w:rsidRPr="003153AA" w14:paraId="25A0B43C" w14:textId="77777777">
              <w:tc>
                <w:tcPr>
                  <w:tcW w:w="542" w:type="dxa"/>
                </w:tcPr>
                <w:p w14:paraId="067BDD50" w14:textId="77777777" w:rsidR="002F0974" w:rsidRPr="003153AA" w:rsidRDefault="002F0974" w:rsidP="008B520A">
                  <w:pPr>
                    <w:pStyle w:val="In-tableHeading"/>
                    <w:keepNext w:val="0"/>
                    <w:widowControl w:val="0"/>
                    <w:rPr>
                      <w:b w:val="0"/>
                    </w:rPr>
                  </w:pPr>
                  <w:r w:rsidRPr="003153AA">
                    <w:t>Yr 4</w:t>
                  </w:r>
                </w:p>
              </w:tc>
              <w:tc>
                <w:tcPr>
                  <w:tcW w:w="523" w:type="dxa"/>
                </w:tcPr>
                <w:p w14:paraId="58E605FA" w14:textId="53D0EA9A"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67" w:type="dxa"/>
                </w:tcPr>
                <w:p w14:paraId="0B801F57" w14:textId="71184231"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67" w:type="dxa"/>
                </w:tcPr>
                <w:p w14:paraId="4D3F0613" w14:textId="6A3B170A"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67" w:type="dxa"/>
                </w:tcPr>
                <w:p w14:paraId="05D8ECF5" w14:textId="46D93EDB"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678" w:type="dxa"/>
                </w:tcPr>
                <w:p w14:paraId="6E07359D" w14:textId="0675B2DA"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r>
            <w:tr w:rsidR="002F0974" w:rsidRPr="003153AA" w14:paraId="2814F2D0" w14:textId="77777777">
              <w:tc>
                <w:tcPr>
                  <w:tcW w:w="542" w:type="dxa"/>
                </w:tcPr>
                <w:p w14:paraId="212F205D" w14:textId="77777777" w:rsidR="002F0974" w:rsidRPr="003153AA" w:rsidRDefault="002F0974" w:rsidP="008B520A">
                  <w:pPr>
                    <w:pStyle w:val="In-tableHeading"/>
                    <w:keepNext w:val="0"/>
                    <w:widowControl w:val="0"/>
                    <w:rPr>
                      <w:b w:val="0"/>
                    </w:rPr>
                  </w:pPr>
                  <w:r w:rsidRPr="003153AA">
                    <w:t>Yr 5</w:t>
                  </w:r>
                </w:p>
              </w:tc>
              <w:tc>
                <w:tcPr>
                  <w:tcW w:w="523" w:type="dxa"/>
                </w:tcPr>
                <w:p w14:paraId="27F95CF7" w14:textId="7CB5F127"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67" w:type="dxa"/>
                </w:tcPr>
                <w:p w14:paraId="247026A8" w14:textId="4718DE4C"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67" w:type="dxa"/>
                </w:tcPr>
                <w:p w14:paraId="7D87B3F9" w14:textId="5C21878D"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67" w:type="dxa"/>
                </w:tcPr>
                <w:p w14:paraId="5A105975" w14:textId="54E8FFFB"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678" w:type="dxa"/>
                </w:tcPr>
                <w:p w14:paraId="4044BD0A" w14:textId="694EB4B6"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r>
            <w:tr w:rsidR="002F0974" w:rsidRPr="003153AA" w14:paraId="786CDB9A" w14:textId="77777777">
              <w:tc>
                <w:tcPr>
                  <w:tcW w:w="542" w:type="dxa"/>
                </w:tcPr>
                <w:p w14:paraId="46B3E8A8" w14:textId="77777777" w:rsidR="002F0974" w:rsidRPr="003153AA" w:rsidRDefault="002F0974" w:rsidP="008B520A">
                  <w:pPr>
                    <w:pStyle w:val="In-tableHeading"/>
                    <w:keepNext w:val="0"/>
                    <w:widowControl w:val="0"/>
                    <w:rPr>
                      <w:b w:val="0"/>
                    </w:rPr>
                  </w:pPr>
                  <w:r w:rsidRPr="003153AA">
                    <w:t>Yr 6</w:t>
                  </w:r>
                </w:p>
              </w:tc>
              <w:tc>
                <w:tcPr>
                  <w:tcW w:w="523" w:type="dxa"/>
                </w:tcPr>
                <w:p w14:paraId="7EF15FBA" w14:textId="08DF1CB0"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67" w:type="dxa"/>
                </w:tcPr>
                <w:p w14:paraId="0CF25597" w14:textId="59F3806B"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67" w:type="dxa"/>
                </w:tcPr>
                <w:p w14:paraId="47CA2E70" w14:textId="24602C1A"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67" w:type="dxa"/>
                </w:tcPr>
                <w:p w14:paraId="32645B73" w14:textId="4C4CE1D1"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678" w:type="dxa"/>
                </w:tcPr>
                <w:p w14:paraId="4F151FAC" w14:textId="143F1FCA"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r>
          </w:tbl>
          <w:p w14:paraId="0331A626" w14:textId="77777777" w:rsidR="002F0974" w:rsidRPr="003153AA" w:rsidRDefault="002F0974" w:rsidP="008B520A">
            <w:pPr>
              <w:pStyle w:val="TableText0"/>
              <w:keepNext w:val="0"/>
              <w:widowControl w:val="0"/>
            </w:pPr>
            <w:r w:rsidRPr="003153AA">
              <w:lastRenderedPageBreak/>
              <w:t>Calculations were based on patients entering 3L (18.5%), uptake rates above, and:</w:t>
            </w:r>
          </w:p>
          <w:p w14:paraId="22BFB561" w14:textId="77777777" w:rsidR="002F0974" w:rsidRPr="003153AA" w:rsidRDefault="002F0974" w:rsidP="008B520A">
            <w:pPr>
              <w:pStyle w:val="TableText0"/>
              <w:keepNext w:val="0"/>
              <w:widowControl w:val="0"/>
            </w:pPr>
            <w:r w:rsidRPr="003153AA">
              <w:rPr>
                <w:u w:val="single"/>
              </w:rPr>
              <w:t>S1</w:t>
            </w:r>
            <w:r w:rsidRPr="003153AA">
              <w:t>: 25% eligible for CAR-T, 50% R/R after 3L</w:t>
            </w:r>
          </w:p>
          <w:p w14:paraId="2F9E1F36" w14:textId="77777777" w:rsidR="002F0974" w:rsidRPr="003153AA" w:rsidRDefault="002F0974" w:rsidP="008B520A">
            <w:pPr>
              <w:pStyle w:val="TableText0"/>
              <w:keepNext w:val="0"/>
              <w:widowControl w:val="0"/>
            </w:pPr>
            <w:r w:rsidRPr="003153AA">
              <w:rPr>
                <w:u w:val="single"/>
              </w:rPr>
              <w:t>S2:</w:t>
            </w:r>
            <w:r w:rsidRPr="003153AA">
              <w:t xml:space="preserve"> 66.5% eligible for glofitamab (1- 33.5%). The submission multiplied 67% eligible for 2L CAR-T and 50% for SCT = 33.5%; uptake of 2L glofitamab (80%-95%).</w:t>
            </w:r>
          </w:p>
          <w:p w14:paraId="60202458" w14:textId="77777777" w:rsidR="002F0974" w:rsidRPr="003153AA" w:rsidRDefault="002F0974" w:rsidP="008B520A">
            <w:pPr>
              <w:pStyle w:val="TableText0"/>
              <w:keepNext w:val="0"/>
              <w:widowControl w:val="0"/>
            </w:pPr>
            <w:r w:rsidRPr="003153AA">
              <w:rPr>
                <w:u w:val="single"/>
              </w:rPr>
              <w:t>S3</w:t>
            </w:r>
            <w:r w:rsidRPr="003153AA">
              <w:t>: 75% ineligible for CAR-T, no prior glofitamab (1 – [glofitamab eligible 66.5% * uptake of 2L glofitamab 80%-95%]), 12.5% not receiving epcoritamab</w:t>
            </w:r>
          </w:p>
          <w:p w14:paraId="4C1F39FB" w14:textId="77777777" w:rsidR="002F0974" w:rsidRPr="003153AA" w:rsidRDefault="002F0974" w:rsidP="008B520A">
            <w:pPr>
              <w:pStyle w:val="TableText0"/>
              <w:keepNext w:val="0"/>
              <w:widowControl w:val="0"/>
            </w:pPr>
            <w:r w:rsidRPr="003153AA">
              <w:rPr>
                <w:u w:val="single"/>
              </w:rPr>
              <w:t>S4</w:t>
            </w:r>
            <w:r w:rsidRPr="003153AA">
              <w:t xml:space="preserve">: no prior glofitamab, eligible for epcoritamab (87.50%= 1 – 12.5%), R/R to epcoritamab (79.62%). </w:t>
            </w:r>
          </w:p>
        </w:tc>
        <w:tc>
          <w:tcPr>
            <w:tcW w:w="1559" w:type="dxa"/>
            <w:vAlign w:val="center"/>
          </w:tcPr>
          <w:p w14:paraId="65002F3E" w14:textId="77777777" w:rsidR="002F0974" w:rsidRPr="003153AA" w:rsidRDefault="002F0974" w:rsidP="008B520A">
            <w:pPr>
              <w:pStyle w:val="TableText0"/>
              <w:keepNext w:val="0"/>
              <w:widowControl w:val="0"/>
            </w:pPr>
            <w:r w:rsidRPr="003153AA">
              <w:lastRenderedPageBreak/>
              <w:t xml:space="preserve">Table 20, </w:t>
            </w:r>
            <w:proofErr w:type="spellStart"/>
            <w:r w:rsidRPr="003153AA">
              <w:t>eporcoritamab</w:t>
            </w:r>
            <w:proofErr w:type="spellEnd"/>
            <w:r w:rsidRPr="003153AA">
              <w:t xml:space="preserve"> PSD, Nov 2024;</w:t>
            </w:r>
          </w:p>
          <w:p w14:paraId="53214E4A" w14:textId="77777777" w:rsidR="002F0974" w:rsidRPr="003153AA" w:rsidRDefault="002F0974" w:rsidP="008B520A">
            <w:pPr>
              <w:pStyle w:val="TableText0"/>
              <w:keepNext w:val="0"/>
              <w:widowControl w:val="0"/>
            </w:pPr>
            <w:r w:rsidRPr="003153AA">
              <w:t>Table 20, MSAC 1772.1;</w:t>
            </w:r>
          </w:p>
          <w:p w14:paraId="3FC554E2" w14:textId="77777777" w:rsidR="002F0974" w:rsidRPr="003153AA" w:rsidRDefault="002F0974" w:rsidP="008B520A">
            <w:pPr>
              <w:pStyle w:val="TableText0"/>
              <w:keepNext w:val="0"/>
              <w:widowControl w:val="0"/>
            </w:pPr>
            <w:r w:rsidRPr="003153AA">
              <w:t>Lewis and Cheah 2024</w:t>
            </w:r>
            <w:r w:rsidRPr="003153AA">
              <w:rPr>
                <w:rStyle w:val="FootnoteReference"/>
              </w:rPr>
              <w:footnoteReference w:id="20"/>
            </w:r>
          </w:p>
          <w:p w14:paraId="10564071" w14:textId="77777777" w:rsidR="002F0974" w:rsidRPr="003153AA" w:rsidRDefault="002F0974" w:rsidP="008B520A">
            <w:pPr>
              <w:pStyle w:val="TableText0"/>
              <w:keepNext w:val="0"/>
              <w:widowControl w:val="0"/>
            </w:pPr>
            <w:r w:rsidRPr="003153AA">
              <w:lastRenderedPageBreak/>
              <w:t>Karimi et al. 2025</w:t>
            </w:r>
            <w:r w:rsidRPr="003153AA">
              <w:rPr>
                <w:rStyle w:val="FootnoteReference"/>
              </w:rPr>
              <w:footnoteReference w:id="21"/>
            </w:r>
          </w:p>
        </w:tc>
        <w:tc>
          <w:tcPr>
            <w:tcW w:w="2948" w:type="dxa"/>
            <w:vAlign w:val="center"/>
          </w:tcPr>
          <w:p w14:paraId="57F2D676" w14:textId="1D66D9AD" w:rsidR="002F0974" w:rsidRPr="003153AA" w:rsidRDefault="002F0974" w:rsidP="008B520A">
            <w:pPr>
              <w:pStyle w:val="TableText0"/>
              <w:keepNext w:val="0"/>
              <w:widowControl w:val="0"/>
            </w:pPr>
            <w:r w:rsidRPr="003153AA">
              <w:lastRenderedPageBreak/>
              <w:t>T</w:t>
            </w:r>
            <w:r w:rsidR="00A1354F">
              <w:t>he evaluation considered t</w:t>
            </w:r>
            <w:r w:rsidRPr="003153AA">
              <w:t>hese numbers were highly uncertain.</w:t>
            </w:r>
          </w:p>
          <w:p w14:paraId="1A1A5B8A" w14:textId="10C695B4" w:rsidR="002F0974" w:rsidRPr="003153AA" w:rsidRDefault="002F0974" w:rsidP="008B520A">
            <w:pPr>
              <w:pStyle w:val="TableText0"/>
              <w:keepNext w:val="0"/>
              <w:widowControl w:val="0"/>
            </w:pPr>
            <w:r w:rsidRPr="003153AA">
              <w:rPr>
                <w:u w:val="single"/>
              </w:rPr>
              <w:t>S1</w:t>
            </w:r>
            <w:r w:rsidRPr="003153AA">
              <w:t xml:space="preserve">: CAR-T is now MBS-listed for 2L treatment, which would reduce CAR-T utilisation in 3L and affect all the other subpopulations. </w:t>
            </w:r>
          </w:p>
          <w:p w14:paraId="00367B7A" w14:textId="50927DBB" w:rsidR="002F0974" w:rsidRPr="003153AA" w:rsidRDefault="002F0974" w:rsidP="008B520A">
            <w:pPr>
              <w:pStyle w:val="TableText0"/>
              <w:keepNext w:val="0"/>
              <w:widowControl w:val="0"/>
            </w:pPr>
            <w:r w:rsidRPr="003153AA">
              <w:rPr>
                <w:u w:val="single"/>
              </w:rPr>
              <w:lastRenderedPageBreak/>
              <w:t>S2</w:t>
            </w:r>
            <w:r w:rsidRPr="003153AA">
              <w:t xml:space="preserve">: The submission multiplied the 2L CAR-T eligibility (67.5%) and SCT eligibility (50%) = 33.5%. This was not appropriate as CAR-T eligibility is not dependent on SCT eligibility, in fact, it may substitute for SCT. </w:t>
            </w:r>
          </w:p>
          <w:p w14:paraId="452BAF97" w14:textId="1EEE5750" w:rsidR="002F0974" w:rsidRPr="003153AA" w:rsidRDefault="002F0974" w:rsidP="008B520A">
            <w:pPr>
              <w:pStyle w:val="TableText0"/>
              <w:keepNext w:val="0"/>
              <w:widowControl w:val="0"/>
            </w:pPr>
            <w:r w:rsidRPr="003153AA">
              <w:rPr>
                <w:u w:val="single"/>
              </w:rPr>
              <w:t>S3</w:t>
            </w:r>
            <w:r w:rsidRPr="003153AA">
              <w:t xml:space="preserve">: the epcoritamab PSD assumed rate for those not taking epcoritamab in 3L (12.5%) includes all bispecific-naïve patients (as glofitamab had not been listed at the time). Therefore, </w:t>
            </w:r>
            <w:r w:rsidR="00797662">
              <w:t xml:space="preserve">the evaluation considered that </w:t>
            </w:r>
            <w:r w:rsidRPr="003153AA">
              <w:t xml:space="preserve">applying this rate on top of </w:t>
            </w:r>
            <w:proofErr w:type="spellStart"/>
            <w:r w:rsidRPr="003153AA">
              <w:t>glofitamab’s</w:t>
            </w:r>
            <w:proofErr w:type="spellEnd"/>
            <w:r w:rsidRPr="003153AA">
              <w:t xml:space="preserve"> uptake rate was not appropriate. </w:t>
            </w:r>
          </w:p>
          <w:p w14:paraId="37FC1D82" w14:textId="38984C83" w:rsidR="002F0974" w:rsidRPr="003153AA" w:rsidRDefault="002F0974" w:rsidP="008B520A">
            <w:pPr>
              <w:pStyle w:val="TableText0"/>
              <w:keepNext w:val="0"/>
              <w:widowControl w:val="0"/>
            </w:pPr>
            <w:r w:rsidRPr="003153AA">
              <w:rPr>
                <w:u w:val="single"/>
              </w:rPr>
              <w:t>S4</w:t>
            </w:r>
            <w:r w:rsidRPr="003153AA">
              <w:t xml:space="preserve">: This subpopulation did not include patients who would have failed CAR-T in 2L and are eligible to receive epcoritamab in 3L. </w:t>
            </w:r>
          </w:p>
          <w:p w14:paraId="5E04CA6F" w14:textId="4EAEF156" w:rsidR="002F0974" w:rsidRPr="003153AA" w:rsidRDefault="002F0974" w:rsidP="008B520A">
            <w:pPr>
              <w:pStyle w:val="TableText0"/>
              <w:keepNext w:val="0"/>
              <w:widowControl w:val="0"/>
            </w:pPr>
            <w:r w:rsidRPr="003153AA">
              <w:t xml:space="preserve">Furthermore, </w:t>
            </w:r>
            <w:r w:rsidR="00797662">
              <w:t xml:space="preserve">the evaluation considered that </w:t>
            </w:r>
            <w:r w:rsidRPr="003153AA">
              <w:t xml:space="preserve">patients who are unable to receive CAR-T in 2L could receive glofitamab in 2L, and then become eligible to receive CAR-T in 3L as their disease status may have changed. </w:t>
            </w:r>
          </w:p>
        </w:tc>
      </w:tr>
      <w:tr w:rsidR="002F0974" w:rsidRPr="003153AA" w14:paraId="6A6A2230" w14:textId="77777777" w:rsidTr="005C4AAD">
        <w:tc>
          <w:tcPr>
            <w:tcW w:w="1271" w:type="dxa"/>
            <w:vAlign w:val="center"/>
          </w:tcPr>
          <w:p w14:paraId="673815DE" w14:textId="77777777" w:rsidR="002F0974" w:rsidRPr="003153AA" w:rsidRDefault="002F0974" w:rsidP="008B520A">
            <w:pPr>
              <w:pStyle w:val="TableText0"/>
              <w:keepNext w:val="0"/>
              <w:widowControl w:val="0"/>
            </w:pPr>
            <w:r w:rsidRPr="003153AA">
              <w:lastRenderedPageBreak/>
              <w:t xml:space="preserve"> Scripts dispensed</w:t>
            </w:r>
          </w:p>
        </w:tc>
        <w:tc>
          <w:tcPr>
            <w:tcW w:w="3402" w:type="dxa"/>
            <w:vAlign w:val="center"/>
          </w:tcPr>
          <w:tbl>
            <w:tblPr>
              <w:tblStyle w:val="TableGrid"/>
              <w:tblpPr w:leftFromText="180" w:rightFromText="180" w:vertAnchor="text" w:horzAnchor="margin" w:tblpY="417"/>
              <w:tblOverlap w:val="never"/>
              <w:tblW w:w="3114" w:type="dxa"/>
              <w:tblLayout w:type="fixed"/>
              <w:tblLook w:val="04A0" w:firstRow="1" w:lastRow="0" w:firstColumn="1" w:lastColumn="0" w:noHBand="0" w:noVBand="1"/>
            </w:tblPr>
            <w:tblGrid>
              <w:gridCol w:w="647"/>
              <w:gridCol w:w="624"/>
              <w:gridCol w:w="709"/>
              <w:gridCol w:w="567"/>
              <w:gridCol w:w="567"/>
            </w:tblGrid>
            <w:tr w:rsidR="002F0974" w:rsidRPr="003153AA" w14:paraId="3B93E34A" w14:textId="77777777">
              <w:trPr>
                <w:trHeight w:val="168"/>
              </w:trPr>
              <w:tc>
                <w:tcPr>
                  <w:tcW w:w="647" w:type="dxa"/>
                </w:tcPr>
                <w:p w14:paraId="6DABC4E1" w14:textId="77777777" w:rsidR="002F0974" w:rsidRPr="003153AA" w:rsidRDefault="002F0974" w:rsidP="008B520A">
                  <w:pPr>
                    <w:pStyle w:val="In-tableHeading"/>
                    <w:keepNext w:val="0"/>
                    <w:widowControl w:val="0"/>
                  </w:pPr>
                </w:p>
              </w:tc>
              <w:tc>
                <w:tcPr>
                  <w:tcW w:w="624" w:type="dxa"/>
                </w:tcPr>
                <w:p w14:paraId="71ACE6C5" w14:textId="77777777" w:rsidR="002F0974" w:rsidRPr="003153AA" w:rsidRDefault="002F0974" w:rsidP="008B520A">
                  <w:pPr>
                    <w:pStyle w:val="TableText0"/>
                    <w:keepNext w:val="0"/>
                    <w:widowControl w:val="0"/>
                    <w:rPr>
                      <w:snapToGrid w:val="0"/>
                    </w:rPr>
                  </w:pPr>
                  <w:r w:rsidRPr="003153AA">
                    <w:rPr>
                      <w:snapToGrid w:val="0"/>
                    </w:rPr>
                    <w:t>Initial</w:t>
                  </w:r>
                </w:p>
              </w:tc>
              <w:tc>
                <w:tcPr>
                  <w:tcW w:w="709" w:type="dxa"/>
                </w:tcPr>
                <w:p w14:paraId="111DF74D" w14:textId="77777777" w:rsidR="002F0974" w:rsidRPr="003153AA" w:rsidRDefault="002F0974" w:rsidP="008B520A">
                  <w:pPr>
                    <w:pStyle w:val="TableText0"/>
                    <w:keepNext w:val="0"/>
                    <w:widowControl w:val="0"/>
                    <w:rPr>
                      <w:snapToGrid w:val="0"/>
                    </w:rPr>
                  </w:pPr>
                  <w:proofErr w:type="spellStart"/>
                  <w:r w:rsidRPr="003153AA">
                    <w:rPr>
                      <w:snapToGrid w:val="0"/>
                    </w:rPr>
                    <w:t>Contn</w:t>
                  </w:r>
                  <w:proofErr w:type="spellEnd"/>
                </w:p>
              </w:tc>
              <w:tc>
                <w:tcPr>
                  <w:tcW w:w="567" w:type="dxa"/>
                </w:tcPr>
                <w:p w14:paraId="45A4EF75" w14:textId="77777777" w:rsidR="002F0974" w:rsidRPr="003153AA" w:rsidRDefault="002F0974" w:rsidP="008B520A">
                  <w:pPr>
                    <w:pStyle w:val="TableText0"/>
                    <w:keepNext w:val="0"/>
                    <w:widowControl w:val="0"/>
                    <w:rPr>
                      <w:snapToGrid w:val="0"/>
                    </w:rPr>
                  </w:pPr>
                  <w:r w:rsidRPr="003153AA">
                    <w:rPr>
                      <w:snapToGrid w:val="0"/>
                    </w:rPr>
                    <w:t>GF</w:t>
                  </w:r>
                </w:p>
              </w:tc>
              <w:tc>
                <w:tcPr>
                  <w:tcW w:w="567" w:type="dxa"/>
                </w:tcPr>
                <w:p w14:paraId="638334F7" w14:textId="77777777" w:rsidR="002F0974" w:rsidRPr="003153AA" w:rsidRDefault="002F0974" w:rsidP="008B520A">
                  <w:pPr>
                    <w:pStyle w:val="TableText0"/>
                    <w:keepNext w:val="0"/>
                    <w:widowControl w:val="0"/>
                    <w:rPr>
                      <w:snapToGrid w:val="0"/>
                    </w:rPr>
                  </w:pPr>
                  <w:r w:rsidRPr="003153AA">
                    <w:rPr>
                      <w:snapToGrid w:val="0"/>
                    </w:rPr>
                    <w:t>Total</w:t>
                  </w:r>
                </w:p>
              </w:tc>
            </w:tr>
            <w:tr w:rsidR="002F0974" w:rsidRPr="003153AA" w14:paraId="4DDB5502" w14:textId="77777777">
              <w:trPr>
                <w:trHeight w:val="168"/>
              </w:trPr>
              <w:tc>
                <w:tcPr>
                  <w:tcW w:w="647" w:type="dxa"/>
                </w:tcPr>
                <w:p w14:paraId="33835584" w14:textId="77777777" w:rsidR="002F0974" w:rsidRPr="003153AA" w:rsidRDefault="002F0974" w:rsidP="008B520A">
                  <w:pPr>
                    <w:pStyle w:val="In-tableHeading"/>
                    <w:keepNext w:val="0"/>
                    <w:widowControl w:val="0"/>
                  </w:pPr>
                  <w:r w:rsidRPr="003153AA">
                    <w:t>Yr 1</w:t>
                  </w:r>
                </w:p>
              </w:tc>
              <w:tc>
                <w:tcPr>
                  <w:tcW w:w="624" w:type="dxa"/>
                </w:tcPr>
                <w:p w14:paraId="5074754E" w14:textId="7BE6AEC3"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709" w:type="dxa"/>
                </w:tcPr>
                <w:p w14:paraId="1EC50EB3" w14:textId="256D1662"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567" w:type="dxa"/>
                </w:tcPr>
                <w:p w14:paraId="08D1A8F2" w14:textId="5F6A3674"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567" w:type="dxa"/>
                </w:tcPr>
                <w:p w14:paraId="6E4AFD11" w14:textId="156527FB" w:rsidR="002F0974" w:rsidRPr="00360B52" w:rsidRDefault="005822E1" w:rsidP="008B520A">
                  <w:pPr>
                    <w:pStyle w:val="TableText0"/>
                    <w:keepNext w:val="0"/>
                    <w:widowControl w:val="0"/>
                    <w:rPr>
                      <w:snapToGrid w:val="0"/>
                      <w:vertAlign w:val="superscript"/>
                    </w:rPr>
                  </w:pPr>
                  <w:r w:rsidRPr="005822E1">
                    <w:rPr>
                      <w:snapToGrid w:val="0"/>
                      <w:sz w:val="2"/>
                      <w:highlight w:val="black"/>
                    </w:rPr>
                    <w:t>redacted content</w:t>
                  </w:r>
                  <w:r w:rsidR="00360B52">
                    <w:rPr>
                      <w:snapToGrid w:val="0"/>
                      <w:vertAlign w:val="superscript"/>
                    </w:rPr>
                    <w:t>1</w:t>
                  </w:r>
                </w:p>
              </w:tc>
            </w:tr>
            <w:tr w:rsidR="002F0974" w:rsidRPr="003153AA" w14:paraId="7905AF0B" w14:textId="77777777">
              <w:trPr>
                <w:trHeight w:val="168"/>
              </w:trPr>
              <w:tc>
                <w:tcPr>
                  <w:tcW w:w="647" w:type="dxa"/>
                </w:tcPr>
                <w:p w14:paraId="725913DA" w14:textId="77777777" w:rsidR="002F0974" w:rsidRPr="003153AA" w:rsidRDefault="002F0974" w:rsidP="008B520A">
                  <w:pPr>
                    <w:pStyle w:val="In-tableHeading"/>
                    <w:keepNext w:val="0"/>
                    <w:widowControl w:val="0"/>
                  </w:pPr>
                  <w:r w:rsidRPr="003153AA">
                    <w:t>Yr 2</w:t>
                  </w:r>
                </w:p>
              </w:tc>
              <w:tc>
                <w:tcPr>
                  <w:tcW w:w="624" w:type="dxa"/>
                </w:tcPr>
                <w:p w14:paraId="5E5B8223" w14:textId="08F6A363"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709" w:type="dxa"/>
                </w:tcPr>
                <w:p w14:paraId="779C60F0" w14:textId="4832180F"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567" w:type="dxa"/>
                </w:tcPr>
                <w:p w14:paraId="453FCA6D" w14:textId="77777777" w:rsidR="002F0974" w:rsidRPr="003D2DFB" w:rsidRDefault="002F0974" w:rsidP="008B520A">
                  <w:pPr>
                    <w:pStyle w:val="TableText0"/>
                    <w:keepNext w:val="0"/>
                    <w:widowControl w:val="0"/>
                    <w:rPr>
                      <w:snapToGrid w:val="0"/>
                    </w:rPr>
                  </w:pPr>
                  <w:r w:rsidRPr="003D2DFB">
                    <w:rPr>
                      <w:snapToGrid w:val="0"/>
                    </w:rPr>
                    <w:t>0</w:t>
                  </w:r>
                </w:p>
              </w:tc>
              <w:tc>
                <w:tcPr>
                  <w:tcW w:w="567" w:type="dxa"/>
                </w:tcPr>
                <w:p w14:paraId="3B459F86" w14:textId="3F262343" w:rsidR="002F0974" w:rsidRPr="00360B52" w:rsidRDefault="005822E1" w:rsidP="008B520A">
                  <w:pPr>
                    <w:pStyle w:val="TableText0"/>
                    <w:keepNext w:val="0"/>
                    <w:widowControl w:val="0"/>
                    <w:rPr>
                      <w:snapToGrid w:val="0"/>
                      <w:vertAlign w:val="superscript"/>
                    </w:rPr>
                  </w:pPr>
                  <w:r w:rsidRPr="005822E1">
                    <w:rPr>
                      <w:snapToGrid w:val="0"/>
                      <w:sz w:val="2"/>
                      <w:highlight w:val="black"/>
                    </w:rPr>
                    <w:t>redacted content</w:t>
                  </w:r>
                  <w:r w:rsidR="00360B52">
                    <w:rPr>
                      <w:snapToGrid w:val="0"/>
                      <w:vertAlign w:val="superscript"/>
                    </w:rPr>
                    <w:t>1</w:t>
                  </w:r>
                </w:p>
              </w:tc>
            </w:tr>
            <w:tr w:rsidR="002F0974" w:rsidRPr="003153AA" w14:paraId="7CAA8081" w14:textId="77777777">
              <w:trPr>
                <w:trHeight w:val="168"/>
              </w:trPr>
              <w:tc>
                <w:tcPr>
                  <w:tcW w:w="647" w:type="dxa"/>
                </w:tcPr>
                <w:p w14:paraId="6A193141" w14:textId="77777777" w:rsidR="002F0974" w:rsidRPr="003153AA" w:rsidRDefault="002F0974" w:rsidP="008B520A">
                  <w:pPr>
                    <w:pStyle w:val="In-tableHeading"/>
                    <w:keepNext w:val="0"/>
                    <w:widowControl w:val="0"/>
                  </w:pPr>
                  <w:r w:rsidRPr="003153AA">
                    <w:t>Yr 3</w:t>
                  </w:r>
                </w:p>
              </w:tc>
              <w:tc>
                <w:tcPr>
                  <w:tcW w:w="624" w:type="dxa"/>
                </w:tcPr>
                <w:p w14:paraId="638378FB" w14:textId="342CEC8E"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709" w:type="dxa"/>
                </w:tcPr>
                <w:p w14:paraId="45C52461" w14:textId="39415A6E"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567" w:type="dxa"/>
                </w:tcPr>
                <w:p w14:paraId="371165FF" w14:textId="77777777" w:rsidR="002F0974" w:rsidRPr="003D2DFB" w:rsidRDefault="002F0974" w:rsidP="008B520A">
                  <w:pPr>
                    <w:pStyle w:val="TableText0"/>
                    <w:keepNext w:val="0"/>
                    <w:widowControl w:val="0"/>
                    <w:rPr>
                      <w:snapToGrid w:val="0"/>
                    </w:rPr>
                  </w:pPr>
                  <w:r w:rsidRPr="003D2DFB">
                    <w:rPr>
                      <w:snapToGrid w:val="0"/>
                    </w:rPr>
                    <w:t>0</w:t>
                  </w:r>
                </w:p>
              </w:tc>
              <w:tc>
                <w:tcPr>
                  <w:tcW w:w="567" w:type="dxa"/>
                </w:tcPr>
                <w:p w14:paraId="3182A96D" w14:textId="293E94A1" w:rsidR="002F0974" w:rsidRPr="00360B52" w:rsidRDefault="005822E1" w:rsidP="008B520A">
                  <w:pPr>
                    <w:pStyle w:val="TableText0"/>
                    <w:keepNext w:val="0"/>
                    <w:widowControl w:val="0"/>
                    <w:rPr>
                      <w:snapToGrid w:val="0"/>
                      <w:vertAlign w:val="superscript"/>
                    </w:rPr>
                  </w:pPr>
                  <w:r w:rsidRPr="005822E1">
                    <w:rPr>
                      <w:snapToGrid w:val="0"/>
                      <w:sz w:val="2"/>
                      <w:highlight w:val="black"/>
                    </w:rPr>
                    <w:t>redacted content</w:t>
                  </w:r>
                  <w:r w:rsidR="00360B52">
                    <w:rPr>
                      <w:snapToGrid w:val="0"/>
                      <w:vertAlign w:val="superscript"/>
                    </w:rPr>
                    <w:t>1</w:t>
                  </w:r>
                </w:p>
              </w:tc>
            </w:tr>
            <w:tr w:rsidR="002F0974" w:rsidRPr="003153AA" w14:paraId="6F295678" w14:textId="77777777">
              <w:trPr>
                <w:trHeight w:val="168"/>
              </w:trPr>
              <w:tc>
                <w:tcPr>
                  <w:tcW w:w="647" w:type="dxa"/>
                </w:tcPr>
                <w:p w14:paraId="3410C0C3" w14:textId="77777777" w:rsidR="002F0974" w:rsidRPr="003153AA" w:rsidRDefault="002F0974" w:rsidP="008B520A">
                  <w:pPr>
                    <w:pStyle w:val="In-tableHeading"/>
                    <w:keepNext w:val="0"/>
                    <w:widowControl w:val="0"/>
                  </w:pPr>
                  <w:r w:rsidRPr="003153AA">
                    <w:t>Yr 4</w:t>
                  </w:r>
                </w:p>
              </w:tc>
              <w:tc>
                <w:tcPr>
                  <w:tcW w:w="624" w:type="dxa"/>
                </w:tcPr>
                <w:p w14:paraId="01BFC1E6" w14:textId="7380CB6A"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709" w:type="dxa"/>
                </w:tcPr>
                <w:p w14:paraId="347E4BDA" w14:textId="74F7C57D"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567" w:type="dxa"/>
                </w:tcPr>
                <w:p w14:paraId="6C30C5FC" w14:textId="77777777" w:rsidR="002F0974" w:rsidRPr="003D2DFB" w:rsidRDefault="002F0974" w:rsidP="008B520A">
                  <w:pPr>
                    <w:pStyle w:val="TableText0"/>
                    <w:keepNext w:val="0"/>
                    <w:widowControl w:val="0"/>
                    <w:rPr>
                      <w:snapToGrid w:val="0"/>
                    </w:rPr>
                  </w:pPr>
                  <w:r w:rsidRPr="003D2DFB">
                    <w:rPr>
                      <w:snapToGrid w:val="0"/>
                    </w:rPr>
                    <w:t>0</w:t>
                  </w:r>
                </w:p>
              </w:tc>
              <w:tc>
                <w:tcPr>
                  <w:tcW w:w="567" w:type="dxa"/>
                </w:tcPr>
                <w:p w14:paraId="26283295" w14:textId="66E131F4" w:rsidR="002F0974" w:rsidRPr="00360B52" w:rsidRDefault="005822E1" w:rsidP="008B520A">
                  <w:pPr>
                    <w:pStyle w:val="TableText0"/>
                    <w:keepNext w:val="0"/>
                    <w:widowControl w:val="0"/>
                    <w:rPr>
                      <w:snapToGrid w:val="0"/>
                      <w:vertAlign w:val="superscript"/>
                    </w:rPr>
                  </w:pPr>
                  <w:r w:rsidRPr="005822E1">
                    <w:rPr>
                      <w:snapToGrid w:val="0"/>
                      <w:sz w:val="2"/>
                      <w:highlight w:val="black"/>
                    </w:rPr>
                    <w:t>redacted content</w:t>
                  </w:r>
                  <w:r w:rsidR="00360B52">
                    <w:rPr>
                      <w:snapToGrid w:val="0"/>
                      <w:vertAlign w:val="superscript"/>
                    </w:rPr>
                    <w:t>1</w:t>
                  </w:r>
                </w:p>
              </w:tc>
            </w:tr>
            <w:tr w:rsidR="002F0974" w:rsidRPr="003153AA" w14:paraId="3E5D9EE5" w14:textId="77777777">
              <w:trPr>
                <w:trHeight w:val="168"/>
              </w:trPr>
              <w:tc>
                <w:tcPr>
                  <w:tcW w:w="647" w:type="dxa"/>
                </w:tcPr>
                <w:p w14:paraId="1FE7195B" w14:textId="77777777" w:rsidR="002F0974" w:rsidRPr="003153AA" w:rsidRDefault="002F0974" w:rsidP="008B520A">
                  <w:pPr>
                    <w:pStyle w:val="In-tableHeading"/>
                    <w:keepNext w:val="0"/>
                    <w:widowControl w:val="0"/>
                  </w:pPr>
                  <w:r w:rsidRPr="003153AA">
                    <w:t>Yr 5</w:t>
                  </w:r>
                </w:p>
              </w:tc>
              <w:tc>
                <w:tcPr>
                  <w:tcW w:w="624" w:type="dxa"/>
                </w:tcPr>
                <w:p w14:paraId="7FC470ED" w14:textId="6BCAB8D3"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709" w:type="dxa"/>
                </w:tcPr>
                <w:p w14:paraId="2E2D2F22" w14:textId="29DD0F25"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567" w:type="dxa"/>
                </w:tcPr>
                <w:p w14:paraId="1675E8B8" w14:textId="77777777" w:rsidR="002F0974" w:rsidRPr="003D2DFB" w:rsidRDefault="002F0974" w:rsidP="008B520A">
                  <w:pPr>
                    <w:pStyle w:val="TableText0"/>
                    <w:keepNext w:val="0"/>
                    <w:widowControl w:val="0"/>
                    <w:rPr>
                      <w:snapToGrid w:val="0"/>
                    </w:rPr>
                  </w:pPr>
                  <w:r w:rsidRPr="003D2DFB">
                    <w:rPr>
                      <w:snapToGrid w:val="0"/>
                    </w:rPr>
                    <w:t>0</w:t>
                  </w:r>
                </w:p>
              </w:tc>
              <w:tc>
                <w:tcPr>
                  <w:tcW w:w="567" w:type="dxa"/>
                </w:tcPr>
                <w:p w14:paraId="446DAB9E" w14:textId="6A5D6DE5" w:rsidR="002F0974" w:rsidRPr="00360B52" w:rsidRDefault="005822E1" w:rsidP="008B520A">
                  <w:pPr>
                    <w:pStyle w:val="TableText0"/>
                    <w:keepNext w:val="0"/>
                    <w:widowControl w:val="0"/>
                    <w:rPr>
                      <w:snapToGrid w:val="0"/>
                      <w:vertAlign w:val="superscript"/>
                    </w:rPr>
                  </w:pPr>
                  <w:r w:rsidRPr="005822E1">
                    <w:rPr>
                      <w:snapToGrid w:val="0"/>
                      <w:sz w:val="2"/>
                      <w:highlight w:val="black"/>
                    </w:rPr>
                    <w:t>redacted content</w:t>
                  </w:r>
                  <w:r w:rsidR="00360B52">
                    <w:rPr>
                      <w:snapToGrid w:val="0"/>
                      <w:vertAlign w:val="superscript"/>
                    </w:rPr>
                    <w:t>1</w:t>
                  </w:r>
                </w:p>
              </w:tc>
            </w:tr>
            <w:tr w:rsidR="002F0974" w:rsidRPr="003153AA" w14:paraId="125618DA" w14:textId="77777777">
              <w:trPr>
                <w:trHeight w:val="163"/>
              </w:trPr>
              <w:tc>
                <w:tcPr>
                  <w:tcW w:w="647" w:type="dxa"/>
                </w:tcPr>
                <w:p w14:paraId="28A59082" w14:textId="77777777" w:rsidR="002F0974" w:rsidRPr="003153AA" w:rsidRDefault="002F0974" w:rsidP="008B520A">
                  <w:pPr>
                    <w:pStyle w:val="In-tableHeading"/>
                    <w:keepNext w:val="0"/>
                    <w:widowControl w:val="0"/>
                  </w:pPr>
                  <w:r w:rsidRPr="003153AA">
                    <w:t>Yr 6</w:t>
                  </w:r>
                </w:p>
              </w:tc>
              <w:tc>
                <w:tcPr>
                  <w:tcW w:w="624" w:type="dxa"/>
                </w:tcPr>
                <w:p w14:paraId="72A5927B" w14:textId="4CAB09F7"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709" w:type="dxa"/>
                </w:tcPr>
                <w:p w14:paraId="54F16EEB" w14:textId="111FB6AC" w:rsidR="002F0974" w:rsidRPr="00DE1FED" w:rsidRDefault="005822E1" w:rsidP="008B520A">
                  <w:pPr>
                    <w:pStyle w:val="TableText0"/>
                    <w:keepNext w:val="0"/>
                    <w:widowControl w:val="0"/>
                    <w:rPr>
                      <w:snapToGrid w:val="0"/>
                      <w:vertAlign w:val="superscript"/>
                    </w:rPr>
                  </w:pPr>
                  <w:r w:rsidRPr="005822E1">
                    <w:rPr>
                      <w:snapToGrid w:val="0"/>
                      <w:sz w:val="2"/>
                      <w:highlight w:val="black"/>
                    </w:rPr>
                    <w:t>redacted content</w:t>
                  </w:r>
                  <w:r w:rsidR="00DE1FED">
                    <w:rPr>
                      <w:snapToGrid w:val="0"/>
                      <w:vertAlign w:val="superscript"/>
                    </w:rPr>
                    <w:t>2</w:t>
                  </w:r>
                </w:p>
              </w:tc>
              <w:tc>
                <w:tcPr>
                  <w:tcW w:w="567" w:type="dxa"/>
                </w:tcPr>
                <w:p w14:paraId="4D391F7D" w14:textId="77777777" w:rsidR="002F0974" w:rsidRPr="003D2DFB" w:rsidRDefault="002F0974" w:rsidP="008B520A">
                  <w:pPr>
                    <w:pStyle w:val="TableText0"/>
                    <w:keepNext w:val="0"/>
                    <w:widowControl w:val="0"/>
                    <w:rPr>
                      <w:snapToGrid w:val="0"/>
                    </w:rPr>
                  </w:pPr>
                  <w:r w:rsidRPr="003D2DFB">
                    <w:rPr>
                      <w:snapToGrid w:val="0"/>
                    </w:rPr>
                    <w:t>0</w:t>
                  </w:r>
                </w:p>
              </w:tc>
              <w:tc>
                <w:tcPr>
                  <w:tcW w:w="567" w:type="dxa"/>
                </w:tcPr>
                <w:p w14:paraId="2379CA64" w14:textId="54E3D8D6" w:rsidR="002F0974" w:rsidRPr="00360B52" w:rsidRDefault="005822E1" w:rsidP="008B520A">
                  <w:pPr>
                    <w:pStyle w:val="TableText0"/>
                    <w:keepNext w:val="0"/>
                    <w:widowControl w:val="0"/>
                    <w:rPr>
                      <w:snapToGrid w:val="0"/>
                      <w:vertAlign w:val="superscript"/>
                    </w:rPr>
                  </w:pPr>
                  <w:r w:rsidRPr="005822E1">
                    <w:rPr>
                      <w:snapToGrid w:val="0"/>
                      <w:sz w:val="2"/>
                      <w:highlight w:val="black"/>
                    </w:rPr>
                    <w:t>redacted content</w:t>
                  </w:r>
                  <w:r w:rsidR="00360B52">
                    <w:rPr>
                      <w:snapToGrid w:val="0"/>
                      <w:vertAlign w:val="superscript"/>
                    </w:rPr>
                    <w:t>1</w:t>
                  </w:r>
                </w:p>
              </w:tc>
            </w:tr>
          </w:tbl>
          <w:p w14:paraId="0C04115B" w14:textId="77777777" w:rsidR="002F0974" w:rsidRPr="003153AA" w:rsidRDefault="002F0974" w:rsidP="008B520A">
            <w:pPr>
              <w:pStyle w:val="TableText0"/>
              <w:keepNext w:val="0"/>
              <w:widowControl w:val="0"/>
            </w:pPr>
          </w:p>
        </w:tc>
        <w:tc>
          <w:tcPr>
            <w:tcW w:w="1559" w:type="dxa"/>
            <w:vAlign w:val="center"/>
          </w:tcPr>
          <w:p w14:paraId="131A7F57" w14:textId="77777777" w:rsidR="002F0974" w:rsidRPr="003153AA" w:rsidRDefault="002F0974" w:rsidP="008B520A">
            <w:pPr>
              <w:pStyle w:val="TableText0"/>
              <w:keepNext w:val="0"/>
              <w:widowControl w:val="0"/>
            </w:pPr>
            <w:r w:rsidRPr="003153AA">
              <w:t xml:space="preserve">Number of scripts were based on the mean treatment duration: </w:t>
            </w:r>
          </w:p>
          <w:p w14:paraId="7A93F7AE" w14:textId="77777777" w:rsidR="002F0974" w:rsidRPr="003153AA" w:rsidRDefault="002F0974" w:rsidP="008B520A">
            <w:pPr>
              <w:pStyle w:val="TableText0"/>
              <w:keepNext w:val="0"/>
              <w:widowControl w:val="0"/>
            </w:pPr>
            <w:r w:rsidRPr="003153AA">
              <w:t>• Initial: 6 weeks</w:t>
            </w:r>
          </w:p>
          <w:p w14:paraId="1991CE91" w14:textId="77777777" w:rsidR="002F0974" w:rsidRPr="003153AA" w:rsidRDefault="002F0974" w:rsidP="008B520A">
            <w:pPr>
              <w:pStyle w:val="TableText0"/>
              <w:keepNext w:val="0"/>
              <w:widowControl w:val="0"/>
            </w:pPr>
            <w:r w:rsidRPr="003153AA">
              <w:t>• Continuing: 6.79 weeks</w:t>
            </w:r>
          </w:p>
          <w:p w14:paraId="09AE4A00" w14:textId="77777777" w:rsidR="002F0974" w:rsidRPr="003153AA" w:rsidRDefault="002F0974" w:rsidP="008B520A">
            <w:pPr>
              <w:pStyle w:val="TableText0"/>
              <w:keepNext w:val="0"/>
              <w:widowControl w:val="0"/>
            </w:pPr>
            <w:r w:rsidRPr="003153AA">
              <w:t>• Grandfathered: 6.4 weeks</w:t>
            </w:r>
          </w:p>
          <w:p w14:paraId="7E5993C0" w14:textId="77777777" w:rsidR="002F0974" w:rsidRPr="003153AA" w:rsidRDefault="002F0974" w:rsidP="008B520A">
            <w:pPr>
              <w:pStyle w:val="TableText0"/>
              <w:keepNext w:val="0"/>
              <w:widowControl w:val="0"/>
            </w:pPr>
          </w:p>
          <w:p w14:paraId="4D861DF7" w14:textId="77777777" w:rsidR="002F0974" w:rsidRPr="003153AA" w:rsidRDefault="002F0974" w:rsidP="008B520A">
            <w:pPr>
              <w:pStyle w:val="TableText0"/>
              <w:keepNext w:val="0"/>
              <w:widowControl w:val="0"/>
            </w:pPr>
            <w:r w:rsidRPr="003153AA">
              <w:t>Compliance: 98.10%</w:t>
            </w:r>
          </w:p>
        </w:tc>
        <w:tc>
          <w:tcPr>
            <w:tcW w:w="2948" w:type="dxa"/>
            <w:vAlign w:val="center"/>
          </w:tcPr>
          <w:p w14:paraId="2D387841" w14:textId="0FB3CDB5" w:rsidR="002F0974" w:rsidRPr="003153AA" w:rsidRDefault="002F0974" w:rsidP="008B520A">
            <w:pPr>
              <w:pStyle w:val="TableText0"/>
              <w:keepNext w:val="0"/>
              <w:widowControl w:val="0"/>
            </w:pPr>
            <w:r w:rsidRPr="003153AA">
              <w:t xml:space="preserve">The submission stated that the average treatment duration was informed by the economic model, with an average of 12.79 weeks of treatment. The median time on treatment in the model did not reach 7 weeks and mean time on treatment was not reported. The mean time on treatment (calculated during the evaluation from the model </w:t>
            </w:r>
            <w:proofErr w:type="spellStart"/>
            <w:r w:rsidRPr="003153AA">
              <w:t>ToT</w:t>
            </w:r>
            <w:proofErr w:type="spellEnd"/>
            <w:r w:rsidRPr="003153AA">
              <w:t xml:space="preserve"> curve) was 12.37 weeks, </w:t>
            </w:r>
            <w:proofErr w:type="gramStart"/>
            <w:r w:rsidRPr="003153AA">
              <w:t>similar to</w:t>
            </w:r>
            <w:proofErr w:type="gramEnd"/>
            <w:r w:rsidRPr="003153AA">
              <w:t xml:space="preserve"> the mean treatment duration in the LOTIS 2 study (12.24 weeks). </w:t>
            </w:r>
          </w:p>
        </w:tc>
      </w:tr>
      <w:tr w:rsidR="002F0974" w:rsidRPr="003153AA" w14:paraId="7F6F590C" w14:textId="77777777" w:rsidTr="005C4AAD">
        <w:tc>
          <w:tcPr>
            <w:tcW w:w="1271" w:type="dxa"/>
            <w:vAlign w:val="center"/>
          </w:tcPr>
          <w:p w14:paraId="04AE7DB5" w14:textId="77777777" w:rsidR="002F0974" w:rsidRPr="003153AA" w:rsidRDefault="002F0974" w:rsidP="008B520A">
            <w:pPr>
              <w:pStyle w:val="TableText0"/>
              <w:keepNext w:val="0"/>
              <w:widowControl w:val="0"/>
            </w:pPr>
            <w:r w:rsidRPr="003153AA">
              <w:t>Scripts displaced</w:t>
            </w:r>
          </w:p>
        </w:tc>
        <w:tc>
          <w:tcPr>
            <w:tcW w:w="3402" w:type="dxa"/>
            <w:vAlign w:val="center"/>
          </w:tcPr>
          <w:tbl>
            <w:tblPr>
              <w:tblStyle w:val="TableGrid"/>
              <w:tblW w:w="3377" w:type="dxa"/>
              <w:tblLayout w:type="fixed"/>
              <w:tblCellMar>
                <w:left w:w="57" w:type="dxa"/>
                <w:right w:w="57" w:type="dxa"/>
              </w:tblCellMar>
              <w:tblLook w:val="04A0" w:firstRow="1" w:lastRow="0" w:firstColumn="1" w:lastColumn="0" w:noHBand="0" w:noVBand="1"/>
            </w:tblPr>
            <w:tblGrid>
              <w:gridCol w:w="512"/>
              <w:gridCol w:w="595"/>
              <w:gridCol w:w="534"/>
              <w:gridCol w:w="534"/>
              <w:gridCol w:w="534"/>
              <w:gridCol w:w="668"/>
            </w:tblGrid>
            <w:tr w:rsidR="002F0974" w:rsidRPr="003153AA" w14:paraId="25F5B12B" w14:textId="77777777">
              <w:trPr>
                <w:trHeight w:val="232"/>
              </w:trPr>
              <w:tc>
                <w:tcPr>
                  <w:tcW w:w="512" w:type="dxa"/>
                </w:tcPr>
                <w:p w14:paraId="35193C4E" w14:textId="77777777" w:rsidR="002F0974" w:rsidRPr="003153AA" w:rsidRDefault="002F0974" w:rsidP="008B520A">
                  <w:pPr>
                    <w:pStyle w:val="In-tableHeading"/>
                    <w:keepNext w:val="0"/>
                    <w:widowControl w:val="0"/>
                  </w:pPr>
                </w:p>
              </w:tc>
              <w:tc>
                <w:tcPr>
                  <w:tcW w:w="595" w:type="dxa"/>
                </w:tcPr>
                <w:p w14:paraId="242B54FA" w14:textId="77777777" w:rsidR="002F0974" w:rsidRPr="003153AA" w:rsidRDefault="002F0974" w:rsidP="008B520A">
                  <w:pPr>
                    <w:pStyle w:val="TableText0"/>
                    <w:keepNext w:val="0"/>
                    <w:widowControl w:val="0"/>
                  </w:pPr>
                  <w:r w:rsidRPr="003153AA">
                    <w:t>Rit</w:t>
                  </w:r>
                </w:p>
              </w:tc>
              <w:tc>
                <w:tcPr>
                  <w:tcW w:w="534" w:type="dxa"/>
                </w:tcPr>
                <w:p w14:paraId="2D67D017" w14:textId="77777777" w:rsidR="002F0974" w:rsidRPr="003153AA" w:rsidRDefault="002F0974" w:rsidP="008B520A">
                  <w:pPr>
                    <w:pStyle w:val="TableText0"/>
                    <w:keepNext w:val="0"/>
                    <w:widowControl w:val="0"/>
                  </w:pPr>
                  <w:r w:rsidRPr="003153AA">
                    <w:t>Eto</w:t>
                  </w:r>
                </w:p>
              </w:tc>
              <w:tc>
                <w:tcPr>
                  <w:tcW w:w="534" w:type="dxa"/>
                </w:tcPr>
                <w:p w14:paraId="02A6D0F6" w14:textId="77777777" w:rsidR="002F0974" w:rsidRPr="003153AA" w:rsidRDefault="002F0974" w:rsidP="008B520A">
                  <w:pPr>
                    <w:pStyle w:val="TableText0"/>
                    <w:keepNext w:val="0"/>
                    <w:widowControl w:val="0"/>
                  </w:pPr>
                  <w:proofErr w:type="spellStart"/>
                  <w:r w:rsidRPr="003153AA">
                    <w:t>Cplt</w:t>
                  </w:r>
                  <w:proofErr w:type="spellEnd"/>
                </w:p>
              </w:tc>
              <w:tc>
                <w:tcPr>
                  <w:tcW w:w="534" w:type="dxa"/>
                </w:tcPr>
                <w:p w14:paraId="54AB0F3C" w14:textId="77777777" w:rsidR="002F0974" w:rsidRPr="003153AA" w:rsidRDefault="002F0974" w:rsidP="008B520A">
                  <w:pPr>
                    <w:pStyle w:val="TableText0"/>
                    <w:keepNext w:val="0"/>
                    <w:widowControl w:val="0"/>
                  </w:pPr>
                  <w:r w:rsidRPr="003153AA">
                    <w:t>Ifo</w:t>
                  </w:r>
                </w:p>
              </w:tc>
              <w:tc>
                <w:tcPr>
                  <w:tcW w:w="668" w:type="dxa"/>
                </w:tcPr>
                <w:p w14:paraId="41744E89" w14:textId="77777777" w:rsidR="002F0974" w:rsidRPr="003153AA" w:rsidRDefault="002F0974" w:rsidP="008B520A">
                  <w:pPr>
                    <w:pStyle w:val="TableText0"/>
                    <w:keepNext w:val="0"/>
                    <w:widowControl w:val="0"/>
                  </w:pPr>
                  <w:r w:rsidRPr="003153AA">
                    <w:t>Total</w:t>
                  </w:r>
                </w:p>
              </w:tc>
            </w:tr>
            <w:tr w:rsidR="002F0974" w:rsidRPr="003153AA" w14:paraId="5D7D49D0" w14:textId="77777777">
              <w:trPr>
                <w:trHeight w:val="241"/>
              </w:trPr>
              <w:tc>
                <w:tcPr>
                  <w:tcW w:w="512" w:type="dxa"/>
                </w:tcPr>
                <w:p w14:paraId="5D9A7877" w14:textId="77777777" w:rsidR="002F0974" w:rsidRPr="003153AA" w:rsidRDefault="002F0974" w:rsidP="008B520A">
                  <w:pPr>
                    <w:pStyle w:val="In-tableHeading"/>
                    <w:keepNext w:val="0"/>
                    <w:widowControl w:val="0"/>
                  </w:pPr>
                  <w:r w:rsidRPr="003153AA">
                    <w:t>Yr 1</w:t>
                  </w:r>
                </w:p>
              </w:tc>
              <w:tc>
                <w:tcPr>
                  <w:tcW w:w="595" w:type="dxa"/>
                </w:tcPr>
                <w:p w14:paraId="0A0C4FC4" w14:textId="2EBB0E60"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34" w:type="dxa"/>
                </w:tcPr>
                <w:p w14:paraId="155CC036" w14:textId="37D90E4E"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34" w:type="dxa"/>
                </w:tcPr>
                <w:p w14:paraId="22469F53" w14:textId="2061655C"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34" w:type="dxa"/>
                </w:tcPr>
                <w:p w14:paraId="0A5B067A" w14:textId="1558D307"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668" w:type="dxa"/>
                </w:tcPr>
                <w:p w14:paraId="61142932" w14:textId="3BCC2B1A" w:rsidR="002F0974" w:rsidRPr="00360B52" w:rsidRDefault="005822E1" w:rsidP="008B520A">
                  <w:pPr>
                    <w:pStyle w:val="TableText0"/>
                    <w:keepNext w:val="0"/>
                    <w:widowControl w:val="0"/>
                    <w:rPr>
                      <w:vertAlign w:val="superscript"/>
                    </w:rPr>
                  </w:pPr>
                  <w:r w:rsidRPr="005822E1">
                    <w:rPr>
                      <w:sz w:val="2"/>
                      <w:highlight w:val="black"/>
                    </w:rPr>
                    <w:t>redacted content</w:t>
                  </w:r>
                  <w:r w:rsidR="00360B52">
                    <w:rPr>
                      <w:vertAlign w:val="superscript"/>
                    </w:rPr>
                    <w:t>1</w:t>
                  </w:r>
                </w:p>
              </w:tc>
            </w:tr>
            <w:tr w:rsidR="002F0974" w:rsidRPr="003153AA" w14:paraId="7804DF48" w14:textId="77777777">
              <w:trPr>
                <w:trHeight w:val="232"/>
              </w:trPr>
              <w:tc>
                <w:tcPr>
                  <w:tcW w:w="512" w:type="dxa"/>
                </w:tcPr>
                <w:p w14:paraId="2A85AAEC" w14:textId="77777777" w:rsidR="002F0974" w:rsidRPr="003153AA" w:rsidRDefault="002F0974" w:rsidP="008B520A">
                  <w:pPr>
                    <w:pStyle w:val="In-tableHeading"/>
                    <w:keepNext w:val="0"/>
                    <w:widowControl w:val="0"/>
                  </w:pPr>
                  <w:r w:rsidRPr="003153AA">
                    <w:t>Yr 2</w:t>
                  </w:r>
                </w:p>
              </w:tc>
              <w:tc>
                <w:tcPr>
                  <w:tcW w:w="595" w:type="dxa"/>
                </w:tcPr>
                <w:p w14:paraId="64FAEAF6" w14:textId="314EBFC9"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34" w:type="dxa"/>
                </w:tcPr>
                <w:p w14:paraId="0914C74C" w14:textId="35797835"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34" w:type="dxa"/>
                </w:tcPr>
                <w:p w14:paraId="7D2E5F9C" w14:textId="37CBD782"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34" w:type="dxa"/>
                </w:tcPr>
                <w:p w14:paraId="7716DBEE" w14:textId="74815865"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668" w:type="dxa"/>
                </w:tcPr>
                <w:p w14:paraId="430027D5" w14:textId="3D1FA139" w:rsidR="002F0974" w:rsidRPr="00360B52" w:rsidRDefault="005822E1" w:rsidP="008B520A">
                  <w:pPr>
                    <w:pStyle w:val="TableText0"/>
                    <w:keepNext w:val="0"/>
                    <w:widowControl w:val="0"/>
                    <w:rPr>
                      <w:vertAlign w:val="superscript"/>
                    </w:rPr>
                  </w:pPr>
                  <w:r w:rsidRPr="005822E1">
                    <w:rPr>
                      <w:sz w:val="2"/>
                      <w:highlight w:val="black"/>
                    </w:rPr>
                    <w:t>redacted content</w:t>
                  </w:r>
                  <w:r w:rsidR="00360B52">
                    <w:rPr>
                      <w:vertAlign w:val="superscript"/>
                    </w:rPr>
                    <w:t>1</w:t>
                  </w:r>
                </w:p>
              </w:tc>
            </w:tr>
            <w:tr w:rsidR="002F0974" w:rsidRPr="003153AA" w14:paraId="0F4358C0" w14:textId="77777777">
              <w:trPr>
                <w:trHeight w:val="241"/>
              </w:trPr>
              <w:tc>
                <w:tcPr>
                  <w:tcW w:w="512" w:type="dxa"/>
                </w:tcPr>
                <w:p w14:paraId="6DF6C33E" w14:textId="77777777" w:rsidR="002F0974" w:rsidRPr="003153AA" w:rsidRDefault="002F0974" w:rsidP="008B520A">
                  <w:pPr>
                    <w:pStyle w:val="In-tableHeading"/>
                    <w:keepNext w:val="0"/>
                    <w:widowControl w:val="0"/>
                  </w:pPr>
                  <w:r w:rsidRPr="003153AA">
                    <w:t>Yr 3</w:t>
                  </w:r>
                </w:p>
              </w:tc>
              <w:tc>
                <w:tcPr>
                  <w:tcW w:w="595" w:type="dxa"/>
                </w:tcPr>
                <w:p w14:paraId="2EAD058E" w14:textId="147D3487"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34" w:type="dxa"/>
                </w:tcPr>
                <w:p w14:paraId="3EBADEF2" w14:textId="2BCC6D9A"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34" w:type="dxa"/>
                </w:tcPr>
                <w:p w14:paraId="2207B2E5" w14:textId="6E53DAC8"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34" w:type="dxa"/>
                </w:tcPr>
                <w:p w14:paraId="1C66D1E3" w14:textId="05B30A82"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668" w:type="dxa"/>
                </w:tcPr>
                <w:p w14:paraId="2F8EAB03" w14:textId="58B0116F" w:rsidR="002F0974" w:rsidRPr="00360B52" w:rsidRDefault="005822E1" w:rsidP="008B520A">
                  <w:pPr>
                    <w:pStyle w:val="TableText0"/>
                    <w:keepNext w:val="0"/>
                    <w:widowControl w:val="0"/>
                    <w:rPr>
                      <w:vertAlign w:val="superscript"/>
                    </w:rPr>
                  </w:pPr>
                  <w:r w:rsidRPr="005822E1">
                    <w:rPr>
                      <w:sz w:val="2"/>
                      <w:highlight w:val="black"/>
                    </w:rPr>
                    <w:t>redacted content</w:t>
                  </w:r>
                  <w:r w:rsidR="00360B52">
                    <w:rPr>
                      <w:vertAlign w:val="superscript"/>
                    </w:rPr>
                    <w:t>1</w:t>
                  </w:r>
                </w:p>
              </w:tc>
            </w:tr>
            <w:tr w:rsidR="002F0974" w:rsidRPr="003153AA" w14:paraId="6E198D9D" w14:textId="77777777">
              <w:trPr>
                <w:trHeight w:val="232"/>
              </w:trPr>
              <w:tc>
                <w:tcPr>
                  <w:tcW w:w="512" w:type="dxa"/>
                </w:tcPr>
                <w:p w14:paraId="25B07C3E" w14:textId="77777777" w:rsidR="002F0974" w:rsidRPr="003153AA" w:rsidRDefault="002F0974" w:rsidP="008B520A">
                  <w:pPr>
                    <w:pStyle w:val="In-tableHeading"/>
                    <w:keepNext w:val="0"/>
                    <w:widowControl w:val="0"/>
                  </w:pPr>
                  <w:r w:rsidRPr="003153AA">
                    <w:t>Yr 4</w:t>
                  </w:r>
                </w:p>
              </w:tc>
              <w:tc>
                <w:tcPr>
                  <w:tcW w:w="595" w:type="dxa"/>
                </w:tcPr>
                <w:p w14:paraId="7E9B1CBA" w14:textId="2645BC0A"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34" w:type="dxa"/>
                </w:tcPr>
                <w:p w14:paraId="1FAA1358" w14:textId="5A4F04B3"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34" w:type="dxa"/>
                </w:tcPr>
                <w:p w14:paraId="5AB4CF8A" w14:textId="19BB4CAE"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534" w:type="dxa"/>
                </w:tcPr>
                <w:p w14:paraId="658AC04A" w14:textId="6B163139" w:rsidR="002F0974" w:rsidRPr="00DE1FED" w:rsidRDefault="005822E1" w:rsidP="008B520A">
                  <w:pPr>
                    <w:pStyle w:val="TableText0"/>
                    <w:keepNext w:val="0"/>
                    <w:widowControl w:val="0"/>
                    <w:rPr>
                      <w:vertAlign w:val="superscript"/>
                    </w:rPr>
                  </w:pPr>
                  <w:r w:rsidRPr="005822E1">
                    <w:rPr>
                      <w:sz w:val="2"/>
                      <w:highlight w:val="black"/>
                    </w:rPr>
                    <w:t>redacted content</w:t>
                  </w:r>
                  <w:r w:rsidR="00DE1FED">
                    <w:rPr>
                      <w:vertAlign w:val="superscript"/>
                    </w:rPr>
                    <w:t>2</w:t>
                  </w:r>
                </w:p>
              </w:tc>
              <w:tc>
                <w:tcPr>
                  <w:tcW w:w="668" w:type="dxa"/>
                </w:tcPr>
                <w:p w14:paraId="16FFCAF3" w14:textId="2A85927B" w:rsidR="002F0974" w:rsidRPr="00360B52" w:rsidRDefault="005822E1" w:rsidP="008B520A">
                  <w:pPr>
                    <w:pStyle w:val="TableText0"/>
                    <w:keepNext w:val="0"/>
                    <w:widowControl w:val="0"/>
                    <w:rPr>
                      <w:vertAlign w:val="superscript"/>
                    </w:rPr>
                  </w:pPr>
                  <w:r w:rsidRPr="005822E1">
                    <w:rPr>
                      <w:sz w:val="2"/>
                      <w:highlight w:val="black"/>
                    </w:rPr>
                    <w:t>redacted content</w:t>
                  </w:r>
                  <w:r w:rsidR="00360B52">
                    <w:rPr>
                      <w:vertAlign w:val="superscript"/>
                    </w:rPr>
                    <w:t>1</w:t>
                  </w:r>
                </w:p>
              </w:tc>
            </w:tr>
            <w:tr w:rsidR="002F0974" w:rsidRPr="003153AA" w14:paraId="10AE70EC" w14:textId="77777777">
              <w:trPr>
                <w:trHeight w:val="241"/>
              </w:trPr>
              <w:tc>
                <w:tcPr>
                  <w:tcW w:w="512" w:type="dxa"/>
                </w:tcPr>
                <w:p w14:paraId="655AA8DC" w14:textId="77777777" w:rsidR="002F0974" w:rsidRPr="003153AA" w:rsidRDefault="002F0974" w:rsidP="008B520A">
                  <w:pPr>
                    <w:pStyle w:val="In-tableHeading"/>
                    <w:keepNext w:val="0"/>
                    <w:widowControl w:val="0"/>
                  </w:pPr>
                  <w:r w:rsidRPr="003153AA">
                    <w:t>Yr 5</w:t>
                  </w:r>
                </w:p>
              </w:tc>
              <w:tc>
                <w:tcPr>
                  <w:tcW w:w="595" w:type="dxa"/>
                </w:tcPr>
                <w:p w14:paraId="620CDE41" w14:textId="02994CC0" w:rsidR="002F0974" w:rsidRPr="00360B52" w:rsidRDefault="005822E1" w:rsidP="008B520A">
                  <w:pPr>
                    <w:pStyle w:val="TableText0"/>
                    <w:keepNext w:val="0"/>
                    <w:widowControl w:val="0"/>
                    <w:rPr>
                      <w:vertAlign w:val="superscript"/>
                    </w:rPr>
                  </w:pPr>
                  <w:r w:rsidRPr="005822E1">
                    <w:rPr>
                      <w:sz w:val="2"/>
                      <w:highlight w:val="black"/>
                    </w:rPr>
                    <w:t>redacted content</w:t>
                  </w:r>
                  <w:r w:rsidR="00360B52">
                    <w:rPr>
                      <w:vertAlign w:val="superscript"/>
                    </w:rPr>
                    <w:t>1</w:t>
                  </w:r>
                </w:p>
              </w:tc>
              <w:tc>
                <w:tcPr>
                  <w:tcW w:w="534" w:type="dxa"/>
                </w:tcPr>
                <w:p w14:paraId="22B757C1" w14:textId="0D783988" w:rsidR="002F0974" w:rsidRPr="00360B52" w:rsidRDefault="005822E1" w:rsidP="008B520A">
                  <w:pPr>
                    <w:pStyle w:val="TableText0"/>
                    <w:keepNext w:val="0"/>
                    <w:widowControl w:val="0"/>
                    <w:rPr>
                      <w:vertAlign w:val="superscript"/>
                    </w:rPr>
                  </w:pPr>
                  <w:r w:rsidRPr="005822E1">
                    <w:rPr>
                      <w:sz w:val="2"/>
                      <w:highlight w:val="black"/>
                    </w:rPr>
                    <w:t>redacted content</w:t>
                  </w:r>
                  <w:r w:rsidR="00360B52">
                    <w:rPr>
                      <w:vertAlign w:val="superscript"/>
                    </w:rPr>
                    <w:t>1</w:t>
                  </w:r>
                </w:p>
              </w:tc>
              <w:tc>
                <w:tcPr>
                  <w:tcW w:w="534" w:type="dxa"/>
                </w:tcPr>
                <w:p w14:paraId="6EAE4F6B" w14:textId="3C3A2E0D" w:rsidR="002F0974" w:rsidRPr="00360B52" w:rsidRDefault="005822E1" w:rsidP="008B520A">
                  <w:pPr>
                    <w:pStyle w:val="TableText0"/>
                    <w:keepNext w:val="0"/>
                    <w:widowControl w:val="0"/>
                    <w:rPr>
                      <w:vertAlign w:val="superscript"/>
                    </w:rPr>
                  </w:pPr>
                  <w:r w:rsidRPr="005822E1">
                    <w:rPr>
                      <w:sz w:val="2"/>
                      <w:highlight w:val="black"/>
                    </w:rPr>
                    <w:t>redacted content</w:t>
                  </w:r>
                  <w:r w:rsidR="00360B52">
                    <w:rPr>
                      <w:vertAlign w:val="superscript"/>
                    </w:rPr>
                    <w:t>1</w:t>
                  </w:r>
                </w:p>
              </w:tc>
              <w:tc>
                <w:tcPr>
                  <w:tcW w:w="534" w:type="dxa"/>
                </w:tcPr>
                <w:p w14:paraId="3029A093" w14:textId="2DFF078F" w:rsidR="002F0974" w:rsidRPr="00360B52" w:rsidRDefault="005822E1" w:rsidP="008B520A">
                  <w:pPr>
                    <w:pStyle w:val="TableText0"/>
                    <w:keepNext w:val="0"/>
                    <w:widowControl w:val="0"/>
                    <w:rPr>
                      <w:vertAlign w:val="superscript"/>
                    </w:rPr>
                  </w:pPr>
                  <w:r w:rsidRPr="005822E1">
                    <w:rPr>
                      <w:sz w:val="2"/>
                      <w:highlight w:val="black"/>
                    </w:rPr>
                    <w:t>redacted content</w:t>
                  </w:r>
                  <w:r w:rsidR="00360B52">
                    <w:rPr>
                      <w:vertAlign w:val="superscript"/>
                    </w:rPr>
                    <w:t>1</w:t>
                  </w:r>
                </w:p>
              </w:tc>
              <w:tc>
                <w:tcPr>
                  <w:tcW w:w="668" w:type="dxa"/>
                </w:tcPr>
                <w:p w14:paraId="48020609" w14:textId="2AC16A5E" w:rsidR="002F0974" w:rsidRPr="00360B52" w:rsidRDefault="005822E1" w:rsidP="008B520A">
                  <w:pPr>
                    <w:pStyle w:val="TableText0"/>
                    <w:keepNext w:val="0"/>
                    <w:widowControl w:val="0"/>
                    <w:rPr>
                      <w:vertAlign w:val="superscript"/>
                    </w:rPr>
                  </w:pPr>
                  <w:r w:rsidRPr="005822E1">
                    <w:rPr>
                      <w:sz w:val="2"/>
                      <w:highlight w:val="black"/>
                    </w:rPr>
                    <w:t>redacted content</w:t>
                  </w:r>
                  <w:r w:rsidR="00360B52">
                    <w:rPr>
                      <w:vertAlign w:val="superscript"/>
                    </w:rPr>
                    <w:t>1</w:t>
                  </w:r>
                </w:p>
              </w:tc>
            </w:tr>
            <w:tr w:rsidR="002F0974" w:rsidRPr="003153AA" w14:paraId="4CAE2342" w14:textId="77777777">
              <w:trPr>
                <w:trHeight w:val="232"/>
              </w:trPr>
              <w:tc>
                <w:tcPr>
                  <w:tcW w:w="512" w:type="dxa"/>
                </w:tcPr>
                <w:p w14:paraId="0F2EC58F" w14:textId="77777777" w:rsidR="002F0974" w:rsidRPr="003153AA" w:rsidRDefault="002F0974" w:rsidP="008B520A">
                  <w:pPr>
                    <w:pStyle w:val="In-tableHeading"/>
                    <w:keepNext w:val="0"/>
                    <w:widowControl w:val="0"/>
                  </w:pPr>
                  <w:r w:rsidRPr="003153AA">
                    <w:t>Yr 6</w:t>
                  </w:r>
                </w:p>
              </w:tc>
              <w:tc>
                <w:tcPr>
                  <w:tcW w:w="595" w:type="dxa"/>
                </w:tcPr>
                <w:p w14:paraId="105DBECB" w14:textId="64FB9AF2" w:rsidR="002F0974" w:rsidRPr="00360B52" w:rsidRDefault="005822E1" w:rsidP="008B520A">
                  <w:pPr>
                    <w:pStyle w:val="TableText0"/>
                    <w:keepNext w:val="0"/>
                    <w:widowControl w:val="0"/>
                    <w:rPr>
                      <w:vertAlign w:val="superscript"/>
                    </w:rPr>
                  </w:pPr>
                  <w:r w:rsidRPr="005822E1">
                    <w:rPr>
                      <w:sz w:val="2"/>
                      <w:highlight w:val="black"/>
                    </w:rPr>
                    <w:t>redacted content</w:t>
                  </w:r>
                  <w:r w:rsidR="00360B52">
                    <w:rPr>
                      <w:vertAlign w:val="superscript"/>
                    </w:rPr>
                    <w:t>1</w:t>
                  </w:r>
                </w:p>
              </w:tc>
              <w:tc>
                <w:tcPr>
                  <w:tcW w:w="534" w:type="dxa"/>
                </w:tcPr>
                <w:p w14:paraId="776D1BED" w14:textId="37F1A0C0" w:rsidR="002F0974" w:rsidRPr="00360B52" w:rsidRDefault="005822E1" w:rsidP="008B520A">
                  <w:pPr>
                    <w:pStyle w:val="TableText0"/>
                    <w:keepNext w:val="0"/>
                    <w:widowControl w:val="0"/>
                    <w:rPr>
                      <w:vertAlign w:val="superscript"/>
                    </w:rPr>
                  </w:pPr>
                  <w:r w:rsidRPr="005822E1">
                    <w:rPr>
                      <w:sz w:val="2"/>
                      <w:highlight w:val="black"/>
                    </w:rPr>
                    <w:t>redacted content</w:t>
                  </w:r>
                  <w:r w:rsidR="00360B52">
                    <w:rPr>
                      <w:vertAlign w:val="superscript"/>
                    </w:rPr>
                    <w:t>1</w:t>
                  </w:r>
                </w:p>
              </w:tc>
              <w:tc>
                <w:tcPr>
                  <w:tcW w:w="534" w:type="dxa"/>
                </w:tcPr>
                <w:p w14:paraId="2FD55D6B" w14:textId="54CA2B83" w:rsidR="002F0974" w:rsidRPr="00360B52" w:rsidRDefault="005822E1" w:rsidP="008B520A">
                  <w:pPr>
                    <w:pStyle w:val="TableText0"/>
                    <w:keepNext w:val="0"/>
                    <w:widowControl w:val="0"/>
                    <w:rPr>
                      <w:vertAlign w:val="superscript"/>
                    </w:rPr>
                  </w:pPr>
                  <w:r w:rsidRPr="005822E1">
                    <w:rPr>
                      <w:sz w:val="2"/>
                      <w:highlight w:val="black"/>
                    </w:rPr>
                    <w:t>redacted content</w:t>
                  </w:r>
                  <w:r w:rsidR="00360B52">
                    <w:rPr>
                      <w:vertAlign w:val="superscript"/>
                    </w:rPr>
                    <w:t>1</w:t>
                  </w:r>
                </w:p>
              </w:tc>
              <w:tc>
                <w:tcPr>
                  <w:tcW w:w="534" w:type="dxa"/>
                </w:tcPr>
                <w:p w14:paraId="276D9156" w14:textId="3316AF15" w:rsidR="002F0974" w:rsidRPr="00360B52" w:rsidRDefault="005822E1" w:rsidP="008B520A">
                  <w:pPr>
                    <w:pStyle w:val="TableText0"/>
                    <w:keepNext w:val="0"/>
                    <w:widowControl w:val="0"/>
                    <w:rPr>
                      <w:vertAlign w:val="superscript"/>
                    </w:rPr>
                  </w:pPr>
                  <w:r w:rsidRPr="005822E1">
                    <w:rPr>
                      <w:sz w:val="2"/>
                      <w:highlight w:val="black"/>
                    </w:rPr>
                    <w:t>redacted content</w:t>
                  </w:r>
                  <w:r w:rsidR="00360B52">
                    <w:rPr>
                      <w:vertAlign w:val="superscript"/>
                    </w:rPr>
                    <w:t>1</w:t>
                  </w:r>
                </w:p>
              </w:tc>
              <w:tc>
                <w:tcPr>
                  <w:tcW w:w="668" w:type="dxa"/>
                </w:tcPr>
                <w:p w14:paraId="316D6450" w14:textId="386F8972" w:rsidR="002F0974" w:rsidRPr="00360B52" w:rsidRDefault="005822E1" w:rsidP="008B520A">
                  <w:pPr>
                    <w:pStyle w:val="TableText0"/>
                    <w:keepNext w:val="0"/>
                    <w:widowControl w:val="0"/>
                    <w:rPr>
                      <w:vertAlign w:val="superscript"/>
                    </w:rPr>
                  </w:pPr>
                  <w:r w:rsidRPr="005822E1">
                    <w:rPr>
                      <w:sz w:val="2"/>
                      <w:highlight w:val="black"/>
                    </w:rPr>
                    <w:t>redacted content</w:t>
                  </w:r>
                  <w:r w:rsidR="00360B52">
                    <w:rPr>
                      <w:vertAlign w:val="superscript"/>
                    </w:rPr>
                    <w:t>1</w:t>
                  </w:r>
                </w:p>
              </w:tc>
            </w:tr>
          </w:tbl>
          <w:p w14:paraId="4F8B7EC8" w14:textId="77777777" w:rsidR="002F0974" w:rsidRPr="003153AA" w:rsidRDefault="002F0974" w:rsidP="008B520A">
            <w:pPr>
              <w:pStyle w:val="In-tableHeading"/>
              <w:keepNext w:val="0"/>
              <w:widowControl w:val="0"/>
            </w:pPr>
          </w:p>
        </w:tc>
        <w:tc>
          <w:tcPr>
            <w:tcW w:w="1559" w:type="dxa"/>
            <w:vAlign w:val="center"/>
          </w:tcPr>
          <w:p w14:paraId="358B9666" w14:textId="77777777" w:rsidR="002F0974" w:rsidRPr="003153AA" w:rsidRDefault="002F0974" w:rsidP="008B520A">
            <w:pPr>
              <w:pStyle w:val="TableText0"/>
              <w:keepNext w:val="0"/>
              <w:widowControl w:val="0"/>
            </w:pPr>
            <w:r w:rsidRPr="003153AA">
              <w:t>Number of scripts based on treatment duration: 7.59 weeks. Source not provided.</w:t>
            </w:r>
          </w:p>
          <w:p w14:paraId="4715956E" w14:textId="77777777" w:rsidR="002F0974" w:rsidRPr="003153AA" w:rsidRDefault="002F0974" w:rsidP="008B520A">
            <w:pPr>
              <w:pStyle w:val="TableText0"/>
              <w:keepNext w:val="0"/>
              <w:widowControl w:val="0"/>
            </w:pPr>
          </w:p>
          <w:p w14:paraId="221276A7" w14:textId="77777777" w:rsidR="002F0974" w:rsidRPr="003153AA" w:rsidRDefault="002F0974" w:rsidP="008B520A">
            <w:pPr>
              <w:pStyle w:val="TableText0"/>
              <w:keepNext w:val="0"/>
              <w:widowControl w:val="0"/>
            </w:pPr>
            <w:r w:rsidRPr="003153AA">
              <w:t>Compliance: 100%</w:t>
            </w:r>
          </w:p>
        </w:tc>
        <w:tc>
          <w:tcPr>
            <w:tcW w:w="2948" w:type="dxa"/>
            <w:vAlign w:val="center"/>
          </w:tcPr>
          <w:p w14:paraId="395EA867" w14:textId="1A6E53C3" w:rsidR="002F0974" w:rsidRPr="003153AA" w:rsidRDefault="002F0974" w:rsidP="008B520A">
            <w:pPr>
              <w:pStyle w:val="TableText0"/>
              <w:keepNext w:val="0"/>
              <w:widowControl w:val="0"/>
            </w:pPr>
            <w:r w:rsidRPr="003153AA">
              <w:t>The</w:t>
            </w:r>
            <w:r w:rsidR="004B5381">
              <w:t xml:space="preserve"> evaluation considered the</w:t>
            </w:r>
            <w:r w:rsidRPr="003153AA">
              <w:t xml:space="preserve"> treatment duration was highly uncertain, and compliance was inconsistent with the superior safety claim for LT. The submission did not explain why this treatment duration and 100% compliance were used.</w:t>
            </w:r>
          </w:p>
        </w:tc>
      </w:tr>
      <w:tr w:rsidR="002F0974" w:rsidRPr="003153AA" w14:paraId="4A121879" w14:textId="77777777">
        <w:tc>
          <w:tcPr>
            <w:tcW w:w="9180" w:type="dxa"/>
            <w:gridSpan w:val="4"/>
            <w:vAlign w:val="center"/>
          </w:tcPr>
          <w:p w14:paraId="6DB81532" w14:textId="77777777" w:rsidR="002F0974" w:rsidRPr="003153AA" w:rsidRDefault="002F0974" w:rsidP="008B520A">
            <w:pPr>
              <w:pStyle w:val="In-tableHeading"/>
              <w:keepNext w:val="0"/>
              <w:widowControl w:val="0"/>
            </w:pPr>
            <w:r w:rsidRPr="003153AA">
              <w:t>PBS/RPBS Costs</w:t>
            </w:r>
          </w:p>
        </w:tc>
      </w:tr>
      <w:tr w:rsidR="002F0974" w:rsidRPr="003153AA" w14:paraId="3522F763" w14:textId="77777777" w:rsidTr="005C4AAD">
        <w:tc>
          <w:tcPr>
            <w:tcW w:w="1271" w:type="dxa"/>
            <w:vAlign w:val="center"/>
          </w:tcPr>
          <w:p w14:paraId="3341B6CB" w14:textId="77777777" w:rsidR="002F0974" w:rsidRPr="003153AA" w:rsidRDefault="002F0974" w:rsidP="008B520A">
            <w:pPr>
              <w:pStyle w:val="TableText0"/>
              <w:keepNext w:val="0"/>
              <w:widowControl w:val="0"/>
            </w:pPr>
            <w:r w:rsidRPr="003153AA">
              <w:lastRenderedPageBreak/>
              <w:t>PBS, RPBS split</w:t>
            </w:r>
          </w:p>
        </w:tc>
        <w:tc>
          <w:tcPr>
            <w:tcW w:w="3402" w:type="dxa"/>
            <w:vAlign w:val="center"/>
          </w:tcPr>
          <w:p w14:paraId="7B0E659B" w14:textId="77777777" w:rsidR="002F0974" w:rsidRPr="003153AA" w:rsidRDefault="002F0974" w:rsidP="008B520A">
            <w:pPr>
              <w:pStyle w:val="TableText0"/>
              <w:keepNext w:val="0"/>
              <w:widowControl w:val="0"/>
            </w:pPr>
            <w:r w:rsidRPr="003153AA">
              <w:t>PBS: 98.68%</w:t>
            </w:r>
          </w:p>
          <w:p w14:paraId="725CDFAB" w14:textId="77777777" w:rsidR="002F0974" w:rsidRPr="003153AA" w:rsidRDefault="002F0974" w:rsidP="008B520A">
            <w:pPr>
              <w:pStyle w:val="TableText0"/>
              <w:keepNext w:val="0"/>
              <w:widowControl w:val="0"/>
            </w:pPr>
            <w:r w:rsidRPr="003153AA">
              <w:t>RPBS: 1.32%</w:t>
            </w:r>
          </w:p>
        </w:tc>
        <w:tc>
          <w:tcPr>
            <w:tcW w:w="1559" w:type="dxa"/>
            <w:vAlign w:val="center"/>
          </w:tcPr>
          <w:p w14:paraId="6FFDA6C4" w14:textId="77777777" w:rsidR="002F0974" w:rsidRPr="003153AA" w:rsidRDefault="002F0974" w:rsidP="008B520A">
            <w:pPr>
              <w:pStyle w:val="TableText0"/>
              <w:keepNext w:val="0"/>
              <w:widowControl w:val="0"/>
            </w:pPr>
            <w:r w:rsidRPr="003153AA">
              <w:t>Based on PBS dispensing data for epcoritamab, pembrolizumab, and R-ICE.</w:t>
            </w:r>
          </w:p>
        </w:tc>
        <w:tc>
          <w:tcPr>
            <w:tcW w:w="2948" w:type="dxa"/>
            <w:vAlign w:val="center"/>
          </w:tcPr>
          <w:p w14:paraId="70F3B2F3" w14:textId="77777777" w:rsidR="002F0974" w:rsidRPr="003153AA" w:rsidRDefault="002F0974" w:rsidP="008B520A">
            <w:pPr>
              <w:pStyle w:val="TableText0"/>
              <w:keepNext w:val="0"/>
              <w:widowControl w:val="0"/>
            </w:pPr>
            <w:r w:rsidRPr="003153AA">
              <w:t xml:space="preserve">The submission did not use this split to calculate the RPBS scripts and costs. All scripts and costs were inappropriately attributed to PBS. </w:t>
            </w:r>
          </w:p>
          <w:p w14:paraId="5024F6F5" w14:textId="77777777" w:rsidR="002F0974" w:rsidRPr="003153AA" w:rsidRDefault="002F0974" w:rsidP="008B520A">
            <w:pPr>
              <w:pStyle w:val="TableText0"/>
              <w:keepNext w:val="0"/>
              <w:widowControl w:val="0"/>
            </w:pPr>
            <w:r w:rsidRPr="003153AA">
              <w:t xml:space="preserve">Pembrolizumab is PBS-listed for R/R PMBL. Given the uncertain inclusion of this population, the use of pembrolizumab PBS data may not be appropriate. </w:t>
            </w:r>
          </w:p>
        </w:tc>
      </w:tr>
      <w:tr w:rsidR="002F0974" w:rsidRPr="003153AA" w14:paraId="7D6BEA69" w14:textId="77777777" w:rsidTr="005C4AAD">
        <w:tc>
          <w:tcPr>
            <w:tcW w:w="1271" w:type="dxa"/>
            <w:vAlign w:val="center"/>
          </w:tcPr>
          <w:p w14:paraId="19795766" w14:textId="77777777" w:rsidR="002F0974" w:rsidRPr="003153AA" w:rsidRDefault="002F0974" w:rsidP="008B520A">
            <w:pPr>
              <w:pStyle w:val="TableText0"/>
              <w:keepNext w:val="0"/>
              <w:widowControl w:val="0"/>
            </w:pPr>
            <w:r w:rsidRPr="003153AA">
              <w:t>Loncastuximab tesirine</w:t>
            </w:r>
          </w:p>
        </w:tc>
        <w:tc>
          <w:tcPr>
            <w:tcW w:w="3402" w:type="dxa"/>
            <w:vAlign w:val="center"/>
          </w:tcPr>
          <w:tbl>
            <w:tblPr>
              <w:tblStyle w:val="TableGrid"/>
              <w:tblW w:w="3287" w:type="dxa"/>
              <w:tblLayout w:type="fixed"/>
              <w:tblCellMar>
                <w:left w:w="28" w:type="dxa"/>
                <w:right w:w="28" w:type="dxa"/>
              </w:tblCellMar>
              <w:tblLook w:val="04A0" w:firstRow="1" w:lastRow="0" w:firstColumn="1" w:lastColumn="0" w:noHBand="0" w:noVBand="1"/>
            </w:tblPr>
            <w:tblGrid>
              <w:gridCol w:w="736"/>
              <w:gridCol w:w="850"/>
              <w:gridCol w:w="851"/>
              <w:gridCol w:w="850"/>
            </w:tblGrid>
            <w:tr w:rsidR="002F0974" w:rsidRPr="003153AA" w14:paraId="22737E4F" w14:textId="77777777">
              <w:tc>
                <w:tcPr>
                  <w:tcW w:w="1120" w:type="pct"/>
                  <w:vMerge w:val="restart"/>
                </w:tcPr>
                <w:p w14:paraId="5F1AB400" w14:textId="77777777" w:rsidR="002F0974" w:rsidRPr="003153AA" w:rsidRDefault="002F0974" w:rsidP="008B520A">
                  <w:pPr>
                    <w:pStyle w:val="TableText0"/>
                    <w:keepNext w:val="0"/>
                    <w:widowControl w:val="0"/>
                  </w:pPr>
                  <w:r w:rsidRPr="003153AA">
                    <w:t>Dose:</w:t>
                  </w:r>
                </w:p>
                <w:p w14:paraId="1E785CF0" w14:textId="77777777" w:rsidR="002F0974" w:rsidRPr="003153AA" w:rsidRDefault="002F0974" w:rsidP="008B520A">
                  <w:pPr>
                    <w:pStyle w:val="TableText0"/>
                    <w:keepNext w:val="0"/>
                    <w:widowControl w:val="0"/>
                  </w:pPr>
                  <w:r w:rsidRPr="003153AA">
                    <w:t>10mg powder vial</w:t>
                  </w:r>
                </w:p>
              </w:tc>
              <w:tc>
                <w:tcPr>
                  <w:tcW w:w="3880" w:type="pct"/>
                  <w:gridSpan w:val="3"/>
                  <w:vAlign w:val="center"/>
                </w:tcPr>
                <w:p w14:paraId="0A921D1C" w14:textId="77777777" w:rsidR="002F0974" w:rsidRPr="003153AA" w:rsidRDefault="002F0974" w:rsidP="008B520A">
                  <w:pPr>
                    <w:pStyle w:val="TableText0"/>
                    <w:keepNext w:val="0"/>
                    <w:widowControl w:val="0"/>
                  </w:pPr>
                  <w:r w:rsidRPr="003153AA">
                    <w:t>Published DPMA</w:t>
                  </w:r>
                </w:p>
              </w:tc>
            </w:tr>
            <w:tr w:rsidR="002F0974" w:rsidRPr="003153AA" w14:paraId="7DCECBFF" w14:textId="77777777">
              <w:tc>
                <w:tcPr>
                  <w:tcW w:w="1120" w:type="pct"/>
                  <w:vMerge/>
                </w:tcPr>
                <w:p w14:paraId="43C16CF3" w14:textId="77777777" w:rsidR="002F0974" w:rsidRPr="003153AA" w:rsidRDefault="002F0974" w:rsidP="008B520A">
                  <w:pPr>
                    <w:pStyle w:val="TableText0"/>
                    <w:keepNext w:val="0"/>
                    <w:widowControl w:val="0"/>
                  </w:pPr>
                </w:p>
              </w:tc>
              <w:tc>
                <w:tcPr>
                  <w:tcW w:w="1293" w:type="pct"/>
                  <w:vAlign w:val="center"/>
                </w:tcPr>
                <w:p w14:paraId="6E7D6E5B" w14:textId="77777777" w:rsidR="002F0974" w:rsidRPr="003153AA" w:rsidRDefault="002F0974" w:rsidP="008B520A">
                  <w:pPr>
                    <w:pStyle w:val="TableText0"/>
                    <w:keepNext w:val="0"/>
                    <w:widowControl w:val="0"/>
                  </w:pPr>
                  <w:r w:rsidRPr="003153AA">
                    <w:t>Public</w:t>
                  </w:r>
                </w:p>
              </w:tc>
              <w:tc>
                <w:tcPr>
                  <w:tcW w:w="1294" w:type="pct"/>
                  <w:vAlign w:val="center"/>
                </w:tcPr>
                <w:p w14:paraId="5CFF8F38" w14:textId="77777777" w:rsidR="002F0974" w:rsidRPr="003153AA" w:rsidRDefault="002F0974" w:rsidP="008B520A">
                  <w:pPr>
                    <w:pStyle w:val="TableText0"/>
                    <w:keepNext w:val="0"/>
                    <w:widowControl w:val="0"/>
                  </w:pPr>
                  <w:r w:rsidRPr="003153AA">
                    <w:t>Private</w:t>
                  </w:r>
                </w:p>
              </w:tc>
              <w:tc>
                <w:tcPr>
                  <w:tcW w:w="1293" w:type="pct"/>
                  <w:vAlign w:val="center"/>
                </w:tcPr>
                <w:p w14:paraId="5326426A" w14:textId="77777777" w:rsidR="002F0974" w:rsidRPr="003153AA" w:rsidRDefault="002F0974" w:rsidP="008B520A">
                  <w:pPr>
                    <w:pStyle w:val="TableText0"/>
                    <w:keepNext w:val="0"/>
                    <w:widowControl w:val="0"/>
                  </w:pPr>
                  <w:r w:rsidRPr="003153AA">
                    <w:t>Weighted</w:t>
                  </w:r>
                </w:p>
              </w:tc>
            </w:tr>
            <w:tr w:rsidR="002F0974" w:rsidRPr="003153AA" w14:paraId="6D991EBE" w14:textId="77777777">
              <w:tc>
                <w:tcPr>
                  <w:tcW w:w="1120" w:type="pct"/>
                </w:tcPr>
                <w:p w14:paraId="017500A2" w14:textId="77777777" w:rsidR="002F0974" w:rsidRPr="003153AA" w:rsidRDefault="002F0974" w:rsidP="008B520A">
                  <w:pPr>
                    <w:pStyle w:val="TableText0"/>
                    <w:keepNext w:val="0"/>
                    <w:widowControl w:val="0"/>
                  </w:pPr>
                  <w:r w:rsidRPr="003153AA">
                    <w:t>Initial</w:t>
                  </w:r>
                </w:p>
              </w:tc>
              <w:tc>
                <w:tcPr>
                  <w:tcW w:w="1293" w:type="pct"/>
                </w:tcPr>
                <w:p w14:paraId="00A5F83C" w14:textId="433F4945" w:rsidR="002F0974" w:rsidRPr="003153AA" w:rsidRDefault="002F0974" w:rsidP="008B520A">
                  <w:pPr>
                    <w:pStyle w:val="TableText1"/>
                    <w:keepLines/>
                    <w:widowControl w:val="0"/>
                    <w:spacing w:after="0"/>
                    <w:rPr>
                      <w:rFonts w:cs="Calibri"/>
                      <w:noProof/>
                      <w:color w:val="000000"/>
                      <w:sz w:val="18"/>
                      <w:szCs w:val="18"/>
                    </w:rPr>
                  </w:pPr>
                  <w:r w:rsidRPr="003153AA">
                    <w:rPr>
                      <w:rFonts w:cs="Calibri"/>
                      <w:noProof/>
                      <w:color w:val="000000"/>
                      <w:sz w:val="18"/>
                      <w:szCs w:val="18"/>
                    </w:rPr>
                    <w:t>$</w:t>
                  </w:r>
                  <w:r w:rsidR="005822E1" w:rsidRPr="005822E1">
                    <w:rPr>
                      <w:rFonts w:cs="Calibri"/>
                      <w:noProof/>
                      <w:color w:val="000000"/>
                      <w:sz w:val="2"/>
                      <w:szCs w:val="18"/>
                      <w:highlight w:val="black"/>
                    </w:rPr>
                    <w:t>redacted content</w:t>
                  </w:r>
                </w:p>
              </w:tc>
              <w:tc>
                <w:tcPr>
                  <w:tcW w:w="1294" w:type="pct"/>
                </w:tcPr>
                <w:p w14:paraId="7A30BDCE" w14:textId="61C14666" w:rsidR="002F0974" w:rsidRPr="003153AA" w:rsidRDefault="002F0974" w:rsidP="008B520A">
                  <w:pPr>
                    <w:pStyle w:val="TableText1"/>
                    <w:keepLines/>
                    <w:widowControl w:val="0"/>
                    <w:spacing w:after="0"/>
                    <w:rPr>
                      <w:rFonts w:cs="Calibri"/>
                      <w:noProof/>
                      <w:color w:val="000000"/>
                      <w:sz w:val="18"/>
                      <w:szCs w:val="18"/>
                    </w:rPr>
                  </w:pPr>
                  <w:r w:rsidRPr="003153AA">
                    <w:rPr>
                      <w:rFonts w:cs="Calibri"/>
                      <w:noProof/>
                      <w:color w:val="000000"/>
                      <w:sz w:val="18"/>
                      <w:szCs w:val="18"/>
                    </w:rPr>
                    <w:t>$</w:t>
                  </w:r>
                  <w:r w:rsidR="005822E1" w:rsidRPr="005822E1">
                    <w:rPr>
                      <w:rFonts w:cs="Calibri"/>
                      <w:noProof/>
                      <w:color w:val="000000"/>
                      <w:sz w:val="2"/>
                      <w:szCs w:val="18"/>
                      <w:highlight w:val="black"/>
                    </w:rPr>
                    <w:t>redacted content</w:t>
                  </w:r>
                </w:p>
              </w:tc>
              <w:tc>
                <w:tcPr>
                  <w:tcW w:w="1293" w:type="pct"/>
                </w:tcPr>
                <w:p w14:paraId="3AEE9363" w14:textId="4E45E2D4" w:rsidR="002F0974" w:rsidRPr="003153AA" w:rsidRDefault="002F0974" w:rsidP="008B520A">
                  <w:pPr>
                    <w:pStyle w:val="TableText1"/>
                    <w:keepLines/>
                    <w:widowControl w:val="0"/>
                    <w:spacing w:after="0"/>
                    <w:rPr>
                      <w:rFonts w:cs="Calibri"/>
                      <w:noProof/>
                      <w:color w:val="000000"/>
                      <w:sz w:val="18"/>
                      <w:szCs w:val="18"/>
                    </w:rPr>
                  </w:pPr>
                  <w:r w:rsidRPr="003153AA">
                    <w:rPr>
                      <w:rFonts w:cs="Calibri"/>
                      <w:noProof/>
                      <w:color w:val="000000"/>
                      <w:sz w:val="18"/>
                      <w:szCs w:val="18"/>
                    </w:rPr>
                    <w:t>$</w:t>
                  </w:r>
                  <w:r w:rsidR="005822E1" w:rsidRPr="005822E1">
                    <w:rPr>
                      <w:rFonts w:cs="Calibri"/>
                      <w:noProof/>
                      <w:color w:val="000000"/>
                      <w:sz w:val="2"/>
                      <w:szCs w:val="18"/>
                      <w:highlight w:val="black"/>
                    </w:rPr>
                    <w:t>redacted content</w:t>
                  </w:r>
                </w:p>
              </w:tc>
            </w:tr>
            <w:tr w:rsidR="002F0974" w:rsidRPr="003153AA" w14:paraId="09310DCD" w14:textId="77777777">
              <w:tc>
                <w:tcPr>
                  <w:tcW w:w="1120" w:type="pct"/>
                </w:tcPr>
                <w:p w14:paraId="263D60CD" w14:textId="77777777" w:rsidR="002F0974" w:rsidRPr="003153AA" w:rsidRDefault="002F0974" w:rsidP="008B520A">
                  <w:pPr>
                    <w:pStyle w:val="TableText0"/>
                    <w:keepNext w:val="0"/>
                    <w:widowControl w:val="0"/>
                  </w:pPr>
                  <w:proofErr w:type="spellStart"/>
                  <w:r w:rsidRPr="003153AA">
                    <w:t>Contn</w:t>
                  </w:r>
                  <w:proofErr w:type="spellEnd"/>
                </w:p>
              </w:tc>
              <w:tc>
                <w:tcPr>
                  <w:tcW w:w="1293" w:type="pct"/>
                </w:tcPr>
                <w:p w14:paraId="1BB76307" w14:textId="42A6D137" w:rsidR="002F0974" w:rsidRPr="003153AA" w:rsidRDefault="002F0974" w:rsidP="008B520A">
                  <w:pPr>
                    <w:pStyle w:val="TableText1"/>
                    <w:keepLines/>
                    <w:widowControl w:val="0"/>
                    <w:spacing w:after="0"/>
                    <w:rPr>
                      <w:rFonts w:cs="Calibri"/>
                      <w:noProof/>
                      <w:color w:val="000000"/>
                      <w:sz w:val="18"/>
                      <w:szCs w:val="18"/>
                    </w:rPr>
                  </w:pPr>
                  <w:r w:rsidRPr="003153AA">
                    <w:rPr>
                      <w:rFonts w:cs="Calibri"/>
                      <w:noProof/>
                      <w:color w:val="000000"/>
                      <w:sz w:val="18"/>
                      <w:szCs w:val="18"/>
                    </w:rPr>
                    <w:t>$</w:t>
                  </w:r>
                  <w:r w:rsidR="005822E1" w:rsidRPr="005822E1">
                    <w:rPr>
                      <w:rFonts w:cs="Calibri"/>
                      <w:noProof/>
                      <w:color w:val="000000"/>
                      <w:sz w:val="2"/>
                      <w:szCs w:val="18"/>
                      <w:highlight w:val="black"/>
                    </w:rPr>
                    <w:t>redacted content</w:t>
                  </w:r>
                </w:p>
              </w:tc>
              <w:tc>
                <w:tcPr>
                  <w:tcW w:w="1294" w:type="pct"/>
                </w:tcPr>
                <w:p w14:paraId="655ED31D" w14:textId="00F6AD69" w:rsidR="002F0974" w:rsidRPr="003153AA" w:rsidRDefault="002F0974" w:rsidP="008B520A">
                  <w:pPr>
                    <w:pStyle w:val="TableText1"/>
                    <w:keepLines/>
                    <w:widowControl w:val="0"/>
                    <w:spacing w:after="0"/>
                    <w:rPr>
                      <w:rFonts w:cs="Calibri"/>
                      <w:noProof/>
                      <w:color w:val="000000"/>
                      <w:sz w:val="18"/>
                      <w:szCs w:val="18"/>
                    </w:rPr>
                  </w:pPr>
                  <w:r w:rsidRPr="003153AA">
                    <w:rPr>
                      <w:rFonts w:cs="Calibri"/>
                      <w:noProof/>
                      <w:color w:val="000000"/>
                      <w:sz w:val="18"/>
                      <w:szCs w:val="18"/>
                    </w:rPr>
                    <w:t>$</w:t>
                  </w:r>
                  <w:r w:rsidR="005822E1" w:rsidRPr="005822E1">
                    <w:rPr>
                      <w:rFonts w:cs="Calibri"/>
                      <w:noProof/>
                      <w:color w:val="000000"/>
                      <w:sz w:val="2"/>
                      <w:szCs w:val="18"/>
                      <w:highlight w:val="black"/>
                    </w:rPr>
                    <w:t>redacted content</w:t>
                  </w:r>
                </w:p>
              </w:tc>
              <w:tc>
                <w:tcPr>
                  <w:tcW w:w="1293" w:type="pct"/>
                </w:tcPr>
                <w:p w14:paraId="01D5FBFF" w14:textId="20B87DA9" w:rsidR="002F0974" w:rsidRPr="003153AA" w:rsidRDefault="002F0974" w:rsidP="008B520A">
                  <w:pPr>
                    <w:pStyle w:val="TableText1"/>
                    <w:keepLines/>
                    <w:widowControl w:val="0"/>
                    <w:spacing w:after="0"/>
                    <w:rPr>
                      <w:rFonts w:cs="Calibri"/>
                      <w:noProof/>
                      <w:color w:val="000000"/>
                      <w:sz w:val="18"/>
                      <w:szCs w:val="18"/>
                    </w:rPr>
                  </w:pPr>
                  <w:r w:rsidRPr="003153AA">
                    <w:rPr>
                      <w:rFonts w:cs="Calibri"/>
                      <w:noProof/>
                      <w:color w:val="000000"/>
                      <w:sz w:val="18"/>
                      <w:szCs w:val="18"/>
                    </w:rPr>
                    <w:t>$</w:t>
                  </w:r>
                  <w:r w:rsidR="005822E1" w:rsidRPr="005822E1">
                    <w:rPr>
                      <w:rFonts w:cs="Calibri"/>
                      <w:noProof/>
                      <w:color w:val="000000"/>
                      <w:sz w:val="2"/>
                      <w:szCs w:val="18"/>
                      <w:highlight w:val="black"/>
                    </w:rPr>
                    <w:t>redacted content</w:t>
                  </w:r>
                </w:p>
              </w:tc>
            </w:tr>
            <w:tr w:rsidR="002F0974" w:rsidRPr="003153AA" w14:paraId="23664680" w14:textId="77777777">
              <w:tc>
                <w:tcPr>
                  <w:tcW w:w="1120" w:type="pct"/>
                </w:tcPr>
                <w:p w14:paraId="39EB32BD" w14:textId="77777777" w:rsidR="002F0974" w:rsidRPr="003153AA" w:rsidRDefault="002F0974" w:rsidP="008B520A">
                  <w:pPr>
                    <w:pStyle w:val="TableText0"/>
                    <w:keepNext w:val="0"/>
                    <w:widowControl w:val="0"/>
                  </w:pPr>
                  <w:r w:rsidRPr="003153AA">
                    <w:t>GF</w:t>
                  </w:r>
                </w:p>
              </w:tc>
              <w:tc>
                <w:tcPr>
                  <w:tcW w:w="1293" w:type="pct"/>
                </w:tcPr>
                <w:p w14:paraId="0F064F26" w14:textId="46125397" w:rsidR="002F0974" w:rsidRPr="003153AA" w:rsidRDefault="002F0974" w:rsidP="008B520A">
                  <w:pPr>
                    <w:pStyle w:val="TableText1"/>
                    <w:keepLines/>
                    <w:widowControl w:val="0"/>
                    <w:spacing w:after="0"/>
                    <w:rPr>
                      <w:rFonts w:cs="Calibri"/>
                      <w:noProof/>
                      <w:color w:val="000000"/>
                      <w:sz w:val="18"/>
                      <w:szCs w:val="18"/>
                    </w:rPr>
                  </w:pPr>
                  <w:r w:rsidRPr="003153AA">
                    <w:rPr>
                      <w:rFonts w:cs="Calibri"/>
                      <w:noProof/>
                      <w:color w:val="000000"/>
                      <w:sz w:val="18"/>
                      <w:szCs w:val="18"/>
                    </w:rPr>
                    <w:t>$</w:t>
                  </w:r>
                  <w:r w:rsidR="005822E1" w:rsidRPr="005822E1">
                    <w:rPr>
                      <w:rFonts w:cs="Calibri"/>
                      <w:noProof/>
                      <w:color w:val="000000"/>
                      <w:sz w:val="2"/>
                      <w:szCs w:val="18"/>
                      <w:highlight w:val="black"/>
                    </w:rPr>
                    <w:t>redacted content</w:t>
                  </w:r>
                </w:p>
              </w:tc>
              <w:tc>
                <w:tcPr>
                  <w:tcW w:w="1294" w:type="pct"/>
                </w:tcPr>
                <w:p w14:paraId="00172ED7" w14:textId="365D7DFB" w:rsidR="002F0974" w:rsidRPr="003153AA" w:rsidRDefault="002F0974" w:rsidP="008B520A">
                  <w:pPr>
                    <w:pStyle w:val="TableText1"/>
                    <w:keepLines/>
                    <w:widowControl w:val="0"/>
                    <w:spacing w:after="0"/>
                    <w:rPr>
                      <w:rFonts w:cs="Calibri"/>
                      <w:noProof/>
                      <w:color w:val="000000"/>
                      <w:sz w:val="18"/>
                      <w:szCs w:val="18"/>
                    </w:rPr>
                  </w:pPr>
                  <w:r w:rsidRPr="003153AA">
                    <w:rPr>
                      <w:rFonts w:cs="Calibri"/>
                      <w:noProof/>
                      <w:color w:val="000000"/>
                      <w:sz w:val="18"/>
                      <w:szCs w:val="18"/>
                    </w:rPr>
                    <w:t>$</w:t>
                  </w:r>
                  <w:r w:rsidR="005822E1" w:rsidRPr="005822E1">
                    <w:rPr>
                      <w:rFonts w:cs="Calibri"/>
                      <w:noProof/>
                      <w:color w:val="000000"/>
                      <w:sz w:val="2"/>
                      <w:szCs w:val="18"/>
                      <w:highlight w:val="black"/>
                    </w:rPr>
                    <w:t>redacted content</w:t>
                  </w:r>
                </w:p>
              </w:tc>
              <w:tc>
                <w:tcPr>
                  <w:tcW w:w="1293" w:type="pct"/>
                </w:tcPr>
                <w:p w14:paraId="146C8CE7" w14:textId="6F75921A" w:rsidR="002F0974" w:rsidRPr="003153AA" w:rsidRDefault="002F0974" w:rsidP="008B520A">
                  <w:pPr>
                    <w:pStyle w:val="TableText1"/>
                    <w:keepLines/>
                    <w:widowControl w:val="0"/>
                    <w:spacing w:after="0"/>
                    <w:rPr>
                      <w:rFonts w:cs="Calibri"/>
                      <w:noProof/>
                      <w:color w:val="000000"/>
                      <w:sz w:val="18"/>
                      <w:szCs w:val="18"/>
                    </w:rPr>
                  </w:pPr>
                  <w:r w:rsidRPr="003153AA">
                    <w:rPr>
                      <w:rFonts w:cs="Calibri"/>
                      <w:noProof/>
                      <w:color w:val="000000"/>
                      <w:sz w:val="18"/>
                      <w:szCs w:val="18"/>
                    </w:rPr>
                    <w:t>$</w:t>
                  </w:r>
                  <w:r w:rsidR="005822E1" w:rsidRPr="005822E1">
                    <w:rPr>
                      <w:rFonts w:cs="Calibri"/>
                      <w:noProof/>
                      <w:color w:val="000000"/>
                      <w:sz w:val="2"/>
                      <w:szCs w:val="18"/>
                      <w:highlight w:val="black"/>
                    </w:rPr>
                    <w:t>redacted content</w:t>
                  </w:r>
                </w:p>
              </w:tc>
            </w:tr>
          </w:tbl>
          <w:p w14:paraId="25AB4FB2" w14:textId="77777777" w:rsidR="002F0974" w:rsidRPr="003153AA" w:rsidRDefault="002F0974" w:rsidP="008B520A">
            <w:pPr>
              <w:pStyle w:val="TableText0"/>
              <w:keepNext w:val="0"/>
              <w:widowControl w:val="0"/>
            </w:pPr>
          </w:p>
          <w:p w14:paraId="381D33F6" w14:textId="2F32B2B5" w:rsidR="002F0974" w:rsidRPr="003153AA" w:rsidRDefault="002F0974" w:rsidP="008B520A">
            <w:pPr>
              <w:pStyle w:val="TableText0"/>
              <w:keepNext w:val="0"/>
              <w:widowControl w:val="0"/>
            </w:pPr>
            <w:r w:rsidRPr="003153AA">
              <w:t>DPMA was calculated by multiplying the AEMP ($</w:t>
            </w:r>
            <w:r w:rsidR="005822E1" w:rsidRPr="005822E1">
              <w:rPr>
                <w:sz w:val="2"/>
                <w:highlight w:val="black"/>
              </w:rPr>
              <w:t>redacted content</w:t>
            </w:r>
            <w:r w:rsidRPr="003153AA">
              <w:t xml:space="preserve">) by the weighted number of vials (1.68 for initial treatment, 1.01 for continuing treatment) and the pharmacy markup (private); and adding fees for drug preparation and distribution. </w:t>
            </w:r>
          </w:p>
        </w:tc>
        <w:tc>
          <w:tcPr>
            <w:tcW w:w="1559" w:type="dxa"/>
            <w:vAlign w:val="center"/>
          </w:tcPr>
          <w:p w14:paraId="535F251B" w14:textId="77777777" w:rsidR="002F0974" w:rsidRPr="003153AA" w:rsidRDefault="002F0974" w:rsidP="008B520A">
            <w:pPr>
              <w:pStyle w:val="TableText0"/>
              <w:keepNext w:val="0"/>
              <w:widowControl w:val="0"/>
            </w:pPr>
            <w:r w:rsidRPr="003153AA">
              <w:t xml:space="preserve">The model used the published DPMA, as the submission did not propose any SPA, and the effective price is the same as the published price. </w:t>
            </w:r>
          </w:p>
          <w:p w14:paraId="041F5441" w14:textId="77777777" w:rsidR="002F0974" w:rsidRPr="003153AA" w:rsidRDefault="002F0974" w:rsidP="008B520A">
            <w:pPr>
              <w:pStyle w:val="TableText0"/>
              <w:keepNext w:val="0"/>
              <w:widowControl w:val="0"/>
            </w:pPr>
          </w:p>
          <w:p w14:paraId="40EFF41D" w14:textId="77777777" w:rsidR="002F0974" w:rsidRPr="003153AA" w:rsidRDefault="002F0974" w:rsidP="008B520A">
            <w:pPr>
              <w:pStyle w:val="TableText0"/>
              <w:keepNext w:val="0"/>
              <w:widowControl w:val="0"/>
            </w:pPr>
            <w:r w:rsidRPr="003153AA">
              <w:t>The weighted cost was calculated as a 50% split between public and private.</w:t>
            </w:r>
          </w:p>
        </w:tc>
        <w:tc>
          <w:tcPr>
            <w:tcW w:w="2948" w:type="dxa"/>
            <w:vAlign w:val="center"/>
          </w:tcPr>
          <w:p w14:paraId="5074E6B5" w14:textId="4642C5AE" w:rsidR="002F0974" w:rsidRPr="003153AA" w:rsidRDefault="002F0974" w:rsidP="008B520A">
            <w:pPr>
              <w:pStyle w:val="TableText0"/>
              <w:keepNext w:val="0"/>
              <w:widowControl w:val="0"/>
            </w:pPr>
            <w:r w:rsidRPr="003153AA">
              <w:t xml:space="preserve">The DPMA used in the model differed to that proposed in </w:t>
            </w:r>
            <w:r w:rsidR="00D72A77">
              <w:t xml:space="preserve">other sections of the submission. </w:t>
            </w:r>
            <w:r w:rsidRPr="003153AA">
              <w:t xml:space="preserve">The submission used a different public/private split in </w:t>
            </w:r>
            <w:r w:rsidR="000268B0">
              <w:t xml:space="preserve">the economic </w:t>
            </w:r>
            <w:r w:rsidR="00A7328E">
              <w:t>analysis</w:t>
            </w:r>
            <w:r w:rsidRPr="003153AA">
              <w:t xml:space="preserve"> (75/25) and </w:t>
            </w:r>
            <w:r w:rsidR="00A7328E">
              <w:t>in the financial estimates</w:t>
            </w:r>
            <w:r w:rsidRPr="003153AA">
              <w:t xml:space="preserve"> (50/50). In </w:t>
            </w:r>
            <w:r w:rsidR="00A7328E">
              <w:t>the economic analysis</w:t>
            </w:r>
            <w:r w:rsidRPr="003153AA">
              <w:t xml:space="preserve">, the 75/25 split was based on rituximab PBS use, whereas </w:t>
            </w:r>
            <w:r w:rsidR="00A7328E">
              <w:t xml:space="preserve">in the </w:t>
            </w:r>
            <w:r w:rsidR="0092220C">
              <w:t>financial estimates</w:t>
            </w:r>
            <w:r w:rsidRPr="003153AA">
              <w:t xml:space="preserve">, the submission assumed a 50/50 split, not based on utilisation data. </w:t>
            </w:r>
          </w:p>
          <w:p w14:paraId="2FC3965B" w14:textId="0AA67FC7" w:rsidR="002F0974" w:rsidRPr="00601ADB" w:rsidRDefault="00601ADB" w:rsidP="008B520A">
            <w:pPr>
              <w:pStyle w:val="TableText0"/>
              <w:keepNext w:val="0"/>
              <w:widowControl w:val="0"/>
              <w:rPr>
                <w:i/>
                <w:iCs/>
              </w:rPr>
            </w:pPr>
            <w:r w:rsidRPr="000538CD">
              <w:t>The Sub-</w:t>
            </w:r>
            <w:r w:rsidR="00A65D68" w:rsidRPr="000538CD">
              <w:t>C</w:t>
            </w:r>
            <w:r w:rsidRPr="000538CD">
              <w:t xml:space="preserve">ommittees noted this was rectified in the </w:t>
            </w:r>
            <w:r w:rsidR="00E57FBD" w:rsidRPr="000538CD">
              <w:t>PSCR.</w:t>
            </w:r>
            <w:r>
              <w:rPr>
                <w:i/>
                <w:iCs/>
              </w:rPr>
              <w:t xml:space="preserve"> </w:t>
            </w:r>
          </w:p>
        </w:tc>
      </w:tr>
      <w:tr w:rsidR="002F0974" w:rsidRPr="003153AA" w14:paraId="1663D07F" w14:textId="77777777" w:rsidTr="005C4AAD">
        <w:tc>
          <w:tcPr>
            <w:tcW w:w="1271" w:type="dxa"/>
            <w:vAlign w:val="center"/>
          </w:tcPr>
          <w:p w14:paraId="300CB7AE" w14:textId="77777777" w:rsidR="002F0974" w:rsidRPr="003153AA" w:rsidRDefault="002F0974" w:rsidP="008B520A">
            <w:pPr>
              <w:pStyle w:val="TableText0"/>
              <w:keepNext w:val="0"/>
              <w:widowControl w:val="0"/>
            </w:pPr>
            <w:r w:rsidRPr="003153AA">
              <w:t>R-ICE</w:t>
            </w:r>
          </w:p>
        </w:tc>
        <w:tc>
          <w:tcPr>
            <w:tcW w:w="3402" w:type="dxa"/>
            <w:vAlign w:val="center"/>
          </w:tcPr>
          <w:tbl>
            <w:tblPr>
              <w:tblStyle w:val="TableGrid"/>
              <w:tblW w:w="3514" w:type="dxa"/>
              <w:tblLayout w:type="fixed"/>
              <w:tblCellMar>
                <w:left w:w="28" w:type="dxa"/>
                <w:right w:w="28" w:type="dxa"/>
              </w:tblCellMar>
              <w:tblLook w:val="04A0" w:firstRow="1" w:lastRow="0" w:firstColumn="1" w:lastColumn="0" w:noHBand="0" w:noVBand="1"/>
            </w:tblPr>
            <w:tblGrid>
              <w:gridCol w:w="963"/>
              <w:gridCol w:w="907"/>
              <w:gridCol w:w="794"/>
              <w:gridCol w:w="850"/>
            </w:tblGrid>
            <w:tr w:rsidR="002F0974" w:rsidRPr="003153AA" w14:paraId="01826D3A" w14:textId="77777777">
              <w:tc>
                <w:tcPr>
                  <w:tcW w:w="1370" w:type="pct"/>
                  <w:vMerge w:val="restart"/>
                </w:tcPr>
                <w:p w14:paraId="72EF59A9" w14:textId="77777777" w:rsidR="002F0974" w:rsidRPr="003153AA" w:rsidRDefault="002F0974" w:rsidP="008B520A">
                  <w:pPr>
                    <w:pStyle w:val="TableText0"/>
                    <w:keepNext w:val="0"/>
                    <w:widowControl w:val="0"/>
                  </w:pPr>
                  <w:r w:rsidRPr="003153AA">
                    <w:t>Dose</w:t>
                  </w:r>
                </w:p>
              </w:tc>
              <w:tc>
                <w:tcPr>
                  <w:tcW w:w="3630" w:type="pct"/>
                  <w:gridSpan w:val="3"/>
                  <w:vAlign w:val="center"/>
                </w:tcPr>
                <w:p w14:paraId="634FA539" w14:textId="77777777" w:rsidR="002F0974" w:rsidRPr="003153AA" w:rsidRDefault="002F0974" w:rsidP="008B520A">
                  <w:pPr>
                    <w:pStyle w:val="TableText0"/>
                    <w:keepNext w:val="0"/>
                    <w:widowControl w:val="0"/>
                  </w:pPr>
                  <w:r w:rsidRPr="003153AA">
                    <w:t>Published DPMA</w:t>
                  </w:r>
                </w:p>
              </w:tc>
            </w:tr>
            <w:tr w:rsidR="002F0974" w:rsidRPr="003153AA" w14:paraId="218F8B9C" w14:textId="77777777">
              <w:tc>
                <w:tcPr>
                  <w:tcW w:w="1370" w:type="pct"/>
                  <w:vMerge/>
                </w:tcPr>
                <w:p w14:paraId="03A504AB" w14:textId="77777777" w:rsidR="002F0974" w:rsidRPr="003153AA" w:rsidRDefault="002F0974" w:rsidP="008B520A">
                  <w:pPr>
                    <w:pStyle w:val="TableText0"/>
                    <w:keepNext w:val="0"/>
                    <w:widowControl w:val="0"/>
                  </w:pPr>
                </w:p>
              </w:tc>
              <w:tc>
                <w:tcPr>
                  <w:tcW w:w="1291" w:type="pct"/>
                </w:tcPr>
                <w:p w14:paraId="6CB0C93E" w14:textId="77777777" w:rsidR="002F0974" w:rsidRPr="003153AA" w:rsidRDefault="002F0974" w:rsidP="008B520A">
                  <w:pPr>
                    <w:pStyle w:val="TableText0"/>
                    <w:keepNext w:val="0"/>
                    <w:widowControl w:val="0"/>
                  </w:pPr>
                  <w:r w:rsidRPr="003153AA">
                    <w:t>Public</w:t>
                  </w:r>
                </w:p>
              </w:tc>
              <w:tc>
                <w:tcPr>
                  <w:tcW w:w="1130" w:type="pct"/>
                </w:tcPr>
                <w:p w14:paraId="552552E8" w14:textId="77777777" w:rsidR="002F0974" w:rsidRPr="003153AA" w:rsidRDefault="002F0974" w:rsidP="008B520A">
                  <w:pPr>
                    <w:pStyle w:val="TableText0"/>
                    <w:keepNext w:val="0"/>
                    <w:widowControl w:val="0"/>
                  </w:pPr>
                  <w:r w:rsidRPr="003153AA">
                    <w:t>Private</w:t>
                  </w:r>
                </w:p>
              </w:tc>
              <w:tc>
                <w:tcPr>
                  <w:tcW w:w="1209" w:type="pct"/>
                </w:tcPr>
                <w:p w14:paraId="13EA60C8" w14:textId="77777777" w:rsidR="002F0974" w:rsidRPr="003153AA" w:rsidRDefault="002F0974" w:rsidP="008B520A">
                  <w:pPr>
                    <w:pStyle w:val="TableText0"/>
                    <w:keepNext w:val="0"/>
                    <w:widowControl w:val="0"/>
                  </w:pPr>
                  <w:r w:rsidRPr="003153AA">
                    <w:t>Weighted</w:t>
                  </w:r>
                </w:p>
              </w:tc>
            </w:tr>
            <w:tr w:rsidR="002F0974" w:rsidRPr="003153AA" w14:paraId="4079D423" w14:textId="77777777">
              <w:tc>
                <w:tcPr>
                  <w:tcW w:w="1370" w:type="pct"/>
                </w:tcPr>
                <w:p w14:paraId="1AEBA6EE" w14:textId="77777777" w:rsidR="002F0974" w:rsidRPr="003153AA" w:rsidRDefault="002F0974" w:rsidP="008B520A">
                  <w:pPr>
                    <w:pStyle w:val="TableText0"/>
                    <w:keepNext w:val="0"/>
                    <w:widowControl w:val="0"/>
                  </w:pPr>
                  <w:r w:rsidRPr="003153AA">
                    <w:t>Rit 500/100mg</w:t>
                  </w:r>
                </w:p>
              </w:tc>
              <w:tc>
                <w:tcPr>
                  <w:tcW w:w="1291" w:type="pct"/>
                </w:tcPr>
                <w:p w14:paraId="5D6FC855" w14:textId="77777777" w:rsidR="002F0974" w:rsidRPr="003153AA" w:rsidRDefault="002F0974" w:rsidP="008B520A">
                  <w:pPr>
                    <w:pStyle w:val="TableText0"/>
                    <w:keepNext w:val="0"/>
                    <w:widowControl w:val="0"/>
                  </w:pPr>
                  <w:r w:rsidRPr="003153AA">
                    <w:t>$393.88</w:t>
                  </w:r>
                </w:p>
              </w:tc>
              <w:tc>
                <w:tcPr>
                  <w:tcW w:w="1130" w:type="pct"/>
                </w:tcPr>
                <w:p w14:paraId="246556D9" w14:textId="77777777" w:rsidR="002F0974" w:rsidRPr="003153AA" w:rsidRDefault="002F0974" w:rsidP="008B520A">
                  <w:pPr>
                    <w:pStyle w:val="TableText0"/>
                    <w:keepNext w:val="0"/>
                    <w:widowControl w:val="0"/>
                  </w:pPr>
                  <w:r w:rsidRPr="003153AA">
                    <w:t>$434.91</w:t>
                  </w:r>
                </w:p>
              </w:tc>
              <w:tc>
                <w:tcPr>
                  <w:tcW w:w="1209" w:type="pct"/>
                </w:tcPr>
                <w:p w14:paraId="5EC180DF" w14:textId="77777777" w:rsidR="002F0974" w:rsidRPr="003153AA" w:rsidRDefault="002F0974" w:rsidP="008B520A">
                  <w:pPr>
                    <w:pStyle w:val="TableText0"/>
                    <w:keepNext w:val="0"/>
                    <w:widowControl w:val="0"/>
                  </w:pPr>
                  <w:r w:rsidRPr="003153AA">
                    <w:t>$414.40</w:t>
                  </w:r>
                </w:p>
              </w:tc>
            </w:tr>
            <w:tr w:rsidR="002F0974" w:rsidRPr="003153AA" w14:paraId="52509BBD" w14:textId="77777777">
              <w:tc>
                <w:tcPr>
                  <w:tcW w:w="1370" w:type="pct"/>
                </w:tcPr>
                <w:p w14:paraId="1CCC167D" w14:textId="77777777" w:rsidR="002F0974" w:rsidRPr="003153AA" w:rsidRDefault="002F0974" w:rsidP="008B520A">
                  <w:pPr>
                    <w:pStyle w:val="TableText0"/>
                    <w:keepNext w:val="0"/>
                    <w:widowControl w:val="0"/>
                  </w:pPr>
                  <w:r w:rsidRPr="003153AA">
                    <w:t>Eto 100mg</w:t>
                  </w:r>
                </w:p>
              </w:tc>
              <w:tc>
                <w:tcPr>
                  <w:tcW w:w="1291" w:type="pct"/>
                </w:tcPr>
                <w:p w14:paraId="5C876FBB" w14:textId="77777777" w:rsidR="002F0974" w:rsidRPr="003153AA" w:rsidRDefault="002F0974" w:rsidP="008B520A">
                  <w:pPr>
                    <w:pStyle w:val="TableText0"/>
                    <w:keepNext w:val="0"/>
                    <w:widowControl w:val="0"/>
                  </w:pPr>
                  <w:r w:rsidRPr="003153AA">
                    <w:t>$1,434.69</w:t>
                  </w:r>
                </w:p>
              </w:tc>
              <w:tc>
                <w:tcPr>
                  <w:tcW w:w="1130" w:type="pct"/>
                </w:tcPr>
                <w:p w14:paraId="52D64D39" w14:textId="77777777" w:rsidR="002F0974" w:rsidRPr="003153AA" w:rsidRDefault="002F0974" w:rsidP="008B520A">
                  <w:pPr>
                    <w:pStyle w:val="TableText0"/>
                    <w:keepNext w:val="0"/>
                    <w:widowControl w:val="0"/>
                  </w:pPr>
                  <w:r w:rsidRPr="003153AA">
                    <w:t>$1561.31</w:t>
                  </w:r>
                </w:p>
              </w:tc>
              <w:tc>
                <w:tcPr>
                  <w:tcW w:w="1209" w:type="pct"/>
                </w:tcPr>
                <w:p w14:paraId="025D59F4" w14:textId="77777777" w:rsidR="002F0974" w:rsidRPr="003153AA" w:rsidRDefault="002F0974" w:rsidP="008B520A">
                  <w:pPr>
                    <w:pStyle w:val="TableText0"/>
                    <w:keepNext w:val="0"/>
                    <w:widowControl w:val="0"/>
                  </w:pPr>
                  <w:r w:rsidRPr="003153AA">
                    <w:t>$1498.00</w:t>
                  </w:r>
                </w:p>
              </w:tc>
            </w:tr>
            <w:tr w:rsidR="002F0974" w:rsidRPr="003153AA" w14:paraId="3B957BCB" w14:textId="77777777">
              <w:tc>
                <w:tcPr>
                  <w:tcW w:w="1370" w:type="pct"/>
                </w:tcPr>
                <w:p w14:paraId="7973810B" w14:textId="77777777" w:rsidR="002F0974" w:rsidRPr="003153AA" w:rsidRDefault="002F0974" w:rsidP="008B520A">
                  <w:pPr>
                    <w:pStyle w:val="TableText0"/>
                    <w:keepNext w:val="0"/>
                    <w:widowControl w:val="0"/>
                  </w:pPr>
                  <w:proofErr w:type="spellStart"/>
                  <w:r w:rsidRPr="003153AA">
                    <w:t>Cplt</w:t>
                  </w:r>
                  <w:proofErr w:type="spellEnd"/>
                  <w:r w:rsidRPr="003153AA">
                    <w:t xml:space="preserve"> 450mg</w:t>
                  </w:r>
                </w:p>
              </w:tc>
              <w:tc>
                <w:tcPr>
                  <w:tcW w:w="1291" w:type="pct"/>
                </w:tcPr>
                <w:p w14:paraId="5F2A7C9A" w14:textId="77777777" w:rsidR="002F0974" w:rsidRPr="003153AA" w:rsidRDefault="002F0974" w:rsidP="008B520A">
                  <w:pPr>
                    <w:pStyle w:val="TableText0"/>
                    <w:keepNext w:val="0"/>
                    <w:widowControl w:val="0"/>
                  </w:pPr>
                  <w:r w:rsidRPr="003153AA">
                    <w:t>$144.39</w:t>
                  </w:r>
                </w:p>
              </w:tc>
              <w:tc>
                <w:tcPr>
                  <w:tcW w:w="1130" w:type="pct"/>
                </w:tcPr>
                <w:p w14:paraId="7BFB18A7" w14:textId="77777777" w:rsidR="002F0974" w:rsidRPr="003153AA" w:rsidRDefault="002F0974" w:rsidP="008B520A">
                  <w:pPr>
                    <w:pStyle w:val="TableText0"/>
                    <w:keepNext w:val="0"/>
                    <w:widowControl w:val="0"/>
                  </w:pPr>
                  <w:r w:rsidRPr="003153AA">
                    <w:t>$181.92</w:t>
                  </w:r>
                </w:p>
              </w:tc>
              <w:tc>
                <w:tcPr>
                  <w:tcW w:w="1209" w:type="pct"/>
                </w:tcPr>
                <w:p w14:paraId="6AEDB068" w14:textId="77777777" w:rsidR="002F0974" w:rsidRPr="003153AA" w:rsidRDefault="002F0974" w:rsidP="008B520A">
                  <w:pPr>
                    <w:pStyle w:val="TableText0"/>
                    <w:keepNext w:val="0"/>
                    <w:widowControl w:val="0"/>
                  </w:pPr>
                  <w:r w:rsidRPr="003153AA">
                    <w:t>$163.16</w:t>
                  </w:r>
                </w:p>
              </w:tc>
            </w:tr>
            <w:tr w:rsidR="002F0974" w:rsidRPr="003153AA" w14:paraId="4F502F2D" w14:textId="77777777">
              <w:tc>
                <w:tcPr>
                  <w:tcW w:w="1370" w:type="pct"/>
                </w:tcPr>
                <w:p w14:paraId="70BAF7E1" w14:textId="77777777" w:rsidR="002F0974" w:rsidRPr="003153AA" w:rsidRDefault="002F0974" w:rsidP="008B520A">
                  <w:pPr>
                    <w:pStyle w:val="TableText0"/>
                    <w:keepNext w:val="0"/>
                    <w:widowControl w:val="0"/>
                  </w:pPr>
                  <w:r w:rsidRPr="003153AA">
                    <w:t>Ifo 2000mg</w:t>
                  </w:r>
                </w:p>
              </w:tc>
              <w:tc>
                <w:tcPr>
                  <w:tcW w:w="1291" w:type="pct"/>
                </w:tcPr>
                <w:p w14:paraId="4FC46A79" w14:textId="77777777" w:rsidR="002F0974" w:rsidRPr="003153AA" w:rsidRDefault="002F0974" w:rsidP="008B520A">
                  <w:pPr>
                    <w:pStyle w:val="TableText0"/>
                    <w:keepNext w:val="0"/>
                    <w:widowControl w:val="0"/>
                  </w:pPr>
                  <w:r w:rsidRPr="003153AA">
                    <w:t>$473.68</w:t>
                  </w:r>
                </w:p>
              </w:tc>
              <w:tc>
                <w:tcPr>
                  <w:tcW w:w="1130" w:type="pct"/>
                </w:tcPr>
                <w:p w14:paraId="3D3587FD" w14:textId="77777777" w:rsidR="002F0974" w:rsidRPr="003153AA" w:rsidRDefault="002F0974" w:rsidP="008B520A">
                  <w:pPr>
                    <w:pStyle w:val="TableText0"/>
                    <w:keepNext w:val="0"/>
                    <w:widowControl w:val="0"/>
                  </w:pPr>
                  <w:r w:rsidRPr="003153AA">
                    <w:t>$515.82</w:t>
                  </w:r>
                </w:p>
              </w:tc>
              <w:tc>
                <w:tcPr>
                  <w:tcW w:w="1209" w:type="pct"/>
                </w:tcPr>
                <w:p w14:paraId="49AEBB31" w14:textId="77777777" w:rsidR="002F0974" w:rsidRPr="003153AA" w:rsidRDefault="002F0974" w:rsidP="008B520A">
                  <w:pPr>
                    <w:pStyle w:val="TableText0"/>
                    <w:keepNext w:val="0"/>
                    <w:widowControl w:val="0"/>
                  </w:pPr>
                  <w:r w:rsidRPr="003153AA">
                    <w:t>$494.75</w:t>
                  </w:r>
                </w:p>
              </w:tc>
            </w:tr>
          </w:tbl>
          <w:p w14:paraId="522EAC29" w14:textId="77777777" w:rsidR="002F0974" w:rsidRPr="003153AA" w:rsidRDefault="002F0974" w:rsidP="008B520A">
            <w:pPr>
              <w:pStyle w:val="TableText0"/>
              <w:keepNext w:val="0"/>
              <w:widowControl w:val="0"/>
            </w:pPr>
          </w:p>
        </w:tc>
        <w:tc>
          <w:tcPr>
            <w:tcW w:w="1559" w:type="dxa"/>
            <w:vAlign w:val="center"/>
          </w:tcPr>
          <w:p w14:paraId="638F806D" w14:textId="77777777" w:rsidR="002F0974" w:rsidRPr="003153AA" w:rsidRDefault="002F0974" w:rsidP="008B520A">
            <w:pPr>
              <w:pStyle w:val="TableText0"/>
              <w:keepNext w:val="0"/>
              <w:widowControl w:val="0"/>
            </w:pPr>
            <w:r w:rsidRPr="003153AA">
              <w:t xml:space="preserve">PBS item numbers; </w:t>
            </w:r>
          </w:p>
          <w:p w14:paraId="133EC625" w14:textId="77777777" w:rsidR="002F0974" w:rsidRPr="003153AA" w:rsidRDefault="002F0974" w:rsidP="008B520A">
            <w:pPr>
              <w:pStyle w:val="TableText0"/>
              <w:keepNext w:val="0"/>
              <w:widowControl w:val="0"/>
            </w:pPr>
            <w:r w:rsidRPr="003153AA">
              <w:t>Rit: 13102N, 13109Y</w:t>
            </w:r>
          </w:p>
          <w:p w14:paraId="6A44262C" w14:textId="77777777" w:rsidR="002F0974" w:rsidRPr="003153AA" w:rsidRDefault="002F0974" w:rsidP="008B520A">
            <w:pPr>
              <w:pStyle w:val="TableText0"/>
              <w:keepNext w:val="0"/>
              <w:widowControl w:val="0"/>
            </w:pPr>
            <w:r w:rsidRPr="003153AA">
              <w:t>Eto: 4428C, 7237X</w:t>
            </w:r>
          </w:p>
          <w:p w14:paraId="537950AE" w14:textId="77777777" w:rsidR="002F0974" w:rsidRPr="003153AA" w:rsidRDefault="002F0974" w:rsidP="008B520A">
            <w:pPr>
              <w:pStyle w:val="TableText0"/>
              <w:keepNext w:val="0"/>
              <w:widowControl w:val="0"/>
            </w:pPr>
            <w:proofErr w:type="spellStart"/>
            <w:r w:rsidRPr="003153AA">
              <w:t>Cplt</w:t>
            </w:r>
            <w:proofErr w:type="spellEnd"/>
            <w:r w:rsidRPr="003153AA">
              <w:t>: 4309T, 7222D</w:t>
            </w:r>
          </w:p>
          <w:p w14:paraId="70191639" w14:textId="77777777" w:rsidR="002F0974" w:rsidRPr="003153AA" w:rsidRDefault="002F0974" w:rsidP="008B520A">
            <w:pPr>
              <w:pStyle w:val="TableText0"/>
              <w:keepNext w:val="0"/>
              <w:widowControl w:val="0"/>
            </w:pPr>
            <w:r w:rsidRPr="003153AA">
              <w:t>Ifo: 4448D, 7248L</w:t>
            </w:r>
          </w:p>
        </w:tc>
        <w:tc>
          <w:tcPr>
            <w:tcW w:w="2948" w:type="dxa"/>
            <w:vAlign w:val="center"/>
          </w:tcPr>
          <w:p w14:paraId="0D7681F2" w14:textId="41C4F9B8" w:rsidR="002F0974" w:rsidRPr="003153AA" w:rsidRDefault="002F0974" w:rsidP="008B520A">
            <w:pPr>
              <w:pStyle w:val="TableText0"/>
              <w:keepNext w:val="0"/>
              <w:widowControl w:val="0"/>
            </w:pPr>
            <w:r w:rsidRPr="003153AA">
              <w:t xml:space="preserve">PBS items were consistent with those applied in </w:t>
            </w:r>
            <w:r w:rsidR="00801806">
              <w:t>the economic model</w:t>
            </w:r>
            <w:r w:rsidRPr="003153AA">
              <w:t xml:space="preserve">. However, the financial model incorrectly reported the following items were used for rituximab: 13095F, 13101M, 13088W, 13109Y, while only items 13102N and 13109Y were included. </w:t>
            </w:r>
          </w:p>
        </w:tc>
      </w:tr>
      <w:tr w:rsidR="002F0974" w:rsidRPr="003153AA" w14:paraId="72F36E72" w14:textId="77777777" w:rsidTr="005C4AAD">
        <w:tc>
          <w:tcPr>
            <w:tcW w:w="1271" w:type="dxa"/>
            <w:vAlign w:val="center"/>
          </w:tcPr>
          <w:p w14:paraId="0E4258BA" w14:textId="77777777" w:rsidR="002F0974" w:rsidRPr="003153AA" w:rsidRDefault="002F0974" w:rsidP="008B520A">
            <w:pPr>
              <w:pStyle w:val="TableText0"/>
              <w:keepNext w:val="0"/>
              <w:widowControl w:val="0"/>
            </w:pPr>
            <w:r w:rsidRPr="003153AA">
              <w:t>Patient copayment</w:t>
            </w:r>
          </w:p>
        </w:tc>
        <w:tc>
          <w:tcPr>
            <w:tcW w:w="3402" w:type="dxa"/>
            <w:vAlign w:val="center"/>
          </w:tcPr>
          <w:p w14:paraId="2252A114" w14:textId="77777777" w:rsidR="002F0974" w:rsidRPr="003153AA" w:rsidRDefault="002F0974" w:rsidP="008B520A">
            <w:pPr>
              <w:pStyle w:val="TableText0"/>
              <w:keepNext w:val="0"/>
              <w:widowControl w:val="0"/>
            </w:pPr>
            <w:r w:rsidRPr="003153AA">
              <w:t>PBS: $16.25; RPBS: $6.84</w:t>
            </w:r>
          </w:p>
        </w:tc>
        <w:tc>
          <w:tcPr>
            <w:tcW w:w="1559" w:type="dxa"/>
            <w:vAlign w:val="center"/>
          </w:tcPr>
          <w:p w14:paraId="56FA3702" w14:textId="77777777" w:rsidR="002F0974" w:rsidRPr="003153AA" w:rsidRDefault="002F0974" w:rsidP="008B520A">
            <w:pPr>
              <w:pStyle w:val="TableText0"/>
              <w:keepNext w:val="0"/>
              <w:widowControl w:val="0"/>
            </w:pPr>
            <w:r w:rsidRPr="003153AA">
              <w:t>PBS statistics</w:t>
            </w:r>
          </w:p>
        </w:tc>
        <w:tc>
          <w:tcPr>
            <w:tcW w:w="2948" w:type="dxa"/>
            <w:vAlign w:val="center"/>
          </w:tcPr>
          <w:p w14:paraId="581D3126" w14:textId="77777777" w:rsidR="002F0974" w:rsidRPr="003153AA" w:rsidRDefault="002F0974" w:rsidP="008B520A">
            <w:pPr>
              <w:pStyle w:val="TableText0"/>
              <w:keepNext w:val="0"/>
              <w:widowControl w:val="0"/>
            </w:pPr>
            <w:r w:rsidRPr="003153AA">
              <w:t xml:space="preserve">PBS statistics included Pembrolizumab, which is listed for PMBL (see above). </w:t>
            </w:r>
          </w:p>
        </w:tc>
      </w:tr>
      <w:tr w:rsidR="002F0974" w:rsidRPr="003153AA" w14:paraId="60B7D97F" w14:textId="77777777" w:rsidTr="005C4AAD">
        <w:tc>
          <w:tcPr>
            <w:tcW w:w="1271" w:type="dxa"/>
            <w:vAlign w:val="center"/>
          </w:tcPr>
          <w:p w14:paraId="7FE0FDFA" w14:textId="77777777" w:rsidR="002F0974" w:rsidRPr="003153AA" w:rsidRDefault="002F0974" w:rsidP="008B520A">
            <w:pPr>
              <w:pStyle w:val="TableText0"/>
              <w:keepNext w:val="0"/>
              <w:widowControl w:val="0"/>
            </w:pPr>
            <w:r w:rsidRPr="003153AA">
              <w:t>MBS costs</w:t>
            </w:r>
          </w:p>
        </w:tc>
        <w:tc>
          <w:tcPr>
            <w:tcW w:w="3402" w:type="dxa"/>
            <w:vAlign w:val="center"/>
          </w:tcPr>
          <w:p w14:paraId="757C55AE" w14:textId="77777777" w:rsidR="002F0974" w:rsidRPr="003153AA" w:rsidRDefault="002F0974" w:rsidP="008B520A">
            <w:pPr>
              <w:pStyle w:val="TableText0"/>
              <w:keepNext w:val="0"/>
              <w:widowControl w:val="0"/>
            </w:pPr>
            <w:r w:rsidRPr="003153AA">
              <w:t>$126</w:t>
            </w:r>
          </w:p>
        </w:tc>
        <w:tc>
          <w:tcPr>
            <w:tcW w:w="1559" w:type="dxa"/>
            <w:vAlign w:val="center"/>
          </w:tcPr>
          <w:p w14:paraId="3DEFE9C6" w14:textId="77777777" w:rsidR="002F0974" w:rsidRPr="003153AA" w:rsidRDefault="002F0974" w:rsidP="008B520A">
            <w:pPr>
              <w:pStyle w:val="TableText0"/>
              <w:keepNext w:val="0"/>
              <w:widowControl w:val="0"/>
            </w:pPr>
            <w:r w:rsidRPr="003153AA">
              <w:t xml:space="preserve">MBS item 13950: parenteral administration of antineoplastic agents. </w:t>
            </w:r>
          </w:p>
        </w:tc>
        <w:tc>
          <w:tcPr>
            <w:tcW w:w="2948" w:type="dxa"/>
            <w:vAlign w:val="center"/>
          </w:tcPr>
          <w:p w14:paraId="37E82A9F" w14:textId="77777777" w:rsidR="002F0974" w:rsidRPr="003153AA" w:rsidRDefault="002F0974" w:rsidP="008B520A">
            <w:pPr>
              <w:pStyle w:val="TableText0"/>
              <w:keepNext w:val="0"/>
              <w:widowControl w:val="0"/>
            </w:pPr>
            <w:r w:rsidRPr="003153AA">
              <w:t>MBS item 13950 was correctly applied to both LT and chemoimmunotherapy administration. However, an 85% benefit was used instead of the recommended 80% (PBAC Utilisation and Cost Model Workbook and User Manual).</w:t>
            </w:r>
          </w:p>
        </w:tc>
      </w:tr>
    </w:tbl>
    <w:p w14:paraId="44E6590B" w14:textId="77777777" w:rsidR="002F0974" w:rsidRPr="003153AA" w:rsidRDefault="002F0974" w:rsidP="002F0974">
      <w:pPr>
        <w:pStyle w:val="FooterTableFigure"/>
      </w:pPr>
      <w:r w:rsidRPr="003153AA">
        <w:t>Source: Compiled during the evaluation, based on Table 4.2-4.23, pp137-147 of the submission.</w:t>
      </w:r>
    </w:p>
    <w:p w14:paraId="53F2CDCA" w14:textId="77777777" w:rsidR="002F0974" w:rsidRDefault="002F0974" w:rsidP="00651D36">
      <w:pPr>
        <w:pStyle w:val="FooterTableFigure"/>
        <w:spacing w:after="0"/>
      </w:pPr>
      <w:r w:rsidRPr="003153AA">
        <w:t xml:space="preserve">AIHW=Australian Institute of Health and Welfare; Eto=etoposide; </w:t>
      </w:r>
      <w:proofErr w:type="spellStart"/>
      <w:r w:rsidRPr="003153AA">
        <w:t>contn</w:t>
      </w:r>
      <w:proofErr w:type="spellEnd"/>
      <w:r w:rsidRPr="003153AA">
        <w:t xml:space="preserve">=continuing; </w:t>
      </w:r>
      <w:proofErr w:type="spellStart"/>
      <w:r w:rsidRPr="003153AA">
        <w:t>Cplt</w:t>
      </w:r>
      <w:proofErr w:type="spellEnd"/>
      <w:r w:rsidRPr="003153AA">
        <w:t>=carboplatin; GF=grandfathered; LT=</w:t>
      </w:r>
      <w:proofErr w:type="spellStart"/>
      <w:r w:rsidRPr="003153AA">
        <w:t>loncastuximab</w:t>
      </w:r>
      <w:proofErr w:type="spellEnd"/>
      <w:r w:rsidRPr="003153AA">
        <w:t xml:space="preserve"> tesirine; R-ICE=Rituximab + ifosfamide + carboplatin + etoposide; Rit=rituximab; SCT=stem cell transplant; </w:t>
      </w:r>
      <w:proofErr w:type="spellStart"/>
      <w:r w:rsidRPr="003153AA">
        <w:t>ToT</w:t>
      </w:r>
      <w:proofErr w:type="spellEnd"/>
      <w:r w:rsidRPr="003153AA">
        <w:t>=time on treatment</w:t>
      </w:r>
    </w:p>
    <w:p w14:paraId="76A3CE16" w14:textId="77777777" w:rsidR="00651D36" w:rsidRPr="00651D36" w:rsidRDefault="00651D36" w:rsidP="00651D36">
      <w:pPr>
        <w:jc w:val="left"/>
        <w:rPr>
          <w:rFonts w:ascii="Arial Narrow" w:hAnsi="Arial Narrow"/>
          <w:i/>
          <w:sz w:val="18"/>
          <w:szCs w:val="18"/>
        </w:rPr>
      </w:pPr>
      <w:r w:rsidRPr="00651D36">
        <w:rPr>
          <w:rFonts w:ascii="Arial Narrow" w:hAnsi="Arial Narrow"/>
          <w:i/>
          <w:sz w:val="18"/>
          <w:szCs w:val="18"/>
        </w:rPr>
        <w:t xml:space="preserve">The redacted values correspond to the following ranges: </w:t>
      </w:r>
    </w:p>
    <w:p w14:paraId="052618E8" w14:textId="3E979315" w:rsidR="00651D36" w:rsidRPr="00651D36" w:rsidRDefault="00651D36" w:rsidP="00651D36">
      <w:pPr>
        <w:jc w:val="left"/>
        <w:rPr>
          <w:rFonts w:ascii="Arial Narrow" w:hAnsi="Arial Narrow"/>
          <w:i/>
          <w:sz w:val="18"/>
          <w:szCs w:val="18"/>
        </w:rPr>
      </w:pPr>
      <w:r w:rsidRPr="00651D36">
        <w:rPr>
          <w:rFonts w:ascii="Arial Narrow" w:hAnsi="Arial Narrow"/>
          <w:i/>
          <w:sz w:val="18"/>
          <w:szCs w:val="18"/>
          <w:vertAlign w:val="superscript"/>
        </w:rPr>
        <w:t>1</w:t>
      </w:r>
      <w:r w:rsidRPr="00651D36">
        <w:rPr>
          <w:rFonts w:ascii="Arial Narrow" w:hAnsi="Arial Narrow"/>
          <w:i/>
          <w:sz w:val="18"/>
          <w:szCs w:val="18"/>
        </w:rPr>
        <w:t xml:space="preserve"> </w:t>
      </w:r>
      <w:r w:rsidR="007A6552" w:rsidRPr="007A6552">
        <w:rPr>
          <w:rFonts w:ascii="Arial Narrow" w:hAnsi="Arial Narrow"/>
          <w:i/>
          <w:sz w:val="18"/>
          <w:szCs w:val="18"/>
        </w:rPr>
        <w:t>500 to &lt; 5,000</w:t>
      </w:r>
    </w:p>
    <w:p w14:paraId="22B65418" w14:textId="30713C4B" w:rsidR="00651D36" w:rsidRPr="003153AA" w:rsidRDefault="00651D36" w:rsidP="00DC7C5E">
      <w:pPr>
        <w:jc w:val="left"/>
      </w:pPr>
      <w:r w:rsidRPr="00651D36">
        <w:rPr>
          <w:rFonts w:ascii="Arial Narrow" w:hAnsi="Arial Narrow"/>
          <w:i/>
          <w:sz w:val="18"/>
          <w:szCs w:val="18"/>
          <w:vertAlign w:val="superscript"/>
        </w:rPr>
        <w:t>2</w:t>
      </w:r>
      <w:r w:rsidRPr="00651D36">
        <w:rPr>
          <w:rFonts w:ascii="Arial Narrow" w:hAnsi="Arial Narrow"/>
          <w:i/>
          <w:sz w:val="18"/>
          <w:szCs w:val="18"/>
        </w:rPr>
        <w:t xml:space="preserve"> </w:t>
      </w:r>
      <w:r w:rsidR="00FB0A0D">
        <w:rPr>
          <w:rFonts w:ascii="Arial Narrow" w:hAnsi="Arial Narrow"/>
          <w:i/>
          <w:sz w:val="18"/>
          <w:szCs w:val="18"/>
        </w:rPr>
        <w:t>&lt; 500</w:t>
      </w:r>
    </w:p>
    <w:p w14:paraId="24CDB393" w14:textId="77777777" w:rsidR="002F0974" w:rsidRPr="003153AA" w:rsidRDefault="002F0974" w:rsidP="002F0974">
      <w:pPr>
        <w:pStyle w:val="FooterTableFigure"/>
        <w:rPr>
          <w:rStyle w:val="CommentReference"/>
          <w:b w:val="0"/>
          <w:sz w:val="18"/>
          <w:szCs w:val="22"/>
        </w:rPr>
      </w:pPr>
    </w:p>
    <w:p w14:paraId="026EC52E" w14:textId="09A5B419" w:rsidR="002F0974" w:rsidRPr="003153AA" w:rsidRDefault="002F0974" w:rsidP="002F0974">
      <w:pPr>
        <w:pStyle w:val="3-BodyText"/>
        <w:numPr>
          <w:ilvl w:val="1"/>
          <w:numId w:val="1"/>
        </w:numPr>
      </w:pPr>
      <w:r w:rsidRPr="003153AA">
        <w:fldChar w:fldCharType="begin"/>
      </w:r>
      <w:r w:rsidRPr="003153AA">
        <w:instrText xml:space="preserve"> REF _Ref104805295 \h </w:instrText>
      </w:r>
      <w:r w:rsidR="003153AA" w:rsidRPr="003153AA">
        <w:instrText xml:space="preserve"> \* MERGEFORMAT </w:instrText>
      </w:r>
      <w:r w:rsidRPr="003153AA">
        <w:fldChar w:fldCharType="separate"/>
      </w:r>
      <w:r w:rsidR="007D33FD" w:rsidRPr="003153AA">
        <w:t xml:space="preserve">Table </w:t>
      </w:r>
      <w:r w:rsidR="007D33FD" w:rsidRPr="003153AA">
        <w:rPr>
          <w:noProof/>
        </w:rPr>
        <w:t>19</w:t>
      </w:r>
      <w:r w:rsidRPr="003153AA">
        <w:fldChar w:fldCharType="end"/>
      </w:r>
      <w:r w:rsidRPr="003153AA">
        <w:t xml:space="preserve"> summarises the estimated net financial implications to the PBS/RPBS and the MBS for the proposed listing of loncastuximab tesirine over the first six years (assumed as 2026 to 2031).</w:t>
      </w:r>
    </w:p>
    <w:p w14:paraId="6E8F20B8" w14:textId="75C47EDC" w:rsidR="002F0974" w:rsidRPr="003153AA" w:rsidRDefault="002F0974" w:rsidP="002F0974">
      <w:pPr>
        <w:pStyle w:val="Caption"/>
        <w:rPr>
          <w:rStyle w:val="CommentReference"/>
          <w:b/>
          <w:szCs w:val="24"/>
        </w:rPr>
      </w:pPr>
      <w:bookmarkStart w:id="74" w:name="_Ref104805295"/>
      <w:r w:rsidRPr="003153AA">
        <w:lastRenderedPageBreak/>
        <w:t xml:space="preserve">Table </w:t>
      </w:r>
      <w:r w:rsidRPr="003153AA">
        <w:fldChar w:fldCharType="begin"/>
      </w:r>
      <w:r w:rsidRPr="003153AA">
        <w:instrText>SEQ Table \* ARABIC</w:instrText>
      </w:r>
      <w:r w:rsidRPr="003153AA">
        <w:fldChar w:fldCharType="separate"/>
      </w:r>
      <w:r w:rsidR="007D33FD" w:rsidRPr="003153AA">
        <w:rPr>
          <w:noProof/>
        </w:rPr>
        <w:t>19</w:t>
      </w:r>
      <w:r w:rsidRPr="003153AA">
        <w:fldChar w:fldCharType="end"/>
      </w:r>
      <w:bookmarkEnd w:id="74"/>
      <w:r w:rsidRPr="003153AA">
        <w:t>:</w:t>
      </w:r>
      <w:r w:rsidRPr="003153AA">
        <w:rPr>
          <w:rStyle w:val="CommentReference"/>
          <w:b/>
          <w:szCs w:val="24"/>
        </w:rPr>
        <w:t xml:space="preserve"> Estimated use and financial implications</w:t>
      </w:r>
    </w:p>
    <w:tbl>
      <w:tblPr>
        <w:tblStyle w:val="ASDTable2"/>
        <w:tblW w:w="5000" w:type="pct"/>
        <w:tblInd w:w="0" w:type="dxa"/>
        <w:tblLayout w:type="fixed"/>
        <w:tblCellMar>
          <w:left w:w="28" w:type="dxa"/>
          <w:right w:w="28" w:type="dxa"/>
        </w:tblCellMar>
        <w:tblLook w:val="04A0" w:firstRow="1" w:lastRow="0" w:firstColumn="1" w:lastColumn="0" w:noHBand="0" w:noVBand="1"/>
        <w:tblCaption w:val="Table 19: Estimated use and financial implications"/>
      </w:tblPr>
      <w:tblGrid>
        <w:gridCol w:w="1418"/>
        <w:gridCol w:w="1062"/>
        <w:gridCol w:w="1062"/>
        <w:gridCol w:w="1062"/>
        <w:gridCol w:w="1062"/>
        <w:gridCol w:w="1062"/>
        <w:gridCol w:w="1064"/>
        <w:gridCol w:w="1225"/>
      </w:tblGrid>
      <w:tr w:rsidR="002F0974" w:rsidRPr="003153AA" w14:paraId="33510EC9" w14:textId="77777777">
        <w:trPr>
          <w:trHeight w:val="20"/>
          <w:tblHeader/>
        </w:trPr>
        <w:tc>
          <w:tcPr>
            <w:tcW w:w="786" w:type="pct"/>
            <w:tcBorders>
              <w:top w:val="single" w:sz="4" w:space="0" w:color="auto"/>
              <w:left w:val="single" w:sz="4" w:space="0" w:color="auto"/>
              <w:bottom w:val="single" w:sz="4" w:space="0" w:color="auto"/>
              <w:right w:val="single" w:sz="4" w:space="0" w:color="auto"/>
            </w:tcBorders>
            <w:vAlign w:val="center"/>
          </w:tcPr>
          <w:p w14:paraId="03E716BB" w14:textId="77777777" w:rsidR="002F0974" w:rsidRPr="003153AA" w:rsidRDefault="002F0974">
            <w:pPr>
              <w:pStyle w:val="TableText0"/>
              <w:jc w:val="center"/>
              <w:rPr>
                <w:b/>
                <w:bCs w:val="0"/>
                <w:szCs w:val="20"/>
              </w:rPr>
            </w:pPr>
          </w:p>
        </w:tc>
        <w:tc>
          <w:tcPr>
            <w:tcW w:w="589" w:type="pct"/>
            <w:tcBorders>
              <w:top w:val="single" w:sz="4" w:space="0" w:color="auto"/>
              <w:left w:val="single" w:sz="4" w:space="0" w:color="auto"/>
              <w:bottom w:val="single" w:sz="4" w:space="0" w:color="auto"/>
              <w:right w:val="single" w:sz="4" w:space="0" w:color="auto"/>
            </w:tcBorders>
            <w:vAlign w:val="center"/>
          </w:tcPr>
          <w:p w14:paraId="535FACEB" w14:textId="77777777" w:rsidR="002F0974" w:rsidRPr="003153AA" w:rsidRDefault="002F0974">
            <w:pPr>
              <w:pStyle w:val="TableText0"/>
              <w:jc w:val="center"/>
              <w:rPr>
                <w:b/>
                <w:bCs w:val="0"/>
                <w:szCs w:val="20"/>
              </w:rPr>
            </w:pPr>
            <w:r w:rsidRPr="003153AA">
              <w:rPr>
                <w:b/>
                <w:bCs w:val="0"/>
                <w:szCs w:val="20"/>
              </w:rPr>
              <w:t>2026</w:t>
            </w:r>
          </w:p>
        </w:tc>
        <w:tc>
          <w:tcPr>
            <w:tcW w:w="589" w:type="pct"/>
            <w:tcBorders>
              <w:top w:val="single" w:sz="4" w:space="0" w:color="auto"/>
              <w:left w:val="single" w:sz="4" w:space="0" w:color="auto"/>
              <w:bottom w:val="single" w:sz="4" w:space="0" w:color="auto"/>
              <w:right w:val="single" w:sz="4" w:space="0" w:color="auto"/>
            </w:tcBorders>
            <w:vAlign w:val="center"/>
          </w:tcPr>
          <w:p w14:paraId="18799AED" w14:textId="77777777" w:rsidR="002F0974" w:rsidRPr="003153AA" w:rsidRDefault="002F0974">
            <w:pPr>
              <w:pStyle w:val="TableText0"/>
              <w:jc w:val="center"/>
              <w:rPr>
                <w:b/>
                <w:bCs w:val="0"/>
                <w:szCs w:val="20"/>
              </w:rPr>
            </w:pPr>
            <w:r w:rsidRPr="003153AA">
              <w:rPr>
                <w:b/>
                <w:bCs w:val="0"/>
                <w:szCs w:val="20"/>
              </w:rPr>
              <w:t>2027</w:t>
            </w:r>
          </w:p>
        </w:tc>
        <w:tc>
          <w:tcPr>
            <w:tcW w:w="589" w:type="pct"/>
            <w:tcBorders>
              <w:top w:val="single" w:sz="4" w:space="0" w:color="auto"/>
              <w:left w:val="single" w:sz="4" w:space="0" w:color="auto"/>
              <w:bottom w:val="single" w:sz="4" w:space="0" w:color="auto"/>
              <w:right w:val="single" w:sz="4" w:space="0" w:color="auto"/>
            </w:tcBorders>
            <w:vAlign w:val="center"/>
          </w:tcPr>
          <w:p w14:paraId="0C392AA0" w14:textId="77777777" w:rsidR="002F0974" w:rsidRPr="003153AA" w:rsidRDefault="002F0974">
            <w:pPr>
              <w:pStyle w:val="TableText0"/>
              <w:jc w:val="center"/>
              <w:rPr>
                <w:b/>
                <w:bCs w:val="0"/>
                <w:szCs w:val="20"/>
              </w:rPr>
            </w:pPr>
            <w:r w:rsidRPr="003153AA">
              <w:rPr>
                <w:b/>
                <w:bCs w:val="0"/>
                <w:szCs w:val="20"/>
              </w:rPr>
              <w:t>2028</w:t>
            </w:r>
          </w:p>
        </w:tc>
        <w:tc>
          <w:tcPr>
            <w:tcW w:w="589" w:type="pct"/>
            <w:tcBorders>
              <w:top w:val="single" w:sz="4" w:space="0" w:color="auto"/>
              <w:left w:val="single" w:sz="4" w:space="0" w:color="auto"/>
              <w:bottom w:val="single" w:sz="4" w:space="0" w:color="auto"/>
              <w:right w:val="single" w:sz="4" w:space="0" w:color="auto"/>
            </w:tcBorders>
            <w:vAlign w:val="center"/>
          </w:tcPr>
          <w:p w14:paraId="0824FC44" w14:textId="77777777" w:rsidR="002F0974" w:rsidRPr="003153AA" w:rsidRDefault="002F0974">
            <w:pPr>
              <w:pStyle w:val="TableText0"/>
              <w:jc w:val="center"/>
              <w:rPr>
                <w:b/>
                <w:bCs w:val="0"/>
                <w:szCs w:val="20"/>
              </w:rPr>
            </w:pPr>
            <w:r w:rsidRPr="003153AA">
              <w:rPr>
                <w:b/>
                <w:bCs w:val="0"/>
                <w:szCs w:val="20"/>
              </w:rPr>
              <w:t>2029</w:t>
            </w:r>
          </w:p>
        </w:tc>
        <w:tc>
          <w:tcPr>
            <w:tcW w:w="589" w:type="pct"/>
            <w:tcBorders>
              <w:top w:val="single" w:sz="4" w:space="0" w:color="auto"/>
              <w:left w:val="single" w:sz="4" w:space="0" w:color="auto"/>
              <w:bottom w:val="single" w:sz="4" w:space="0" w:color="auto"/>
              <w:right w:val="single" w:sz="4" w:space="0" w:color="auto"/>
            </w:tcBorders>
            <w:vAlign w:val="center"/>
          </w:tcPr>
          <w:p w14:paraId="0DEE82C4" w14:textId="77777777" w:rsidR="002F0974" w:rsidRPr="003153AA" w:rsidRDefault="002F0974">
            <w:pPr>
              <w:pStyle w:val="TableText0"/>
              <w:jc w:val="center"/>
              <w:rPr>
                <w:b/>
                <w:bCs w:val="0"/>
                <w:szCs w:val="20"/>
              </w:rPr>
            </w:pPr>
            <w:r w:rsidRPr="003153AA">
              <w:rPr>
                <w:b/>
                <w:bCs w:val="0"/>
                <w:szCs w:val="20"/>
              </w:rPr>
              <w:t>2030</w:t>
            </w:r>
          </w:p>
        </w:tc>
        <w:tc>
          <w:tcPr>
            <w:tcW w:w="590" w:type="pct"/>
            <w:tcBorders>
              <w:top w:val="single" w:sz="4" w:space="0" w:color="auto"/>
              <w:left w:val="single" w:sz="4" w:space="0" w:color="auto"/>
              <w:bottom w:val="single" w:sz="4" w:space="0" w:color="auto"/>
              <w:right w:val="single" w:sz="4" w:space="0" w:color="auto"/>
            </w:tcBorders>
            <w:vAlign w:val="center"/>
            <w:hideMark/>
          </w:tcPr>
          <w:p w14:paraId="121B4650" w14:textId="77777777" w:rsidR="002F0974" w:rsidRPr="003153AA" w:rsidRDefault="002F0974">
            <w:pPr>
              <w:pStyle w:val="TableText0"/>
              <w:jc w:val="center"/>
              <w:rPr>
                <w:b/>
                <w:bCs w:val="0"/>
                <w:szCs w:val="20"/>
              </w:rPr>
            </w:pPr>
            <w:r w:rsidRPr="003153AA">
              <w:rPr>
                <w:b/>
                <w:bCs w:val="0"/>
                <w:szCs w:val="20"/>
              </w:rPr>
              <w:t>2031</w:t>
            </w:r>
          </w:p>
        </w:tc>
        <w:tc>
          <w:tcPr>
            <w:tcW w:w="679" w:type="pct"/>
            <w:tcBorders>
              <w:top w:val="single" w:sz="4" w:space="0" w:color="auto"/>
              <w:left w:val="single" w:sz="4" w:space="0" w:color="auto"/>
              <w:bottom w:val="single" w:sz="4" w:space="0" w:color="auto"/>
              <w:right w:val="single" w:sz="4" w:space="0" w:color="auto"/>
            </w:tcBorders>
            <w:vAlign w:val="center"/>
            <w:hideMark/>
          </w:tcPr>
          <w:p w14:paraId="3B652BE0" w14:textId="77777777" w:rsidR="002F0974" w:rsidRPr="003153AA" w:rsidRDefault="002F0974">
            <w:pPr>
              <w:pStyle w:val="TableText0"/>
              <w:jc w:val="center"/>
              <w:rPr>
                <w:b/>
                <w:bCs w:val="0"/>
                <w:szCs w:val="20"/>
              </w:rPr>
            </w:pPr>
            <w:r w:rsidRPr="003153AA">
              <w:rPr>
                <w:b/>
                <w:bCs w:val="0"/>
                <w:szCs w:val="20"/>
              </w:rPr>
              <w:t>Total</w:t>
            </w:r>
          </w:p>
        </w:tc>
      </w:tr>
      <w:tr w:rsidR="002F0974" w:rsidRPr="003153AA" w14:paraId="6DD06863" w14:textId="77777777">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47B109C3" w14:textId="77777777" w:rsidR="002F0974" w:rsidRPr="003153AA" w:rsidRDefault="002F0974">
            <w:pPr>
              <w:pStyle w:val="TableText0"/>
              <w:rPr>
                <w:b/>
                <w:bCs w:val="0"/>
                <w:szCs w:val="20"/>
              </w:rPr>
            </w:pPr>
            <w:r w:rsidRPr="003153AA">
              <w:rPr>
                <w:b/>
                <w:bCs w:val="0"/>
                <w:szCs w:val="20"/>
              </w:rPr>
              <w:t>Estimation of number of patients (3L+ R/R DLBCL, PMBL, HGBL)</w:t>
            </w:r>
          </w:p>
        </w:tc>
      </w:tr>
      <w:tr w:rsidR="002F0974" w:rsidRPr="003153AA" w14:paraId="4BCA4FEF" w14:textId="77777777">
        <w:trPr>
          <w:trHeight w:val="20"/>
        </w:trPr>
        <w:tc>
          <w:tcPr>
            <w:tcW w:w="786" w:type="pct"/>
            <w:tcBorders>
              <w:top w:val="single" w:sz="4" w:space="0" w:color="auto"/>
              <w:left w:val="single" w:sz="4" w:space="0" w:color="auto"/>
              <w:bottom w:val="nil"/>
              <w:right w:val="single" w:sz="4" w:space="0" w:color="auto"/>
            </w:tcBorders>
            <w:vAlign w:val="center"/>
          </w:tcPr>
          <w:p w14:paraId="6F41830A" w14:textId="77777777" w:rsidR="002F0974" w:rsidRPr="003153AA" w:rsidRDefault="002F0974">
            <w:pPr>
              <w:pStyle w:val="TableText0"/>
              <w:rPr>
                <w:szCs w:val="20"/>
              </w:rPr>
            </w:pPr>
            <w:r w:rsidRPr="003153AA">
              <w:rPr>
                <w:szCs w:val="20"/>
              </w:rPr>
              <w:t>Incident patients</w:t>
            </w:r>
          </w:p>
        </w:tc>
        <w:tc>
          <w:tcPr>
            <w:tcW w:w="589" w:type="pct"/>
            <w:tcBorders>
              <w:top w:val="single" w:sz="4" w:space="0" w:color="auto"/>
              <w:left w:val="single" w:sz="4" w:space="0" w:color="auto"/>
              <w:bottom w:val="nil"/>
              <w:right w:val="single" w:sz="4" w:space="0" w:color="auto"/>
            </w:tcBorders>
            <w:vAlign w:val="center"/>
          </w:tcPr>
          <w:p w14:paraId="3F4D182F" w14:textId="2FB78856" w:rsidR="002F0974" w:rsidRPr="00C31128" w:rsidRDefault="005822E1">
            <w:pPr>
              <w:pStyle w:val="TableText0"/>
              <w:jc w:val="center"/>
              <w:rPr>
                <w:szCs w:val="20"/>
                <w:vertAlign w:val="superscript"/>
              </w:rPr>
            </w:pPr>
            <w:r w:rsidRPr="005822E1">
              <w:rPr>
                <w:sz w:val="2"/>
                <w:szCs w:val="20"/>
                <w:highlight w:val="black"/>
              </w:rPr>
              <w:t>redacted content</w:t>
            </w:r>
            <w:r w:rsidR="00C31128">
              <w:rPr>
                <w:szCs w:val="20"/>
                <w:vertAlign w:val="superscript"/>
              </w:rPr>
              <w:t>1</w:t>
            </w:r>
          </w:p>
        </w:tc>
        <w:tc>
          <w:tcPr>
            <w:tcW w:w="589" w:type="pct"/>
            <w:tcBorders>
              <w:top w:val="single" w:sz="4" w:space="0" w:color="auto"/>
              <w:left w:val="single" w:sz="4" w:space="0" w:color="auto"/>
              <w:bottom w:val="nil"/>
              <w:right w:val="single" w:sz="4" w:space="0" w:color="auto"/>
            </w:tcBorders>
            <w:vAlign w:val="center"/>
          </w:tcPr>
          <w:p w14:paraId="0BA59F2A" w14:textId="2FE5F73F" w:rsidR="002F0974" w:rsidRPr="00C31128" w:rsidRDefault="005822E1">
            <w:pPr>
              <w:pStyle w:val="TableText0"/>
              <w:jc w:val="center"/>
              <w:rPr>
                <w:szCs w:val="20"/>
                <w:vertAlign w:val="superscript"/>
              </w:rPr>
            </w:pPr>
            <w:r w:rsidRPr="005822E1">
              <w:rPr>
                <w:sz w:val="2"/>
                <w:szCs w:val="20"/>
                <w:highlight w:val="black"/>
              </w:rPr>
              <w:t>redacted content</w:t>
            </w:r>
            <w:r w:rsidR="00C31128">
              <w:rPr>
                <w:szCs w:val="20"/>
                <w:vertAlign w:val="superscript"/>
              </w:rPr>
              <w:t>1</w:t>
            </w:r>
          </w:p>
        </w:tc>
        <w:tc>
          <w:tcPr>
            <w:tcW w:w="589" w:type="pct"/>
            <w:tcBorders>
              <w:top w:val="single" w:sz="4" w:space="0" w:color="auto"/>
              <w:left w:val="single" w:sz="4" w:space="0" w:color="auto"/>
              <w:bottom w:val="nil"/>
              <w:right w:val="single" w:sz="4" w:space="0" w:color="auto"/>
            </w:tcBorders>
            <w:vAlign w:val="center"/>
          </w:tcPr>
          <w:p w14:paraId="6BD7CACC" w14:textId="6D0DA367" w:rsidR="002F0974" w:rsidRPr="00C31128" w:rsidRDefault="005822E1">
            <w:pPr>
              <w:pStyle w:val="TableText0"/>
              <w:jc w:val="center"/>
              <w:rPr>
                <w:szCs w:val="20"/>
                <w:vertAlign w:val="superscript"/>
              </w:rPr>
            </w:pPr>
            <w:r w:rsidRPr="005822E1">
              <w:rPr>
                <w:sz w:val="2"/>
                <w:szCs w:val="20"/>
                <w:highlight w:val="black"/>
              </w:rPr>
              <w:t>redacted content</w:t>
            </w:r>
            <w:r w:rsidR="00C31128">
              <w:rPr>
                <w:szCs w:val="20"/>
                <w:vertAlign w:val="superscript"/>
              </w:rPr>
              <w:t>1</w:t>
            </w:r>
          </w:p>
        </w:tc>
        <w:tc>
          <w:tcPr>
            <w:tcW w:w="589" w:type="pct"/>
            <w:tcBorders>
              <w:top w:val="single" w:sz="4" w:space="0" w:color="auto"/>
              <w:left w:val="single" w:sz="4" w:space="0" w:color="auto"/>
              <w:bottom w:val="nil"/>
              <w:right w:val="single" w:sz="4" w:space="0" w:color="auto"/>
            </w:tcBorders>
            <w:vAlign w:val="center"/>
          </w:tcPr>
          <w:p w14:paraId="508BEB52" w14:textId="7ABCD668" w:rsidR="002F0974" w:rsidRPr="00C31128" w:rsidRDefault="005822E1">
            <w:pPr>
              <w:pStyle w:val="TableText0"/>
              <w:jc w:val="center"/>
              <w:rPr>
                <w:szCs w:val="20"/>
                <w:vertAlign w:val="superscript"/>
              </w:rPr>
            </w:pPr>
            <w:r w:rsidRPr="005822E1">
              <w:rPr>
                <w:sz w:val="2"/>
                <w:szCs w:val="20"/>
                <w:highlight w:val="black"/>
              </w:rPr>
              <w:t>redacted content</w:t>
            </w:r>
            <w:r w:rsidR="00C31128">
              <w:rPr>
                <w:szCs w:val="20"/>
                <w:vertAlign w:val="superscript"/>
              </w:rPr>
              <w:t>1</w:t>
            </w:r>
          </w:p>
        </w:tc>
        <w:tc>
          <w:tcPr>
            <w:tcW w:w="589" w:type="pct"/>
            <w:tcBorders>
              <w:top w:val="single" w:sz="4" w:space="0" w:color="auto"/>
              <w:left w:val="single" w:sz="4" w:space="0" w:color="auto"/>
              <w:bottom w:val="nil"/>
              <w:right w:val="single" w:sz="4" w:space="0" w:color="auto"/>
            </w:tcBorders>
            <w:vAlign w:val="center"/>
          </w:tcPr>
          <w:p w14:paraId="22CF8255" w14:textId="21D88032" w:rsidR="002F0974" w:rsidRPr="00C31128" w:rsidRDefault="005822E1">
            <w:pPr>
              <w:pStyle w:val="TableText0"/>
              <w:jc w:val="center"/>
              <w:rPr>
                <w:szCs w:val="20"/>
                <w:vertAlign w:val="superscript"/>
              </w:rPr>
            </w:pPr>
            <w:r w:rsidRPr="005822E1">
              <w:rPr>
                <w:sz w:val="2"/>
                <w:szCs w:val="20"/>
                <w:highlight w:val="black"/>
              </w:rPr>
              <w:t>redacted content</w:t>
            </w:r>
            <w:r w:rsidR="00C31128">
              <w:rPr>
                <w:szCs w:val="20"/>
                <w:vertAlign w:val="superscript"/>
              </w:rPr>
              <w:t>1</w:t>
            </w:r>
          </w:p>
        </w:tc>
        <w:tc>
          <w:tcPr>
            <w:tcW w:w="590" w:type="pct"/>
            <w:tcBorders>
              <w:top w:val="single" w:sz="4" w:space="0" w:color="auto"/>
              <w:left w:val="single" w:sz="4" w:space="0" w:color="auto"/>
              <w:bottom w:val="nil"/>
              <w:right w:val="single" w:sz="4" w:space="0" w:color="auto"/>
            </w:tcBorders>
            <w:vAlign w:val="center"/>
          </w:tcPr>
          <w:p w14:paraId="0DC7ACAE" w14:textId="5ADBCB23" w:rsidR="002F0974" w:rsidRPr="00C31128" w:rsidRDefault="005822E1">
            <w:pPr>
              <w:pStyle w:val="TableText0"/>
              <w:jc w:val="center"/>
              <w:rPr>
                <w:szCs w:val="20"/>
                <w:vertAlign w:val="superscript"/>
              </w:rPr>
            </w:pPr>
            <w:r w:rsidRPr="005822E1">
              <w:rPr>
                <w:sz w:val="2"/>
                <w:szCs w:val="20"/>
                <w:highlight w:val="black"/>
              </w:rPr>
              <w:t>redacted content</w:t>
            </w:r>
            <w:r w:rsidR="00C31128">
              <w:rPr>
                <w:szCs w:val="20"/>
                <w:vertAlign w:val="superscript"/>
              </w:rPr>
              <w:t>1</w:t>
            </w:r>
          </w:p>
        </w:tc>
        <w:tc>
          <w:tcPr>
            <w:tcW w:w="679" w:type="pct"/>
            <w:tcBorders>
              <w:top w:val="single" w:sz="4" w:space="0" w:color="auto"/>
              <w:left w:val="single" w:sz="4" w:space="0" w:color="auto"/>
              <w:bottom w:val="nil"/>
              <w:right w:val="single" w:sz="4" w:space="0" w:color="auto"/>
            </w:tcBorders>
            <w:vAlign w:val="center"/>
          </w:tcPr>
          <w:p w14:paraId="403852B9" w14:textId="312C0EF5" w:rsidR="002F0974" w:rsidRPr="00303243" w:rsidRDefault="005822E1">
            <w:pPr>
              <w:pStyle w:val="TableText0"/>
              <w:jc w:val="center"/>
              <w:rPr>
                <w:szCs w:val="20"/>
                <w:vertAlign w:val="superscript"/>
              </w:rPr>
            </w:pPr>
            <w:r w:rsidRPr="005822E1">
              <w:rPr>
                <w:sz w:val="2"/>
                <w:szCs w:val="20"/>
                <w:highlight w:val="black"/>
              </w:rPr>
              <w:t>redacted content</w:t>
            </w:r>
            <w:r w:rsidR="00303243">
              <w:rPr>
                <w:szCs w:val="20"/>
                <w:vertAlign w:val="superscript"/>
              </w:rPr>
              <w:t>3</w:t>
            </w:r>
          </w:p>
        </w:tc>
      </w:tr>
      <w:tr w:rsidR="002F0974" w:rsidRPr="003153AA" w14:paraId="24FCF01F" w14:textId="77777777">
        <w:trPr>
          <w:trHeight w:val="20"/>
        </w:trPr>
        <w:tc>
          <w:tcPr>
            <w:tcW w:w="786" w:type="pct"/>
            <w:tcBorders>
              <w:top w:val="nil"/>
              <w:left w:val="single" w:sz="4" w:space="0" w:color="auto"/>
              <w:bottom w:val="nil"/>
              <w:right w:val="single" w:sz="4" w:space="0" w:color="auto"/>
            </w:tcBorders>
            <w:vAlign w:val="center"/>
          </w:tcPr>
          <w:p w14:paraId="2B695DAA" w14:textId="77777777" w:rsidR="002F0974" w:rsidRPr="003153AA" w:rsidRDefault="002F0974">
            <w:pPr>
              <w:pStyle w:val="TableText0"/>
              <w:rPr>
                <w:szCs w:val="20"/>
              </w:rPr>
            </w:pPr>
            <w:r w:rsidRPr="003153AA">
              <w:rPr>
                <w:szCs w:val="20"/>
              </w:rPr>
              <w:t>Eligible 3L+</w:t>
            </w:r>
          </w:p>
        </w:tc>
        <w:tc>
          <w:tcPr>
            <w:tcW w:w="589" w:type="pct"/>
            <w:tcBorders>
              <w:top w:val="nil"/>
              <w:left w:val="single" w:sz="4" w:space="0" w:color="auto"/>
              <w:bottom w:val="nil"/>
              <w:right w:val="single" w:sz="4" w:space="0" w:color="auto"/>
            </w:tcBorders>
            <w:vAlign w:val="center"/>
          </w:tcPr>
          <w:p w14:paraId="043B146F" w14:textId="691739AF" w:rsidR="002F0974" w:rsidRPr="00824277" w:rsidRDefault="005822E1">
            <w:pPr>
              <w:pStyle w:val="TableText0"/>
              <w:jc w:val="center"/>
              <w:rPr>
                <w:szCs w:val="20"/>
                <w:vertAlign w:val="superscript"/>
              </w:rPr>
            </w:pPr>
            <w:r w:rsidRPr="005822E1">
              <w:rPr>
                <w:sz w:val="2"/>
                <w:szCs w:val="20"/>
                <w:highlight w:val="black"/>
              </w:rPr>
              <w:t>redacted content</w:t>
            </w:r>
            <w:r w:rsidR="00824277">
              <w:rPr>
                <w:szCs w:val="20"/>
                <w:vertAlign w:val="superscript"/>
              </w:rPr>
              <w:t>2</w:t>
            </w:r>
          </w:p>
        </w:tc>
        <w:tc>
          <w:tcPr>
            <w:tcW w:w="589" w:type="pct"/>
            <w:tcBorders>
              <w:top w:val="nil"/>
              <w:left w:val="single" w:sz="4" w:space="0" w:color="auto"/>
              <w:bottom w:val="nil"/>
              <w:right w:val="single" w:sz="4" w:space="0" w:color="auto"/>
            </w:tcBorders>
            <w:vAlign w:val="center"/>
          </w:tcPr>
          <w:p w14:paraId="698B9959" w14:textId="797099A1" w:rsidR="002F0974" w:rsidRPr="00824277" w:rsidRDefault="005822E1">
            <w:pPr>
              <w:pStyle w:val="TableText0"/>
              <w:jc w:val="center"/>
              <w:rPr>
                <w:szCs w:val="20"/>
                <w:vertAlign w:val="superscript"/>
              </w:rPr>
            </w:pPr>
            <w:r w:rsidRPr="005822E1">
              <w:rPr>
                <w:sz w:val="2"/>
                <w:szCs w:val="20"/>
                <w:highlight w:val="black"/>
              </w:rPr>
              <w:t>redacted content</w:t>
            </w:r>
            <w:r w:rsidR="00824277">
              <w:rPr>
                <w:szCs w:val="20"/>
                <w:vertAlign w:val="superscript"/>
              </w:rPr>
              <w:t>2</w:t>
            </w:r>
          </w:p>
        </w:tc>
        <w:tc>
          <w:tcPr>
            <w:tcW w:w="589" w:type="pct"/>
            <w:tcBorders>
              <w:top w:val="nil"/>
              <w:left w:val="single" w:sz="4" w:space="0" w:color="auto"/>
              <w:bottom w:val="nil"/>
              <w:right w:val="single" w:sz="4" w:space="0" w:color="auto"/>
            </w:tcBorders>
            <w:vAlign w:val="center"/>
          </w:tcPr>
          <w:p w14:paraId="2B86DFEC" w14:textId="1B765C6A" w:rsidR="002F0974" w:rsidRPr="00C31128" w:rsidRDefault="005822E1">
            <w:pPr>
              <w:pStyle w:val="TableText0"/>
              <w:jc w:val="center"/>
              <w:rPr>
                <w:szCs w:val="20"/>
                <w:vertAlign w:val="superscript"/>
              </w:rPr>
            </w:pPr>
            <w:r w:rsidRPr="005822E1">
              <w:rPr>
                <w:sz w:val="2"/>
                <w:szCs w:val="20"/>
                <w:highlight w:val="black"/>
              </w:rPr>
              <w:t>redacted content</w:t>
            </w:r>
            <w:r w:rsidR="00C31128">
              <w:rPr>
                <w:szCs w:val="20"/>
                <w:vertAlign w:val="superscript"/>
              </w:rPr>
              <w:t>1</w:t>
            </w:r>
          </w:p>
        </w:tc>
        <w:tc>
          <w:tcPr>
            <w:tcW w:w="589" w:type="pct"/>
            <w:tcBorders>
              <w:top w:val="nil"/>
              <w:left w:val="single" w:sz="4" w:space="0" w:color="auto"/>
              <w:bottom w:val="nil"/>
              <w:right w:val="single" w:sz="4" w:space="0" w:color="auto"/>
            </w:tcBorders>
            <w:vAlign w:val="center"/>
          </w:tcPr>
          <w:p w14:paraId="70492C7C" w14:textId="4859348C" w:rsidR="002F0974" w:rsidRPr="00C31128" w:rsidRDefault="005822E1">
            <w:pPr>
              <w:pStyle w:val="TableText0"/>
              <w:jc w:val="center"/>
              <w:rPr>
                <w:szCs w:val="20"/>
                <w:vertAlign w:val="superscript"/>
              </w:rPr>
            </w:pPr>
            <w:r w:rsidRPr="005822E1">
              <w:rPr>
                <w:sz w:val="2"/>
                <w:szCs w:val="20"/>
                <w:highlight w:val="black"/>
              </w:rPr>
              <w:t>redacted content</w:t>
            </w:r>
            <w:r w:rsidR="00C31128">
              <w:rPr>
                <w:szCs w:val="20"/>
                <w:vertAlign w:val="superscript"/>
              </w:rPr>
              <w:t>1</w:t>
            </w:r>
          </w:p>
        </w:tc>
        <w:tc>
          <w:tcPr>
            <w:tcW w:w="589" w:type="pct"/>
            <w:tcBorders>
              <w:top w:val="nil"/>
              <w:left w:val="single" w:sz="4" w:space="0" w:color="auto"/>
              <w:bottom w:val="nil"/>
              <w:right w:val="single" w:sz="4" w:space="0" w:color="auto"/>
            </w:tcBorders>
            <w:vAlign w:val="center"/>
          </w:tcPr>
          <w:p w14:paraId="423C8363" w14:textId="70E481DF" w:rsidR="002F0974" w:rsidRPr="00C31128" w:rsidRDefault="005822E1">
            <w:pPr>
              <w:pStyle w:val="TableText0"/>
              <w:jc w:val="center"/>
              <w:rPr>
                <w:szCs w:val="20"/>
                <w:vertAlign w:val="superscript"/>
              </w:rPr>
            </w:pPr>
            <w:r w:rsidRPr="005822E1">
              <w:rPr>
                <w:sz w:val="2"/>
                <w:szCs w:val="20"/>
                <w:highlight w:val="black"/>
              </w:rPr>
              <w:t>redacted content</w:t>
            </w:r>
            <w:r w:rsidR="00C31128">
              <w:rPr>
                <w:szCs w:val="20"/>
                <w:vertAlign w:val="superscript"/>
              </w:rPr>
              <w:t>1</w:t>
            </w:r>
          </w:p>
        </w:tc>
        <w:tc>
          <w:tcPr>
            <w:tcW w:w="590" w:type="pct"/>
            <w:tcBorders>
              <w:top w:val="nil"/>
              <w:left w:val="single" w:sz="4" w:space="0" w:color="auto"/>
              <w:bottom w:val="nil"/>
              <w:right w:val="single" w:sz="4" w:space="0" w:color="auto"/>
            </w:tcBorders>
            <w:vAlign w:val="center"/>
          </w:tcPr>
          <w:p w14:paraId="26894E00" w14:textId="705E270F" w:rsidR="002F0974" w:rsidRPr="00C31128" w:rsidRDefault="005822E1">
            <w:pPr>
              <w:pStyle w:val="TableText0"/>
              <w:jc w:val="center"/>
              <w:rPr>
                <w:szCs w:val="20"/>
                <w:vertAlign w:val="superscript"/>
              </w:rPr>
            </w:pPr>
            <w:r w:rsidRPr="005822E1">
              <w:rPr>
                <w:sz w:val="2"/>
                <w:szCs w:val="20"/>
                <w:highlight w:val="black"/>
              </w:rPr>
              <w:t>redacted content</w:t>
            </w:r>
            <w:r w:rsidR="00C31128">
              <w:rPr>
                <w:szCs w:val="20"/>
                <w:vertAlign w:val="superscript"/>
              </w:rPr>
              <w:t>1</w:t>
            </w:r>
          </w:p>
        </w:tc>
        <w:tc>
          <w:tcPr>
            <w:tcW w:w="679" w:type="pct"/>
            <w:tcBorders>
              <w:top w:val="nil"/>
              <w:left w:val="single" w:sz="4" w:space="0" w:color="auto"/>
              <w:bottom w:val="nil"/>
              <w:right w:val="single" w:sz="4" w:space="0" w:color="auto"/>
            </w:tcBorders>
            <w:vAlign w:val="center"/>
          </w:tcPr>
          <w:p w14:paraId="7C821217" w14:textId="05CD5C5B" w:rsidR="002F0974" w:rsidRPr="00C31128" w:rsidRDefault="005822E1">
            <w:pPr>
              <w:pStyle w:val="TableText0"/>
              <w:jc w:val="center"/>
              <w:rPr>
                <w:szCs w:val="20"/>
                <w:vertAlign w:val="superscript"/>
              </w:rPr>
            </w:pPr>
            <w:r w:rsidRPr="005822E1">
              <w:rPr>
                <w:sz w:val="2"/>
                <w:szCs w:val="20"/>
                <w:highlight w:val="black"/>
              </w:rPr>
              <w:t>redacted content</w:t>
            </w:r>
            <w:r w:rsidR="00C31128">
              <w:rPr>
                <w:szCs w:val="20"/>
                <w:vertAlign w:val="superscript"/>
              </w:rPr>
              <w:t>1</w:t>
            </w:r>
          </w:p>
        </w:tc>
      </w:tr>
      <w:tr w:rsidR="002F0974" w:rsidRPr="003153AA" w14:paraId="67D8BD53" w14:textId="77777777">
        <w:trPr>
          <w:trHeight w:val="20"/>
        </w:trPr>
        <w:tc>
          <w:tcPr>
            <w:tcW w:w="786" w:type="pct"/>
            <w:tcBorders>
              <w:top w:val="single" w:sz="4" w:space="0" w:color="auto"/>
              <w:left w:val="single" w:sz="4" w:space="0" w:color="auto"/>
              <w:bottom w:val="nil"/>
              <w:right w:val="single" w:sz="4" w:space="0" w:color="auto"/>
            </w:tcBorders>
            <w:vAlign w:val="center"/>
          </w:tcPr>
          <w:p w14:paraId="1694A12B" w14:textId="77777777" w:rsidR="002F0974" w:rsidRPr="003153AA" w:rsidRDefault="002F0974">
            <w:pPr>
              <w:pStyle w:val="TableText0"/>
              <w:rPr>
                <w:szCs w:val="20"/>
              </w:rPr>
            </w:pPr>
            <w:r w:rsidRPr="003153AA">
              <w:rPr>
                <w:szCs w:val="20"/>
              </w:rPr>
              <w:t>Treated patients</w:t>
            </w:r>
          </w:p>
        </w:tc>
        <w:tc>
          <w:tcPr>
            <w:tcW w:w="589" w:type="pct"/>
            <w:tcBorders>
              <w:top w:val="single" w:sz="4" w:space="0" w:color="auto"/>
              <w:left w:val="single" w:sz="4" w:space="0" w:color="auto"/>
              <w:bottom w:val="nil"/>
              <w:right w:val="single" w:sz="4" w:space="0" w:color="auto"/>
            </w:tcBorders>
            <w:vAlign w:val="center"/>
          </w:tcPr>
          <w:p w14:paraId="5EF7A22C" w14:textId="2D016389" w:rsidR="002F0974" w:rsidRPr="00824277" w:rsidRDefault="005822E1">
            <w:pPr>
              <w:pStyle w:val="TableText0"/>
              <w:jc w:val="center"/>
              <w:rPr>
                <w:szCs w:val="20"/>
                <w:vertAlign w:val="superscript"/>
              </w:rPr>
            </w:pPr>
            <w:r w:rsidRPr="005822E1">
              <w:rPr>
                <w:sz w:val="2"/>
                <w:szCs w:val="20"/>
                <w:highlight w:val="black"/>
              </w:rPr>
              <w:t>redacted content</w:t>
            </w:r>
            <w:r w:rsidR="00824277">
              <w:rPr>
                <w:szCs w:val="20"/>
                <w:vertAlign w:val="superscript"/>
              </w:rPr>
              <w:t>2</w:t>
            </w:r>
          </w:p>
        </w:tc>
        <w:tc>
          <w:tcPr>
            <w:tcW w:w="589" w:type="pct"/>
            <w:tcBorders>
              <w:top w:val="single" w:sz="4" w:space="0" w:color="auto"/>
              <w:left w:val="single" w:sz="4" w:space="0" w:color="auto"/>
              <w:bottom w:val="nil"/>
              <w:right w:val="single" w:sz="4" w:space="0" w:color="auto"/>
            </w:tcBorders>
            <w:vAlign w:val="center"/>
          </w:tcPr>
          <w:p w14:paraId="5D154AA0" w14:textId="228D9938" w:rsidR="002F0974" w:rsidRPr="00824277" w:rsidRDefault="005822E1">
            <w:pPr>
              <w:pStyle w:val="TableText0"/>
              <w:jc w:val="center"/>
              <w:rPr>
                <w:szCs w:val="20"/>
                <w:vertAlign w:val="superscript"/>
              </w:rPr>
            </w:pPr>
            <w:r w:rsidRPr="005822E1">
              <w:rPr>
                <w:sz w:val="2"/>
                <w:szCs w:val="20"/>
                <w:highlight w:val="black"/>
              </w:rPr>
              <w:t>redacted content</w:t>
            </w:r>
            <w:r w:rsidR="00824277">
              <w:rPr>
                <w:szCs w:val="20"/>
                <w:vertAlign w:val="superscript"/>
              </w:rPr>
              <w:t>2</w:t>
            </w:r>
          </w:p>
        </w:tc>
        <w:tc>
          <w:tcPr>
            <w:tcW w:w="589" w:type="pct"/>
            <w:tcBorders>
              <w:top w:val="single" w:sz="4" w:space="0" w:color="auto"/>
              <w:left w:val="single" w:sz="4" w:space="0" w:color="auto"/>
              <w:bottom w:val="nil"/>
              <w:right w:val="single" w:sz="4" w:space="0" w:color="auto"/>
            </w:tcBorders>
            <w:vAlign w:val="center"/>
          </w:tcPr>
          <w:p w14:paraId="14DCB165" w14:textId="6758CF54" w:rsidR="002F0974" w:rsidRPr="00824277" w:rsidRDefault="005822E1">
            <w:pPr>
              <w:pStyle w:val="TableText0"/>
              <w:jc w:val="center"/>
              <w:rPr>
                <w:szCs w:val="20"/>
                <w:vertAlign w:val="superscript"/>
              </w:rPr>
            </w:pPr>
            <w:r w:rsidRPr="005822E1">
              <w:rPr>
                <w:sz w:val="2"/>
                <w:szCs w:val="20"/>
                <w:highlight w:val="black"/>
              </w:rPr>
              <w:t>redacted content</w:t>
            </w:r>
            <w:r w:rsidR="00824277">
              <w:rPr>
                <w:szCs w:val="20"/>
                <w:vertAlign w:val="superscript"/>
              </w:rPr>
              <w:t>2</w:t>
            </w:r>
          </w:p>
        </w:tc>
        <w:tc>
          <w:tcPr>
            <w:tcW w:w="589" w:type="pct"/>
            <w:tcBorders>
              <w:top w:val="single" w:sz="4" w:space="0" w:color="auto"/>
              <w:left w:val="single" w:sz="4" w:space="0" w:color="auto"/>
              <w:bottom w:val="nil"/>
              <w:right w:val="single" w:sz="4" w:space="0" w:color="auto"/>
            </w:tcBorders>
            <w:vAlign w:val="center"/>
          </w:tcPr>
          <w:p w14:paraId="718E3E4A" w14:textId="619C7F2F" w:rsidR="002F0974" w:rsidRPr="00824277" w:rsidRDefault="005822E1">
            <w:pPr>
              <w:pStyle w:val="TableText0"/>
              <w:jc w:val="center"/>
              <w:rPr>
                <w:szCs w:val="20"/>
                <w:vertAlign w:val="superscript"/>
              </w:rPr>
            </w:pPr>
            <w:r w:rsidRPr="005822E1">
              <w:rPr>
                <w:sz w:val="2"/>
                <w:szCs w:val="20"/>
                <w:highlight w:val="black"/>
              </w:rPr>
              <w:t>redacted content</w:t>
            </w:r>
            <w:r w:rsidR="00824277">
              <w:rPr>
                <w:szCs w:val="20"/>
                <w:vertAlign w:val="superscript"/>
              </w:rPr>
              <w:t>2</w:t>
            </w:r>
          </w:p>
        </w:tc>
        <w:tc>
          <w:tcPr>
            <w:tcW w:w="589" w:type="pct"/>
            <w:tcBorders>
              <w:top w:val="single" w:sz="4" w:space="0" w:color="auto"/>
              <w:left w:val="single" w:sz="4" w:space="0" w:color="auto"/>
              <w:bottom w:val="nil"/>
              <w:right w:val="single" w:sz="4" w:space="0" w:color="auto"/>
            </w:tcBorders>
            <w:vAlign w:val="center"/>
          </w:tcPr>
          <w:p w14:paraId="78F88B79" w14:textId="5728E80B" w:rsidR="002F0974" w:rsidRPr="00824277" w:rsidRDefault="005822E1">
            <w:pPr>
              <w:pStyle w:val="TableText0"/>
              <w:jc w:val="center"/>
              <w:rPr>
                <w:szCs w:val="20"/>
                <w:vertAlign w:val="superscript"/>
              </w:rPr>
            </w:pPr>
            <w:r w:rsidRPr="005822E1">
              <w:rPr>
                <w:sz w:val="2"/>
                <w:szCs w:val="20"/>
                <w:highlight w:val="black"/>
              </w:rPr>
              <w:t>redacted content</w:t>
            </w:r>
            <w:r w:rsidR="00824277">
              <w:rPr>
                <w:szCs w:val="20"/>
                <w:vertAlign w:val="superscript"/>
              </w:rPr>
              <w:t>2</w:t>
            </w:r>
          </w:p>
        </w:tc>
        <w:tc>
          <w:tcPr>
            <w:tcW w:w="590" w:type="pct"/>
            <w:tcBorders>
              <w:top w:val="single" w:sz="4" w:space="0" w:color="auto"/>
              <w:left w:val="single" w:sz="4" w:space="0" w:color="auto"/>
              <w:bottom w:val="nil"/>
              <w:right w:val="single" w:sz="4" w:space="0" w:color="auto"/>
            </w:tcBorders>
            <w:vAlign w:val="center"/>
          </w:tcPr>
          <w:p w14:paraId="720BA50E" w14:textId="54E15E2D" w:rsidR="002F0974" w:rsidRPr="00824277" w:rsidRDefault="005822E1">
            <w:pPr>
              <w:pStyle w:val="TableText0"/>
              <w:jc w:val="center"/>
              <w:rPr>
                <w:szCs w:val="20"/>
                <w:vertAlign w:val="superscript"/>
              </w:rPr>
            </w:pPr>
            <w:r w:rsidRPr="005822E1">
              <w:rPr>
                <w:sz w:val="2"/>
                <w:szCs w:val="20"/>
                <w:highlight w:val="black"/>
              </w:rPr>
              <w:t>redacted content</w:t>
            </w:r>
            <w:r w:rsidR="00824277">
              <w:rPr>
                <w:szCs w:val="20"/>
                <w:vertAlign w:val="superscript"/>
              </w:rPr>
              <w:t>2</w:t>
            </w:r>
          </w:p>
        </w:tc>
        <w:tc>
          <w:tcPr>
            <w:tcW w:w="679" w:type="pct"/>
            <w:tcBorders>
              <w:top w:val="single" w:sz="4" w:space="0" w:color="auto"/>
              <w:left w:val="single" w:sz="4" w:space="0" w:color="auto"/>
              <w:bottom w:val="nil"/>
              <w:right w:val="single" w:sz="4" w:space="0" w:color="auto"/>
            </w:tcBorders>
            <w:vAlign w:val="center"/>
          </w:tcPr>
          <w:p w14:paraId="43C7ECEB" w14:textId="02A52E6A" w:rsidR="002F0974" w:rsidRPr="00824277" w:rsidRDefault="005822E1">
            <w:pPr>
              <w:pStyle w:val="TableText0"/>
              <w:jc w:val="center"/>
              <w:rPr>
                <w:szCs w:val="20"/>
                <w:vertAlign w:val="superscript"/>
              </w:rPr>
            </w:pPr>
            <w:r w:rsidRPr="005822E1">
              <w:rPr>
                <w:sz w:val="2"/>
                <w:szCs w:val="20"/>
                <w:highlight w:val="black"/>
              </w:rPr>
              <w:t>redacted content</w:t>
            </w:r>
            <w:r w:rsidR="00824277">
              <w:rPr>
                <w:szCs w:val="20"/>
                <w:vertAlign w:val="superscript"/>
              </w:rPr>
              <w:t>1</w:t>
            </w:r>
          </w:p>
        </w:tc>
      </w:tr>
      <w:tr w:rsidR="002F0974" w:rsidRPr="003153AA" w14:paraId="614FFA08" w14:textId="77777777">
        <w:trPr>
          <w:trHeight w:val="20"/>
        </w:trPr>
        <w:tc>
          <w:tcPr>
            <w:tcW w:w="786" w:type="pct"/>
            <w:tcBorders>
              <w:top w:val="nil"/>
              <w:left w:val="single" w:sz="4" w:space="0" w:color="auto"/>
              <w:bottom w:val="single" w:sz="4" w:space="0" w:color="auto"/>
              <w:right w:val="single" w:sz="4" w:space="0" w:color="auto"/>
            </w:tcBorders>
            <w:vAlign w:val="center"/>
          </w:tcPr>
          <w:p w14:paraId="00E3FDB6" w14:textId="77777777" w:rsidR="002F0974" w:rsidRPr="003153AA" w:rsidRDefault="002F0974">
            <w:pPr>
              <w:pStyle w:val="TableText0"/>
              <w:rPr>
                <w:szCs w:val="20"/>
              </w:rPr>
            </w:pPr>
            <w:r w:rsidRPr="003153AA">
              <w:rPr>
                <w:szCs w:val="20"/>
              </w:rPr>
              <w:t>GF patients</w:t>
            </w:r>
          </w:p>
        </w:tc>
        <w:tc>
          <w:tcPr>
            <w:tcW w:w="589" w:type="pct"/>
            <w:tcBorders>
              <w:top w:val="nil"/>
              <w:left w:val="single" w:sz="4" w:space="0" w:color="auto"/>
              <w:bottom w:val="single" w:sz="4" w:space="0" w:color="auto"/>
              <w:right w:val="single" w:sz="4" w:space="0" w:color="auto"/>
            </w:tcBorders>
            <w:vAlign w:val="center"/>
          </w:tcPr>
          <w:p w14:paraId="4588D974" w14:textId="0D9B9A3B" w:rsidR="002F0974" w:rsidRPr="00824277" w:rsidRDefault="005822E1">
            <w:pPr>
              <w:pStyle w:val="TableText0"/>
              <w:jc w:val="center"/>
              <w:rPr>
                <w:szCs w:val="20"/>
                <w:vertAlign w:val="superscript"/>
              </w:rPr>
            </w:pPr>
            <w:r w:rsidRPr="005822E1">
              <w:rPr>
                <w:sz w:val="2"/>
                <w:szCs w:val="20"/>
                <w:highlight w:val="black"/>
              </w:rPr>
              <w:t>redacted content</w:t>
            </w:r>
            <w:r w:rsidR="00824277">
              <w:rPr>
                <w:szCs w:val="20"/>
                <w:vertAlign w:val="superscript"/>
              </w:rPr>
              <w:t>2</w:t>
            </w:r>
          </w:p>
        </w:tc>
        <w:tc>
          <w:tcPr>
            <w:tcW w:w="589" w:type="pct"/>
            <w:tcBorders>
              <w:top w:val="nil"/>
              <w:left w:val="single" w:sz="4" w:space="0" w:color="auto"/>
              <w:bottom w:val="single" w:sz="4" w:space="0" w:color="auto"/>
              <w:right w:val="single" w:sz="4" w:space="0" w:color="auto"/>
            </w:tcBorders>
            <w:vAlign w:val="center"/>
          </w:tcPr>
          <w:p w14:paraId="2E0B02AC" w14:textId="77777777" w:rsidR="002F0974" w:rsidRPr="003153AA" w:rsidRDefault="002F0974">
            <w:pPr>
              <w:pStyle w:val="TableText0"/>
              <w:jc w:val="center"/>
              <w:rPr>
                <w:szCs w:val="20"/>
              </w:rPr>
            </w:pPr>
            <w:r w:rsidRPr="003153AA">
              <w:rPr>
                <w:szCs w:val="20"/>
              </w:rPr>
              <w:t>-</w:t>
            </w:r>
          </w:p>
        </w:tc>
        <w:tc>
          <w:tcPr>
            <w:tcW w:w="589" w:type="pct"/>
            <w:tcBorders>
              <w:top w:val="nil"/>
              <w:left w:val="single" w:sz="4" w:space="0" w:color="auto"/>
              <w:bottom w:val="single" w:sz="4" w:space="0" w:color="auto"/>
              <w:right w:val="single" w:sz="4" w:space="0" w:color="auto"/>
            </w:tcBorders>
            <w:vAlign w:val="center"/>
          </w:tcPr>
          <w:p w14:paraId="77724305" w14:textId="77777777" w:rsidR="002F0974" w:rsidRPr="003153AA" w:rsidRDefault="002F0974">
            <w:pPr>
              <w:pStyle w:val="TableText0"/>
              <w:jc w:val="center"/>
              <w:rPr>
                <w:szCs w:val="20"/>
              </w:rPr>
            </w:pPr>
            <w:r w:rsidRPr="003153AA">
              <w:rPr>
                <w:szCs w:val="20"/>
              </w:rPr>
              <w:t>-</w:t>
            </w:r>
          </w:p>
        </w:tc>
        <w:tc>
          <w:tcPr>
            <w:tcW w:w="589" w:type="pct"/>
            <w:tcBorders>
              <w:top w:val="nil"/>
              <w:left w:val="single" w:sz="4" w:space="0" w:color="auto"/>
              <w:bottom w:val="single" w:sz="4" w:space="0" w:color="auto"/>
              <w:right w:val="single" w:sz="4" w:space="0" w:color="auto"/>
            </w:tcBorders>
            <w:vAlign w:val="center"/>
          </w:tcPr>
          <w:p w14:paraId="7581FC0B" w14:textId="77777777" w:rsidR="002F0974" w:rsidRPr="003153AA" w:rsidRDefault="002F0974">
            <w:pPr>
              <w:pStyle w:val="TableText0"/>
              <w:jc w:val="center"/>
              <w:rPr>
                <w:szCs w:val="20"/>
              </w:rPr>
            </w:pPr>
            <w:r w:rsidRPr="003153AA">
              <w:rPr>
                <w:szCs w:val="20"/>
              </w:rPr>
              <w:t>-</w:t>
            </w:r>
          </w:p>
        </w:tc>
        <w:tc>
          <w:tcPr>
            <w:tcW w:w="589" w:type="pct"/>
            <w:tcBorders>
              <w:top w:val="nil"/>
              <w:left w:val="single" w:sz="4" w:space="0" w:color="auto"/>
              <w:bottom w:val="single" w:sz="4" w:space="0" w:color="auto"/>
              <w:right w:val="single" w:sz="4" w:space="0" w:color="auto"/>
            </w:tcBorders>
            <w:vAlign w:val="center"/>
          </w:tcPr>
          <w:p w14:paraId="16AF1B20" w14:textId="77777777" w:rsidR="002F0974" w:rsidRPr="003153AA" w:rsidRDefault="002F0974">
            <w:pPr>
              <w:pStyle w:val="TableText0"/>
              <w:jc w:val="center"/>
              <w:rPr>
                <w:szCs w:val="20"/>
              </w:rPr>
            </w:pPr>
            <w:r w:rsidRPr="003153AA">
              <w:rPr>
                <w:szCs w:val="20"/>
              </w:rPr>
              <w:t>-</w:t>
            </w:r>
          </w:p>
        </w:tc>
        <w:tc>
          <w:tcPr>
            <w:tcW w:w="590" w:type="pct"/>
            <w:tcBorders>
              <w:top w:val="nil"/>
              <w:left w:val="single" w:sz="4" w:space="0" w:color="auto"/>
              <w:bottom w:val="single" w:sz="4" w:space="0" w:color="auto"/>
              <w:right w:val="single" w:sz="4" w:space="0" w:color="auto"/>
            </w:tcBorders>
            <w:vAlign w:val="center"/>
          </w:tcPr>
          <w:p w14:paraId="56B0481B" w14:textId="77777777" w:rsidR="002F0974" w:rsidRPr="003153AA" w:rsidRDefault="002F0974">
            <w:pPr>
              <w:pStyle w:val="TableText0"/>
              <w:jc w:val="center"/>
              <w:rPr>
                <w:szCs w:val="20"/>
              </w:rPr>
            </w:pPr>
            <w:r w:rsidRPr="003153AA">
              <w:rPr>
                <w:szCs w:val="20"/>
              </w:rPr>
              <w:t>-</w:t>
            </w:r>
          </w:p>
        </w:tc>
        <w:tc>
          <w:tcPr>
            <w:tcW w:w="679" w:type="pct"/>
            <w:tcBorders>
              <w:top w:val="nil"/>
              <w:left w:val="single" w:sz="4" w:space="0" w:color="auto"/>
              <w:bottom w:val="single" w:sz="4" w:space="0" w:color="auto"/>
              <w:right w:val="single" w:sz="4" w:space="0" w:color="auto"/>
            </w:tcBorders>
            <w:vAlign w:val="center"/>
          </w:tcPr>
          <w:p w14:paraId="43CB1777" w14:textId="1A570894" w:rsidR="002F0974" w:rsidRPr="00824277" w:rsidRDefault="005822E1">
            <w:pPr>
              <w:pStyle w:val="TableText0"/>
              <w:jc w:val="center"/>
              <w:rPr>
                <w:szCs w:val="20"/>
                <w:vertAlign w:val="superscript"/>
              </w:rPr>
            </w:pPr>
            <w:r w:rsidRPr="005822E1">
              <w:rPr>
                <w:sz w:val="2"/>
                <w:szCs w:val="20"/>
                <w:highlight w:val="black"/>
              </w:rPr>
              <w:t>redacted content</w:t>
            </w:r>
            <w:r w:rsidR="00824277">
              <w:rPr>
                <w:szCs w:val="20"/>
                <w:vertAlign w:val="superscript"/>
              </w:rPr>
              <w:t>2</w:t>
            </w:r>
          </w:p>
        </w:tc>
      </w:tr>
      <w:tr w:rsidR="002F0974" w:rsidRPr="003153AA" w14:paraId="03AD3A69" w14:textId="77777777">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543801E3" w14:textId="77777777" w:rsidR="002F0974" w:rsidRPr="003153AA" w:rsidRDefault="002F0974">
            <w:pPr>
              <w:pStyle w:val="TableText0"/>
              <w:rPr>
                <w:b/>
                <w:bCs w:val="0"/>
                <w:szCs w:val="20"/>
              </w:rPr>
            </w:pPr>
            <w:r w:rsidRPr="003153AA">
              <w:rPr>
                <w:b/>
                <w:bCs w:val="0"/>
                <w:szCs w:val="20"/>
              </w:rPr>
              <w:t>Total scripts dispensed PBS</w:t>
            </w:r>
          </w:p>
        </w:tc>
      </w:tr>
      <w:tr w:rsidR="002F0974" w:rsidRPr="003153AA" w14:paraId="0B77040F" w14:textId="77777777">
        <w:trPr>
          <w:trHeight w:val="20"/>
        </w:trPr>
        <w:tc>
          <w:tcPr>
            <w:tcW w:w="786" w:type="pct"/>
            <w:tcBorders>
              <w:top w:val="single" w:sz="4" w:space="0" w:color="auto"/>
              <w:left w:val="single" w:sz="4" w:space="0" w:color="auto"/>
              <w:bottom w:val="nil"/>
              <w:right w:val="single" w:sz="4" w:space="0" w:color="auto"/>
            </w:tcBorders>
            <w:vAlign w:val="center"/>
          </w:tcPr>
          <w:p w14:paraId="27A67290" w14:textId="77777777" w:rsidR="002F0974" w:rsidRPr="003153AA" w:rsidRDefault="002F0974">
            <w:pPr>
              <w:pStyle w:val="TableText0"/>
              <w:rPr>
                <w:szCs w:val="20"/>
              </w:rPr>
            </w:pPr>
            <w:r w:rsidRPr="003153AA">
              <w:rPr>
                <w:szCs w:val="20"/>
              </w:rPr>
              <w:t>LT, scripts</w:t>
            </w:r>
          </w:p>
        </w:tc>
        <w:tc>
          <w:tcPr>
            <w:tcW w:w="589" w:type="pct"/>
            <w:tcBorders>
              <w:top w:val="single" w:sz="4" w:space="0" w:color="auto"/>
              <w:left w:val="single" w:sz="4" w:space="0" w:color="auto"/>
              <w:bottom w:val="nil"/>
              <w:right w:val="single" w:sz="4" w:space="0" w:color="auto"/>
            </w:tcBorders>
            <w:vAlign w:val="center"/>
          </w:tcPr>
          <w:p w14:paraId="3785BC6E" w14:textId="0C9013C0" w:rsidR="002F0974" w:rsidRPr="00C31128" w:rsidRDefault="005822E1">
            <w:pPr>
              <w:pStyle w:val="TableText0"/>
              <w:jc w:val="center"/>
              <w:rPr>
                <w:szCs w:val="20"/>
                <w:vertAlign w:val="superscript"/>
              </w:rPr>
            </w:pPr>
            <w:r w:rsidRPr="005822E1">
              <w:rPr>
                <w:sz w:val="2"/>
                <w:szCs w:val="20"/>
                <w:highlight w:val="black"/>
              </w:rPr>
              <w:t>redacted content</w:t>
            </w:r>
            <w:r w:rsidR="00C31128">
              <w:rPr>
                <w:szCs w:val="20"/>
                <w:vertAlign w:val="superscript"/>
              </w:rPr>
              <w:t>1</w:t>
            </w:r>
          </w:p>
        </w:tc>
        <w:tc>
          <w:tcPr>
            <w:tcW w:w="589" w:type="pct"/>
            <w:tcBorders>
              <w:top w:val="single" w:sz="4" w:space="0" w:color="auto"/>
              <w:left w:val="single" w:sz="4" w:space="0" w:color="auto"/>
              <w:bottom w:val="nil"/>
              <w:right w:val="single" w:sz="4" w:space="0" w:color="auto"/>
            </w:tcBorders>
            <w:vAlign w:val="center"/>
          </w:tcPr>
          <w:p w14:paraId="209A91B1" w14:textId="08342EE7" w:rsidR="002F0974" w:rsidRPr="00C31128" w:rsidRDefault="005822E1">
            <w:pPr>
              <w:pStyle w:val="TableText0"/>
              <w:jc w:val="center"/>
              <w:rPr>
                <w:szCs w:val="20"/>
                <w:vertAlign w:val="superscript"/>
              </w:rPr>
            </w:pPr>
            <w:r w:rsidRPr="005822E1">
              <w:rPr>
                <w:sz w:val="2"/>
                <w:szCs w:val="20"/>
                <w:highlight w:val="black"/>
              </w:rPr>
              <w:t>redacted content</w:t>
            </w:r>
            <w:r w:rsidR="00C31128">
              <w:rPr>
                <w:szCs w:val="20"/>
                <w:vertAlign w:val="superscript"/>
              </w:rPr>
              <w:t>1</w:t>
            </w:r>
          </w:p>
        </w:tc>
        <w:tc>
          <w:tcPr>
            <w:tcW w:w="589" w:type="pct"/>
            <w:tcBorders>
              <w:top w:val="single" w:sz="4" w:space="0" w:color="auto"/>
              <w:left w:val="single" w:sz="4" w:space="0" w:color="auto"/>
              <w:bottom w:val="nil"/>
              <w:right w:val="single" w:sz="4" w:space="0" w:color="auto"/>
            </w:tcBorders>
            <w:vAlign w:val="center"/>
          </w:tcPr>
          <w:p w14:paraId="64D402F3" w14:textId="4ABEF9AC" w:rsidR="002F0974" w:rsidRPr="00C31128" w:rsidRDefault="005822E1">
            <w:pPr>
              <w:pStyle w:val="TableText0"/>
              <w:jc w:val="center"/>
              <w:rPr>
                <w:szCs w:val="20"/>
                <w:vertAlign w:val="superscript"/>
              </w:rPr>
            </w:pPr>
            <w:r w:rsidRPr="005822E1">
              <w:rPr>
                <w:sz w:val="2"/>
                <w:szCs w:val="20"/>
                <w:highlight w:val="black"/>
              </w:rPr>
              <w:t>redacted content</w:t>
            </w:r>
            <w:r w:rsidR="00C31128">
              <w:rPr>
                <w:szCs w:val="20"/>
                <w:vertAlign w:val="superscript"/>
              </w:rPr>
              <w:t>1</w:t>
            </w:r>
          </w:p>
        </w:tc>
        <w:tc>
          <w:tcPr>
            <w:tcW w:w="589" w:type="pct"/>
            <w:tcBorders>
              <w:top w:val="single" w:sz="4" w:space="0" w:color="auto"/>
              <w:left w:val="single" w:sz="4" w:space="0" w:color="auto"/>
              <w:bottom w:val="nil"/>
              <w:right w:val="single" w:sz="4" w:space="0" w:color="auto"/>
            </w:tcBorders>
            <w:vAlign w:val="center"/>
          </w:tcPr>
          <w:p w14:paraId="34820157" w14:textId="2A29117F" w:rsidR="002F0974" w:rsidRPr="00C31128" w:rsidRDefault="005822E1">
            <w:pPr>
              <w:pStyle w:val="TableText0"/>
              <w:jc w:val="center"/>
              <w:rPr>
                <w:szCs w:val="20"/>
                <w:vertAlign w:val="superscript"/>
              </w:rPr>
            </w:pPr>
            <w:r w:rsidRPr="005822E1">
              <w:rPr>
                <w:sz w:val="2"/>
                <w:szCs w:val="20"/>
                <w:highlight w:val="black"/>
              </w:rPr>
              <w:t>redacted content</w:t>
            </w:r>
            <w:r w:rsidR="00C31128">
              <w:rPr>
                <w:szCs w:val="20"/>
                <w:vertAlign w:val="superscript"/>
              </w:rPr>
              <w:t>1</w:t>
            </w:r>
          </w:p>
        </w:tc>
        <w:tc>
          <w:tcPr>
            <w:tcW w:w="589" w:type="pct"/>
            <w:tcBorders>
              <w:top w:val="single" w:sz="4" w:space="0" w:color="auto"/>
              <w:left w:val="single" w:sz="4" w:space="0" w:color="auto"/>
              <w:bottom w:val="nil"/>
              <w:right w:val="single" w:sz="4" w:space="0" w:color="auto"/>
            </w:tcBorders>
            <w:vAlign w:val="center"/>
          </w:tcPr>
          <w:p w14:paraId="7A7A3102" w14:textId="49A27964" w:rsidR="002F0974" w:rsidRPr="00C31128" w:rsidRDefault="005822E1">
            <w:pPr>
              <w:pStyle w:val="TableText0"/>
              <w:jc w:val="center"/>
              <w:rPr>
                <w:szCs w:val="20"/>
                <w:vertAlign w:val="superscript"/>
              </w:rPr>
            </w:pPr>
            <w:r w:rsidRPr="005822E1">
              <w:rPr>
                <w:sz w:val="2"/>
                <w:szCs w:val="20"/>
                <w:highlight w:val="black"/>
              </w:rPr>
              <w:t>redacted content</w:t>
            </w:r>
            <w:r w:rsidR="00C31128">
              <w:rPr>
                <w:szCs w:val="20"/>
                <w:vertAlign w:val="superscript"/>
              </w:rPr>
              <w:t>1</w:t>
            </w:r>
          </w:p>
        </w:tc>
        <w:tc>
          <w:tcPr>
            <w:tcW w:w="590" w:type="pct"/>
            <w:tcBorders>
              <w:top w:val="single" w:sz="4" w:space="0" w:color="auto"/>
              <w:left w:val="single" w:sz="4" w:space="0" w:color="auto"/>
              <w:bottom w:val="nil"/>
              <w:right w:val="single" w:sz="4" w:space="0" w:color="auto"/>
            </w:tcBorders>
            <w:vAlign w:val="center"/>
          </w:tcPr>
          <w:p w14:paraId="3CB701BA" w14:textId="22C2AC4F" w:rsidR="002F0974" w:rsidRPr="00C31128" w:rsidRDefault="005822E1">
            <w:pPr>
              <w:pStyle w:val="TableText0"/>
              <w:jc w:val="center"/>
              <w:rPr>
                <w:szCs w:val="20"/>
                <w:vertAlign w:val="superscript"/>
              </w:rPr>
            </w:pPr>
            <w:r w:rsidRPr="005822E1">
              <w:rPr>
                <w:sz w:val="2"/>
                <w:szCs w:val="20"/>
                <w:highlight w:val="black"/>
              </w:rPr>
              <w:t>redacted content</w:t>
            </w:r>
            <w:r w:rsidR="00C31128">
              <w:rPr>
                <w:szCs w:val="20"/>
                <w:vertAlign w:val="superscript"/>
              </w:rPr>
              <w:t>1</w:t>
            </w:r>
          </w:p>
        </w:tc>
        <w:tc>
          <w:tcPr>
            <w:tcW w:w="679" w:type="pct"/>
            <w:tcBorders>
              <w:top w:val="single" w:sz="4" w:space="0" w:color="auto"/>
              <w:left w:val="single" w:sz="4" w:space="0" w:color="auto"/>
              <w:bottom w:val="nil"/>
              <w:right w:val="single" w:sz="4" w:space="0" w:color="auto"/>
            </w:tcBorders>
            <w:vAlign w:val="center"/>
          </w:tcPr>
          <w:p w14:paraId="53CA1AE7" w14:textId="737C0DE8" w:rsidR="002F0974" w:rsidRPr="00C31128" w:rsidRDefault="005822E1">
            <w:pPr>
              <w:pStyle w:val="TableText0"/>
              <w:jc w:val="center"/>
              <w:rPr>
                <w:szCs w:val="20"/>
                <w:vertAlign w:val="superscript"/>
              </w:rPr>
            </w:pPr>
            <w:r w:rsidRPr="005822E1">
              <w:rPr>
                <w:sz w:val="2"/>
                <w:szCs w:val="20"/>
                <w:highlight w:val="black"/>
              </w:rPr>
              <w:t>redacted content</w:t>
            </w:r>
            <w:r w:rsidR="00C31128">
              <w:rPr>
                <w:szCs w:val="20"/>
                <w:vertAlign w:val="superscript"/>
              </w:rPr>
              <w:t>1</w:t>
            </w:r>
          </w:p>
        </w:tc>
      </w:tr>
      <w:tr w:rsidR="002F0974" w:rsidRPr="003153AA" w14:paraId="050F7FD2" w14:textId="77777777">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6FE37BC1" w14:textId="77777777" w:rsidR="002F0974" w:rsidRPr="003153AA" w:rsidRDefault="002F0974">
            <w:pPr>
              <w:pStyle w:val="TableText0"/>
              <w:rPr>
                <w:b/>
                <w:bCs w:val="0"/>
                <w:szCs w:val="20"/>
              </w:rPr>
            </w:pPr>
            <w:r w:rsidRPr="003153AA">
              <w:rPr>
                <w:b/>
                <w:bCs w:val="0"/>
                <w:szCs w:val="20"/>
              </w:rPr>
              <w:t>Loncastuximab tesirine Net Cost to PBS</w:t>
            </w:r>
          </w:p>
        </w:tc>
      </w:tr>
      <w:tr w:rsidR="002F0974" w:rsidRPr="003153AA" w14:paraId="351620C0" w14:textId="77777777">
        <w:trPr>
          <w:trHeight w:val="20"/>
        </w:trPr>
        <w:tc>
          <w:tcPr>
            <w:tcW w:w="786" w:type="pct"/>
            <w:tcBorders>
              <w:top w:val="single" w:sz="4" w:space="0" w:color="auto"/>
              <w:left w:val="single" w:sz="4" w:space="0" w:color="auto"/>
              <w:bottom w:val="nil"/>
              <w:right w:val="single" w:sz="4" w:space="0" w:color="auto"/>
            </w:tcBorders>
            <w:vAlign w:val="center"/>
          </w:tcPr>
          <w:p w14:paraId="3EA75390" w14:textId="77777777" w:rsidR="002F0974" w:rsidRPr="003153AA" w:rsidDel="00E73C7C" w:rsidRDefault="002F0974">
            <w:pPr>
              <w:pStyle w:val="TableText0"/>
              <w:rPr>
                <w:szCs w:val="20"/>
              </w:rPr>
            </w:pPr>
            <w:r w:rsidRPr="003153AA">
              <w:rPr>
                <w:szCs w:val="20"/>
              </w:rPr>
              <w:t>PBS cost</w:t>
            </w:r>
          </w:p>
        </w:tc>
        <w:tc>
          <w:tcPr>
            <w:tcW w:w="589" w:type="pct"/>
            <w:tcBorders>
              <w:top w:val="single" w:sz="4" w:space="0" w:color="auto"/>
              <w:left w:val="single" w:sz="4" w:space="0" w:color="auto"/>
              <w:bottom w:val="nil"/>
              <w:right w:val="single" w:sz="4" w:space="0" w:color="auto"/>
            </w:tcBorders>
            <w:vAlign w:val="center"/>
          </w:tcPr>
          <w:p w14:paraId="343D7E99" w14:textId="07B90DFD" w:rsidR="002F0974" w:rsidRPr="00A834C2"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A834C2">
              <w:rPr>
                <w:szCs w:val="20"/>
                <w:vertAlign w:val="superscript"/>
              </w:rPr>
              <w:t>4</w:t>
            </w:r>
          </w:p>
        </w:tc>
        <w:tc>
          <w:tcPr>
            <w:tcW w:w="589" w:type="pct"/>
            <w:tcBorders>
              <w:top w:val="single" w:sz="4" w:space="0" w:color="auto"/>
              <w:left w:val="single" w:sz="4" w:space="0" w:color="auto"/>
              <w:bottom w:val="nil"/>
              <w:right w:val="single" w:sz="4" w:space="0" w:color="auto"/>
            </w:tcBorders>
            <w:vAlign w:val="center"/>
          </w:tcPr>
          <w:p w14:paraId="362E91C5" w14:textId="5FC83B9F" w:rsidR="002F0974" w:rsidRPr="00A834C2"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A834C2">
              <w:rPr>
                <w:szCs w:val="20"/>
                <w:vertAlign w:val="superscript"/>
              </w:rPr>
              <w:t>4</w:t>
            </w:r>
          </w:p>
        </w:tc>
        <w:tc>
          <w:tcPr>
            <w:tcW w:w="589" w:type="pct"/>
            <w:tcBorders>
              <w:top w:val="single" w:sz="4" w:space="0" w:color="auto"/>
              <w:left w:val="single" w:sz="4" w:space="0" w:color="auto"/>
              <w:bottom w:val="nil"/>
              <w:right w:val="single" w:sz="4" w:space="0" w:color="auto"/>
            </w:tcBorders>
            <w:vAlign w:val="center"/>
          </w:tcPr>
          <w:p w14:paraId="339AF268" w14:textId="775A010F" w:rsidR="002F0974" w:rsidRPr="00A834C2"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A834C2">
              <w:rPr>
                <w:szCs w:val="20"/>
                <w:vertAlign w:val="superscript"/>
              </w:rPr>
              <w:t>4</w:t>
            </w:r>
          </w:p>
        </w:tc>
        <w:tc>
          <w:tcPr>
            <w:tcW w:w="589" w:type="pct"/>
            <w:tcBorders>
              <w:top w:val="single" w:sz="4" w:space="0" w:color="auto"/>
              <w:left w:val="single" w:sz="4" w:space="0" w:color="auto"/>
              <w:bottom w:val="nil"/>
              <w:right w:val="single" w:sz="4" w:space="0" w:color="auto"/>
            </w:tcBorders>
            <w:vAlign w:val="center"/>
          </w:tcPr>
          <w:p w14:paraId="5A525054" w14:textId="1BD034A4" w:rsidR="002F0974" w:rsidRPr="0009131C"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09131C">
              <w:rPr>
                <w:szCs w:val="20"/>
                <w:vertAlign w:val="superscript"/>
              </w:rPr>
              <w:t>5</w:t>
            </w:r>
          </w:p>
        </w:tc>
        <w:tc>
          <w:tcPr>
            <w:tcW w:w="589" w:type="pct"/>
            <w:tcBorders>
              <w:top w:val="single" w:sz="4" w:space="0" w:color="auto"/>
              <w:left w:val="single" w:sz="4" w:space="0" w:color="auto"/>
              <w:bottom w:val="nil"/>
              <w:right w:val="single" w:sz="4" w:space="0" w:color="auto"/>
            </w:tcBorders>
            <w:vAlign w:val="center"/>
          </w:tcPr>
          <w:p w14:paraId="22E08A79" w14:textId="595F657D" w:rsidR="002F0974" w:rsidRPr="0009131C"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09131C">
              <w:rPr>
                <w:szCs w:val="20"/>
                <w:vertAlign w:val="superscript"/>
              </w:rPr>
              <w:t>5</w:t>
            </w:r>
          </w:p>
        </w:tc>
        <w:tc>
          <w:tcPr>
            <w:tcW w:w="590" w:type="pct"/>
            <w:tcBorders>
              <w:top w:val="single" w:sz="4" w:space="0" w:color="auto"/>
              <w:left w:val="single" w:sz="4" w:space="0" w:color="auto"/>
              <w:bottom w:val="nil"/>
              <w:right w:val="single" w:sz="4" w:space="0" w:color="auto"/>
            </w:tcBorders>
            <w:vAlign w:val="center"/>
          </w:tcPr>
          <w:p w14:paraId="1B2D0346" w14:textId="1CB15991" w:rsidR="002F0974" w:rsidRPr="0009131C"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09131C">
              <w:rPr>
                <w:szCs w:val="20"/>
                <w:vertAlign w:val="superscript"/>
              </w:rPr>
              <w:t>5</w:t>
            </w:r>
          </w:p>
        </w:tc>
        <w:tc>
          <w:tcPr>
            <w:tcW w:w="679" w:type="pct"/>
            <w:tcBorders>
              <w:top w:val="single" w:sz="4" w:space="0" w:color="auto"/>
              <w:left w:val="single" w:sz="4" w:space="0" w:color="auto"/>
              <w:bottom w:val="nil"/>
              <w:right w:val="single" w:sz="4" w:space="0" w:color="auto"/>
            </w:tcBorders>
            <w:vAlign w:val="center"/>
          </w:tcPr>
          <w:p w14:paraId="28E35A90" w14:textId="7354B8E0" w:rsidR="002F0974" w:rsidRPr="009330DD"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9330DD">
              <w:rPr>
                <w:szCs w:val="20"/>
                <w:vertAlign w:val="superscript"/>
              </w:rPr>
              <w:t>6</w:t>
            </w:r>
          </w:p>
        </w:tc>
      </w:tr>
      <w:tr w:rsidR="002F0974" w:rsidRPr="003153AA" w14:paraId="09CE9387" w14:textId="77777777">
        <w:trPr>
          <w:trHeight w:val="20"/>
        </w:trPr>
        <w:tc>
          <w:tcPr>
            <w:tcW w:w="786" w:type="pct"/>
            <w:tcBorders>
              <w:top w:val="nil"/>
              <w:left w:val="single" w:sz="4" w:space="0" w:color="auto"/>
              <w:bottom w:val="nil"/>
              <w:right w:val="single" w:sz="4" w:space="0" w:color="auto"/>
            </w:tcBorders>
            <w:vAlign w:val="center"/>
          </w:tcPr>
          <w:p w14:paraId="2CF348CF" w14:textId="77777777" w:rsidR="002F0974" w:rsidRPr="003153AA" w:rsidRDefault="002F0974">
            <w:pPr>
              <w:pStyle w:val="TableText0"/>
              <w:rPr>
                <w:szCs w:val="20"/>
              </w:rPr>
            </w:pPr>
            <w:r w:rsidRPr="003153AA">
              <w:rPr>
                <w:szCs w:val="20"/>
              </w:rPr>
              <w:t>Copayments</w:t>
            </w:r>
          </w:p>
        </w:tc>
        <w:tc>
          <w:tcPr>
            <w:tcW w:w="589" w:type="pct"/>
            <w:tcBorders>
              <w:top w:val="nil"/>
              <w:left w:val="single" w:sz="4" w:space="0" w:color="auto"/>
              <w:bottom w:val="nil"/>
              <w:right w:val="single" w:sz="4" w:space="0" w:color="auto"/>
            </w:tcBorders>
            <w:vAlign w:val="center"/>
          </w:tcPr>
          <w:p w14:paraId="0C3CE5A0" w14:textId="44C2522B"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1741D5FD" w14:textId="6D3FD9FB"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53BAFA7D" w14:textId="4D128087"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4728745D" w14:textId="0B84D007"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7604DD49" w14:textId="41A8C9E5"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90" w:type="pct"/>
            <w:tcBorders>
              <w:top w:val="nil"/>
              <w:left w:val="single" w:sz="4" w:space="0" w:color="auto"/>
              <w:bottom w:val="nil"/>
              <w:right w:val="single" w:sz="4" w:space="0" w:color="auto"/>
            </w:tcBorders>
            <w:vAlign w:val="center"/>
          </w:tcPr>
          <w:p w14:paraId="33AA40FE" w14:textId="1C5261FC"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679" w:type="pct"/>
            <w:tcBorders>
              <w:top w:val="nil"/>
              <w:left w:val="single" w:sz="4" w:space="0" w:color="auto"/>
              <w:bottom w:val="nil"/>
              <w:right w:val="single" w:sz="4" w:space="0" w:color="auto"/>
            </w:tcBorders>
            <w:vAlign w:val="center"/>
          </w:tcPr>
          <w:p w14:paraId="258C1356" w14:textId="699701FC"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r>
      <w:tr w:rsidR="002F0974" w:rsidRPr="003153AA" w14:paraId="7E5865DC" w14:textId="77777777">
        <w:trPr>
          <w:trHeight w:val="20"/>
        </w:trPr>
        <w:tc>
          <w:tcPr>
            <w:tcW w:w="786" w:type="pct"/>
            <w:tcBorders>
              <w:top w:val="nil"/>
              <w:left w:val="single" w:sz="4" w:space="0" w:color="auto"/>
              <w:bottom w:val="single" w:sz="4" w:space="0" w:color="auto"/>
              <w:right w:val="single" w:sz="4" w:space="0" w:color="auto"/>
            </w:tcBorders>
            <w:vAlign w:val="center"/>
          </w:tcPr>
          <w:p w14:paraId="54FE47E1" w14:textId="77777777" w:rsidR="002F0974" w:rsidRPr="003153AA" w:rsidDel="00E73C7C" w:rsidRDefault="002F0974">
            <w:pPr>
              <w:pStyle w:val="TableText0"/>
              <w:rPr>
                <w:szCs w:val="20"/>
              </w:rPr>
            </w:pPr>
            <w:r w:rsidRPr="003153AA">
              <w:rPr>
                <w:szCs w:val="20"/>
              </w:rPr>
              <w:t>Total net cost less copayments</w:t>
            </w:r>
          </w:p>
        </w:tc>
        <w:tc>
          <w:tcPr>
            <w:tcW w:w="589" w:type="pct"/>
            <w:tcBorders>
              <w:top w:val="nil"/>
              <w:left w:val="single" w:sz="4" w:space="0" w:color="auto"/>
              <w:bottom w:val="single" w:sz="4" w:space="0" w:color="auto"/>
              <w:right w:val="single" w:sz="4" w:space="0" w:color="auto"/>
            </w:tcBorders>
            <w:vAlign w:val="center"/>
          </w:tcPr>
          <w:p w14:paraId="3A187887" w14:textId="24FF1846" w:rsidR="002F0974" w:rsidRPr="00A834C2"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A834C2">
              <w:rPr>
                <w:szCs w:val="20"/>
                <w:vertAlign w:val="superscript"/>
              </w:rPr>
              <w:t>4</w:t>
            </w:r>
          </w:p>
        </w:tc>
        <w:tc>
          <w:tcPr>
            <w:tcW w:w="589" w:type="pct"/>
            <w:tcBorders>
              <w:top w:val="nil"/>
              <w:left w:val="single" w:sz="4" w:space="0" w:color="auto"/>
              <w:bottom w:val="single" w:sz="4" w:space="0" w:color="auto"/>
              <w:right w:val="single" w:sz="4" w:space="0" w:color="auto"/>
            </w:tcBorders>
            <w:vAlign w:val="center"/>
          </w:tcPr>
          <w:p w14:paraId="57D49B33" w14:textId="2E504BD9" w:rsidR="002F0974" w:rsidRPr="00A834C2"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A834C2">
              <w:rPr>
                <w:szCs w:val="20"/>
                <w:vertAlign w:val="superscript"/>
              </w:rPr>
              <w:t>4</w:t>
            </w:r>
          </w:p>
        </w:tc>
        <w:tc>
          <w:tcPr>
            <w:tcW w:w="589" w:type="pct"/>
            <w:tcBorders>
              <w:top w:val="nil"/>
              <w:left w:val="single" w:sz="4" w:space="0" w:color="auto"/>
              <w:bottom w:val="single" w:sz="4" w:space="0" w:color="auto"/>
              <w:right w:val="single" w:sz="4" w:space="0" w:color="auto"/>
            </w:tcBorders>
            <w:vAlign w:val="center"/>
          </w:tcPr>
          <w:p w14:paraId="1252CA4C" w14:textId="4FB4E485" w:rsidR="002F0974" w:rsidRPr="00A834C2"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A834C2">
              <w:rPr>
                <w:szCs w:val="20"/>
                <w:vertAlign w:val="superscript"/>
              </w:rPr>
              <w:t>4</w:t>
            </w:r>
          </w:p>
        </w:tc>
        <w:tc>
          <w:tcPr>
            <w:tcW w:w="589" w:type="pct"/>
            <w:tcBorders>
              <w:top w:val="nil"/>
              <w:left w:val="single" w:sz="4" w:space="0" w:color="auto"/>
              <w:bottom w:val="single" w:sz="4" w:space="0" w:color="auto"/>
              <w:right w:val="single" w:sz="4" w:space="0" w:color="auto"/>
            </w:tcBorders>
            <w:vAlign w:val="center"/>
          </w:tcPr>
          <w:p w14:paraId="0D278620" w14:textId="0FC48AB1" w:rsidR="002F0974" w:rsidRPr="0009131C"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09131C">
              <w:rPr>
                <w:szCs w:val="20"/>
                <w:vertAlign w:val="superscript"/>
              </w:rPr>
              <w:t>5</w:t>
            </w:r>
          </w:p>
        </w:tc>
        <w:tc>
          <w:tcPr>
            <w:tcW w:w="589" w:type="pct"/>
            <w:tcBorders>
              <w:top w:val="nil"/>
              <w:left w:val="single" w:sz="4" w:space="0" w:color="auto"/>
              <w:bottom w:val="single" w:sz="4" w:space="0" w:color="auto"/>
              <w:right w:val="single" w:sz="4" w:space="0" w:color="auto"/>
            </w:tcBorders>
            <w:vAlign w:val="center"/>
          </w:tcPr>
          <w:p w14:paraId="40513C29" w14:textId="3C2F71AC" w:rsidR="002F0974" w:rsidRPr="0009131C"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09131C">
              <w:rPr>
                <w:szCs w:val="20"/>
                <w:vertAlign w:val="superscript"/>
              </w:rPr>
              <w:t>5</w:t>
            </w:r>
          </w:p>
        </w:tc>
        <w:tc>
          <w:tcPr>
            <w:tcW w:w="590" w:type="pct"/>
            <w:tcBorders>
              <w:top w:val="nil"/>
              <w:left w:val="single" w:sz="4" w:space="0" w:color="auto"/>
              <w:bottom w:val="single" w:sz="4" w:space="0" w:color="auto"/>
              <w:right w:val="single" w:sz="4" w:space="0" w:color="auto"/>
            </w:tcBorders>
            <w:vAlign w:val="center"/>
          </w:tcPr>
          <w:p w14:paraId="077DD620" w14:textId="4A0FB784" w:rsidR="002F0974" w:rsidRPr="0009131C"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09131C">
              <w:rPr>
                <w:szCs w:val="20"/>
                <w:vertAlign w:val="superscript"/>
              </w:rPr>
              <w:t>5</w:t>
            </w:r>
          </w:p>
        </w:tc>
        <w:tc>
          <w:tcPr>
            <w:tcW w:w="679" w:type="pct"/>
            <w:tcBorders>
              <w:top w:val="nil"/>
              <w:left w:val="single" w:sz="4" w:space="0" w:color="auto"/>
              <w:bottom w:val="single" w:sz="4" w:space="0" w:color="auto"/>
              <w:right w:val="single" w:sz="4" w:space="0" w:color="auto"/>
            </w:tcBorders>
            <w:vAlign w:val="center"/>
          </w:tcPr>
          <w:p w14:paraId="018C4C51" w14:textId="1A1DC0BD"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6</w:t>
            </w:r>
          </w:p>
        </w:tc>
      </w:tr>
      <w:tr w:rsidR="002F0974" w:rsidRPr="003153AA" w14:paraId="1F9861D0" w14:textId="77777777">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2048B019" w14:textId="77777777" w:rsidR="002F0974" w:rsidRPr="003153AA" w:rsidRDefault="002F0974">
            <w:pPr>
              <w:pStyle w:val="TableText0"/>
              <w:rPr>
                <w:b/>
                <w:bCs w:val="0"/>
                <w:szCs w:val="20"/>
              </w:rPr>
            </w:pPr>
            <w:r w:rsidRPr="003153AA">
              <w:rPr>
                <w:b/>
                <w:bCs w:val="0"/>
                <w:szCs w:val="20"/>
              </w:rPr>
              <w:t>Estimation of changes in use and financial impact of currently listed treatments PBS</w:t>
            </w:r>
          </w:p>
        </w:tc>
      </w:tr>
      <w:tr w:rsidR="002F0974" w:rsidRPr="003153AA" w14:paraId="1C23A983" w14:textId="77777777">
        <w:trPr>
          <w:trHeight w:val="20"/>
        </w:trPr>
        <w:tc>
          <w:tcPr>
            <w:tcW w:w="786" w:type="pct"/>
            <w:tcBorders>
              <w:top w:val="single" w:sz="4" w:space="0" w:color="auto"/>
              <w:left w:val="single" w:sz="4" w:space="0" w:color="auto"/>
              <w:bottom w:val="nil"/>
              <w:right w:val="single" w:sz="4" w:space="0" w:color="auto"/>
            </w:tcBorders>
            <w:vAlign w:val="center"/>
            <w:hideMark/>
          </w:tcPr>
          <w:p w14:paraId="33ED1AEA" w14:textId="77777777" w:rsidR="002F0974" w:rsidRPr="003153AA" w:rsidRDefault="002F0974">
            <w:pPr>
              <w:pStyle w:val="TableText0"/>
              <w:rPr>
                <w:szCs w:val="20"/>
              </w:rPr>
            </w:pPr>
            <w:r w:rsidRPr="003153AA">
              <w:rPr>
                <w:szCs w:val="20"/>
              </w:rPr>
              <w:t>Scripts net change</w:t>
            </w:r>
          </w:p>
        </w:tc>
        <w:tc>
          <w:tcPr>
            <w:tcW w:w="589" w:type="pct"/>
            <w:tcBorders>
              <w:top w:val="single" w:sz="4" w:space="0" w:color="auto"/>
              <w:left w:val="single" w:sz="4" w:space="0" w:color="auto"/>
              <w:bottom w:val="nil"/>
              <w:right w:val="single" w:sz="4" w:space="0" w:color="auto"/>
            </w:tcBorders>
            <w:vAlign w:val="center"/>
          </w:tcPr>
          <w:p w14:paraId="2A2E5F3F" w14:textId="4A7721AD" w:rsidR="002F0974" w:rsidRPr="00C3112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C31128">
              <w:rPr>
                <w:szCs w:val="20"/>
                <w:vertAlign w:val="superscript"/>
              </w:rPr>
              <w:t>1</w:t>
            </w:r>
          </w:p>
        </w:tc>
        <w:tc>
          <w:tcPr>
            <w:tcW w:w="589" w:type="pct"/>
            <w:tcBorders>
              <w:top w:val="single" w:sz="4" w:space="0" w:color="auto"/>
              <w:left w:val="single" w:sz="4" w:space="0" w:color="auto"/>
              <w:bottom w:val="nil"/>
              <w:right w:val="single" w:sz="4" w:space="0" w:color="auto"/>
            </w:tcBorders>
            <w:vAlign w:val="center"/>
          </w:tcPr>
          <w:p w14:paraId="5008BE5D" w14:textId="4456164D" w:rsidR="002F0974" w:rsidRPr="00C3112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C31128">
              <w:rPr>
                <w:szCs w:val="20"/>
                <w:vertAlign w:val="superscript"/>
              </w:rPr>
              <w:t>1</w:t>
            </w:r>
          </w:p>
        </w:tc>
        <w:tc>
          <w:tcPr>
            <w:tcW w:w="589" w:type="pct"/>
            <w:tcBorders>
              <w:top w:val="single" w:sz="4" w:space="0" w:color="auto"/>
              <w:left w:val="single" w:sz="4" w:space="0" w:color="auto"/>
              <w:bottom w:val="nil"/>
              <w:right w:val="single" w:sz="4" w:space="0" w:color="auto"/>
            </w:tcBorders>
            <w:vAlign w:val="center"/>
          </w:tcPr>
          <w:p w14:paraId="7A7BE4C0" w14:textId="31A91912" w:rsidR="002F0974" w:rsidRPr="00C3112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C31128">
              <w:rPr>
                <w:szCs w:val="20"/>
                <w:vertAlign w:val="superscript"/>
              </w:rPr>
              <w:t>1</w:t>
            </w:r>
          </w:p>
        </w:tc>
        <w:tc>
          <w:tcPr>
            <w:tcW w:w="589" w:type="pct"/>
            <w:tcBorders>
              <w:top w:val="single" w:sz="4" w:space="0" w:color="auto"/>
              <w:left w:val="single" w:sz="4" w:space="0" w:color="auto"/>
              <w:bottom w:val="nil"/>
              <w:right w:val="single" w:sz="4" w:space="0" w:color="auto"/>
            </w:tcBorders>
            <w:vAlign w:val="center"/>
          </w:tcPr>
          <w:p w14:paraId="7E039A53" w14:textId="3AE2767D" w:rsidR="002F0974" w:rsidRPr="00C3112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C31128">
              <w:rPr>
                <w:szCs w:val="20"/>
                <w:vertAlign w:val="superscript"/>
              </w:rPr>
              <w:t>1</w:t>
            </w:r>
          </w:p>
        </w:tc>
        <w:tc>
          <w:tcPr>
            <w:tcW w:w="589" w:type="pct"/>
            <w:tcBorders>
              <w:top w:val="single" w:sz="4" w:space="0" w:color="auto"/>
              <w:left w:val="single" w:sz="4" w:space="0" w:color="auto"/>
              <w:bottom w:val="nil"/>
              <w:right w:val="single" w:sz="4" w:space="0" w:color="auto"/>
            </w:tcBorders>
            <w:vAlign w:val="center"/>
          </w:tcPr>
          <w:p w14:paraId="6B4456AA" w14:textId="1B7D9CBA" w:rsidR="002F0974" w:rsidRPr="00C3112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C31128">
              <w:rPr>
                <w:szCs w:val="20"/>
                <w:vertAlign w:val="superscript"/>
              </w:rPr>
              <w:t>1</w:t>
            </w:r>
          </w:p>
        </w:tc>
        <w:tc>
          <w:tcPr>
            <w:tcW w:w="590" w:type="pct"/>
            <w:tcBorders>
              <w:top w:val="single" w:sz="4" w:space="0" w:color="auto"/>
              <w:left w:val="single" w:sz="4" w:space="0" w:color="auto"/>
              <w:bottom w:val="nil"/>
              <w:right w:val="single" w:sz="4" w:space="0" w:color="auto"/>
            </w:tcBorders>
            <w:vAlign w:val="center"/>
          </w:tcPr>
          <w:p w14:paraId="37BDA2FB" w14:textId="37FE77C7" w:rsidR="002F0974" w:rsidRPr="00C3112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C31128">
              <w:rPr>
                <w:szCs w:val="20"/>
                <w:vertAlign w:val="superscript"/>
              </w:rPr>
              <w:t>1</w:t>
            </w:r>
          </w:p>
        </w:tc>
        <w:tc>
          <w:tcPr>
            <w:tcW w:w="679" w:type="pct"/>
            <w:tcBorders>
              <w:top w:val="single" w:sz="4" w:space="0" w:color="auto"/>
              <w:left w:val="single" w:sz="4" w:space="0" w:color="auto"/>
              <w:bottom w:val="nil"/>
              <w:right w:val="single" w:sz="4" w:space="0" w:color="auto"/>
            </w:tcBorders>
            <w:vAlign w:val="center"/>
          </w:tcPr>
          <w:p w14:paraId="01224E54" w14:textId="6B25C784" w:rsidR="002F0974" w:rsidRPr="00303243"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303243">
              <w:rPr>
                <w:szCs w:val="20"/>
                <w:vertAlign w:val="superscript"/>
              </w:rPr>
              <w:t>3</w:t>
            </w:r>
          </w:p>
        </w:tc>
      </w:tr>
      <w:tr w:rsidR="002F0974" w:rsidRPr="003153AA" w14:paraId="0B9CD903" w14:textId="77777777">
        <w:trPr>
          <w:trHeight w:val="20"/>
        </w:trPr>
        <w:tc>
          <w:tcPr>
            <w:tcW w:w="786" w:type="pct"/>
            <w:tcBorders>
              <w:top w:val="nil"/>
              <w:left w:val="single" w:sz="4" w:space="0" w:color="auto"/>
              <w:bottom w:val="nil"/>
              <w:right w:val="single" w:sz="4" w:space="0" w:color="auto"/>
            </w:tcBorders>
            <w:vAlign w:val="center"/>
          </w:tcPr>
          <w:p w14:paraId="1F2AB486" w14:textId="77777777" w:rsidR="002F0974" w:rsidRPr="003153AA" w:rsidRDefault="002F0974">
            <w:pPr>
              <w:pStyle w:val="TableText0"/>
              <w:rPr>
                <w:szCs w:val="20"/>
              </w:rPr>
            </w:pPr>
            <w:r w:rsidRPr="003153AA">
              <w:rPr>
                <w:szCs w:val="20"/>
              </w:rPr>
              <w:t>PBS cost</w:t>
            </w:r>
          </w:p>
        </w:tc>
        <w:tc>
          <w:tcPr>
            <w:tcW w:w="589" w:type="pct"/>
            <w:tcBorders>
              <w:top w:val="nil"/>
              <w:left w:val="single" w:sz="4" w:space="0" w:color="auto"/>
              <w:bottom w:val="nil"/>
              <w:right w:val="single" w:sz="4" w:space="0" w:color="auto"/>
            </w:tcBorders>
            <w:vAlign w:val="center"/>
          </w:tcPr>
          <w:p w14:paraId="445C44EB" w14:textId="4D82826B"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22CCD177" w14:textId="72595BA4"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268C752F" w14:textId="2C7FB7EE"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75785354" w14:textId="71D4A89A"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2421B3C1" w14:textId="05E4407F"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90" w:type="pct"/>
            <w:tcBorders>
              <w:top w:val="nil"/>
              <w:left w:val="single" w:sz="4" w:space="0" w:color="auto"/>
              <w:bottom w:val="nil"/>
              <w:right w:val="single" w:sz="4" w:space="0" w:color="auto"/>
            </w:tcBorders>
            <w:vAlign w:val="center"/>
          </w:tcPr>
          <w:p w14:paraId="3BF9BEDE" w14:textId="0D2BBB7F"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679" w:type="pct"/>
            <w:tcBorders>
              <w:top w:val="nil"/>
              <w:left w:val="single" w:sz="4" w:space="0" w:color="auto"/>
              <w:bottom w:val="nil"/>
              <w:right w:val="single" w:sz="4" w:space="0" w:color="auto"/>
            </w:tcBorders>
            <w:vAlign w:val="center"/>
          </w:tcPr>
          <w:p w14:paraId="771C169F" w14:textId="5341DEA4"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r>
      <w:tr w:rsidR="002F0974" w:rsidRPr="003153AA" w14:paraId="374A7CC5" w14:textId="77777777">
        <w:trPr>
          <w:trHeight w:val="20"/>
        </w:trPr>
        <w:tc>
          <w:tcPr>
            <w:tcW w:w="786" w:type="pct"/>
            <w:tcBorders>
              <w:top w:val="nil"/>
              <w:left w:val="single" w:sz="4" w:space="0" w:color="auto"/>
              <w:bottom w:val="nil"/>
              <w:right w:val="single" w:sz="4" w:space="0" w:color="auto"/>
            </w:tcBorders>
            <w:vAlign w:val="center"/>
          </w:tcPr>
          <w:p w14:paraId="1B3DF653" w14:textId="77777777" w:rsidR="002F0974" w:rsidRPr="003153AA" w:rsidRDefault="002F0974">
            <w:pPr>
              <w:pStyle w:val="TableText0"/>
              <w:rPr>
                <w:szCs w:val="20"/>
              </w:rPr>
            </w:pPr>
            <w:r w:rsidRPr="003153AA">
              <w:rPr>
                <w:szCs w:val="20"/>
              </w:rPr>
              <w:t>Copayments</w:t>
            </w:r>
          </w:p>
        </w:tc>
        <w:tc>
          <w:tcPr>
            <w:tcW w:w="589" w:type="pct"/>
            <w:tcBorders>
              <w:top w:val="nil"/>
              <w:left w:val="single" w:sz="4" w:space="0" w:color="auto"/>
              <w:bottom w:val="nil"/>
              <w:right w:val="single" w:sz="4" w:space="0" w:color="auto"/>
            </w:tcBorders>
            <w:vAlign w:val="center"/>
          </w:tcPr>
          <w:p w14:paraId="331F8467" w14:textId="2B6634AB" w:rsidR="002F0974" w:rsidRPr="00D35BEA"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D35BEA">
              <w:rPr>
                <w:szCs w:val="20"/>
                <w:vertAlign w:val="superscript"/>
              </w:rPr>
              <w:t>8</w:t>
            </w:r>
          </w:p>
        </w:tc>
        <w:tc>
          <w:tcPr>
            <w:tcW w:w="589" w:type="pct"/>
            <w:tcBorders>
              <w:top w:val="nil"/>
              <w:left w:val="single" w:sz="4" w:space="0" w:color="auto"/>
              <w:bottom w:val="nil"/>
              <w:right w:val="single" w:sz="4" w:space="0" w:color="auto"/>
            </w:tcBorders>
            <w:vAlign w:val="center"/>
          </w:tcPr>
          <w:p w14:paraId="5B272A60" w14:textId="001DEB0E" w:rsidR="002F0974" w:rsidRPr="00D35BEA"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D35BEA">
              <w:rPr>
                <w:szCs w:val="20"/>
                <w:vertAlign w:val="superscript"/>
              </w:rPr>
              <w:t>8</w:t>
            </w:r>
          </w:p>
        </w:tc>
        <w:tc>
          <w:tcPr>
            <w:tcW w:w="589" w:type="pct"/>
            <w:tcBorders>
              <w:top w:val="nil"/>
              <w:left w:val="single" w:sz="4" w:space="0" w:color="auto"/>
              <w:bottom w:val="nil"/>
              <w:right w:val="single" w:sz="4" w:space="0" w:color="auto"/>
            </w:tcBorders>
            <w:vAlign w:val="center"/>
          </w:tcPr>
          <w:p w14:paraId="08917F3E" w14:textId="2382339A" w:rsidR="002F0974" w:rsidRPr="00D35BEA"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D35BEA">
              <w:rPr>
                <w:szCs w:val="20"/>
                <w:vertAlign w:val="superscript"/>
              </w:rPr>
              <w:t>8</w:t>
            </w:r>
          </w:p>
        </w:tc>
        <w:tc>
          <w:tcPr>
            <w:tcW w:w="589" w:type="pct"/>
            <w:tcBorders>
              <w:top w:val="nil"/>
              <w:left w:val="single" w:sz="4" w:space="0" w:color="auto"/>
              <w:bottom w:val="nil"/>
              <w:right w:val="single" w:sz="4" w:space="0" w:color="auto"/>
            </w:tcBorders>
            <w:vAlign w:val="center"/>
          </w:tcPr>
          <w:p w14:paraId="50CB233F" w14:textId="57695DB8" w:rsidR="002F0974" w:rsidRPr="00D35BEA"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D35BEA">
              <w:rPr>
                <w:szCs w:val="20"/>
                <w:vertAlign w:val="superscript"/>
              </w:rPr>
              <w:t>8</w:t>
            </w:r>
          </w:p>
        </w:tc>
        <w:tc>
          <w:tcPr>
            <w:tcW w:w="589" w:type="pct"/>
            <w:tcBorders>
              <w:top w:val="nil"/>
              <w:left w:val="single" w:sz="4" w:space="0" w:color="auto"/>
              <w:bottom w:val="nil"/>
              <w:right w:val="single" w:sz="4" w:space="0" w:color="auto"/>
            </w:tcBorders>
            <w:vAlign w:val="center"/>
          </w:tcPr>
          <w:p w14:paraId="1C140ACB" w14:textId="49DC2E3E" w:rsidR="002F0974" w:rsidRPr="00D35BEA"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D35BEA">
              <w:rPr>
                <w:szCs w:val="20"/>
                <w:vertAlign w:val="superscript"/>
              </w:rPr>
              <w:t>8</w:t>
            </w:r>
          </w:p>
        </w:tc>
        <w:tc>
          <w:tcPr>
            <w:tcW w:w="590" w:type="pct"/>
            <w:tcBorders>
              <w:top w:val="nil"/>
              <w:left w:val="single" w:sz="4" w:space="0" w:color="auto"/>
              <w:bottom w:val="nil"/>
              <w:right w:val="single" w:sz="4" w:space="0" w:color="auto"/>
            </w:tcBorders>
            <w:vAlign w:val="center"/>
          </w:tcPr>
          <w:p w14:paraId="47EEDE98" w14:textId="19B5BD73" w:rsidR="002F0974" w:rsidRPr="00D35BEA"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D35BEA">
              <w:rPr>
                <w:szCs w:val="20"/>
                <w:vertAlign w:val="superscript"/>
              </w:rPr>
              <w:t>8</w:t>
            </w:r>
          </w:p>
        </w:tc>
        <w:tc>
          <w:tcPr>
            <w:tcW w:w="679" w:type="pct"/>
            <w:tcBorders>
              <w:top w:val="nil"/>
              <w:left w:val="single" w:sz="4" w:space="0" w:color="auto"/>
              <w:bottom w:val="nil"/>
              <w:right w:val="single" w:sz="4" w:space="0" w:color="auto"/>
            </w:tcBorders>
            <w:vAlign w:val="center"/>
          </w:tcPr>
          <w:p w14:paraId="31DE46AF" w14:textId="46E13951" w:rsidR="002F0974" w:rsidRPr="00D35BEA"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D35BEA">
              <w:rPr>
                <w:szCs w:val="20"/>
                <w:vertAlign w:val="superscript"/>
              </w:rPr>
              <w:t>8</w:t>
            </w:r>
          </w:p>
        </w:tc>
      </w:tr>
      <w:tr w:rsidR="002F0974" w:rsidRPr="003153AA" w14:paraId="7E1625EA" w14:textId="77777777">
        <w:trPr>
          <w:trHeight w:val="20"/>
        </w:trPr>
        <w:tc>
          <w:tcPr>
            <w:tcW w:w="786" w:type="pct"/>
            <w:tcBorders>
              <w:top w:val="nil"/>
              <w:left w:val="single" w:sz="4" w:space="0" w:color="auto"/>
              <w:bottom w:val="dashed" w:sz="4" w:space="0" w:color="auto"/>
              <w:right w:val="single" w:sz="4" w:space="0" w:color="auto"/>
            </w:tcBorders>
            <w:vAlign w:val="center"/>
          </w:tcPr>
          <w:p w14:paraId="3FA15933" w14:textId="77777777" w:rsidR="002F0974" w:rsidRPr="003153AA" w:rsidRDefault="002F0974">
            <w:pPr>
              <w:pStyle w:val="TableText0"/>
              <w:rPr>
                <w:szCs w:val="20"/>
              </w:rPr>
            </w:pPr>
            <w:r w:rsidRPr="003153AA">
              <w:rPr>
                <w:szCs w:val="20"/>
              </w:rPr>
              <w:t>Total net cost less copayments</w:t>
            </w:r>
          </w:p>
        </w:tc>
        <w:tc>
          <w:tcPr>
            <w:tcW w:w="589" w:type="pct"/>
            <w:tcBorders>
              <w:top w:val="nil"/>
              <w:left w:val="single" w:sz="4" w:space="0" w:color="auto"/>
              <w:bottom w:val="dashed" w:sz="4" w:space="0" w:color="auto"/>
              <w:right w:val="single" w:sz="4" w:space="0" w:color="auto"/>
            </w:tcBorders>
            <w:vAlign w:val="center"/>
          </w:tcPr>
          <w:p w14:paraId="2BE7C5E1" w14:textId="1FE29283"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dashed" w:sz="4" w:space="0" w:color="auto"/>
              <w:right w:val="single" w:sz="4" w:space="0" w:color="auto"/>
            </w:tcBorders>
            <w:vAlign w:val="center"/>
          </w:tcPr>
          <w:p w14:paraId="759F2619" w14:textId="02007F7C"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dashed" w:sz="4" w:space="0" w:color="auto"/>
              <w:right w:val="single" w:sz="4" w:space="0" w:color="auto"/>
            </w:tcBorders>
            <w:vAlign w:val="center"/>
          </w:tcPr>
          <w:p w14:paraId="7585735B" w14:textId="4CE7333F"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dashed" w:sz="4" w:space="0" w:color="auto"/>
              <w:right w:val="single" w:sz="4" w:space="0" w:color="auto"/>
            </w:tcBorders>
            <w:vAlign w:val="center"/>
          </w:tcPr>
          <w:p w14:paraId="1BA76804" w14:textId="639359E6"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dashed" w:sz="4" w:space="0" w:color="auto"/>
              <w:right w:val="single" w:sz="4" w:space="0" w:color="auto"/>
            </w:tcBorders>
            <w:vAlign w:val="center"/>
          </w:tcPr>
          <w:p w14:paraId="004E21F8" w14:textId="6455AD35"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90" w:type="pct"/>
            <w:tcBorders>
              <w:top w:val="nil"/>
              <w:left w:val="single" w:sz="4" w:space="0" w:color="auto"/>
              <w:bottom w:val="dashed" w:sz="4" w:space="0" w:color="auto"/>
              <w:right w:val="single" w:sz="4" w:space="0" w:color="auto"/>
            </w:tcBorders>
            <w:vAlign w:val="center"/>
          </w:tcPr>
          <w:p w14:paraId="5079E9A1" w14:textId="278F26E9"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679" w:type="pct"/>
            <w:tcBorders>
              <w:top w:val="nil"/>
              <w:left w:val="single" w:sz="4" w:space="0" w:color="auto"/>
              <w:bottom w:val="dashed" w:sz="4" w:space="0" w:color="auto"/>
              <w:right w:val="single" w:sz="4" w:space="0" w:color="auto"/>
            </w:tcBorders>
            <w:vAlign w:val="center"/>
          </w:tcPr>
          <w:p w14:paraId="7004AAB7" w14:textId="2A77970F"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r>
      <w:tr w:rsidR="002F0974" w:rsidRPr="003153AA" w14:paraId="7EC50D04" w14:textId="77777777">
        <w:trPr>
          <w:trHeight w:val="20"/>
        </w:trPr>
        <w:tc>
          <w:tcPr>
            <w:tcW w:w="786" w:type="pct"/>
            <w:tcBorders>
              <w:top w:val="dashed" w:sz="4" w:space="0" w:color="auto"/>
              <w:left w:val="single" w:sz="4" w:space="0" w:color="auto"/>
              <w:bottom w:val="nil"/>
              <w:right w:val="single" w:sz="4" w:space="0" w:color="auto"/>
            </w:tcBorders>
            <w:vAlign w:val="center"/>
          </w:tcPr>
          <w:p w14:paraId="32B97087" w14:textId="77777777" w:rsidR="002F0974" w:rsidRPr="003153AA" w:rsidRDefault="002F0974">
            <w:pPr>
              <w:pStyle w:val="TableText0"/>
              <w:rPr>
                <w:szCs w:val="20"/>
              </w:rPr>
            </w:pPr>
            <w:r w:rsidRPr="003153AA">
              <w:rPr>
                <w:szCs w:val="20"/>
              </w:rPr>
              <w:t>Net cost less copayments for:</w:t>
            </w:r>
          </w:p>
        </w:tc>
        <w:tc>
          <w:tcPr>
            <w:tcW w:w="589" w:type="pct"/>
            <w:tcBorders>
              <w:top w:val="dashed" w:sz="4" w:space="0" w:color="auto"/>
              <w:left w:val="single" w:sz="4" w:space="0" w:color="auto"/>
              <w:bottom w:val="nil"/>
              <w:right w:val="single" w:sz="4" w:space="0" w:color="auto"/>
            </w:tcBorders>
            <w:vAlign w:val="center"/>
          </w:tcPr>
          <w:p w14:paraId="0F1EC1E3" w14:textId="77777777" w:rsidR="002F0974" w:rsidRPr="003153AA" w:rsidRDefault="002F0974">
            <w:pPr>
              <w:pStyle w:val="TableText0"/>
              <w:jc w:val="center"/>
              <w:rPr>
                <w:szCs w:val="20"/>
              </w:rPr>
            </w:pPr>
          </w:p>
        </w:tc>
        <w:tc>
          <w:tcPr>
            <w:tcW w:w="589" w:type="pct"/>
            <w:tcBorders>
              <w:top w:val="dashed" w:sz="4" w:space="0" w:color="auto"/>
              <w:left w:val="single" w:sz="4" w:space="0" w:color="auto"/>
              <w:bottom w:val="nil"/>
              <w:right w:val="single" w:sz="4" w:space="0" w:color="auto"/>
            </w:tcBorders>
            <w:vAlign w:val="center"/>
          </w:tcPr>
          <w:p w14:paraId="2A00E8F3" w14:textId="77777777" w:rsidR="002F0974" w:rsidRPr="003153AA" w:rsidRDefault="002F0974">
            <w:pPr>
              <w:pStyle w:val="TableText0"/>
              <w:jc w:val="center"/>
              <w:rPr>
                <w:szCs w:val="20"/>
              </w:rPr>
            </w:pPr>
          </w:p>
        </w:tc>
        <w:tc>
          <w:tcPr>
            <w:tcW w:w="589" w:type="pct"/>
            <w:tcBorders>
              <w:top w:val="dashed" w:sz="4" w:space="0" w:color="auto"/>
              <w:left w:val="single" w:sz="4" w:space="0" w:color="auto"/>
              <w:bottom w:val="nil"/>
              <w:right w:val="single" w:sz="4" w:space="0" w:color="auto"/>
            </w:tcBorders>
            <w:vAlign w:val="center"/>
          </w:tcPr>
          <w:p w14:paraId="7FF570B0" w14:textId="77777777" w:rsidR="002F0974" w:rsidRPr="003153AA" w:rsidRDefault="002F0974">
            <w:pPr>
              <w:pStyle w:val="TableText0"/>
              <w:jc w:val="center"/>
              <w:rPr>
                <w:szCs w:val="20"/>
              </w:rPr>
            </w:pPr>
          </w:p>
        </w:tc>
        <w:tc>
          <w:tcPr>
            <w:tcW w:w="589" w:type="pct"/>
            <w:tcBorders>
              <w:top w:val="dashed" w:sz="4" w:space="0" w:color="auto"/>
              <w:left w:val="single" w:sz="4" w:space="0" w:color="auto"/>
              <w:bottom w:val="nil"/>
              <w:right w:val="single" w:sz="4" w:space="0" w:color="auto"/>
            </w:tcBorders>
            <w:vAlign w:val="center"/>
          </w:tcPr>
          <w:p w14:paraId="05F11BE8" w14:textId="77777777" w:rsidR="002F0974" w:rsidRPr="003153AA" w:rsidRDefault="002F0974">
            <w:pPr>
              <w:pStyle w:val="TableText0"/>
              <w:jc w:val="center"/>
              <w:rPr>
                <w:szCs w:val="20"/>
              </w:rPr>
            </w:pPr>
          </w:p>
        </w:tc>
        <w:tc>
          <w:tcPr>
            <w:tcW w:w="589" w:type="pct"/>
            <w:tcBorders>
              <w:top w:val="dashed" w:sz="4" w:space="0" w:color="auto"/>
              <w:left w:val="single" w:sz="4" w:space="0" w:color="auto"/>
              <w:bottom w:val="nil"/>
              <w:right w:val="single" w:sz="4" w:space="0" w:color="auto"/>
            </w:tcBorders>
            <w:vAlign w:val="center"/>
          </w:tcPr>
          <w:p w14:paraId="0DC85273" w14:textId="77777777" w:rsidR="002F0974" w:rsidRPr="003153AA" w:rsidRDefault="002F0974">
            <w:pPr>
              <w:pStyle w:val="TableText0"/>
              <w:jc w:val="center"/>
              <w:rPr>
                <w:szCs w:val="20"/>
              </w:rPr>
            </w:pPr>
          </w:p>
        </w:tc>
        <w:tc>
          <w:tcPr>
            <w:tcW w:w="590" w:type="pct"/>
            <w:tcBorders>
              <w:top w:val="dashed" w:sz="4" w:space="0" w:color="auto"/>
              <w:left w:val="single" w:sz="4" w:space="0" w:color="auto"/>
              <w:bottom w:val="nil"/>
              <w:right w:val="single" w:sz="4" w:space="0" w:color="auto"/>
            </w:tcBorders>
            <w:vAlign w:val="center"/>
          </w:tcPr>
          <w:p w14:paraId="590FBDF9" w14:textId="77777777" w:rsidR="002F0974" w:rsidRPr="003153AA" w:rsidRDefault="002F0974">
            <w:pPr>
              <w:pStyle w:val="TableText0"/>
              <w:jc w:val="center"/>
              <w:rPr>
                <w:szCs w:val="20"/>
              </w:rPr>
            </w:pPr>
          </w:p>
        </w:tc>
        <w:tc>
          <w:tcPr>
            <w:tcW w:w="679" w:type="pct"/>
            <w:tcBorders>
              <w:top w:val="dashed" w:sz="4" w:space="0" w:color="auto"/>
              <w:left w:val="single" w:sz="4" w:space="0" w:color="auto"/>
              <w:bottom w:val="nil"/>
              <w:right w:val="single" w:sz="4" w:space="0" w:color="auto"/>
            </w:tcBorders>
            <w:vAlign w:val="center"/>
          </w:tcPr>
          <w:p w14:paraId="4BF7DC23" w14:textId="77777777" w:rsidR="002F0974" w:rsidRPr="003153AA" w:rsidRDefault="002F0974">
            <w:pPr>
              <w:pStyle w:val="TableText0"/>
              <w:jc w:val="center"/>
              <w:rPr>
                <w:szCs w:val="20"/>
              </w:rPr>
            </w:pPr>
          </w:p>
        </w:tc>
      </w:tr>
      <w:tr w:rsidR="002F0974" w:rsidRPr="003153AA" w14:paraId="68B4D845" w14:textId="77777777">
        <w:trPr>
          <w:trHeight w:val="20"/>
        </w:trPr>
        <w:tc>
          <w:tcPr>
            <w:tcW w:w="786" w:type="pct"/>
            <w:tcBorders>
              <w:top w:val="nil"/>
              <w:left w:val="single" w:sz="4" w:space="0" w:color="auto"/>
              <w:bottom w:val="nil"/>
              <w:right w:val="single" w:sz="4" w:space="0" w:color="auto"/>
            </w:tcBorders>
            <w:vAlign w:val="center"/>
          </w:tcPr>
          <w:p w14:paraId="68915EA4" w14:textId="77777777" w:rsidR="002F0974" w:rsidRPr="003153AA" w:rsidRDefault="002F0974">
            <w:pPr>
              <w:pStyle w:val="TableText0"/>
              <w:jc w:val="center"/>
              <w:rPr>
                <w:szCs w:val="20"/>
              </w:rPr>
            </w:pPr>
            <w:r w:rsidRPr="003153AA">
              <w:rPr>
                <w:szCs w:val="20"/>
              </w:rPr>
              <w:t>Rituximab</w:t>
            </w:r>
          </w:p>
        </w:tc>
        <w:tc>
          <w:tcPr>
            <w:tcW w:w="589" w:type="pct"/>
            <w:tcBorders>
              <w:top w:val="nil"/>
              <w:left w:val="single" w:sz="4" w:space="0" w:color="auto"/>
              <w:bottom w:val="nil"/>
              <w:right w:val="single" w:sz="4" w:space="0" w:color="auto"/>
            </w:tcBorders>
            <w:vAlign w:val="center"/>
          </w:tcPr>
          <w:p w14:paraId="2BE8B416" w14:textId="745D9E15"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19518929" w14:textId="336FD389"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6807A336" w14:textId="4A213020"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080D4D1A" w14:textId="166706AB"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015382F1" w14:textId="4AE702E8"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90" w:type="pct"/>
            <w:tcBorders>
              <w:top w:val="nil"/>
              <w:left w:val="single" w:sz="4" w:space="0" w:color="auto"/>
              <w:bottom w:val="nil"/>
              <w:right w:val="single" w:sz="4" w:space="0" w:color="auto"/>
            </w:tcBorders>
            <w:vAlign w:val="center"/>
          </w:tcPr>
          <w:p w14:paraId="7BD2F645" w14:textId="664AB354"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679" w:type="pct"/>
            <w:tcBorders>
              <w:top w:val="nil"/>
              <w:left w:val="single" w:sz="4" w:space="0" w:color="auto"/>
              <w:bottom w:val="nil"/>
              <w:right w:val="single" w:sz="4" w:space="0" w:color="auto"/>
            </w:tcBorders>
            <w:vAlign w:val="center"/>
          </w:tcPr>
          <w:p w14:paraId="673EA10A" w14:textId="41748550"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r>
      <w:tr w:rsidR="002F0974" w:rsidRPr="003153AA" w14:paraId="0865D153" w14:textId="77777777">
        <w:trPr>
          <w:trHeight w:val="20"/>
        </w:trPr>
        <w:tc>
          <w:tcPr>
            <w:tcW w:w="786" w:type="pct"/>
            <w:tcBorders>
              <w:top w:val="nil"/>
              <w:left w:val="single" w:sz="4" w:space="0" w:color="auto"/>
              <w:bottom w:val="nil"/>
              <w:right w:val="single" w:sz="4" w:space="0" w:color="auto"/>
            </w:tcBorders>
            <w:vAlign w:val="center"/>
          </w:tcPr>
          <w:p w14:paraId="7CD9AE86" w14:textId="77777777" w:rsidR="002F0974" w:rsidRPr="003153AA" w:rsidRDefault="002F0974">
            <w:pPr>
              <w:pStyle w:val="TableText0"/>
              <w:jc w:val="center"/>
              <w:rPr>
                <w:szCs w:val="20"/>
              </w:rPr>
            </w:pPr>
            <w:r w:rsidRPr="003153AA">
              <w:rPr>
                <w:szCs w:val="20"/>
              </w:rPr>
              <w:t>Ifosfamide</w:t>
            </w:r>
          </w:p>
        </w:tc>
        <w:tc>
          <w:tcPr>
            <w:tcW w:w="589" w:type="pct"/>
            <w:tcBorders>
              <w:top w:val="nil"/>
              <w:left w:val="single" w:sz="4" w:space="0" w:color="auto"/>
              <w:bottom w:val="nil"/>
              <w:right w:val="single" w:sz="4" w:space="0" w:color="auto"/>
            </w:tcBorders>
            <w:vAlign w:val="center"/>
          </w:tcPr>
          <w:p w14:paraId="46093441" w14:textId="473C6AE2"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6A2678E7" w14:textId="0C070191"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60F92735" w14:textId="70505B63"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51620EAB" w14:textId="7C2C4085"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39D99DF9" w14:textId="44F34445"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90" w:type="pct"/>
            <w:tcBorders>
              <w:top w:val="nil"/>
              <w:left w:val="single" w:sz="4" w:space="0" w:color="auto"/>
              <w:bottom w:val="nil"/>
              <w:right w:val="single" w:sz="4" w:space="0" w:color="auto"/>
            </w:tcBorders>
            <w:vAlign w:val="center"/>
          </w:tcPr>
          <w:p w14:paraId="6C8E29DA" w14:textId="5D7FF7FA"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679" w:type="pct"/>
            <w:tcBorders>
              <w:top w:val="nil"/>
              <w:left w:val="single" w:sz="4" w:space="0" w:color="auto"/>
              <w:bottom w:val="nil"/>
              <w:right w:val="single" w:sz="4" w:space="0" w:color="auto"/>
            </w:tcBorders>
            <w:vAlign w:val="center"/>
          </w:tcPr>
          <w:p w14:paraId="24E88C94" w14:textId="20748051"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r>
      <w:tr w:rsidR="002F0974" w:rsidRPr="003153AA" w14:paraId="1F053BC4" w14:textId="77777777">
        <w:trPr>
          <w:trHeight w:val="20"/>
        </w:trPr>
        <w:tc>
          <w:tcPr>
            <w:tcW w:w="786" w:type="pct"/>
            <w:tcBorders>
              <w:top w:val="nil"/>
              <w:left w:val="single" w:sz="4" w:space="0" w:color="auto"/>
              <w:bottom w:val="nil"/>
              <w:right w:val="single" w:sz="4" w:space="0" w:color="auto"/>
            </w:tcBorders>
            <w:vAlign w:val="center"/>
          </w:tcPr>
          <w:p w14:paraId="451C2289" w14:textId="77777777" w:rsidR="002F0974" w:rsidRPr="003153AA" w:rsidRDefault="002F0974">
            <w:pPr>
              <w:pStyle w:val="TableText0"/>
              <w:jc w:val="center"/>
              <w:rPr>
                <w:szCs w:val="20"/>
              </w:rPr>
            </w:pPr>
            <w:r w:rsidRPr="003153AA">
              <w:rPr>
                <w:szCs w:val="20"/>
              </w:rPr>
              <w:t>Carboplatin</w:t>
            </w:r>
          </w:p>
        </w:tc>
        <w:tc>
          <w:tcPr>
            <w:tcW w:w="589" w:type="pct"/>
            <w:tcBorders>
              <w:top w:val="nil"/>
              <w:left w:val="single" w:sz="4" w:space="0" w:color="auto"/>
              <w:bottom w:val="nil"/>
              <w:right w:val="single" w:sz="4" w:space="0" w:color="auto"/>
            </w:tcBorders>
            <w:vAlign w:val="center"/>
          </w:tcPr>
          <w:p w14:paraId="6365C340" w14:textId="25F693C8"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52005427" w14:textId="5ACF70BF"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71A93734" w14:textId="2720BFE9"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03B7BA55" w14:textId="78BAD82F"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nil"/>
              <w:right w:val="single" w:sz="4" w:space="0" w:color="auto"/>
            </w:tcBorders>
            <w:vAlign w:val="center"/>
          </w:tcPr>
          <w:p w14:paraId="3A740CD8" w14:textId="4B7E36F5"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90" w:type="pct"/>
            <w:tcBorders>
              <w:top w:val="nil"/>
              <w:left w:val="single" w:sz="4" w:space="0" w:color="auto"/>
              <w:bottom w:val="nil"/>
              <w:right w:val="single" w:sz="4" w:space="0" w:color="auto"/>
            </w:tcBorders>
            <w:vAlign w:val="center"/>
          </w:tcPr>
          <w:p w14:paraId="111D9CA1" w14:textId="17D7EB5F"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679" w:type="pct"/>
            <w:tcBorders>
              <w:top w:val="nil"/>
              <w:left w:val="single" w:sz="4" w:space="0" w:color="auto"/>
              <w:bottom w:val="nil"/>
              <w:right w:val="single" w:sz="4" w:space="0" w:color="auto"/>
            </w:tcBorders>
            <w:vAlign w:val="center"/>
          </w:tcPr>
          <w:p w14:paraId="380E7E04" w14:textId="6DCEBFCA"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r>
      <w:tr w:rsidR="002F0974" w:rsidRPr="003153AA" w14:paraId="76E474E4" w14:textId="77777777">
        <w:trPr>
          <w:trHeight w:val="20"/>
        </w:trPr>
        <w:tc>
          <w:tcPr>
            <w:tcW w:w="786" w:type="pct"/>
            <w:tcBorders>
              <w:top w:val="nil"/>
              <w:left w:val="single" w:sz="4" w:space="0" w:color="auto"/>
              <w:bottom w:val="single" w:sz="4" w:space="0" w:color="auto"/>
              <w:right w:val="single" w:sz="4" w:space="0" w:color="auto"/>
            </w:tcBorders>
            <w:vAlign w:val="center"/>
          </w:tcPr>
          <w:p w14:paraId="26D29FA7" w14:textId="77777777" w:rsidR="002F0974" w:rsidRPr="003153AA" w:rsidRDefault="002F0974">
            <w:pPr>
              <w:pStyle w:val="TableText0"/>
              <w:jc w:val="center"/>
              <w:rPr>
                <w:szCs w:val="20"/>
              </w:rPr>
            </w:pPr>
            <w:r w:rsidRPr="003153AA">
              <w:rPr>
                <w:szCs w:val="20"/>
              </w:rPr>
              <w:t>Etoposide</w:t>
            </w:r>
          </w:p>
        </w:tc>
        <w:tc>
          <w:tcPr>
            <w:tcW w:w="589" w:type="pct"/>
            <w:tcBorders>
              <w:top w:val="nil"/>
              <w:left w:val="single" w:sz="4" w:space="0" w:color="auto"/>
              <w:bottom w:val="single" w:sz="4" w:space="0" w:color="auto"/>
              <w:right w:val="single" w:sz="4" w:space="0" w:color="auto"/>
            </w:tcBorders>
            <w:vAlign w:val="center"/>
          </w:tcPr>
          <w:p w14:paraId="79438E26" w14:textId="3F510CC2"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single" w:sz="4" w:space="0" w:color="auto"/>
              <w:right w:val="single" w:sz="4" w:space="0" w:color="auto"/>
            </w:tcBorders>
            <w:vAlign w:val="center"/>
          </w:tcPr>
          <w:p w14:paraId="2FB148C2" w14:textId="30DD53FD"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single" w:sz="4" w:space="0" w:color="auto"/>
              <w:right w:val="single" w:sz="4" w:space="0" w:color="auto"/>
            </w:tcBorders>
            <w:vAlign w:val="center"/>
          </w:tcPr>
          <w:p w14:paraId="3F41052E" w14:textId="369C794B"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single" w:sz="4" w:space="0" w:color="auto"/>
              <w:right w:val="single" w:sz="4" w:space="0" w:color="auto"/>
            </w:tcBorders>
            <w:vAlign w:val="center"/>
          </w:tcPr>
          <w:p w14:paraId="3C709339" w14:textId="32BB218E"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89" w:type="pct"/>
            <w:tcBorders>
              <w:top w:val="nil"/>
              <w:left w:val="single" w:sz="4" w:space="0" w:color="auto"/>
              <w:bottom w:val="single" w:sz="4" w:space="0" w:color="auto"/>
              <w:right w:val="single" w:sz="4" w:space="0" w:color="auto"/>
            </w:tcBorders>
            <w:vAlign w:val="center"/>
          </w:tcPr>
          <w:p w14:paraId="45CCBF8F" w14:textId="200F8BAA"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590" w:type="pct"/>
            <w:tcBorders>
              <w:top w:val="nil"/>
              <w:left w:val="single" w:sz="4" w:space="0" w:color="auto"/>
              <w:bottom w:val="single" w:sz="4" w:space="0" w:color="auto"/>
              <w:right w:val="single" w:sz="4" w:space="0" w:color="auto"/>
            </w:tcBorders>
            <w:vAlign w:val="center"/>
          </w:tcPr>
          <w:p w14:paraId="5ADDA039" w14:textId="7ECB5C13"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c>
          <w:tcPr>
            <w:tcW w:w="679" w:type="pct"/>
            <w:tcBorders>
              <w:top w:val="nil"/>
              <w:left w:val="single" w:sz="4" w:space="0" w:color="auto"/>
              <w:bottom w:val="single" w:sz="4" w:space="0" w:color="auto"/>
              <w:right w:val="single" w:sz="4" w:space="0" w:color="auto"/>
            </w:tcBorders>
            <w:vAlign w:val="center"/>
          </w:tcPr>
          <w:p w14:paraId="03588B4B" w14:textId="1FCDC0E7" w:rsidR="002F0974" w:rsidRPr="008A02C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8A02C8">
              <w:rPr>
                <w:szCs w:val="20"/>
                <w:vertAlign w:val="superscript"/>
              </w:rPr>
              <w:t>7</w:t>
            </w:r>
          </w:p>
        </w:tc>
      </w:tr>
      <w:tr w:rsidR="002F0974" w:rsidRPr="003153AA" w14:paraId="06AD64AA" w14:textId="77777777">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356534F5" w14:textId="77777777" w:rsidR="002F0974" w:rsidRPr="003153AA" w:rsidRDefault="002F0974">
            <w:pPr>
              <w:pStyle w:val="TableText0"/>
              <w:rPr>
                <w:b/>
                <w:bCs w:val="0"/>
                <w:szCs w:val="20"/>
              </w:rPr>
            </w:pPr>
            <w:r w:rsidRPr="003153AA">
              <w:rPr>
                <w:b/>
                <w:bCs w:val="0"/>
                <w:szCs w:val="20"/>
              </w:rPr>
              <w:t>Estimated financial implications for the PBS and the health budget</w:t>
            </w:r>
          </w:p>
        </w:tc>
      </w:tr>
      <w:tr w:rsidR="002F0974" w:rsidRPr="003153AA" w14:paraId="6C041B74" w14:textId="77777777">
        <w:trPr>
          <w:trHeight w:val="20"/>
        </w:trPr>
        <w:tc>
          <w:tcPr>
            <w:tcW w:w="786" w:type="pct"/>
            <w:tcBorders>
              <w:top w:val="single" w:sz="4" w:space="0" w:color="auto"/>
              <w:left w:val="single" w:sz="4" w:space="0" w:color="auto"/>
              <w:bottom w:val="single" w:sz="4" w:space="0" w:color="auto"/>
              <w:right w:val="single" w:sz="4" w:space="0" w:color="auto"/>
            </w:tcBorders>
            <w:vAlign w:val="center"/>
            <w:hideMark/>
          </w:tcPr>
          <w:p w14:paraId="44FB7013" w14:textId="77777777" w:rsidR="002F0974" w:rsidRPr="003153AA" w:rsidRDefault="002F0974">
            <w:pPr>
              <w:pStyle w:val="TableText0"/>
              <w:rPr>
                <w:szCs w:val="20"/>
              </w:rPr>
            </w:pPr>
            <w:r w:rsidRPr="003153AA">
              <w:rPr>
                <w:szCs w:val="20"/>
              </w:rPr>
              <w:t>PBS scripts, net change</w:t>
            </w:r>
          </w:p>
        </w:tc>
        <w:tc>
          <w:tcPr>
            <w:tcW w:w="589" w:type="pct"/>
            <w:tcBorders>
              <w:top w:val="single" w:sz="4" w:space="0" w:color="auto"/>
              <w:left w:val="single" w:sz="4" w:space="0" w:color="auto"/>
              <w:bottom w:val="single" w:sz="4" w:space="0" w:color="auto"/>
              <w:right w:val="single" w:sz="4" w:space="0" w:color="auto"/>
            </w:tcBorders>
            <w:vAlign w:val="center"/>
          </w:tcPr>
          <w:p w14:paraId="7D076A15" w14:textId="24B1926C" w:rsidR="002F0974" w:rsidRPr="00C3112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C31128">
              <w:rPr>
                <w:szCs w:val="20"/>
                <w:vertAlign w:val="superscript"/>
              </w:rPr>
              <w:t>1</w:t>
            </w:r>
          </w:p>
        </w:tc>
        <w:tc>
          <w:tcPr>
            <w:tcW w:w="589" w:type="pct"/>
            <w:tcBorders>
              <w:top w:val="single" w:sz="4" w:space="0" w:color="auto"/>
              <w:left w:val="single" w:sz="4" w:space="0" w:color="auto"/>
              <w:bottom w:val="single" w:sz="4" w:space="0" w:color="auto"/>
              <w:right w:val="single" w:sz="4" w:space="0" w:color="auto"/>
            </w:tcBorders>
            <w:vAlign w:val="center"/>
          </w:tcPr>
          <w:p w14:paraId="207D9806" w14:textId="145F342E" w:rsidR="002F0974" w:rsidRPr="00C3112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C31128">
              <w:rPr>
                <w:szCs w:val="20"/>
                <w:vertAlign w:val="superscript"/>
              </w:rPr>
              <w:t>1</w:t>
            </w:r>
          </w:p>
        </w:tc>
        <w:tc>
          <w:tcPr>
            <w:tcW w:w="589" w:type="pct"/>
            <w:tcBorders>
              <w:top w:val="single" w:sz="4" w:space="0" w:color="auto"/>
              <w:left w:val="single" w:sz="4" w:space="0" w:color="auto"/>
              <w:bottom w:val="single" w:sz="4" w:space="0" w:color="auto"/>
              <w:right w:val="single" w:sz="4" w:space="0" w:color="auto"/>
            </w:tcBorders>
            <w:vAlign w:val="center"/>
          </w:tcPr>
          <w:p w14:paraId="0D3DE358" w14:textId="6FAF1A8B" w:rsidR="002F0974" w:rsidRPr="00C3112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C31128">
              <w:rPr>
                <w:szCs w:val="20"/>
                <w:vertAlign w:val="superscript"/>
              </w:rPr>
              <w:t>1</w:t>
            </w:r>
          </w:p>
        </w:tc>
        <w:tc>
          <w:tcPr>
            <w:tcW w:w="589" w:type="pct"/>
            <w:tcBorders>
              <w:top w:val="single" w:sz="4" w:space="0" w:color="auto"/>
              <w:left w:val="single" w:sz="4" w:space="0" w:color="auto"/>
              <w:bottom w:val="single" w:sz="4" w:space="0" w:color="auto"/>
              <w:right w:val="single" w:sz="4" w:space="0" w:color="auto"/>
            </w:tcBorders>
            <w:vAlign w:val="center"/>
          </w:tcPr>
          <w:p w14:paraId="1A474D2F" w14:textId="580FF8C7" w:rsidR="002F0974" w:rsidRPr="00C3112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C31128">
              <w:rPr>
                <w:szCs w:val="20"/>
                <w:vertAlign w:val="superscript"/>
              </w:rPr>
              <w:t>1</w:t>
            </w:r>
          </w:p>
        </w:tc>
        <w:tc>
          <w:tcPr>
            <w:tcW w:w="589" w:type="pct"/>
            <w:tcBorders>
              <w:top w:val="single" w:sz="4" w:space="0" w:color="auto"/>
              <w:left w:val="single" w:sz="4" w:space="0" w:color="auto"/>
              <w:bottom w:val="single" w:sz="4" w:space="0" w:color="auto"/>
              <w:right w:val="single" w:sz="4" w:space="0" w:color="auto"/>
            </w:tcBorders>
            <w:vAlign w:val="center"/>
          </w:tcPr>
          <w:p w14:paraId="3C68CFFA" w14:textId="45F2BB91" w:rsidR="002F0974" w:rsidRPr="00C3112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C31128">
              <w:rPr>
                <w:szCs w:val="20"/>
                <w:vertAlign w:val="superscript"/>
              </w:rPr>
              <w:t>1</w:t>
            </w:r>
          </w:p>
        </w:tc>
        <w:tc>
          <w:tcPr>
            <w:tcW w:w="590" w:type="pct"/>
            <w:tcBorders>
              <w:top w:val="single" w:sz="4" w:space="0" w:color="auto"/>
              <w:left w:val="single" w:sz="4" w:space="0" w:color="auto"/>
              <w:bottom w:val="single" w:sz="4" w:space="0" w:color="auto"/>
              <w:right w:val="single" w:sz="4" w:space="0" w:color="auto"/>
            </w:tcBorders>
            <w:vAlign w:val="center"/>
          </w:tcPr>
          <w:p w14:paraId="1BFF83BD" w14:textId="3D0173FD" w:rsidR="002F0974" w:rsidRPr="00C31128"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C31128">
              <w:rPr>
                <w:szCs w:val="20"/>
                <w:vertAlign w:val="superscript"/>
              </w:rPr>
              <w:t>1</w:t>
            </w:r>
          </w:p>
        </w:tc>
        <w:tc>
          <w:tcPr>
            <w:tcW w:w="679" w:type="pct"/>
            <w:tcBorders>
              <w:top w:val="single" w:sz="4" w:space="0" w:color="auto"/>
              <w:left w:val="single" w:sz="4" w:space="0" w:color="auto"/>
              <w:bottom w:val="single" w:sz="4" w:space="0" w:color="auto"/>
              <w:right w:val="single" w:sz="4" w:space="0" w:color="auto"/>
            </w:tcBorders>
            <w:vAlign w:val="center"/>
          </w:tcPr>
          <w:p w14:paraId="346D9BF0" w14:textId="4954C7E8" w:rsidR="002F0974" w:rsidRPr="00CA69A1"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CA69A1">
              <w:rPr>
                <w:szCs w:val="20"/>
                <w:vertAlign w:val="superscript"/>
              </w:rPr>
              <w:t>9</w:t>
            </w:r>
          </w:p>
        </w:tc>
      </w:tr>
      <w:tr w:rsidR="002F0974" w:rsidRPr="003153AA" w14:paraId="56E3D6D1" w14:textId="77777777">
        <w:trPr>
          <w:trHeight w:val="20"/>
        </w:trPr>
        <w:tc>
          <w:tcPr>
            <w:tcW w:w="786" w:type="pct"/>
            <w:tcBorders>
              <w:top w:val="single" w:sz="4" w:space="0" w:color="auto"/>
              <w:left w:val="single" w:sz="4" w:space="0" w:color="auto"/>
              <w:bottom w:val="nil"/>
              <w:right w:val="single" w:sz="4" w:space="0" w:color="auto"/>
            </w:tcBorders>
            <w:vAlign w:val="center"/>
          </w:tcPr>
          <w:p w14:paraId="749E261A" w14:textId="77777777" w:rsidR="002F0974" w:rsidRPr="003153AA" w:rsidRDefault="002F0974">
            <w:pPr>
              <w:pStyle w:val="TableText0"/>
              <w:rPr>
                <w:szCs w:val="20"/>
              </w:rPr>
            </w:pPr>
            <w:r w:rsidRPr="003153AA">
              <w:rPr>
                <w:szCs w:val="20"/>
              </w:rPr>
              <w:t>PBS authorities (telephone), net change</w:t>
            </w:r>
          </w:p>
        </w:tc>
        <w:tc>
          <w:tcPr>
            <w:tcW w:w="589" w:type="pct"/>
            <w:tcBorders>
              <w:top w:val="single" w:sz="4" w:space="0" w:color="auto"/>
              <w:left w:val="single" w:sz="4" w:space="0" w:color="auto"/>
              <w:bottom w:val="nil"/>
              <w:right w:val="single" w:sz="4" w:space="0" w:color="auto"/>
            </w:tcBorders>
            <w:vAlign w:val="center"/>
          </w:tcPr>
          <w:p w14:paraId="7228A21D" w14:textId="306F9A62" w:rsidR="002F0974" w:rsidRPr="00824277" w:rsidRDefault="005822E1">
            <w:pPr>
              <w:pStyle w:val="TableText0"/>
              <w:jc w:val="center"/>
              <w:rPr>
                <w:szCs w:val="20"/>
                <w:vertAlign w:val="superscript"/>
              </w:rPr>
            </w:pPr>
            <w:r w:rsidRPr="005822E1">
              <w:rPr>
                <w:sz w:val="2"/>
                <w:szCs w:val="20"/>
                <w:highlight w:val="black"/>
              </w:rPr>
              <w:t>redacted content</w:t>
            </w:r>
            <w:r w:rsidR="00824277">
              <w:rPr>
                <w:szCs w:val="20"/>
                <w:vertAlign w:val="superscript"/>
              </w:rPr>
              <w:t>2</w:t>
            </w:r>
          </w:p>
        </w:tc>
        <w:tc>
          <w:tcPr>
            <w:tcW w:w="589" w:type="pct"/>
            <w:tcBorders>
              <w:top w:val="single" w:sz="4" w:space="0" w:color="auto"/>
              <w:left w:val="single" w:sz="4" w:space="0" w:color="auto"/>
              <w:bottom w:val="nil"/>
              <w:right w:val="single" w:sz="4" w:space="0" w:color="auto"/>
            </w:tcBorders>
            <w:vAlign w:val="center"/>
          </w:tcPr>
          <w:p w14:paraId="1BE01751" w14:textId="5B0BC3A3" w:rsidR="002F0974" w:rsidRPr="00824277" w:rsidRDefault="005822E1">
            <w:pPr>
              <w:pStyle w:val="TableText0"/>
              <w:jc w:val="center"/>
              <w:rPr>
                <w:szCs w:val="20"/>
                <w:vertAlign w:val="superscript"/>
              </w:rPr>
            </w:pPr>
            <w:r w:rsidRPr="005822E1">
              <w:rPr>
                <w:sz w:val="2"/>
                <w:szCs w:val="20"/>
                <w:highlight w:val="black"/>
              </w:rPr>
              <w:t>redacted content</w:t>
            </w:r>
            <w:r w:rsidR="00824277">
              <w:rPr>
                <w:szCs w:val="20"/>
                <w:vertAlign w:val="superscript"/>
              </w:rPr>
              <w:t>2</w:t>
            </w:r>
          </w:p>
        </w:tc>
        <w:tc>
          <w:tcPr>
            <w:tcW w:w="589" w:type="pct"/>
            <w:tcBorders>
              <w:top w:val="single" w:sz="4" w:space="0" w:color="auto"/>
              <w:left w:val="single" w:sz="4" w:space="0" w:color="auto"/>
              <w:bottom w:val="nil"/>
              <w:right w:val="single" w:sz="4" w:space="0" w:color="auto"/>
            </w:tcBorders>
            <w:vAlign w:val="center"/>
          </w:tcPr>
          <w:p w14:paraId="7EEB3DBD" w14:textId="2B64AD95" w:rsidR="002F0974" w:rsidRPr="00824277" w:rsidRDefault="005822E1">
            <w:pPr>
              <w:pStyle w:val="TableText0"/>
              <w:jc w:val="center"/>
              <w:rPr>
                <w:szCs w:val="20"/>
                <w:vertAlign w:val="superscript"/>
              </w:rPr>
            </w:pPr>
            <w:r w:rsidRPr="005822E1">
              <w:rPr>
                <w:sz w:val="2"/>
                <w:szCs w:val="20"/>
                <w:highlight w:val="black"/>
              </w:rPr>
              <w:t>redacted content</w:t>
            </w:r>
            <w:r w:rsidR="00824277">
              <w:rPr>
                <w:szCs w:val="20"/>
                <w:vertAlign w:val="superscript"/>
              </w:rPr>
              <w:t>2</w:t>
            </w:r>
          </w:p>
        </w:tc>
        <w:tc>
          <w:tcPr>
            <w:tcW w:w="589" w:type="pct"/>
            <w:tcBorders>
              <w:top w:val="single" w:sz="4" w:space="0" w:color="auto"/>
              <w:left w:val="single" w:sz="4" w:space="0" w:color="auto"/>
              <w:bottom w:val="nil"/>
              <w:right w:val="single" w:sz="4" w:space="0" w:color="auto"/>
            </w:tcBorders>
            <w:vAlign w:val="center"/>
          </w:tcPr>
          <w:p w14:paraId="21AC6829" w14:textId="271EB8C5" w:rsidR="002F0974" w:rsidRPr="00824277" w:rsidRDefault="005822E1">
            <w:pPr>
              <w:pStyle w:val="TableText0"/>
              <w:jc w:val="center"/>
              <w:rPr>
                <w:szCs w:val="20"/>
                <w:vertAlign w:val="superscript"/>
              </w:rPr>
            </w:pPr>
            <w:r w:rsidRPr="005822E1">
              <w:rPr>
                <w:sz w:val="2"/>
                <w:szCs w:val="20"/>
                <w:highlight w:val="black"/>
              </w:rPr>
              <w:t>redacted content</w:t>
            </w:r>
            <w:r w:rsidR="00824277">
              <w:rPr>
                <w:szCs w:val="20"/>
                <w:vertAlign w:val="superscript"/>
              </w:rPr>
              <w:t>2</w:t>
            </w:r>
          </w:p>
        </w:tc>
        <w:tc>
          <w:tcPr>
            <w:tcW w:w="589" w:type="pct"/>
            <w:tcBorders>
              <w:top w:val="single" w:sz="4" w:space="0" w:color="auto"/>
              <w:left w:val="single" w:sz="4" w:space="0" w:color="auto"/>
              <w:bottom w:val="nil"/>
              <w:right w:val="single" w:sz="4" w:space="0" w:color="auto"/>
            </w:tcBorders>
            <w:vAlign w:val="center"/>
          </w:tcPr>
          <w:p w14:paraId="6E24A0F8" w14:textId="6D66C6EC" w:rsidR="002F0974" w:rsidRPr="00824277" w:rsidRDefault="005822E1">
            <w:pPr>
              <w:pStyle w:val="TableText0"/>
              <w:jc w:val="center"/>
              <w:rPr>
                <w:szCs w:val="20"/>
                <w:vertAlign w:val="superscript"/>
              </w:rPr>
            </w:pPr>
            <w:r w:rsidRPr="005822E1">
              <w:rPr>
                <w:sz w:val="2"/>
                <w:szCs w:val="20"/>
                <w:highlight w:val="black"/>
              </w:rPr>
              <w:t>redacted content</w:t>
            </w:r>
            <w:r w:rsidR="00824277">
              <w:rPr>
                <w:szCs w:val="20"/>
                <w:vertAlign w:val="superscript"/>
              </w:rPr>
              <w:t>2</w:t>
            </w:r>
          </w:p>
        </w:tc>
        <w:tc>
          <w:tcPr>
            <w:tcW w:w="590" w:type="pct"/>
            <w:tcBorders>
              <w:top w:val="single" w:sz="4" w:space="0" w:color="auto"/>
              <w:left w:val="single" w:sz="4" w:space="0" w:color="auto"/>
              <w:bottom w:val="nil"/>
              <w:right w:val="single" w:sz="4" w:space="0" w:color="auto"/>
            </w:tcBorders>
            <w:vAlign w:val="center"/>
          </w:tcPr>
          <w:p w14:paraId="0E402D27" w14:textId="254E3787" w:rsidR="002F0974" w:rsidRPr="00824277" w:rsidRDefault="005822E1">
            <w:pPr>
              <w:pStyle w:val="TableText0"/>
              <w:jc w:val="center"/>
              <w:rPr>
                <w:szCs w:val="20"/>
                <w:vertAlign w:val="superscript"/>
              </w:rPr>
            </w:pPr>
            <w:r w:rsidRPr="005822E1">
              <w:rPr>
                <w:sz w:val="2"/>
                <w:szCs w:val="20"/>
                <w:highlight w:val="black"/>
              </w:rPr>
              <w:t>redacted content</w:t>
            </w:r>
            <w:r w:rsidR="00824277">
              <w:rPr>
                <w:szCs w:val="20"/>
                <w:vertAlign w:val="superscript"/>
              </w:rPr>
              <w:t>2</w:t>
            </w:r>
          </w:p>
        </w:tc>
        <w:tc>
          <w:tcPr>
            <w:tcW w:w="679" w:type="pct"/>
            <w:tcBorders>
              <w:top w:val="single" w:sz="4" w:space="0" w:color="auto"/>
              <w:left w:val="single" w:sz="4" w:space="0" w:color="auto"/>
              <w:bottom w:val="nil"/>
              <w:right w:val="single" w:sz="4" w:space="0" w:color="auto"/>
            </w:tcBorders>
            <w:vAlign w:val="center"/>
          </w:tcPr>
          <w:p w14:paraId="4F10E9BD" w14:textId="6F77568F" w:rsidR="002F0974" w:rsidRPr="00C31128" w:rsidRDefault="005822E1">
            <w:pPr>
              <w:pStyle w:val="TableText0"/>
              <w:jc w:val="center"/>
              <w:rPr>
                <w:szCs w:val="20"/>
                <w:vertAlign w:val="superscript"/>
              </w:rPr>
            </w:pPr>
            <w:r w:rsidRPr="005822E1">
              <w:rPr>
                <w:sz w:val="2"/>
                <w:szCs w:val="20"/>
                <w:highlight w:val="black"/>
              </w:rPr>
              <w:t>redacted content</w:t>
            </w:r>
            <w:r w:rsidR="00C31128">
              <w:rPr>
                <w:szCs w:val="20"/>
                <w:vertAlign w:val="superscript"/>
              </w:rPr>
              <w:t>1</w:t>
            </w:r>
          </w:p>
        </w:tc>
      </w:tr>
      <w:tr w:rsidR="002F0974" w:rsidRPr="003153AA" w14:paraId="0B73DE70" w14:textId="77777777">
        <w:trPr>
          <w:trHeight w:val="20"/>
        </w:trPr>
        <w:tc>
          <w:tcPr>
            <w:tcW w:w="786" w:type="pct"/>
            <w:tcBorders>
              <w:top w:val="single" w:sz="4" w:space="0" w:color="auto"/>
              <w:left w:val="single" w:sz="4" w:space="0" w:color="auto"/>
              <w:bottom w:val="nil"/>
              <w:right w:val="single" w:sz="4" w:space="0" w:color="auto"/>
            </w:tcBorders>
            <w:vAlign w:val="center"/>
          </w:tcPr>
          <w:p w14:paraId="7DB503FC" w14:textId="77777777" w:rsidR="002F0974" w:rsidRPr="003153AA" w:rsidRDefault="002F0974">
            <w:pPr>
              <w:pStyle w:val="TableText0"/>
              <w:rPr>
                <w:szCs w:val="20"/>
              </w:rPr>
            </w:pPr>
            <w:r w:rsidRPr="003153AA">
              <w:rPr>
                <w:szCs w:val="20"/>
              </w:rPr>
              <w:t>Net cost to PBS</w:t>
            </w:r>
          </w:p>
        </w:tc>
        <w:tc>
          <w:tcPr>
            <w:tcW w:w="589" w:type="pct"/>
            <w:tcBorders>
              <w:top w:val="single" w:sz="4" w:space="0" w:color="auto"/>
              <w:left w:val="single" w:sz="4" w:space="0" w:color="auto"/>
              <w:bottom w:val="nil"/>
              <w:right w:val="single" w:sz="4" w:space="0" w:color="auto"/>
            </w:tcBorders>
            <w:vAlign w:val="center"/>
          </w:tcPr>
          <w:p w14:paraId="2466E89D" w14:textId="58C92BFD" w:rsidR="002F0974" w:rsidRPr="00BE40E7"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BE40E7">
              <w:rPr>
                <w:szCs w:val="20"/>
                <w:vertAlign w:val="superscript"/>
              </w:rPr>
              <w:t>4</w:t>
            </w:r>
          </w:p>
        </w:tc>
        <w:tc>
          <w:tcPr>
            <w:tcW w:w="589" w:type="pct"/>
            <w:tcBorders>
              <w:top w:val="single" w:sz="4" w:space="0" w:color="auto"/>
              <w:left w:val="single" w:sz="4" w:space="0" w:color="auto"/>
              <w:bottom w:val="nil"/>
              <w:right w:val="single" w:sz="4" w:space="0" w:color="auto"/>
            </w:tcBorders>
            <w:vAlign w:val="center"/>
          </w:tcPr>
          <w:p w14:paraId="1AF69180" w14:textId="5923A48B" w:rsidR="002F0974" w:rsidRPr="00BE40E7"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BE40E7">
              <w:rPr>
                <w:szCs w:val="20"/>
                <w:vertAlign w:val="superscript"/>
              </w:rPr>
              <w:t>4</w:t>
            </w:r>
          </w:p>
        </w:tc>
        <w:tc>
          <w:tcPr>
            <w:tcW w:w="589" w:type="pct"/>
            <w:tcBorders>
              <w:top w:val="single" w:sz="4" w:space="0" w:color="auto"/>
              <w:left w:val="single" w:sz="4" w:space="0" w:color="auto"/>
              <w:bottom w:val="nil"/>
              <w:right w:val="single" w:sz="4" w:space="0" w:color="auto"/>
            </w:tcBorders>
            <w:vAlign w:val="center"/>
          </w:tcPr>
          <w:p w14:paraId="00389367" w14:textId="2352DFB6" w:rsidR="002F0974" w:rsidRPr="00BE40E7"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BE40E7">
              <w:rPr>
                <w:szCs w:val="20"/>
                <w:vertAlign w:val="superscript"/>
              </w:rPr>
              <w:t>4</w:t>
            </w:r>
          </w:p>
        </w:tc>
        <w:tc>
          <w:tcPr>
            <w:tcW w:w="589" w:type="pct"/>
            <w:tcBorders>
              <w:top w:val="single" w:sz="4" w:space="0" w:color="auto"/>
              <w:left w:val="single" w:sz="4" w:space="0" w:color="auto"/>
              <w:bottom w:val="nil"/>
              <w:right w:val="single" w:sz="4" w:space="0" w:color="auto"/>
            </w:tcBorders>
            <w:vAlign w:val="center"/>
          </w:tcPr>
          <w:p w14:paraId="157B76DD" w14:textId="37CE114A" w:rsidR="002F0974" w:rsidRPr="0009131C"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09131C">
              <w:rPr>
                <w:szCs w:val="20"/>
                <w:vertAlign w:val="superscript"/>
              </w:rPr>
              <w:t>5</w:t>
            </w:r>
          </w:p>
        </w:tc>
        <w:tc>
          <w:tcPr>
            <w:tcW w:w="589" w:type="pct"/>
            <w:tcBorders>
              <w:top w:val="single" w:sz="4" w:space="0" w:color="auto"/>
              <w:left w:val="single" w:sz="4" w:space="0" w:color="auto"/>
              <w:bottom w:val="nil"/>
              <w:right w:val="single" w:sz="4" w:space="0" w:color="auto"/>
            </w:tcBorders>
            <w:vAlign w:val="center"/>
          </w:tcPr>
          <w:p w14:paraId="3C8BC8B7" w14:textId="238DEB7A" w:rsidR="002F0974" w:rsidRPr="0009131C"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09131C">
              <w:rPr>
                <w:szCs w:val="20"/>
                <w:vertAlign w:val="superscript"/>
              </w:rPr>
              <w:t>5</w:t>
            </w:r>
          </w:p>
        </w:tc>
        <w:tc>
          <w:tcPr>
            <w:tcW w:w="590" w:type="pct"/>
            <w:tcBorders>
              <w:top w:val="single" w:sz="4" w:space="0" w:color="auto"/>
              <w:left w:val="single" w:sz="4" w:space="0" w:color="auto"/>
              <w:bottom w:val="nil"/>
              <w:right w:val="single" w:sz="4" w:space="0" w:color="auto"/>
            </w:tcBorders>
            <w:vAlign w:val="center"/>
          </w:tcPr>
          <w:p w14:paraId="599FE0D0" w14:textId="14A69544" w:rsidR="002F0974" w:rsidRPr="0009131C"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09131C">
              <w:rPr>
                <w:szCs w:val="20"/>
                <w:vertAlign w:val="superscript"/>
              </w:rPr>
              <w:t>5</w:t>
            </w:r>
          </w:p>
        </w:tc>
        <w:tc>
          <w:tcPr>
            <w:tcW w:w="679" w:type="pct"/>
            <w:tcBorders>
              <w:top w:val="single" w:sz="4" w:space="0" w:color="auto"/>
              <w:left w:val="single" w:sz="4" w:space="0" w:color="auto"/>
              <w:bottom w:val="nil"/>
              <w:right w:val="single" w:sz="4" w:space="0" w:color="auto"/>
            </w:tcBorders>
            <w:vAlign w:val="center"/>
          </w:tcPr>
          <w:p w14:paraId="658070CA" w14:textId="393EA265" w:rsidR="002F0974" w:rsidRPr="009330DD"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9330DD">
              <w:rPr>
                <w:szCs w:val="20"/>
                <w:vertAlign w:val="superscript"/>
              </w:rPr>
              <w:t>6</w:t>
            </w:r>
          </w:p>
        </w:tc>
      </w:tr>
      <w:tr w:rsidR="002F0974" w:rsidRPr="003153AA" w14:paraId="4398C2EC" w14:textId="77777777">
        <w:trPr>
          <w:trHeight w:val="20"/>
        </w:trPr>
        <w:tc>
          <w:tcPr>
            <w:tcW w:w="786" w:type="pct"/>
            <w:tcBorders>
              <w:top w:val="single" w:sz="4" w:space="0" w:color="auto"/>
              <w:left w:val="single" w:sz="4" w:space="0" w:color="auto"/>
              <w:bottom w:val="nil"/>
              <w:right w:val="single" w:sz="4" w:space="0" w:color="auto"/>
            </w:tcBorders>
            <w:vAlign w:val="center"/>
          </w:tcPr>
          <w:p w14:paraId="7729151F" w14:textId="77777777" w:rsidR="002F0974" w:rsidRPr="003153AA" w:rsidRDefault="002F0974">
            <w:pPr>
              <w:pStyle w:val="TableText0"/>
              <w:rPr>
                <w:szCs w:val="20"/>
              </w:rPr>
            </w:pPr>
            <w:r w:rsidRPr="003153AA">
              <w:rPr>
                <w:szCs w:val="20"/>
              </w:rPr>
              <w:t>Net cost MBS</w:t>
            </w:r>
          </w:p>
        </w:tc>
        <w:tc>
          <w:tcPr>
            <w:tcW w:w="589" w:type="pct"/>
            <w:tcBorders>
              <w:top w:val="single" w:sz="4" w:space="0" w:color="auto"/>
              <w:left w:val="single" w:sz="4" w:space="0" w:color="auto"/>
              <w:bottom w:val="nil"/>
              <w:right w:val="single" w:sz="4" w:space="0" w:color="auto"/>
            </w:tcBorders>
            <w:vAlign w:val="center"/>
          </w:tcPr>
          <w:p w14:paraId="7E1C4D6E" w14:textId="2B01DF7E" w:rsidR="002F0974" w:rsidRPr="00D35BEA"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D35BEA">
              <w:rPr>
                <w:szCs w:val="20"/>
                <w:vertAlign w:val="superscript"/>
              </w:rPr>
              <w:t>8</w:t>
            </w:r>
          </w:p>
        </w:tc>
        <w:tc>
          <w:tcPr>
            <w:tcW w:w="589" w:type="pct"/>
            <w:tcBorders>
              <w:top w:val="single" w:sz="4" w:space="0" w:color="auto"/>
              <w:left w:val="single" w:sz="4" w:space="0" w:color="auto"/>
              <w:bottom w:val="nil"/>
              <w:right w:val="single" w:sz="4" w:space="0" w:color="auto"/>
            </w:tcBorders>
            <w:vAlign w:val="center"/>
          </w:tcPr>
          <w:p w14:paraId="1ED368E1" w14:textId="2EF647D6" w:rsidR="002F0974" w:rsidRPr="00D35BEA"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D35BEA">
              <w:rPr>
                <w:szCs w:val="20"/>
                <w:vertAlign w:val="superscript"/>
              </w:rPr>
              <w:t>8</w:t>
            </w:r>
          </w:p>
        </w:tc>
        <w:tc>
          <w:tcPr>
            <w:tcW w:w="589" w:type="pct"/>
            <w:tcBorders>
              <w:top w:val="single" w:sz="4" w:space="0" w:color="auto"/>
              <w:left w:val="single" w:sz="4" w:space="0" w:color="auto"/>
              <w:bottom w:val="nil"/>
              <w:right w:val="single" w:sz="4" w:space="0" w:color="auto"/>
            </w:tcBorders>
            <w:vAlign w:val="center"/>
          </w:tcPr>
          <w:p w14:paraId="2F6B3337" w14:textId="4B3A1330" w:rsidR="002F0974" w:rsidRPr="00D35BEA"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D35BEA">
              <w:rPr>
                <w:szCs w:val="20"/>
                <w:vertAlign w:val="superscript"/>
              </w:rPr>
              <w:t>8</w:t>
            </w:r>
          </w:p>
        </w:tc>
        <w:tc>
          <w:tcPr>
            <w:tcW w:w="589" w:type="pct"/>
            <w:tcBorders>
              <w:top w:val="single" w:sz="4" w:space="0" w:color="auto"/>
              <w:left w:val="single" w:sz="4" w:space="0" w:color="auto"/>
              <w:bottom w:val="nil"/>
              <w:right w:val="single" w:sz="4" w:space="0" w:color="auto"/>
            </w:tcBorders>
            <w:vAlign w:val="center"/>
          </w:tcPr>
          <w:p w14:paraId="3E9896A7" w14:textId="0C02988B" w:rsidR="002F0974" w:rsidRPr="00D35BEA"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D35BEA">
              <w:rPr>
                <w:szCs w:val="20"/>
                <w:vertAlign w:val="superscript"/>
              </w:rPr>
              <w:t>8</w:t>
            </w:r>
          </w:p>
        </w:tc>
        <w:tc>
          <w:tcPr>
            <w:tcW w:w="589" w:type="pct"/>
            <w:tcBorders>
              <w:top w:val="single" w:sz="4" w:space="0" w:color="auto"/>
              <w:left w:val="single" w:sz="4" w:space="0" w:color="auto"/>
              <w:bottom w:val="nil"/>
              <w:right w:val="single" w:sz="4" w:space="0" w:color="auto"/>
            </w:tcBorders>
            <w:vAlign w:val="center"/>
          </w:tcPr>
          <w:p w14:paraId="7ED85E0E" w14:textId="2EAEBC05" w:rsidR="002F0974" w:rsidRPr="00D35BEA"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D35BEA">
              <w:rPr>
                <w:szCs w:val="20"/>
                <w:vertAlign w:val="superscript"/>
              </w:rPr>
              <w:t>8</w:t>
            </w:r>
          </w:p>
        </w:tc>
        <w:tc>
          <w:tcPr>
            <w:tcW w:w="590" w:type="pct"/>
            <w:tcBorders>
              <w:top w:val="single" w:sz="4" w:space="0" w:color="auto"/>
              <w:left w:val="single" w:sz="4" w:space="0" w:color="auto"/>
              <w:bottom w:val="nil"/>
              <w:right w:val="single" w:sz="4" w:space="0" w:color="auto"/>
            </w:tcBorders>
            <w:vAlign w:val="center"/>
          </w:tcPr>
          <w:p w14:paraId="4D9D33AD" w14:textId="5FCD0F92" w:rsidR="002F0974" w:rsidRPr="00D35BEA"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D35BEA">
              <w:rPr>
                <w:szCs w:val="20"/>
                <w:vertAlign w:val="superscript"/>
              </w:rPr>
              <w:t>8</w:t>
            </w:r>
          </w:p>
        </w:tc>
        <w:tc>
          <w:tcPr>
            <w:tcW w:w="679" w:type="pct"/>
            <w:tcBorders>
              <w:top w:val="single" w:sz="4" w:space="0" w:color="auto"/>
              <w:left w:val="single" w:sz="4" w:space="0" w:color="auto"/>
              <w:bottom w:val="nil"/>
              <w:right w:val="single" w:sz="4" w:space="0" w:color="auto"/>
            </w:tcBorders>
            <w:vAlign w:val="center"/>
          </w:tcPr>
          <w:p w14:paraId="22D43F9A" w14:textId="708C538C" w:rsidR="002F0974" w:rsidRPr="00D35BEA"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D35BEA">
              <w:rPr>
                <w:szCs w:val="20"/>
                <w:vertAlign w:val="superscript"/>
              </w:rPr>
              <w:t>8</w:t>
            </w:r>
          </w:p>
        </w:tc>
      </w:tr>
      <w:tr w:rsidR="002F0974" w:rsidRPr="003153AA" w14:paraId="523FDADE" w14:textId="77777777">
        <w:trPr>
          <w:trHeight w:val="20"/>
        </w:trPr>
        <w:tc>
          <w:tcPr>
            <w:tcW w:w="786" w:type="pct"/>
            <w:tcBorders>
              <w:top w:val="single" w:sz="4" w:space="0" w:color="auto"/>
              <w:left w:val="single" w:sz="4" w:space="0" w:color="auto"/>
              <w:bottom w:val="single" w:sz="4" w:space="0" w:color="auto"/>
              <w:right w:val="single" w:sz="4" w:space="0" w:color="auto"/>
            </w:tcBorders>
            <w:vAlign w:val="center"/>
            <w:hideMark/>
          </w:tcPr>
          <w:p w14:paraId="567AB89E" w14:textId="77777777" w:rsidR="002F0974" w:rsidRPr="003153AA" w:rsidRDefault="002F0974" w:rsidP="008866D7">
            <w:pPr>
              <w:pStyle w:val="TableText0"/>
              <w:rPr>
                <w:szCs w:val="20"/>
              </w:rPr>
            </w:pPr>
            <w:r w:rsidRPr="003153AA">
              <w:rPr>
                <w:szCs w:val="20"/>
              </w:rPr>
              <w:t>Net cost to federal government health budget (PBS/MBS)</w:t>
            </w:r>
          </w:p>
        </w:tc>
        <w:tc>
          <w:tcPr>
            <w:tcW w:w="589" w:type="pct"/>
            <w:tcBorders>
              <w:top w:val="single" w:sz="4" w:space="0" w:color="auto"/>
              <w:left w:val="single" w:sz="4" w:space="0" w:color="auto"/>
              <w:bottom w:val="single" w:sz="4" w:space="0" w:color="auto"/>
              <w:right w:val="single" w:sz="4" w:space="0" w:color="auto"/>
            </w:tcBorders>
            <w:vAlign w:val="center"/>
          </w:tcPr>
          <w:p w14:paraId="3D0959EB" w14:textId="62467DC9" w:rsidR="002F0974" w:rsidRPr="00BE40E7"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BE40E7">
              <w:rPr>
                <w:szCs w:val="20"/>
                <w:vertAlign w:val="superscript"/>
              </w:rPr>
              <w:t>4</w:t>
            </w:r>
          </w:p>
        </w:tc>
        <w:tc>
          <w:tcPr>
            <w:tcW w:w="589" w:type="pct"/>
            <w:tcBorders>
              <w:top w:val="single" w:sz="4" w:space="0" w:color="auto"/>
              <w:left w:val="single" w:sz="4" w:space="0" w:color="auto"/>
              <w:bottom w:val="single" w:sz="4" w:space="0" w:color="auto"/>
              <w:right w:val="single" w:sz="4" w:space="0" w:color="auto"/>
            </w:tcBorders>
            <w:vAlign w:val="center"/>
          </w:tcPr>
          <w:p w14:paraId="2ACB6204" w14:textId="5673AA75" w:rsidR="002F0974" w:rsidRPr="00BE40E7"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BE40E7">
              <w:rPr>
                <w:szCs w:val="20"/>
                <w:vertAlign w:val="superscript"/>
              </w:rPr>
              <w:t>4</w:t>
            </w:r>
          </w:p>
        </w:tc>
        <w:tc>
          <w:tcPr>
            <w:tcW w:w="589" w:type="pct"/>
            <w:tcBorders>
              <w:top w:val="single" w:sz="4" w:space="0" w:color="auto"/>
              <w:left w:val="single" w:sz="4" w:space="0" w:color="auto"/>
              <w:bottom w:val="single" w:sz="4" w:space="0" w:color="auto"/>
              <w:right w:val="single" w:sz="4" w:space="0" w:color="auto"/>
            </w:tcBorders>
            <w:vAlign w:val="center"/>
          </w:tcPr>
          <w:p w14:paraId="577BFE88" w14:textId="1338B330" w:rsidR="002F0974" w:rsidRPr="00BE40E7"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BE40E7">
              <w:rPr>
                <w:szCs w:val="20"/>
                <w:vertAlign w:val="superscript"/>
              </w:rPr>
              <w:t>4</w:t>
            </w:r>
          </w:p>
        </w:tc>
        <w:tc>
          <w:tcPr>
            <w:tcW w:w="589" w:type="pct"/>
            <w:tcBorders>
              <w:top w:val="single" w:sz="4" w:space="0" w:color="auto"/>
              <w:left w:val="single" w:sz="4" w:space="0" w:color="auto"/>
              <w:bottom w:val="single" w:sz="4" w:space="0" w:color="auto"/>
              <w:right w:val="single" w:sz="4" w:space="0" w:color="auto"/>
            </w:tcBorders>
            <w:vAlign w:val="center"/>
          </w:tcPr>
          <w:p w14:paraId="4AE08165" w14:textId="659FA52B" w:rsidR="002F0974" w:rsidRPr="0009131C"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09131C">
              <w:rPr>
                <w:szCs w:val="20"/>
                <w:vertAlign w:val="superscript"/>
              </w:rPr>
              <w:t>5</w:t>
            </w:r>
          </w:p>
        </w:tc>
        <w:tc>
          <w:tcPr>
            <w:tcW w:w="589" w:type="pct"/>
            <w:tcBorders>
              <w:top w:val="single" w:sz="4" w:space="0" w:color="auto"/>
              <w:left w:val="single" w:sz="4" w:space="0" w:color="auto"/>
              <w:bottom w:val="single" w:sz="4" w:space="0" w:color="auto"/>
              <w:right w:val="single" w:sz="4" w:space="0" w:color="auto"/>
            </w:tcBorders>
            <w:vAlign w:val="center"/>
          </w:tcPr>
          <w:p w14:paraId="21D0DF4D" w14:textId="15883D2A" w:rsidR="002F0974" w:rsidRPr="0009131C"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09131C">
              <w:rPr>
                <w:szCs w:val="20"/>
                <w:vertAlign w:val="superscript"/>
              </w:rPr>
              <w:t>5</w:t>
            </w:r>
          </w:p>
        </w:tc>
        <w:tc>
          <w:tcPr>
            <w:tcW w:w="590" w:type="pct"/>
            <w:tcBorders>
              <w:top w:val="single" w:sz="4" w:space="0" w:color="auto"/>
              <w:left w:val="single" w:sz="4" w:space="0" w:color="auto"/>
              <w:bottom w:val="single" w:sz="4" w:space="0" w:color="auto"/>
              <w:right w:val="single" w:sz="4" w:space="0" w:color="auto"/>
            </w:tcBorders>
            <w:vAlign w:val="center"/>
          </w:tcPr>
          <w:p w14:paraId="65135E1E" w14:textId="42346F6F" w:rsidR="002F0974" w:rsidRPr="0009131C"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09131C">
              <w:rPr>
                <w:szCs w:val="20"/>
                <w:vertAlign w:val="superscript"/>
              </w:rPr>
              <w:t>5</w:t>
            </w:r>
          </w:p>
        </w:tc>
        <w:tc>
          <w:tcPr>
            <w:tcW w:w="679" w:type="pct"/>
            <w:tcBorders>
              <w:top w:val="single" w:sz="4" w:space="0" w:color="auto"/>
              <w:left w:val="single" w:sz="4" w:space="0" w:color="auto"/>
              <w:bottom w:val="single" w:sz="4" w:space="0" w:color="auto"/>
              <w:right w:val="single" w:sz="4" w:space="0" w:color="auto"/>
            </w:tcBorders>
            <w:vAlign w:val="center"/>
          </w:tcPr>
          <w:p w14:paraId="330E9A3D" w14:textId="59603822" w:rsidR="002F0974" w:rsidRPr="009330DD" w:rsidRDefault="002F0974">
            <w:pPr>
              <w:pStyle w:val="TableText0"/>
              <w:jc w:val="center"/>
              <w:rPr>
                <w:szCs w:val="20"/>
                <w:vertAlign w:val="superscript"/>
              </w:rPr>
            </w:pPr>
            <w:r w:rsidRPr="003153AA">
              <w:rPr>
                <w:szCs w:val="20"/>
              </w:rPr>
              <w:t>$</w:t>
            </w:r>
            <w:r w:rsidR="005822E1" w:rsidRPr="005822E1">
              <w:rPr>
                <w:sz w:val="2"/>
                <w:szCs w:val="20"/>
                <w:highlight w:val="black"/>
              </w:rPr>
              <w:t>redacted content</w:t>
            </w:r>
            <w:r w:rsidR="009330DD">
              <w:rPr>
                <w:szCs w:val="20"/>
                <w:vertAlign w:val="superscript"/>
              </w:rPr>
              <w:t>6</w:t>
            </w:r>
          </w:p>
        </w:tc>
      </w:tr>
    </w:tbl>
    <w:p w14:paraId="34A757B5" w14:textId="77777777" w:rsidR="002F0974" w:rsidRPr="003153AA" w:rsidRDefault="002F0974" w:rsidP="002F0974">
      <w:pPr>
        <w:pStyle w:val="FooterTableFigure"/>
      </w:pPr>
      <w:r w:rsidRPr="003153AA">
        <w:t xml:space="preserve">Source: Compiled during the evaluation based on pp137-150 of the submission. </w:t>
      </w:r>
    </w:p>
    <w:p w14:paraId="5E77E860" w14:textId="77777777" w:rsidR="00C05A8D" w:rsidRDefault="002F0974" w:rsidP="00C05A8D">
      <w:pPr>
        <w:pStyle w:val="FooterTableFigure"/>
        <w:rPr>
          <w:i/>
          <w:szCs w:val="18"/>
        </w:rPr>
      </w:pPr>
      <w:r w:rsidRPr="003153AA">
        <w:t>3L=third line; GF = grandfathered; HGBL = high grade B-cell lymphoma; LT = loncastuximab tesirine; PMBL = primary mediastinal B-cell lymphoma; Y1-Y6 = year 1 to 6</w:t>
      </w:r>
    </w:p>
    <w:p w14:paraId="01EAF8A7" w14:textId="410E58F8" w:rsidR="00C05A8D" w:rsidRPr="00C05A8D" w:rsidRDefault="00C05A8D" w:rsidP="00C05A8D">
      <w:pPr>
        <w:pStyle w:val="FooterTableFigure"/>
        <w:rPr>
          <w:i/>
        </w:rPr>
      </w:pPr>
      <w:r w:rsidRPr="00C05A8D">
        <w:rPr>
          <w:i/>
        </w:rPr>
        <w:t xml:space="preserve">The redacted values correspond to the following ranges: </w:t>
      </w:r>
    </w:p>
    <w:p w14:paraId="2E51D54B" w14:textId="0BFAE3A4" w:rsidR="00C05A8D" w:rsidRPr="00C05A8D" w:rsidRDefault="00C05A8D" w:rsidP="00C05A8D">
      <w:pPr>
        <w:pStyle w:val="FooterTableFigure"/>
        <w:rPr>
          <w:i/>
        </w:rPr>
      </w:pPr>
      <w:r w:rsidRPr="00C05A8D">
        <w:rPr>
          <w:i/>
          <w:vertAlign w:val="superscript"/>
        </w:rPr>
        <w:t>1</w:t>
      </w:r>
      <w:r w:rsidRPr="00C05A8D">
        <w:rPr>
          <w:i/>
        </w:rPr>
        <w:t xml:space="preserve"> </w:t>
      </w:r>
      <w:r w:rsidR="007A31BE" w:rsidRPr="007A31BE">
        <w:rPr>
          <w:i/>
        </w:rPr>
        <w:t>500 to &lt; 5,000</w:t>
      </w:r>
    </w:p>
    <w:p w14:paraId="147061B0" w14:textId="0AE1EEB5" w:rsidR="00C05A8D" w:rsidRPr="00C05A8D" w:rsidRDefault="00C05A8D" w:rsidP="00C05A8D">
      <w:pPr>
        <w:pStyle w:val="FooterTableFigure"/>
        <w:rPr>
          <w:i/>
        </w:rPr>
      </w:pPr>
      <w:r w:rsidRPr="00C05A8D">
        <w:rPr>
          <w:i/>
          <w:vertAlign w:val="superscript"/>
        </w:rPr>
        <w:t>2</w:t>
      </w:r>
      <w:r w:rsidRPr="00C05A8D">
        <w:rPr>
          <w:i/>
        </w:rPr>
        <w:t xml:space="preserve"> </w:t>
      </w:r>
      <w:r w:rsidR="00824277" w:rsidRPr="00824277">
        <w:rPr>
          <w:i/>
        </w:rPr>
        <w:t>&lt; 500</w:t>
      </w:r>
    </w:p>
    <w:p w14:paraId="36605356" w14:textId="586850D1" w:rsidR="00C05A8D" w:rsidRPr="00C05A8D" w:rsidRDefault="00C05A8D" w:rsidP="00C05A8D">
      <w:pPr>
        <w:pStyle w:val="FooterTableFigure"/>
        <w:rPr>
          <w:i/>
        </w:rPr>
      </w:pPr>
      <w:r w:rsidRPr="00C05A8D">
        <w:rPr>
          <w:i/>
          <w:vertAlign w:val="superscript"/>
        </w:rPr>
        <w:t>3</w:t>
      </w:r>
      <w:r w:rsidRPr="00C05A8D">
        <w:rPr>
          <w:i/>
        </w:rPr>
        <w:t xml:space="preserve"> </w:t>
      </w:r>
      <w:r w:rsidR="00303243" w:rsidRPr="00303243">
        <w:rPr>
          <w:i/>
        </w:rPr>
        <w:t>10,000 to &lt; 20,000</w:t>
      </w:r>
    </w:p>
    <w:p w14:paraId="2869DF23" w14:textId="253A7747" w:rsidR="00C05A8D" w:rsidRPr="00C05A8D" w:rsidRDefault="00C05A8D" w:rsidP="00C05A8D">
      <w:pPr>
        <w:pStyle w:val="FooterTableFigure"/>
        <w:rPr>
          <w:i/>
        </w:rPr>
      </w:pPr>
      <w:r w:rsidRPr="00C05A8D">
        <w:rPr>
          <w:i/>
          <w:vertAlign w:val="superscript"/>
        </w:rPr>
        <w:t>4</w:t>
      </w:r>
      <w:r w:rsidRPr="00C05A8D">
        <w:rPr>
          <w:i/>
        </w:rPr>
        <w:t xml:space="preserve"> </w:t>
      </w:r>
      <w:r w:rsidR="00BE40E7" w:rsidRPr="00BE40E7">
        <w:rPr>
          <w:i/>
        </w:rPr>
        <w:t>$20 million to &lt; $30 million</w:t>
      </w:r>
    </w:p>
    <w:p w14:paraId="00A213D7" w14:textId="700CD7DD" w:rsidR="00C05A8D" w:rsidRPr="00C05A8D" w:rsidRDefault="00C05A8D" w:rsidP="00C05A8D">
      <w:pPr>
        <w:pStyle w:val="FooterTableFigure"/>
        <w:rPr>
          <w:i/>
        </w:rPr>
      </w:pPr>
      <w:r w:rsidRPr="00C05A8D">
        <w:rPr>
          <w:i/>
          <w:vertAlign w:val="superscript"/>
        </w:rPr>
        <w:t>5</w:t>
      </w:r>
      <w:r w:rsidRPr="00C05A8D">
        <w:rPr>
          <w:i/>
        </w:rPr>
        <w:t xml:space="preserve"> </w:t>
      </w:r>
      <w:r w:rsidR="006C0EA4" w:rsidRPr="006C0EA4">
        <w:rPr>
          <w:i/>
        </w:rPr>
        <w:t>$30 million to &lt; $40 million</w:t>
      </w:r>
    </w:p>
    <w:p w14:paraId="6A85C9A2" w14:textId="638008D4" w:rsidR="00C05A8D" w:rsidRPr="009330DD" w:rsidRDefault="00C05A8D" w:rsidP="002F0974">
      <w:pPr>
        <w:pStyle w:val="FooterTableFigure"/>
        <w:rPr>
          <w:i/>
        </w:rPr>
      </w:pPr>
      <w:r w:rsidRPr="00C05A8D">
        <w:rPr>
          <w:i/>
          <w:vertAlign w:val="superscript"/>
        </w:rPr>
        <w:t>6</w:t>
      </w:r>
      <w:r w:rsidR="009330DD">
        <w:rPr>
          <w:i/>
        </w:rPr>
        <w:t xml:space="preserve"> </w:t>
      </w:r>
      <w:r w:rsidR="009330DD" w:rsidRPr="009330DD">
        <w:rPr>
          <w:i/>
        </w:rPr>
        <w:t>$100 million to &lt; $200 million</w:t>
      </w:r>
    </w:p>
    <w:p w14:paraId="1209763D" w14:textId="52486184" w:rsidR="00C05A8D" w:rsidRPr="008A02C8" w:rsidRDefault="00C05A8D" w:rsidP="002F0974">
      <w:pPr>
        <w:pStyle w:val="FooterTableFigure"/>
        <w:rPr>
          <w:i/>
        </w:rPr>
      </w:pPr>
      <w:r>
        <w:rPr>
          <w:i/>
          <w:vertAlign w:val="superscript"/>
        </w:rPr>
        <w:t>7</w:t>
      </w:r>
      <w:r w:rsidR="008A02C8">
        <w:rPr>
          <w:i/>
        </w:rPr>
        <w:t xml:space="preserve"> </w:t>
      </w:r>
      <w:r w:rsidR="008A02C8" w:rsidRPr="008A02C8">
        <w:rPr>
          <w:i/>
        </w:rPr>
        <w:t>net cost saving</w:t>
      </w:r>
    </w:p>
    <w:p w14:paraId="3E1848D6" w14:textId="1319E815" w:rsidR="00C05A8D" w:rsidRPr="00D35BEA" w:rsidRDefault="00C05A8D" w:rsidP="002F0974">
      <w:pPr>
        <w:pStyle w:val="FooterTableFigure"/>
        <w:rPr>
          <w:i/>
        </w:rPr>
      </w:pPr>
      <w:r>
        <w:rPr>
          <w:i/>
          <w:vertAlign w:val="superscript"/>
        </w:rPr>
        <w:t>8</w:t>
      </w:r>
      <w:r w:rsidR="00D35BEA">
        <w:rPr>
          <w:i/>
        </w:rPr>
        <w:t xml:space="preserve"> </w:t>
      </w:r>
      <w:r w:rsidR="00D35BEA" w:rsidRPr="00D35BEA">
        <w:rPr>
          <w:i/>
        </w:rPr>
        <w:t>$0 to &lt; $10 million</w:t>
      </w:r>
    </w:p>
    <w:p w14:paraId="32ECE083" w14:textId="513FA690" w:rsidR="002F0974" w:rsidRPr="00CA69A1" w:rsidRDefault="00C05A8D" w:rsidP="002F0974">
      <w:pPr>
        <w:pStyle w:val="FooterTableFigure"/>
        <w:rPr>
          <w:i/>
        </w:rPr>
      </w:pPr>
      <w:r>
        <w:rPr>
          <w:i/>
          <w:vertAlign w:val="superscript"/>
        </w:rPr>
        <w:t>9</w:t>
      </w:r>
      <w:r w:rsidR="00CA69A1">
        <w:rPr>
          <w:i/>
        </w:rPr>
        <w:t xml:space="preserve"> </w:t>
      </w:r>
      <w:r w:rsidR="00CA69A1" w:rsidRPr="00CA69A1">
        <w:rPr>
          <w:i/>
        </w:rPr>
        <w:t>5,000 to &lt; 10,000</w:t>
      </w:r>
    </w:p>
    <w:p w14:paraId="446DDB47" w14:textId="42108CAC" w:rsidR="002F0974" w:rsidRPr="003153AA" w:rsidRDefault="002F0974" w:rsidP="002F0974">
      <w:pPr>
        <w:pStyle w:val="3-BodyText"/>
        <w:numPr>
          <w:ilvl w:val="1"/>
          <w:numId w:val="1"/>
        </w:numPr>
      </w:pPr>
      <w:r w:rsidRPr="003153AA">
        <w:t xml:space="preserve">The total cost to the PBS/RPBS of listing loncastuximab tesirine was estimated to be </w:t>
      </w:r>
      <w:r w:rsidR="003076A9" w:rsidRPr="003076A9">
        <w:t>$30 million to &lt; $40 million</w:t>
      </w:r>
      <w:r w:rsidR="003076A9" w:rsidRPr="003076A9" w:rsidDel="003076A9">
        <w:t xml:space="preserve"> </w:t>
      </w:r>
      <w:r w:rsidRPr="003153AA">
        <w:t xml:space="preserve">by Year 6, and a total of </w:t>
      </w:r>
      <w:r w:rsidR="00DC0D2D" w:rsidRPr="00DC0D2D">
        <w:t>$100 million to &lt; $200 million</w:t>
      </w:r>
      <w:r w:rsidR="00734BB9">
        <w:t xml:space="preserve"> </w:t>
      </w:r>
      <w:r w:rsidRPr="003153AA">
        <w:t xml:space="preserve">in the first 6 years of listing. </w:t>
      </w:r>
    </w:p>
    <w:p w14:paraId="45821CE4" w14:textId="37ED7D63" w:rsidR="002F0974" w:rsidRPr="003153AA" w:rsidRDefault="002F0974" w:rsidP="002F0974">
      <w:pPr>
        <w:pStyle w:val="3-BodyText"/>
        <w:numPr>
          <w:ilvl w:val="1"/>
          <w:numId w:val="1"/>
        </w:numPr>
      </w:pPr>
      <w:r w:rsidRPr="003153AA">
        <w:lastRenderedPageBreak/>
        <w:t>These financial estimates were highly uncertain due to key issues summarised below:</w:t>
      </w:r>
      <w:r w:rsidR="0009691B">
        <w:t xml:space="preserve"> </w:t>
      </w:r>
    </w:p>
    <w:p w14:paraId="2B9B3876" w14:textId="52A3A191" w:rsidR="002F0974" w:rsidRPr="003153AA" w:rsidRDefault="002F0974" w:rsidP="002A3163">
      <w:pPr>
        <w:pStyle w:val="3-BodyText"/>
        <w:numPr>
          <w:ilvl w:val="0"/>
          <w:numId w:val="14"/>
        </w:numPr>
      </w:pPr>
      <w:r w:rsidRPr="003153AA">
        <w:t xml:space="preserve">The financial impact model specified that the PBS indication was adults with R/R DLBCL, including PMBL and HGBL. PMBL and HGBL are separate subtypes of large B-cell lymphoma, but not DLBCL subtypes. The inclusion of these additional lymphoma subtypes in the financial model was inconsistent with the restriction and increased the number of patients with DLBCL. </w:t>
      </w:r>
      <w:r w:rsidR="00991227">
        <w:t xml:space="preserve">The PBAC considered that it was reasonable to include patients with </w:t>
      </w:r>
      <w:r w:rsidR="00991227" w:rsidRPr="006C4820">
        <w:t xml:space="preserve">HGBL </w:t>
      </w:r>
      <w:r w:rsidR="00991227">
        <w:t xml:space="preserve">and </w:t>
      </w:r>
      <w:r w:rsidR="00991227" w:rsidRPr="00F112A7">
        <w:rPr>
          <w:color w:val="000000" w:themeColor="text1"/>
          <w:lang w:val="en-US"/>
        </w:rPr>
        <w:t>PMBL</w:t>
      </w:r>
      <w:r w:rsidR="00991227">
        <w:rPr>
          <w:color w:val="000000" w:themeColor="text1"/>
          <w:lang w:val="en-US"/>
        </w:rPr>
        <w:t>.</w:t>
      </w:r>
      <w:r w:rsidR="00991227">
        <w:t xml:space="preserve"> </w:t>
      </w:r>
    </w:p>
    <w:p w14:paraId="7CD1D457" w14:textId="4E4FF81B" w:rsidR="002F0974" w:rsidRPr="003153AA" w:rsidRDefault="002F0974" w:rsidP="002A3163">
      <w:pPr>
        <w:pStyle w:val="3-BodyText"/>
        <w:numPr>
          <w:ilvl w:val="0"/>
          <w:numId w:val="14"/>
        </w:numPr>
      </w:pPr>
      <w:r w:rsidRPr="003153AA">
        <w:t xml:space="preserve">The estimated proportion of incident patients entering 3L treatment was 18.25%, which was based on physician surveys conducted across the US and Europe in 2018-2019 (Kanas et al. 2022). </w:t>
      </w:r>
      <w:r w:rsidR="00B87CD8" w:rsidRPr="001F0BC0">
        <w:t xml:space="preserve">The Sub-Committees agreed with the </w:t>
      </w:r>
      <w:r w:rsidR="00354F15">
        <w:t>evaluation</w:t>
      </w:r>
      <w:r w:rsidR="00B87CD8" w:rsidRPr="001F0BC0">
        <w:t xml:space="preserve"> that </w:t>
      </w:r>
      <w:r w:rsidRPr="001F0BC0">
        <w:t>Wellard et al.</w:t>
      </w:r>
      <w:r w:rsidRPr="003153AA">
        <w:t xml:space="preserve"> 2025 provided a more recent estimate for patients entering 3L treatment (32%), based on DLBCL registry data from Australia. Given the changes in the treatment landscape since 2019 (e.g., CAR-T), the submission may have underestimated the number of eligible patients.</w:t>
      </w:r>
    </w:p>
    <w:p w14:paraId="18CC06C4" w14:textId="77777777" w:rsidR="002F0974" w:rsidRPr="003153AA" w:rsidRDefault="002F0974" w:rsidP="002F0974">
      <w:pPr>
        <w:pStyle w:val="3-BodyText"/>
        <w:numPr>
          <w:ilvl w:val="1"/>
          <w:numId w:val="1"/>
        </w:numPr>
      </w:pPr>
      <w:r w:rsidRPr="003153AA">
        <w:t>The number of treated patients was highly uncertain due to:</w:t>
      </w:r>
    </w:p>
    <w:p w14:paraId="662C5C1A" w14:textId="77777777" w:rsidR="002F0974" w:rsidRPr="003153AA" w:rsidRDefault="002F0974" w:rsidP="002A3163">
      <w:pPr>
        <w:pStyle w:val="3-BodyText"/>
        <w:numPr>
          <w:ilvl w:val="0"/>
          <w:numId w:val="15"/>
        </w:numPr>
      </w:pPr>
      <w:r w:rsidRPr="003153AA">
        <w:t xml:space="preserve">the recent introduction of CAR-T therapies in second line and potential impact on subsequent treatment lines, which the submission did not appropriately account for; </w:t>
      </w:r>
    </w:p>
    <w:p w14:paraId="4ED6358D" w14:textId="77777777" w:rsidR="002F0974" w:rsidRPr="003153AA" w:rsidRDefault="002F0974" w:rsidP="002A3163">
      <w:pPr>
        <w:pStyle w:val="3-BodyText"/>
        <w:numPr>
          <w:ilvl w:val="0"/>
          <w:numId w:val="15"/>
        </w:numPr>
      </w:pPr>
      <w:r w:rsidRPr="003153AA">
        <w:t xml:space="preserve">uncertain proportion of patients eligible for CAR-T; </w:t>
      </w:r>
    </w:p>
    <w:p w14:paraId="0B1BAE99" w14:textId="1A2759BA" w:rsidR="006131DA" w:rsidRPr="000A3112" w:rsidRDefault="002F0974" w:rsidP="002A3163">
      <w:pPr>
        <w:pStyle w:val="3-BodyText"/>
        <w:numPr>
          <w:ilvl w:val="0"/>
          <w:numId w:val="15"/>
        </w:numPr>
      </w:pPr>
      <w:r w:rsidRPr="003153AA">
        <w:t xml:space="preserve">uncertain eligibility and uptake rates for </w:t>
      </w:r>
      <w:proofErr w:type="spellStart"/>
      <w:r w:rsidRPr="003153AA">
        <w:t>bispecifics</w:t>
      </w:r>
      <w:proofErr w:type="spellEnd"/>
      <w:r w:rsidRPr="003153AA">
        <w:t>.</w:t>
      </w:r>
      <w:r w:rsidR="006131DA">
        <w:t xml:space="preserve"> </w:t>
      </w:r>
      <w:r w:rsidR="006131DA" w:rsidRPr="000A3112">
        <w:t xml:space="preserve">The Sub-Committees considered higher uptake rates would be likely and result in higher PBS expenditure (Table </w:t>
      </w:r>
      <w:r w:rsidR="00064336" w:rsidRPr="000A3112">
        <w:t>20</w:t>
      </w:r>
      <w:r w:rsidR="006131DA" w:rsidRPr="000A3112">
        <w:t>).</w:t>
      </w:r>
      <w:r w:rsidR="00BC158B">
        <w:t xml:space="preserve"> </w:t>
      </w:r>
    </w:p>
    <w:p w14:paraId="36E2D469" w14:textId="77777777" w:rsidR="00C87B16" w:rsidRPr="000A3112" w:rsidRDefault="00C87B16" w:rsidP="002A3163">
      <w:pPr>
        <w:pStyle w:val="3-BodyText"/>
        <w:numPr>
          <w:ilvl w:val="0"/>
          <w:numId w:val="15"/>
        </w:numPr>
      </w:pPr>
      <w:r w:rsidRPr="000A3112">
        <w:t xml:space="preserve">The Sub-Committees considered a prevalent pool of patients should be included in the estimates. </w:t>
      </w:r>
    </w:p>
    <w:p w14:paraId="16171937" w14:textId="0AEA5FC4" w:rsidR="002F0974" w:rsidRPr="003153AA" w:rsidRDefault="002F0974" w:rsidP="002F0974">
      <w:pPr>
        <w:pStyle w:val="3-BodyText"/>
        <w:numPr>
          <w:ilvl w:val="1"/>
          <w:numId w:val="1"/>
        </w:numPr>
      </w:pPr>
      <w:r w:rsidRPr="003153AA">
        <w:t xml:space="preserve">The number of scripts was based on an average treatment duration of 12.79 weeks. The submission stated this was informed by the economic model, but the average treatment duration was not reported. The median time on treatment in the economic model did not reach seven weeks, and mean time on treatment using the time on treatment Gompertz extrapolation used in the model was 12.37 weeks (calculated during the evaluation), </w:t>
      </w:r>
      <w:proofErr w:type="gramStart"/>
      <w:r w:rsidRPr="003153AA">
        <w:t>similar to</w:t>
      </w:r>
      <w:proofErr w:type="gramEnd"/>
      <w:r w:rsidRPr="003153AA">
        <w:t xml:space="preserve"> the mean treatment duration in the LOTIS trial (12.24 weeks).</w:t>
      </w:r>
    </w:p>
    <w:p w14:paraId="0F2F07CF" w14:textId="77777777" w:rsidR="002F0974" w:rsidRPr="003153AA" w:rsidRDefault="002F0974" w:rsidP="002F0974">
      <w:pPr>
        <w:pStyle w:val="3-BodyText"/>
        <w:numPr>
          <w:ilvl w:val="1"/>
          <w:numId w:val="1"/>
        </w:numPr>
      </w:pPr>
      <w:r w:rsidRPr="003153AA">
        <w:t xml:space="preserve">The submission did not provide the source for the treatment duration used to calculate R-ICE scripts (7.59 weeks). This value was not reported in the CORAL trial. Furthermore, compliance for R-ICE patients was 100% while compliance for loncastuximab tesirine was 98.10%. This is inconsistent with the superior safety claim by the submission, as compliance rates are lower with higher toxicity. Higher compliance rates increased the number of displaced R-ICE scripts, which would underestimate the financial estimates </w:t>
      </w:r>
    </w:p>
    <w:p w14:paraId="5B7DD57B" w14:textId="21A00777" w:rsidR="00602E04" w:rsidRPr="000A3112" w:rsidRDefault="00184AEF" w:rsidP="00602E04">
      <w:pPr>
        <w:pStyle w:val="3-BodyText"/>
        <w:numPr>
          <w:ilvl w:val="1"/>
          <w:numId w:val="1"/>
        </w:numPr>
      </w:pPr>
      <w:bookmarkStart w:id="75" w:name="_Ref226968963"/>
      <w:bookmarkStart w:id="76" w:name="_Toc22897648"/>
      <w:r w:rsidRPr="000A3112">
        <w:t xml:space="preserve">The </w:t>
      </w:r>
      <w:r w:rsidR="00A65D68" w:rsidRPr="000A3112">
        <w:t>S</w:t>
      </w:r>
      <w:r w:rsidRPr="000A3112">
        <w:t>ub-</w:t>
      </w:r>
      <w:r w:rsidR="00A65D68" w:rsidRPr="000A3112">
        <w:t>C</w:t>
      </w:r>
      <w:r w:rsidRPr="000A3112">
        <w:t>ommittees considered t</w:t>
      </w:r>
      <w:r w:rsidR="00796B6F" w:rsidRPr="000A3112">
        <w:t>hat</w:t>
      </w:r>
      <w:r w:rsidR="008E0EF2" w:rsidRPr="000A3112">
        <w:t xml:space="preserve"> the</w:t>
      </w:r>
      <w:r w:rsidR="00796B6F" w:rsidRPr="000A3112">
        <w:t xml:space="preserve"> </w:t>
      </w:r>
      <w:r w:rsidR="00B53F35" w:rsidRPr="000A3112">
        <w:t>financial implications</w:t>
      </w:r>
      <w:r w:rsidR="00796B6F" w:rsidRPr="000A3112">
        <w:t xml:space="preserve"> </w:t>
      </w:r>
      <w:r w:rsidR="007B7E84" w:rsidRPr="000A3112">
        <w:t>were underestimated</w:t>
      </w:r>
      <w:r w:rsidR="00C87B16" w:rsidRPr="000A3112">
        <w:t>. The Sub-</w:t>
      </w:r>
      <w:r w:rsidR="001C5F5F" w:rsidRPr="000A3112">
        <w:t>C</w:t>
      </w:r>
      <w:r w:rsidR="00C87B16" w:rsidRPr="000A3112">
        <w:t xml:space="preserve">ommittees suggested changes to the </w:t>
      </w:r>
      <w:r w:rsidR="00D941E1" w:rsidRPr="000A3112">
        <w:t xml:space="preserve">epidemiological model </w:t>
      </w:r>
      <w:r w:rsidR="00E11235" w:rsidRPr="000A3112">
        <w:t xml:space="preserve">are presented in Table 20 and incorporate </w:t>
      </w:r>
      <w:r w:rsidR="007D6E75" w:rsidRPr="000A3112">
        <w:t>increased uptake rates, a prevalent pool and</w:t>
      </w:r>
      <w:r w:rsidR="00CF130A" w:rsidRPr="000A3112">
        <w:t xml:space="preserve"> an increase </w:t>
      </w:r>
      <w:r w:rsidR="00CF130A" w:rsidRPr="000A3112">
        <w:lastRenderedPageBreak/>
        <w:t>in the proportion of incident patients entering 3L treatment</w:t>
      </w:r>
      <w:r w:rsidR="003B160F" w:rsidRPr="000A3112">
        <w:t>.</w:t>
      </w:r>
      <w:r w:rsidR="007D6E75" w:rsidRPr="000A3112">
        <w:t xml:space="preserve"> </w:t>
      </w:r>
      <w:r w:rsidR="00EC437B">
        <w:t>The pre-PBAC response</w:t>
      </w:r>
      <w:r w:rsidR="005822E1">
        <w:t xml:space="preserve"> </w:t>
      </w:r>
      <w:r w:rsidR="00B437F3">
        <w:t xml:space="preserve">stated that a substantial proportion of 3L patients continue to receive treatment through clinical trials, therefore the uptake rate proposed by the Sub-Committees is likely to </w:t>
      </w:r>
      <w:r w:rsidR="00C45E96">
        <w:t>reflect the upper limit of loncastuximab tesirine use on the PBS.</w:t>
      </w:r>
      <w:bookmarkEnd w:id="75"/>
      <w:r w:rsidR="00C45E96">
        <w:t xml:space="preserve"> </w:t>
      </w:r>
    </w:p>
    <w:p w14:paraId="68B4FA31" w14:textId="77777777" w:rsidR="00602E04" w:rsidRDefault="00602E04" w:rsidP="00C76A92">
      <w:pPr>
        <w:pStyle w:val="Caption"/>
        <w:rPr>
          <w:rFonts w:asciiTheme="minorHAnsi" w:eastAsiaTheme="minorHAnsi" w:hAnsiTheme="minorHAnsi" w:cstheme="minorBidi"/>
          <w:i/>
          <w:iCs/>
          <w:sz w:val="24"/>
          <w:szCs w:val="22"/>
        </w:rPr>
      </w:pPr>
    </w:p>
    <w:p w14:paraId="250FCA78" w14:textId="00661EB7" w:rsidR="00C76A92" w:rsidRPr="00716AA1" w:rsidRDefault="00C76A92" w:rsidP="00C76A92">
      <w:pPr>
        <w:pStyle w:val="Caption"/>
        <w:rPr>
          <w:rStyle w:val="CommentReference"/>
          <w:b/>
          <w:szCs w:val="24"/>
        </w:rPr>
      </w:pPr>
      <w:bookmarkStart w:id="77" w:name="_Ref226644237"/>
      <w:r w:rsidRPr="00716AA1">
        <w:t>Table 20</w:t>
      </w:r>
      <w:bookmarkEnd w:id="77"/>
      <w:r w:rsidRPr="00716AA1">
        <w:fldChar w:fldCharType="begin"/>
      </w:r>
      <w:r w:rsidRPr="00716AA1">
        <w:instrText>SEQ Table \* ARABIC</w:instrText>
      </w:r>
      <w:r w:rsidRPr="00716AA1">
        <w:fldChar w:fldCharType="separate"/>
      </w:r>
      <w:r w:rsidRPr="00716AA1">
        <w:fldChar w:fldCharType="end"/>
      </w:r>
      <w:r w:rsidRPr="00716AA1">
        <w:t>:</w:t>
      </w:r>
      <w:r w:rsidRPr="00716AA1">
        <w:rPr>
          <w:rStyle w:val="CommentReference"/>
          <w:b/>
          <w:szCs w:val="24"/>
        </w:rPr>
        <w:t xml:space="preserve"> Sensitivity analysis of estimated use and financial implications incorporating Sub-Committee advice </w:t>
      </w:r>
    </w:p>
    <w:tbl>
      <w:tblPr>
        <w:tblStyle w:val="ASDTable2"/>
        <w:tblW w:w="0" w:type="auto"/>
        <w:tblInd w:w="0" w:type="dxa"/>
        <w:tblCellMar>
          <w:left w:w="28" w:type="dxa"/>
          <w:right w:w="28" w:type="dxa"/>
        </w:tblCellMar>
        <w:tblLook w:val="04A0" w:firstRow="1" w:lastRow="0" w:firstColumn="1" w:lastColumn="0" w:noHBand="0" w:noVBand="1"/>
        <w:tblCaption w:val="Table 20: Sensitivity analysis of estimated use and financial implications incorporating Sub-Committee advice "/>
      </w:tblPr>
      <w:tblGrid>
        <w:gridCol w:w="2610"/>
        <w:gridCol w:w="421"/>
        <w:gridCol w:w="421"/>
        <w:gridCol w:w="421"/>
        <w:gridCol w:w="421"/>
        <w:gridCol w:w="421"/>
        <w:gridCol w:w="421"/>
        <w:gridCol w:w="448"/>
        <w:gridCol w:w="1487"/>
      </w:tblGrid>
      <w:tr w:rsidR="0079675E" w:rsidRPr="00716AA1" w14:paraId="27FE67FF" w14:textId="7E0F1B03" w:rsidTr="00400FF7">
        <w:trPr>
          <w:trHeight w:val="20"/>
          <w:tblHeader/>
        </w:trPr>
        <w:tc>
          <w:tcPr>
            <w:tcW w:w="0" w:type="auto"/>
            <w:tcBorders>
              <w:top w:val="single" w:sz="4" w:space="0" w:color="auto"/>
              <w:left w:val="single" w:sz="4" w:space="0" w:color="auto"/>
              <w:bottom w:val="single" w:sz="4" w:space="0" w:color="auto"/>
              <w:right w:val="single" w:sz="4" w:space="0" w:color="auto"/>
            </w:tcBorders>
            <w:vAlign w:val="center"/>
          </w:tcPr>
          <w:p w14:paraId="0A693938" w14:textId="77777777" w:rsidR="0079675E" w:rsidRPr="00716AA1" w:rsidRDefault="0079675E" w:rsidP="00A40BD9">
            <w:pPr>
              <w:pStyle w:val="TableText0"/>
              <w:jc w:val="center"/>
              <w:rPr>
                <w:b/>
                <w:bCs w:val="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1C4BE5D" w14:textId="77777777" w:rsidR="0079675E" w:rsidRPr="00716AA1" w:rsidRDefault="0079675E" w:rsidP="00A40BD9">
            <w:pPr>
              <w:pStyle w:val="TableText0"/>
              <w:jc w:val="center"/>
              <w:rPr>
                <w:b/>
                <w:bCs w:val="0"/>
                <w:szCs w:val="20"/>
              </w:rPr>
            </w:pPr>
            <w:r w:rsidRPr="00716AA1">
              <w:rPr>
                <w:b/>
                <w:bCs w:val="0"/>
                <w:szCs w:val="20"/>
              </w:rPr>
              <w:t>2026</w:t>
            </w:r>
          </w:p>
        </w:tc>
        <w:tc>
          <w:tcPr>
            <w:tcW w:w="0" w:type="auto"/>
            <w:tcBorders>
              <w:top w:val="single" w:sz="4" w:space="0" w:color="auto"/>
              <w:left w:val="single" w:sz="4" w:space="0" w:color="auto"/>
              <w:bottom w:val="single" w:sz="4" w:space="0" w:color="auto"/>
              <w:right w:val="single" w:sz="4" w:space="0" w:color="auto"/>
            </w:tcBorders>
            <w:vAlign w:val="center"/>
          </w:tcPr>
          <w:p w14:paraId="73C79EEB" w14:textId="77777777" w:rsidR="0079675E" w:rsidRPr="00716AA1" w:rsidRDefault="0079675E" w:rsidP="00A40BD9">
            <w:pPr>
              <w:pStyle w:val="TableText0"/>
              <w:jc w:val="center"/>
              <w:rPr>
                <w:b/>
                <w:bCs w:val="0"/>
                <w:szCs w:val="20"/>
              </w:rPr>
            </w:pPr>
            <w:r w:rsidRPr="00716AA1">
              <w:rPr>
                <w:b/>
                <w:bCs w:val="0"/>
                <w:szCs w:val="20"/>
              </w:rPr>
              <w:t>2027</w:t>
            </w:r>
          </w:p>
        </w:tc>
        <w:tc>
          <w:tcPr>
            <w:tcW w:w="0" w:type="auto"/>
            <w:tcBorders>
              <w:top w:val="single" w:sz="4" w:space="0" w:color="auto"/>
              <w:left w:val="single" w:sz="4" w:space="0" w:color="auto"/>
              <w:bottom w:val="single" w:sz="4" w:space="0" w:color="auto"/>
              <w:right w:val="single" w:sz="4" w:space="0" w:color="auto"/>
            </w:tcBorders>
            <w:vAlign w:val="center"/>
          </w:tcPr>
          <w:p w14:paraId="4C2892DC" w14:textId="77777777" w:rsidR="0079675E" w:rsidRPr="00716AA1" w:rsidRDefault="0079675E" w:rsidP="00A40BD9">
            <w:pPr>
              <w:pStyle w:val="TableText0"/>
              <w:jc w:val="center"/>
              <w:rPr>
                <w:b/>
                <w:bCs w:val="0"/>
                <w:szCs w:val="20"/>
              </w:rPr>
            </w:pPr>
            <w:r w:rsidRPr="00716AA1">
              <w:rPr>
                <w:b/>
                <w:bCs w:val="0"/>
                <w:szCs w:val="20"/>
              </w:rPr>
              <w:t>2028</w:t>
            </w:r>
          </w:p>
        </w:tc>
        <w:tc>
          <w:tcPr>
            <w:tcW w:w="0" w:type="auto"/>
            <w:tcBorders>
              <w:top w:val="single" w:sz="4" w:space="0" w:color="auto"/>
              <w:left w:val="single" w:sz="4" w:space="0" w:color="auto"/>
              <w:bottom w:val="single" w:sz="4" w:space="0" w:color="auto"/>
              <w:right w:val="single" w:sz="4" w:space="0" w:color="auto"/>
            </w:tcBorders>
            <w:vAlign w:val="center"/>
          </w:tcPr>
          <w:p w14:paraId="4B96EBA5" w14:textId="77777777" w:rsidR="0079675E" w:rsidRPr="00716AA1" w:rsidRDefault="0079675E" w:rsidP="00A40BD9">
            <w:pPr>
              <w:pStyle w:val="TableText0"/>
              <w:jc w:val="center"/>
              <w:rPr>
                <w:b/>
                <w:bCs w:val="0"/>
                <w:szCs w:val="20"/>
              </w:rPr>
            </w:pPr>
            <w:r w:rsidRPr="00716AA1">
              <w:rPr>
                <w:b/>
                <w:bCs w:val="0"/>
                <w:szCs w:val="20"/>
              </w:rPr>
              <w:t>2029</w:t>
            </w:r>
          </w:p>
        </w:tc>
        <w:tc>
          <w:tcPr>
            <w:tcW w:w="0" w:type="auto"/>
            <w:tcBorders>
              <w:top w:val="single" w:sz="4" w:space="0" w:color="auto"/>
              <w:left w:val="single" w:sz="4" w:space="0" w:color="auto"/>
              <w:bottom w:val="single" w:sz="4" w:space="0" w:color="auto"/>
              <w:right w:val="single" w:sz="4" w:space="0" w:color="auto"/>
            </w:tcBorders>
            <w:vAlign w:val="center"/>
          </w:tcPr>
          <w:p w14:paraId="77DAFE17" w14:textId="77777777" w:rsidR="0079675E" w:rsidRPr="00716AA1" w:rsidRDefault="0079675E" w:rsidP="00A40BD9">
            <w:pPr>
              <w:pStyle w:val="TableText0"/>
              <w:jc w:val="center"/>
              <w:rPr>
                <w:b/>
                <w:bCs w:val="0"/>
                <w:szCs w:val="20"/>
              </w:rPr>
            </w:pPr>
            <w:r w:rsidRPr="00716AA1">
              <w:rPr>
                <w:b/>
                <w:bCs w:val="0"/>
                <w:szCs w:val="20"/>
              </w:rPr>
              <w:t>2030</w:t>
            </w:r>
          </w:p>
        </w:tc>
        <w:tc>
          <w:tcPr>
            <w:tcW w:w="0" w:type="auto"/>
            <w:tcBorders>
              <w:top w:val="single" w:sz="4" w:space="0" w:color="auto"/>
              <w:left w:val="single" w:sz="4" w:space="0" w:color="auto"/>
              <w:bottom w:val="single" w:sz="4" w:space="0" w:color="auto"/>
              <w:right w:val="single" w:sz="4" w:space="0" w:color="auto"/>
            </w:tcBorders>
            <w:vAlign w:val="center"/>
            <w:hideMark/>
          </w:tcPr>
          <w:p w14:paraId="2752C0CD" w14:textId="77777777" w:rsidR="0079675E" w:rsidRPr="00716AA1" w:rsidRDefault="0079675E" w:rsidP="00A40BD9">
            <w:pPr>
              <w:pStyle w:val="TableText0"/>
              <w:jc w:val="center"/>
              <w:rPr>
                <w:b/>
                <w:bCs w:val="0"/>
                <w:szCs w:val="20"/>
              </w:rPr>
            </w:pPr>
            <w:r w:rsidRPr="00716AA1">
              <w:rPr>
                <w:b/>
                <w:bCs w:val="0"/>
                <w:szCs w:val="20"/>
              </w:rPr>
              <w:t>2031</w:t>
            </w:r>
          </w:p>
        </w:tc>
        <w:tc>
          <w:tcPr>
            <w:tcW w:w="0" w:type="auto"/>
            <w:tcBorders>
              <w:top w:val="single" w:sz="4" w:space="0" w:color="auto"/>
              <w:left w:val="single" w:sz="4" w:space="0" w:color="auto"/>
              <w:bottom w:val="single" w:sz="4" w:space="0" w:color="auto"/>
              <w:right w:val="single" w:sz="4" w:space="0" w:color="auto"/>
            </w:tcBorders>
            <w:vAlign w:val="center"/>
            <w:hideMark/>
          </w:tcPr>
          <w:p w14:paraId="2CBB4979" w14:textId="77777777" w:rsidR="0079675E" w:rsidRPr="00716AA1" w:rsidRDefault="0079675E" w:rsidP="00A40BD9">
            <w:pPr>
              <w:pStyle w:val="TableText0"/>
              <w:jc w:val="center"/>
              <w:rPr>
                <w:b/>
                <w:bCs w:val="0"/>
                <w:szCs w:val="20"/>
              </w:rPr>
            </w:pPr>
            <w:r w:rsidRPr="00716AA1">
              <w:rPr>
                <w:b/>
                <w:bCs w:val="0"/>
                <w:szCs w:val="20"/>
              </w:rPr>
              <w:t>Total</w:t>
            </w:r>
          </w:p>
        </w:tc>
        <w:tc>
          <w:tcPr>
            <w:tcW w:w="0" w:type="auto"/>
          </w:tcPr>
          <w:p w14:paraId="248C2B37" w14:textId="4E99B6C4" w:rsidR="0079675E" w:rsidRPr="00716AA1" w:rsidRDefault="00174E49" w:rsidP="00A40BD9">
            <w:pPr>
              <w:pStyle w:val="TableText0"/>
              <w:jc w:val="center"/>
              <w:rPr>
                <w:b/>
                <w:bCs w:val="0"/>
                <w:szCs w:val="20"/>
              </w:rPr>
            </w:pPr>
            <w:r w:rsidRPr="00716AA1">
              <w:rPr>
                <w:b/>
                <w:bCs w:val="0"/>
                <w:szCs w:val="20"/>
              </w:rPr>
              <w:t>Total % Difference</w:t>
            </w:r>
          </w:p>
        </w:tc>
      </w:tr>
      <w:tr w:rsidR="0079675E" w:rsidRPr="00716AA1" w14:paraId="20E75F3D" w14:textId="3EFC0A81" w:rsidTr="00400FF7">
        <w:trPr>
          <w:trHeight w:val="20"/>
        </w:trPr>
        <w:tc>
          <w:tcPr>
            <w:tcW w:w="0" w:type="auto"/>
            <w:gridSpan w:val="8"/>
            <w:tcBorders>
              <w:top w:val="single" w:sz="4" w:space="0" w:color="auto"/>
              <w:left w:val="single" w:sz="4" w:space="0" w:color="auto"/>
              <w:bottom w:val="single" w:sz="4" w:space="0" w:color="auto"/>
              <w:right w:val="single" w:sz="4" w:space="0" w:color="auto"/>
            </w:tcBorders>
            <w:vAlign w:val="center"/>
          </w:tcPr>
          <w:p w14:paraId="65E86E96" w14:textId="77777777" w:rsidR="0079675E" w:rsidRPr="00716AA1" w:rsidRDefault="0079675E" w:rsidP="00A40BD9">
            <w:pPr>
              <w:pStyle w:val="TableText0"/>
              <w:rPr>
                <w:b/>
                <w:bCs w:val="0"/>
                <w:szCs w:val="20"/>
              </w:rPr>
            </w:pPr>
            <w:r w:rsidRPr="00716AA1">
              <w:rPr>
                <w:b/>
                <w:bCs w:val="0"/>
                <w:szCs w:val="20"/>
              </w:rPr>
              <w:t>Estimation of number of patients (3L+ R/R DLBCL, PMBL, HGBL)</w:t>
            </w:r>
          </w:p>
        </w:tc>
        <w:tc>
          <w:tcPr>
            <w:tcW w:w="0" w:type="auto"/>
          </w:tcPr>
          <w:p w14:paraId="662BCD7A" w14:textId="77777777" w:rsidR="0079675E" w:rsidRPr="00716AA1" w:rsidRDefault="0079675E" w:rsidP="00A40BD9">
            <w:pPr>
              <w:pStyle w:val="TableText0"/>
              <w:rPr>
                <w:b/>
                <w:bCs w:val="0"/>
                <w:szCs w:val="20"/>
              </w:rPr>
            </w:pPr>
          </w:p>
        </w:tc>
      </w:tr>
      <w:tr w:rsidR="0079675E" w:rsidRPr="00716AA1" w14:paraId="0622F0D3" w14:textId="769F7665" w:rsidTr="00400FF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73D6C77" w14:textId="77777777" w:rsidR="0079675E" w:rsidRPr="00716AA1" w:rsidRDefault="0079675E" w:rsidP="00A40BD9">
            <w:pPr>
              <w:pStyle w:val="TableText0"/>
              <w:rPr>
                <w:szCs w:val="20"/>
              </w:rPr>
            </w:pPr>
            <w:r w:rsidRPr="00716AA1">
              <w:rPr>
                <w:szCs w:val="20"/>
              </w:rPr>
              <w:t>Incident patients</w:t>
            </w:r>
          </w:p>
        </w:tc>
        <w:tc>
          <w:tcPr>
            <w:tcW w:w="0" w:type="auto"/>
            <w:tcBorders>
              <w:top w:val="single" w:sz="4" w:space="0" w:color="auto"/>
              <w:left w:val="single" w:sz="4" w:space="0" w:color="auto"/>
              <w:bottom w:val="single" w:sz="4" w:space="0" w:color="auto"/>
              <w:right w:val="single" w:sz="4" w:space="0" w:color="auto"/>
            </w:tcBorders>
            <w:vAlign w:val="center"/>
          </w:tcPr>
          <w:p w14:paraId="3A77121C" w14:textId="19B67C79" w:rsidR="0079675E" w:rsidRPr="004F665F" w:rsidRDefault="005822E1" w:rsidP="00A40BD9">
            <w:pPr>
              <w:pStyle w:val="TableText0"/>
              <w:jc w:val="center"/>
              <w:rPr>
                <w:szCs w:val="20"/>
                <w:vertAlign w:val="superscript"/>
              </w:rPr>
            </w:pPr>
            <w:r w:rsidRPr="005822E1">
              <w:rPr>
                <w:sz w:val="2"/>
                <w:szCs w:val="20"/>
                <w:highlight w:val="black"/>
              </w:rPr>
              <w:t>redacted content</w:t>
            </w:r>
            <w:r w:rsidR="004F665F">
              <w:rPr>
                <w:szCs w:val="20"/>
                <w:vertAlign w:val="superscript"/>
              </w:rPr>
              <w:t>1</w:t>
            </w:r>
          </w:p>
        </w:tc>
        <w:tc>
          <w:tcPr>
            <w:tcW w:w="0" w:type="auto"/>
            <w:tcBorders>
              <w:top w:val="single" w:sz="4" w:space="0" w:color="auto"/>
              <w:left w:val="single" w:sz="4" w:space="0" w:color="auto"/>
              <w:bottom w:val="single" w:sz="4" w:space="0" w:color="auto"/>
              <w:right w:val="single" w:sz="4" w:space="0" w:color="auto"/>
            </w:tcBorders>
            <w:vAlign w:val="center"/>
          </w:tcPr>
          <w:p w14:paraId="04FE7FD6" w14:textId="79CA4E13" w:rsidR="0079675E" w:rsidRPr="004F665F" w:rsidRDefault="005822E1" w:rsidP="00A40BD9">
            <w:pPr>
              <w:pStyle w:val="TableText0"/>
              <w:jc w:val="center"/>
              <w:rPr>
                <w:szCs w:val="20"/>
                <w:vertAlign w:val="superscript"/>
              </w:rPr>
            </w:pPr>
            <w:r w:rsidRPr="005822E1">
              <w:rPr>
                <w:sz w:val="2"/>
                <w:szCs w:val="20"/>
                <w:highlight w:val="black"/>
              </w:rPr>
              <w:t>redacted content</w:t>
            </w:r>
            <w:r w:rsidR="004F665F">
              <w:rPr>
                <w:szCs w:val="20"/>
                <w:vertAlign w:val="superscript"/>
              </w:rPr>
              <w:t>1</w:t>
            </w:r>
          </w:p>
        </w:tc>
        <w:tc>
          <w:tcPr>
            <w:tcW w:w="0" w:type="auto"/>
            <w:tcBorders>
              <w:top w:val="single" w:sz="4" w:space="0" w:color="auto"/>
              <w:left w:val="single" w:sz="4" w:space="0" w:color="auto"/>
              <w:bottom w:val="single" w:sz="4" w:space="0" w:color="auto"/>
              <w:right w:val="single" w:sz="4" w:space="0" w:color="auto"/>
            </w:tcBorders>
            <w:vAlign w:val="center"/>
          </w:tcPr>
          <w:p w14:paraId="327AE90B" w14:textId="775EF196" w:rsidR="0079675E" w:rsidRPr="004F665F" w:rsidRDefault="005822E1" w:rsidP="00A40BD9">
            <w:pPr>
              <w:pStyle w:val="TableText0"/>
              <w:jc w:val="center"/>
              <w:rPr>
                <w:szCs w:val="20"/>
                <w:vertAlign w:val="superscript"/>
              </w:rPr>
            </w:pPr>
            <w:r w:rsidRPr="005822E1">
              <w:rPr>
                <w:sz w:val="2"/>
                <w:szCs w:val="20"/>
                <w:highlight w:val="black"/>
              </w:rPr>
              <w:t>redacted content</w:t>
            </w:r>
            <w:r w:rsidR="004F665F">
              <w:rPr>
                <w:szCs w:val="20"/>
                <w:vertAlign w:val="superscript"/>
              </w:rPr>
              <w:t>1</w:t>
            </w:r>
          </w:p>
        </w:tc>
        <w:tc>
          <w:tcPr>
            <w:tcW w:w="0" w:type="auto"/>
            <w:tcBorders>
              <w:top w:val="single" w:sz="4" w:space="0" w:color="auto"/>
              <w:left w:val="single" w:sz="4" w:space="0" w:color="auto"/>
              <w:bottom w:val="single" w:sz="4" w:space="0" w:color="auto"/>
              <w:right w:val="single" w:sz="4" w:space="0" w:color="auto"/>
            </w:tcBorders>
            <w:vAlign w:val="center"/>
          </w:tcPr>
          <w:p w14:paraId="304B1C98" w14:textId="5BCA278B" w:rsidR="0079675E" w:rsidRPr="004F665F" w:rsidRDefault="005822E1" w:rsidP="00A40BD9">
            <w:pPr>
              <w:pStyle w:val="TableText0"/>
              <w:jc w:val="center"/>
              <w:rPr>
                <w:szCs w:val="20"/>
                <w:vertAlign w:val="superscript"/>
              </w:rPr>
            </w:pPr>
            <w:r w:rsidRPr="005822E1">
              <w:rPr>
                <w:sz w:val="2"/>
                <w:szCs w:val="20"/>
                <w:highlight w:val="black"/>
              </w:rPr>
              <w:t>redacted content</w:t>
            </w:r>
            <w:r w:rsidR="004F665F">
              <w:rPr>
                <w:szCs w:val="20"/>
                <w:vertAlign w:val="superscript"/>
              </w:rPr>
              <w:t>1</w:t>
            </w:r>
          </w:p>
        </w:tc>
        <w:tc>
          <w:tcPr>
            <w:tcW w:w="0" w:type="auto"/>
            <w:tcBorders>
              <w:top w:val="single" w:sz="4" w:space="0" w:color="auto"/>
              <w:left w:val="single" w:sz="4" w:space="0" w:color="auto"/>
              <w:bottom w:val="single" w:sz="4" w:space="0" w:color="auto"/>
              <w:right w:val="single" w:sz="4" w:space="0" w:color="auto"/>
            </w:tcBorders>
            <w:vAlign w:val="center"/>
          </w:tcPr>
          <w:p w14:paraId="4C94C5A4" w14:textId="63EEF8E6" w:rsidR="0079675E" w:rsidRPr="004F665F" w:rsidRDefault="005822E1" w:rsidP="00A40BD9">
            <w:pPr>
              <w:pStyle w:val="TableText0"/>
              <w:jc w:val="center"/>
              <w:rPr>
                <w:szCs w:val="20"/>
                <w:vertAlign w:val="superscript"/>
              </w:rPr>
            </w:pPr>
            <w:r w:rsidRPr="005822E1">
              <w:rPr>
                <w:sz w:val="2"/>
                <w:szCs w:val="20"/>
                <w:highlight w:val="black"/>
              </w:rPr>
              <w:t>redacted content</w:t>
            </w:r>
            <w:r w:rsidR="004F665F">
              <w:rPr>
                <w:szCs w:val="20"/>
                <w:vertAlign w:val="superscript"/>
              </w:rPr>
              <w:t>1</w:t>
            </w:r>
          </w:p>
        </w:tc>
        <w:tc>
          <w:tcPr>
            <w:tcW w:w="0" w:type="auto"/>
            <w:tcBorders>
              <w:top w:val="single" w:sz="4" w:space="0" w:color="auto"/>
              <w:left w:val="single" w:sz="4" w:space="0" w:color="auto"/>
              <w:bottom w:val="single" w:sz="4" w:space="0" w:color="auto"/>
              <w:right w:val="single" w:sz="4" w:space="0" w:color="auto"/>
            </w:tcBorders>
            <w:vAlign w:val="center"/>
          </w:tcPr>
          <w:p w14:paraId="026EF6EE" w14:textId="6EA346FF" w:rsidR="0079675E" w:rsidRPr="004F665F" w:rsidRDefault="005822E1" w:rsidP="00A40BD9">
            <w:pPr>
              <w:pStyle w:val="TableText0"/>
              <w:jc w:val="center"/>
              <w:rPr>
                <w:szCs w:val="20"/>
                <w:vertAlign w:val="superscript"/>
              </w:rPr>
            </w:pPr>
            <w:r w:rsidRPr="005822E1">
              <w:rPr>
                <w:sz w:val="2"/>
                <w:szCs w:val="20"/>
                <w:highlight w:val="black"/>
              </w:rPr>
              <w:t>redacted content</w:t>
            </w:r>
            <w:r w:rsidR="004F665F">
              <w:rPr>
                <w:szCs w:val="20"/>
                <w:vertAlign w:val="superscript"/>
              </w:rPr>
              <w:t>1</w:t>
            </w:r>
          </w:p>
        </w:tc>
        <w:tc>
          <w:tcPr>
            <w:tcW w:w="0" w:type="auto"/>
            <w:tcBorders>
              <w:top w:val="single" w:sz="4" w:space="0" w:color="auto"/>
              <w:left w:val="single" w:sz="4" w:space="0" w:color="auto"/>
              <w:bottom w:val="single" w:sz="4" w:space="0" w:color="auto"/>
              <w:right w:val="single" w:sz="4" w:space="0" w:color="auto"/>
            </w:tcBorders>
            <w:vAlign w:val="center"/>
          </w:tcPr>
          <w:p w14:paraId="7603AD79" w14:textId="3824AF71" w:rsidR="0079675E" w:rsidRPr="00F22461" w:rsidRDefault="005822E1" w:rsidP="00A40BD9">
            <w:pPr>
              <w:pStyle w:val="TableText0"/>
              <w:jc w:val="center"/>
              <w:rPr>
                <w:szCs w:val="20"/>
                <w:vertAlign w:val="superscript"/>
              </w:rPr>
            </w:pPr>
            <w:r w:rsidRPr="005822E1">
              <w:rPr>
                <w:sz w:val="2"/>
                <w:szCs w:val="20"/>
                <w:highlight w:val="black"/>
              </w:rPr>
              <w:t>redacted content</w:t>
            </w:r>
            <w:r w:rsidR="00F22461">
              <w:rPr>
                <w:szCs w:val="20"/>
                <w:vertAlign w:val="superscript"/>
              </w:rPr>
              <w:t>2</w:t>
            </w:r>
          </w:p>
        </w:tc>
        <w:tc>
          <w:tcPr>
            <w:tcW w:w="0" w:type="auto"/>
          </w:tcPr>
          <w:p w14:paraId="5E8DF0C8" w14:textId="77777777" w:rsidR="0079675E" w:rsidRPr="00716AA1" w:rsidRDefault="0079675E" w:rsidP="00A40BD9">
            <w:pPr>
              <w:pStyle w:val="TableText0"/>
              <w:jc w:val="center"/>
              <w:rPr>
                <w:szCs w:val="20"/>
              </w:rPr>
            </w:pPr>
          </w:p>
        </w:tc>
      </w:tr>
      <w:tr w:rsidR="0079675E" w:rsidRPr="00716AA1" w14:paraId="6960EF7F" w14:textId="534DCC7A" w:rsidTr="00400FF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057D8E6C" w14:textId="77777777" w:rsidR="0079675E" w:rsidRPr="00716AA1" w:rsidRDefault="0079675E" w:rsidP="00A40BD9">
            <w:pPr>
              <w:pStyle w:val="TableText0"/>
              <w:rPr>
                <w:szCs w:val="20"/>
              </w:rPr>
            </w:pPr>
            <w:r w:rsidRPr="00716AA1">
              <w:rPr>
                <w:szCs w:val="20"/>
              </w:rPr>
              <w:t>Proportion of patients who enter 3L</w:t>
            </w:r>
          </w:p>
        </w:tc>
        <w:tc>
          <w:tcPr>
            <w:tcW w:w="0" w:type="auto"/>
            <w:gridSpan w:val="6"/>
            <w:tcBorders>
              <w:top w:val="single" w:sz="4" w:space="0" w:color="auto"/>
              <w:left w:val="single" w:sz="4" w:space="0" w:color="auto"/>
              <w:bottom w:val="single" w:sz="4" w:space="0" w:color="auto"/>
              <w:right w:val="single" w:sz="4" w:space="0" w:color="auto"/>
            </w:tcBorders>
            <w:vAlign w:val="center"/>
          </w:tcPr>
          <w:p w14:paraId="3CCD6874" w14:textId="77777777" w:rsidR="0079675E" w:rsidRPr="00716AA1" w:rsidRDefault="0079675E" w:rsidP="00A40BD9">
            <w:pPr>
              <w:pStyle w:val="TableText0"/>
              <w:jc w:val="center"/>
              <w:rPr>
                <w:szCs w:val="20"/>
              </w:rPr>
            </w:pPr>
            <w:r w:rsidRPr="00716AA1">
              <w:rPr>
                <w:szCs w:val="20"/>
              </w:rPr>
              <w:t>32%</w:t>
            </w:r>
          </w:p>
        </w:tc>
        <w:tc>
          <w:tcPr>
            <w:tcW w:w="0" w:type="auto"/>
            <w:tcBorders>
              <w:top w:val="single" w:sz="4" w:space="0" w:color="auto"/>
              <w:left w:val="single" w:sz="4" w:space="0" w:color="auto"/>
              <w:bottom w:val="single" w:sz="4" w:space="0" w:color="auto"/>
              <w:right w:val="single" w:sz="4" w:space="0" w:color="auto"/>
            </w:tcBorders>
            <w:vAlign w:val="center"/>
          </w:tcPr>
          <w:p w14:paraId="2F2CEBDB" w14:textId="77777777" w:rsidR="0079675E" w:rsidRPr="00716AA1" w:rsidRDefault="0079675E" w:rsidP="00A40BD9">
            <w:pPr>
              <w:pStyle w:val="TableText0"/>
              <w:jc w:val="center"/>
              <w:rPr>
                <w:szCs w:val="20"/>
              </w:rPr>
            </w:pPr>
          </w:p>
        </w:tc>
        <w:tc>
          <w:tcPr>
            <w:tcW w:w="0" w:type="auto"/>
          </w:tcPr>
          <w:p w14:paraId="6AAA4C65" w14:textId="77777777" w:rsidR="0079675E" w:rsidRPr="00716AA1" w:rsidRDefault="0079675E" w:rsidP="00A40BD9">
            <w:pPr>
              <w:pStyle w:val="TableText0"/>
              <w:jc w:val="center"/>
              <w:rPr>
                <w:szCs w:val="20"/>
              </w:rPr>
            </w:pPr>
          </w:p>
        </w:tc>
      </w:tr>
      <w:tr w:rsidR="0079675E" w:rsidRPr="00716AA1" w14:paraId="6F9F8A02" w14:textId="067F00EE" w:rsidTr="00400FF7">
        <w:trPr>
          <w:trHeight w:val="20"/>
          <w:tblHeader/>
        </w:trPr>
        <w:tc>
          <w:tcPr>
            <w:tcW w:w="0" w:type="auto"/>
            <w:tcBorders>
              <w:top w:val="single" w:sz="4" w:space="0" w:color="auto"/>
              <w:left w:val="single" w:sz="4" w:space="0" w:color="auto"/>
              <w:bottom w:val="single" w:sz="4" w:space="0" w:color="auto"/>
              <w:right w:val="single" w:sz="4" w:space="0" w:color="auto"/>
            </w:tcBorders>
            <w:vAlign w:val="center"/>
          </w:tcPr>
          <w:p w14:paraId="46D0CB28" w14:textId="77777777" w:rsidR="0079675E" w:rsidRPr="00716AA1" w:rsidRDefault="0079675E" w:rsidP="00A40BD9">
            <w:pPr>
              <w:pStyle w:val="TableText0"/>
              <w:jc w:val="center"/>
              <w:rPr>
                <w:szCs w:val="20"/>
                <w:vertAlign w:val="superscript"/>
              </w:rPr>
            </w:pPr>
            <w:r w:rsidRPr="00716AA1">
              <w:rPr>
                <w:szCs w:val="20"/>
              </w:rPr>
              <w:t>Eligible 3L+</w:t>
            </w:r>
            <w:r w:rsidRPr="00716AA1">
              <w:rPr>
                <w:szCs w:val="20"/>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30E8636" w14:textId="1A6C3A1E" w:rsidR="0079675E" w:rsidRPr="00716AA1" w:rsidRDefault="005822E1" w:rsidP="00A40BD9">
            <w:pPr>
              <w:pStyle w:val="TableText0"/>
              <w:jc w:val="center"/>
              <w:rPr>
                <w:szCs w:val="20"/>
              </w:rPr>
            </w:pPr>
            <w:r w:rsidRPr="005822E1">
              <w:rPr>
                <w:rFonts w:cs="Arial"/>
                <w:color w:val="000000"/>
                <w:sz w:val="2"/>
                <w:szCs w:val="20"/>
                <w:highlight w:val="black"/>
              </w:rPr>
              <w:t>redacted content</w:t>
            </w:r>
            <w:r w:rsidR="004F665F">
              <w:rPr>
                <w:rFonts w:cs="Arial"/>
                <w:color w:val="000000"/>
                <w:szCs w:val="20"/>
                <w:vertAlign w:val="superscript"/>
              </w:rPr>
              <w:t>1</w:t>
            </w:r>
            <w:r w:rsidR="0079675E" w:rsidRPr="00716AA1">
              <w:rPr>
                <w:rFonts w:cs="Arial"/>
                <w:color w:val="000000"/>
                <w:szCs w:val="2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6F3FA6CC" w14:textId="6A4FA002" w:rsidR="0079675E" w:rsidRPr="00716AA1" w:rsidRDefault="005822E1" w:rsidP="00A40BD9">
            <w:pPr>
              <w:pStyle w:val="TableText0"/>
              <w:jc w:val="center"/>
              <w:rPr>
                <w:szCs w:val="20"/>
              </w:rPr>
            </w:pPr>
            <w:r w:rsidRPr="005822E1">
              <w:rPr>
                <w:rFonts w:cs="Arial"/>
                <w:color w:val="000000"/>
                <w:sz w:val="2"/>
                <w:szCs w:val="20"/>
                <w:highlight w:val="black"/>
              </w:rPr>
              <w:t>redacted content</w:t>
            </w:r>
            <w:r w:rsidR="004F665F">
              <w:rPr>
                <w:rFonts w:cs="Arial"/>
                <w:color w:val="000000"/>
                <w:szCs w:val="20"/>
                <w:vertAlign w:val="superscript"/>
              </w:rPr>
              <w:t>1</w:t>
            </w:r>
            <w:r w:rsidR="0079675E" w:rsidRPr="00716AA1">
              <w:rPr>
                <w:rFonts w:cs="Arial"/>
                <w:color w:val="000000"/>
                <w:szCs w:val="2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77EED080" w14:textId="095C3EDD" w:rsidR="0079675E" w:rsidRPr="00716AA1" w:rsidRDefault="005822E1" w:rsidP="00A40BD9">
            <w:pPr>
              <w:pStyle w:val="TableText0"/>
              <w:jc w:val="center"/>
              <w:rPr>
                <w:szCs w:val="20"/>
              </w:rPr>
            </w:pPr>
            <w:r w:rsidRPr="005822E1">
              <w:rPr>
                <w:rFonts w:cs="Arial"/>
                <w:color w:val="000000"/>
                <w:sz w:val="2"/>
                <w:szCs w:val="20"/>
                <w:highlight w:val="black"/>
              </w:rPr>
              <w:t>redacted content</w:t>
            </w:r>
            <w:r w:rsidR="004F665F">
              <w:rPr>
                <w:rFonts w:cs="Arial"/>
                <w:color w:val="000000"/>
                <w:szCs w:val="20"/>
                <w:vertAlign w:val="superscript"/>
              </w:rPr>
              <w:t>1</w:t>
            </w:r>
            <w:r w:rsidR="0079675E" w:rsidRPr="00716AA1">
              <w:rPr>
                <w:rFonts w:cs="Arial"/>
                <w:color w:val="000000"/>
                <w:szCs w:val="2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1FC1AA06" w14:textId="7A9501B4" w:rsidR="0079675E" w:rsidRPr="00716AA1" w:rsidRDefault="005822E1" w:rsidP="00A40BD9">
            <w:pPr>
              <w:pStyle w:val="TableText0"/>
              <w:jc w:val="center"/>
              <w:rPr>
                <w:szCs w:val="20"/>
              </w:rPr>
            </w:pPr>
            <w:r w:rsidRPr="005822E1">
              <w:rPr>
                <w:rFonts w:cs="Arial"/>
                <w:color w:val="000000"/>
                <w:sz w:val="2"/>
                <w:szCs w:val="20"/>
                <w:highlight w:val="black"/>
              </w:rPr>
              <w:t>redacted content</w:t>
            </w:r>
            <w:r w:rsidR="004F665F">
              <w:rPr>
                <w:rFonts w:cs="Arial"/>
                <w:color w:val="000000"/>
                <w:szCs w:val="20"/>
                <w:vertAlign w:val="superscript"/>
              </w:rPr>
              <w:t>1</w:t>
            </w:r>
            <w:r w:rsidR="0079675E" w:rsidRPr="00716AA1">
              <w:rPr>
                <w:rFonts w:cs="Arial"/>
                <w:color w:val="000000"/>
                <w:szCs w:val="2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63A474D4" w14:textId="63EFFE47" w:rsidR="0079675E" w:rsidRPr="00716AA1" w:rsidRDefault="005822E1" w:rsidP="00A40BD9">
            <w:pPr>
              <w:pStyle w:val="TableText0"/>
              <w:jc w:val="center"/>
              <w:rPr>
                <w:szCs w:val="20"/>
              </w:rPr>
            </w:pPr>
            <w:r w:rsidRPr="005822E1">
              <w:rPr>
                <w:rFonts w:cs="Arial"/>
                <w:color w:val="000000"/>
                <w:sz w:val="2"/>
                <w:szCs w:val="20"/>
                <w:highlight w:val="black"/>
              </w:rPr>
              <w:t>redacted content</w:t>
            </w:r>
            <w:r w:rsidR="004F665F">
              <w:rPr>
                <w:rFonts w:cs="Arial"/>
                <w:color w:val="000000"/>
                <w:szCs w:val="20"/>
                <w:vertAlign w:val="superscript"/>
              </w:rPr>
              <w:t>1</w:t>
            </w:r>
            <w:r w:rsidR="0079675E" w:rsidRPr="00716AA1">
              <w:rPr>
                <w:rFonts w:cs="Arial"/>
                <w:color w:val="000000"/>
                <w:szCs w:val="2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3722E240" w14:textId="1BEFD8D2" w:rsidR="0079675E" w:rsidRPr="00716AA1" w:rsidRDefault="005822E1" w:rsidP="00A40BD9">
            <w:pPr>
              <w:pStyle w:val="TableText0"/>
              <w:jc w:val="center"/>
              <w:rPr>
                <w:szCs w:val="20"/>
              </w:rPr>
            </w:pPr>
            <w:r w:rsidRPr="005822E1">
              <w:rPr>
                <w:rFonts w:cs="Arial"/>
                <w:color w:val="000000"/>
                <w:sz w:val="2"/>
                <w:szCs w:val="20"/>
                <w:highlight w:val="black"/>
              </w:rPr>
              <w:t>redacted content</w:t>
            </w:r>
            <w:r w:rsidR="004F665F">
              <w:rPr>
                <w:rFonts w:cs="Arial"/>
                <w:color w:val="000000"/>
                <w:szCs w:val="20"/>
                <w:vertAlign w:val="superscript"/>
              </w:rPr>
              <w:t>1</w:t>
            </w:r>
            <w:r w:rsidR="0079675E" w:rsidRPr="00716AA1">
              <w:rPr>
                <w:rFonts w:cs="Arial"/>
                <w:color w:val="000000"/>
                <w:szCs w:val="2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504E870B" w14:textId="35882389" w:rsidR="0079675E" w:rsidRPr="00716AA1" w:rsidRDefault="005822E1" w:rsidP="00A40BD9">
            <w:pPr>
              <w:jc w:val="center"/>
              <w:rPr>
                <w:rFonts w:ascii="Arial Narrow" w:hAnsi="Arial Narrow"/>
                <w:bCs/>
                <w:color w:val="000000"/>
                <w:sz w:val="20"/>
                <w:szCs w:val="20"/>
              </w:rPr>
            </w:pPr>
            <w:r w:rsidRPr="005822E1">
              <w:rPr>
                <w:rFonts w:ascii="Arial Narrow" w:hAnsi="Arial Narrow"/>
                <w:bCs/>
                <w:color w:val="000000"/>
                <w:sz w:val="2"/>
                <w:szCs w:val="20"/>
                <w:highlight w:val="black"/>
              </w:rPr>
              <w:t>redacted content</w:t>
            </w:r>
            <w:r w:rsidR="005159D7">
              <w:rPr>
                <w:rFonts w:ascii="Arial Narrow" w:hAnsi="Arial Narrow"/>
                <w:bCs/>
                <w:color w:val="000000"/>
                <w:sz w:val="20"/>
                <w:szCs w:val="20"/>
                <w:vertAlign w:val="superscript"/>
              </w:rPr>
              <w:t>3</w:t>
            </w:r>
            <w:r w:rsidR="0079675E" w:rsidRPr="00716AA1">
              <w:rPr>
                <w:rFonts w:ascii="Arial Narrow" w:hAnsi="Arial Narrow"/>
                <w:bCs/>
                <w:color w:val="000000"/>
                <w:sz w:val="20"/>
                <w:szCs w:val="20"/>
              </w:rPr>
              <w:t xml:space="preserve"> </w:t>
            </w:r>
          </w:p>
        </w:tc>
        <w:tc>
          <w:tcPr>
            <w:tcW w:w="0" w:type="auto"/>
          </w:tcPr>
          <w:p w14:paraId="51536547" w14:textId="3DF26784" w:rsidR="0079675E" w:rsidRPr="00716AA1" w:rsidRDefault="00413674" w:rsidP="00A40BD9">
            <w:pPr>
              <w:jc w:val="center"/>
              <w:rPr>
                <w:rFonts w:ascii="Arial Narrow" w:hAnsi="Arial Narrow"/>
                <w:bCs/>
                <w:color w:val="000000"/>
                <w:sz w:val="20"/>
                <w:szCs w:val="20"/>
              </w:rPr>
            </w:pPr>
            <w:r w:rsidRPr="00716AA1">
              <w:rPr>
                <w:rFonts w:ascii="Arial Narrow" w:hAnsi="Arial Narrow"/>
                <w:bCs/>
                <w:color w:val="000000"/>
                <w:sz w:val="20"/>
                <w:szCs w:val="20"/>
              </w:rPr>
              <w:t>+83%</w:t>
            </w:r>
          </w:p>
        </w:tc>
      </w:tr>
      <w:tr w:rsidR="0079675E" w:rsidRPr="00716AA1" w14:paraId="5FF7A453" w14:textId="7E384528" w:rsidTr="00400FF7">
        <w:trPr>
          <w:trHeight w:val="20"/>
        </w:trPr>
        <w:tc>
          <w:tcPr>
            <w:tcW w:w="0" w:type="auto"/>
            <w:tcBorders>
              <w:top w:val="single" w:sz="4" w:space="0" w:color="auto"/>
              <w:left w:val="single" w:sz="4" w:space="0" w:color="auto"/>
              <w:bottom w:val="nil"/>
              <w:right w:val="single" w:sz="4" w:space="0" w:color="auto"/>
            </w:tcBorders>
            <w:vAlign w:val="center"/>
          </w:tcPr>
          <w:p w14:paraId="567E66D6" w14:textId="77777777" w:rsidR="0079675E" w:rsidRPr="00716AA1" w:rsidRDefault="0079675E" w:rsidP="00A40BD9">
            <w:pPr>
              <w:pStyle w:val="TableText0"/>
              <w:rPr>
                <w:szCs w:val="20"/>
              </w:rPr>
            </w:pPr>
            <w:r w:rsidRPr="00716AA1">
              <w:rPr>
                <w:szCs w:val="20"/>
              </w:rPr>
              <w:t>Initiating patients</w:t>
            </w:r>
          </w:p>
        </w:tc>
        <w:tc>
          <w:tcPr>
            <w:tcW w:w="0" w:type="auto"/>
            <w:tcBorders>
              <w:top w:val="single" w:sz="4" w:space="0" w:color="auto"/>
              <w:left w:val="single" w:sz="4" w:space="0" w:color="auto"/>
              <w:bottom w:val="nil"/>
              <w:right w:val="single" w:sz="4" w:space="0" w:color="auto"/>
            </w:tcBorders>
            <w:vAlign w:val="center"/>
          </w:tcPr>
          <w:p w14:paraId="4A3C002D" w14:textId="10429769" w:rsidR="0079675E" w:rsidRPr="00716AA1" w:rsidRDefault="005822E1" w:rsidP="00A40BD9">
            <w:pPr>
              <w:pStyle w:val="TableText0"/>
              <w:jc w:val="center"/>
              <w:rPr>
                <w:szCs w:val="20"/>
              </w:rPr>
            </w:pPr>
            <w:r w:rsidRPr="005822E1">
              <w:rPr>
                <w:rFonts w:cs="Arial"/>
                <w:color w:val="000000"/>
                <w:sz w:val="2"/>
                <w:szCs w:val="20"/>
                <w:highlight w:val="black"/>
              </w:rPr>
              <w:t>redacted content</w:t>
            </w:r>
            <w:r w:rsidR="00FD4A46">
              <w:rPr>
                <w:rFonts w:cs="Arial"/>
                <w:color w:val="000000"/>
                <w:szCs w:val="20"/>
                <w:vertAlign w:val="superscript"/>
              </w:rPr>
              <w:t>4</w:t>
            </w:r>
            <w:r w:rsidR="0079675E" w:rsidRPr="00716AA1">
              <w:rPr>
                <w:rFonts w:cs="Arial"/>
                <w:color w:val="000000"/>
                <w:szCs w:val="20"/>
              </w:rPr>
              <w:t xml:space="preserve"> </w:t>
            </w:r>
          </w:p>
        </w:tc>
        <w:tc>
          <w:tcPr>
            <w:tcW w:w="0" w:type="auto"/>
            <w:tcBorders>
              <w:top w:val="single" w:sz="4" w:space="0" w:color="auto"/>
              <w:left w:val="single" w:sz="4" w:space="0" w:color="auto"/>
              <w:bottom w:val="nil"/>
              <w:right w:val="single" w:sz="4" w:space="0" w:color="auto"/>
            </w:tcBorders>
            <w:vAlign w:val="center"/>
          </w:tcPr>
          <w:p w14:paraId="7ADF8F6B" w14:textId="42C7F22B" w:rsidR="0079675E" w:rsidRPr="00716AA1" w:rsidRDefault="005822E1" w:rsidP="00A40BD9">
            <w:pPr>
              <w:pStyle w:val="TableText0"/>
              <w:jc w:val="center"/>
              <w:rPr>
                <w:szCs w:val="20"/>
              </w:rPr>
            </w:pPr>
            <w:r w:rsidRPr="005822E1">
              <w:rPr>
                <w:rFonts w:cs="Arial"/>
                <w:color w:val="000000"/>
                <w:sz w:val="2"/>
                <w:szCs w:val="20"/>
                <w:highlight w:val="black"/>
              </w:rPr>
              <w:t>redacted content</w:t>
            </w:r>
            <w:r w:rsidR="00FD4A46">
              <w:rPr>
                <w:rFonts w:cs="Arial"/>
                <w:color w:val="000000"/>
                <w:szCs w:val="20"/>
                <w:vertAlign w:val="superscript"/>
              </w:rPr>
              <w:t>4</w:t>
            </w:r>
            <w:r w:rsidR="0079675E" w:rsidRPr="00716AA1">
              <w:rPr>
                <w:rFonts w:cs="Arial"/>
                <w:color w:val="000000"/>
                <w:szCs w:val="20"/>
              </w:rPr>
              <w:t xml:space="preserve"> </w:t>
            </w:r>
          </w:p>
        </w:tc>
        <w:tc>
          <w:tcPr>
            <w:tcW w:w="0" w:type="auto"/>
            <w:tcBorders>
              <w:top w:val="single" w:sz="4" w:space="0" w:color="auto"/>
              <w:left w:val="single" w:sz="4" w:space="0" w:color="auto"/>
              <w:bottom w:val="nil"/>
              <w:right w:val="single" w:sz="4" w:space="0" w:color="auto"/>
            </w:tcBorders>
            <w:vAlign w:val="center"/>
          </w:tcPr>
          <w:p w14:paraId="6D8DEA3D" w14:textId="685CE7E0" w:rsidR="0079675E" w:rsidRPr="00716AA1" w:rsidRDefault="005822E1" w:rsidP="00A40BD9">
            <w:pPr>
              <w:pStyle w:val="TableText0"/>
              <w:jc w:val="center"/>
              <w:rPr>
                <w:szCs w:val="20"/>
              </w:rPr>
            </w:pPr>
            <w:r w:rsidRPr="005822E1">
              <w:rPr>
                <w:rFonts w:cs="Arial"/>
                <w:color w:val="000000"/>
                <w:sz w:val="2"/>
                <w:szCs w:val="20"/>
                <w:highlight w:val="black"/>
              </w:rPr>
              <w:t>redacted content</w:t>
            </w:r>
            <w:r w:rsidR="00FD4A46">
              <w:rPr>
                <w:rFonts w:cs="Arial"/>
                <w:color w:val="000000"/>
                <w:szCs w:val="20"/>
                <w:vertAlign w:val="superscript"/>
              </w:rPr>
              <w:t>4</w:t>
            </w:r>
            <w:r w:rsidR="0079675E" w:rsidRPr="00716AA1">
              <w:rPr>
                <w:rFonts w:cs="Arial"/>
                <w:color w:val="000000"/>
                <w:szCs w:val="20"/>
              </w:rPr>
              <w:t xml:space="preserve"> </w:t>
            </w:r>
          </w:p>
        </w:tc>
        <w:tc>
          <w:tcPr>
            <w:tcW w:w="0" w:type="auto"/>
            <w:tcBorders>
              <w:top w:val="single" w:sz="4" w:space="0" w:color="auto"/>
              <w:left w:val="single" w:sz="4" w:space="0" w:color="auto"/>
              <w:bottom w:val="nil"/>
              <w:right w:val="single" w:sz="4" w:space="0" w:color="auto"/>
            </w:tcBorders>
            <w:vAlign w:val="center"/>
          </w:tcPr>
          <w:p w14:paraId="7860156D" w14:textId="40C31CF8" w:rsidR="0079675E" w:rsidRPr="00716AA1" w:rsidRDefault="005822E1" w:rsidP="00A40BD9">
            <w:pPr>
              <w:pStyle w:val="TableText0"/>
              <w:jc w:val="center"/>
              <w:rPr>
                <w:szCs w:val="20"/>
              </w:rPr>
            </w:pPr>
            <w:r w:rsidRPr="005822E1">
              <w:rPr>
                <w:rFonts w:cs="Arial"/>
                <w:color w:val="000000"/>
                <w:sz w:val="2"/>
                <w:szCs w:val="20"/>
                <w:highlight w:val="black"/>
              </w:rPr>
              <w:t>redacted content</w:t>
            </w:r>
            <w:r w:rsidR="00FD4A46">
              <w:rPr>
                <w:rFonts w:cs="Arial"/>
                <w:color w:val="000000"/>
                <w:szCs w:val="20"/>
                <w:vertAlign w:val="superscript"/>
              </w:rPr>
              <w:t>4</w:t>
            </w:r>
            <w:r w:rsidR="0079675E" w:rsidRPr="00716AA1">
              <w:rPr>
                <w:rFonts w:cs="Arial"/>
                <w:color w:val="000000"/>
                <w:szCs w:val="20"/>
              </w:rPr>
              <w:t xml:space="preserve"> </w:t>
            </w:r>
          </w:p>
        </w:tc>
        <w:tc>
          <w:tcPr>
            <w:tcW w:w="0" w:type="auto"/>
            <w:tcBorders>
              <w:top w:val="single" w:sz="4" w:space="0" w:color="auto"/>
              <w:left w:val="single" w:sz="4" w:space="0" w:color="auto"/>
              <w:bottom w:val="nil"/>
              <w:right w:val="single" w:sz="4" w:space="0" w:color="auto"/>
            </w:tcBorders>
            <w:vAlign w:val="center"/>
          </w:tcPr>
          <w:p w14:paraId="1922ECC3" w14:textId="326B4CD5" w:rsidR="0079675E" w:rsidRPr="00716AA1" w:rsidRDefault="005822E1" w:rsidP="00A40BD9">
            <w:pPr>
              <w:pStyle w:val="TableText0"/>
              <w:jc w:val="center"/>
              <w:rPr>
                <w:szCs w:val="20"/>
              </w:rPr>
            </w:pPr>
            <w:r w:rsidRPr="005822E1">
              <w:rPr>
                <w:rFonts w:cs="Arial"/>
                <w:color w:val="000000"/>
                <w:sz w:val="2"/>
                <w:szCs w:val="20"/>
                <w:highlight w:val="black"/>
              </w:rPr>
              <w:t>redacted content</w:t>
            </w:r>
            <w:r w:rsidR="00FD4A46" w:rsidRPr="00FD4A46">
              <w:rPr>
                <w:rFonts w:cs="Arial"/>
                <w:color w:val="000000"/>
                <w:szCs w:val="20"/>
                <w:vertAlign w:val="superscript"/>
              </w:rPr>
              <w:t>4</w:t>
            </w:r>
            <w:r w:rsidR="0079675E" w:rsidRPr="00FD4A46">
              <w:rPr>
                <w:rFonts w:cs="Arial"/>
                <w:color w:val="000000"/>
                <w:szCs w:val="20"/>
                <w:vertAlign w:val="superscript"/>
              </w:rPr>
              <w:t xml:space="preserve"> </w:t>
            </w:r>
          </w:p>
        </w:tc>
        <w:tc>
          <w:tcPr>
            <w:tcW w:w="0" w:type="auto"/>
            <w:tcBorders>
              <w:top w:val="single" w:sz="4" w:space="0" w:color="auto"/>
              <w:left w:val="single" w:sz="4" w:space="0" w:color="auto"/>
              <w:bottom w:val="nil"/>
              <w:right w:val="single" w:sz="4" w:space="0" w:color="auto"/>
            </w:tcBorders>
            <w:vAlign w:val="center"/>
          </w:tcPr>
          <w:p w14:paraId="6BE1B98C" w14:textId="1FBDE0DB" w:rsidR="0079675E" w:rsidRPr="00716AA1" w:rsidRDefault="005822E1" w:rsidP="00A40BD9">
            <w:pPr>
              <w:pStyle w:val="TableText0"/>
              <w:jc w:val="center"/>
              <w:rPr>
                <w:szCs w:val="20"/>
              </w:rPr>
            </w:pPr>
            <w:r w:rsidRPr="005822E1">
              <w:rPr>
                <w:rFonts w:cs="Arial"/>
                <w:color w:val="000000"/>
                <w:sz w:val="2"/>
                <w:szCs w:val="20"/>
                <w:highlight w:val="black"/>
              </w:rPr>
              <w:t>redacted content</w:t>
            </w:r>
            <w:r w:rsidR="004F665F">
              <w:rPr>
                <w:rFonts w:cs="Arial"/>
                <w:color w:val="000000"/>
                <w:szCs w:val="20"/>
                <w:vertAlign w:val="superscript"/>
              </w:rPr>
              <w:t>1</w:t>
            </w:r>
            <w:r w:rsidR="0079675E" w:rsidRPr="00716AA1">
              <w:rPr>
                <w:rFonts w:cs="Arial"/>
                <w:color w:val="000000"/>
                <w:szCs w:val="20"/>
              </w:rPr>
              <w:t xml:space="preserve"> </w:t>
            </w:r>
          </w:p>
        </w:tc>
        <w:tc>
          <w:tcPr>
            <w:tcW w:w="0" w:type="auto"/>
            <w:tcBorders>
              <w:top w:val="single" w:sz="4" w:space="0" w:color="auto"/>
              <w:left w:val="single" w:sz="4" w:space="0" w:color="auto"/>
              <w:bottom w:val="nil"/>
              <w:right w:val="single" w:sz="4" w:space="0" w:color="auto"/>
            </w:tcBorders>
            <w:vAlign w:val="center"/>
          </w:tcPr>
          <w:p w14:paraId="4D981F5A" w14:textId="79905BFF" w:rsidR="0079675E" w:rsidRPr="00716AA1" w:rsidRDefault="005822E1" w:rsidP="00A40BD9">
            <w:pPr>
              <w:jc w:val="center"/>
              <w:rPr>
                <w:rFonts w:ascii="Arial Narrow" w:hAnsi="Arial Narrow"/>
                <w:bCs/>
                <w:color w:val="000000"/>
                <w:sz w:val="20"/>
                <w:szCs w:val="20"/>
              </w:rPr>
            </w:pPr>
            <w:r w:rsidRPr="005822E1">
              <w:rPr>
                <w:rFonts w:ascii="Arial Narrow" w:hAnsi="Arial Narrow"/>
                <w:bCs/>
                <w:color w:val="000000"/>
                <w:sz w:val="2"/>
                <w:szCs w:val="20"/>
                <w:highlight w:val="black"/>
              </w:rPr>
              <w:t>redacted content</w:t>
            </w:r>
            <w:r w:rsidR="004F665F">
              <w:rPr>
                <w:rFonts w:ascii="Arial Narrow" w:hAnsi="Arial Narrow"/>
                <w:bCs/>
                <w:color w:val="000000"/>
                <w:sz w:val="20"/>
                <w:szCs w:val="20"/>
                <w:vertAlign w:val="superscript"/>
              </w:rPr>
              <w:t>1</w:t>
            </w:r>
            <w:r w:rsidR="0079675E" w:rsidRPr="00716AA1">
              <w:rPr>
                <w:rFonts w:ascii="Arial Narrow" w:hAnsi="Arial Narrow"/>
                <w:bCs/>
                <w:color w:val="000000"/>
                <w:sz w:val="20"/>
                <w:szCs w:val="20"/>
              </w:rPr>
              <w:t xml:space="preserve"> </w:t>
            </w:r>
          </w:p>
        </w:tc>
        <w:tc>
          <w:tcPr>
            <w:tcW w:w="0" w:type="auto"/>
            <w:tcBorders>
              <w:bottom w:val="nil"/>
            </w:tcBorders>
          </w:tcPr>
          <w:p w14:paraId="4FC201CC" w14:textId="4738B210" w:rsidR="0079675E" w:rsidRPr="00716AA1" w:rsidRDefault="00862C09" w:rsidP="00A40BD9">
            <w:pPr>
              <w:jc w:val="center"/>
              <w:rPr>
                <w:rFonts w:ascii="Arial Narrow" w:hAnsi="Arial Narrow"/>
                <w:bCs/>
                <w:color w:val="000000"/>
                <w:sz w:val="20"/>
                <w:szCs w:val="20"/>
              </w:rPr>
            </w:pPr>
            <w:r w:rsidRPr="00716AA1">
              <w:rPr>
                <w:rFonts w:ascii="Arial Narrow" w:hAnsi="Arial Narrow"/>
                <w:bCs/>
                <w:color w:val="000000"/>
                <w:sz w:val="20"/>
                <w:szCs w:val="20"/>
              </w:rPr>
              <w:t>+115%</w:t>
            </w:r>
          </w:p>
        </w:tc>
      </w:tr>
      <w:tr w:rsidR="0079675E" w:rsidRPr="00716AA1" w14:paraId="00148067" w14:textId="520A8E73" w:rsidTr="00400FF7">
        <w:trPr>
          <w:trHeight w:val="20"/>
        </w:trPr>
        <w:tc>
          <w:tcPr>
            <w:tcW w:w="0" w:type="auto"/>
            <w:tcBorders>
              <w:top w:val="nil"/>
              <w:left w:val="single" w:sz="4" w:space="0" w:color="auto"/>
              <w:bottom w:val="single" w:sz="4" w:space="0" w:color="auto"/>
              <w:right w:val="single" w:sz="4" w:space="0" w:color="auto"/>
            </w:tcBorders>
            <w:vAlign w:val="center"/>
          </w:tcPr>
          <w:p w14:paraId="3A67DBD2" w14:textId="77777777" w:rsidR="0079675E" w:rsidRPr="00716AA1" w:rsidRDefault="0079675E" w:rsidP="00A40BD9">
            <w:pPr>
              <w:pStyle w:val="TableText0"/>
              <w:rPr>
                <w:szCs w:val="20"/>
                <w:vertAlign w:val="superscript"/>
              </w:rPr>
            </w:pPr>
            <w:r w:rsidRPr="00716AA1">
              <w:rPr>
                <w:szCs w:val="20"/>
              </w:rPr>
              <w:t xml:space="preserve">Prevalent </w:t>
            </w:r>
            <w:proofErr w:type="spellStart"/>
            <w:r w:rsidRPr="00716AA1">
              <w:rPr>
                <w:szCs w:val="20"/>
              </w:rPr>
              <w:t>Patients</w:t>
            </w:r>
            <w:r w:rsidRPr="00716AA1">
              <w:rPr>
                <w:szCs w:val="20"/>
                <w:vertAlign w:val="superscript"/>
              </w:rPr>
              <w:t>b</w:t>
            </w:r>
            <w:proofErr w:type="spellEnd"/>
          </w:p>
        </w:tc>
        <w:tc>
          <w:tcPr>
            <w:tcW w:w="0" w:type="auto"/>
            <w:tcBorders>
              <w:top w:val="nil"/>
              <w:left w:val="single" w:sz="4" w:space="0" w:color="auto"/>
              <w:bottom w:val="single" w:sz="4" w:space="0" w:color="auto"/>
              <w:right w:val="single" w:sz="4" w:space="0" w:color="auto"/>
            </w:tcBorders>
            <w:vAlign w:val="center"/>
          </w:tcPr>
          <w:p w14:paraId="3D68CEB2" w14:textId="7E301EDB" w:rsidR="0079675E" w:rsidRPr="00FD4A46" w:rsidRDefault="005822E1" w:rsidP="00A40BD9">
            <w:pPr>
              <w:pStyle w:val="TableText0"/>
              <w:jc w:val="center"/>
              <w:rPr>
                <w:szCs w:val="20"/>
                <w:vertAlign w:val="superscript"/>
              </w:rPr>
            </w:pPr>
            <w:r w:rsidRPr="005822E1">
              <w:rPr>
                <w:sz w:val="2"/>
                <w:szCs w:val="20"/>
                <w:highlight w:val="black"/>
              </w:rPr>
              <w:t>redacted content</w:t>
            </w:r>
            <w:r w:rsidR="00FD4A46">
              <w:rPr>
                <w:szCs w:val="20"/>
                <w:vertAlign w:val="superscript"/>
              </w:rPr>
              <w:t>4</w:t>
            </w:r>
          </w:p>
        </w:tc>
        <w:tc>
          <w:tcPr>
            <w:tcW w:w="0" w:type="auto"/>
            <w:tcBorders>
              <w:top w:val="nil"/>
              <w:left w:val="single" w:sz="4" w:space="0" w:color="auto"/>
              <w:bottom w:val="single" w:sz="4" w:space="0" w:color="auto"/>
              <w:right w:val="single" w:sz="4" w:space="0" w:color="auto"/>
            </w:tcBorders>
            <w:vAlign w:val="center"/>
          </w:tcPr>
          <w:p w14:paraId="78CE6079" w14:textId="77777777" w:rsidR="0079675E" w:rsidRPr="00716AA1" w:rsidRDefault="0079675E" w:rsidP="00A40BD9">
            <w:pPr>
              <w:pStyle w:val="TableText0"/>
              <w:jc w:val="center"/>
              <w:rPr>
                <w:szCs w:val="20"/>
              </w:rPr>
            </w:pPr>
            <w:r w:rsidRPr="00716AA1">
              <w:rPr>
                <w:szCs w:val="20"/>
              </w:rPr>
              <w:t>-</w:t>
            </w:r>
          </w:p>
        </w:tc>
        <w:tc>
          <w:tcPr>
            <w:tcW w:w="0" w:type="auto"/>
            <w:tcBorders>
              <w:top w:val="nil"/>
              <w:left w:val="single" w:sz="4" w:space="0" w:color="auto"/>
              <w:bottom w:val="single" w:sz="4" w:space="0" w:color="auto"/>
              <w:right w:val="single" w:sz="4" w:space="0" w:color="auto"/>
            </w:tcBorders>
            <w:vAlign w:val="center"/>
          </w:tcPr>
          <w:p w14:paraId="2057EBAF" w14:textId="77777777" w:rsidR="0079675E" w:rsidRPr="00716AA1" w:rsidRDefault="0079675E" w:rsidP="00A40BD9">
            <w:pPr>
              <w:pStyle w:val="TableText0"/>
              <w:jc w:val="center"/>
              <w:rPr>
                <w:szCs w:val="20"/>
              </w:rPr>
            </w:pPr>
            <w:r w:rsidRPr="00716AA1">
              <w:rPr>
                <w:szCs w:val="20"/>
              </w:rPr>
              <w:t>-</w:t>
            </w:r>
          </w:p>
        </w:tc>
        <w:tc>
          <w:tcPr>
            <w:tcW w:w="0" w:type="auto"/>
            <w:tcBorders>
              <w:top w:val="nil"/>
              <w:left w:val="single" w:sz="4" w:space="0" w:color="auto"/>
              <w:bottom w:val="single" w:sz="4" w:space="0" w:color="auto"/>
              <w:right w:val="single" w:sz="4" w:space="0" w:color="auto"/>
            </w:tcBorders>
            <w:vAlign w:val="center"/>
          </w:tcPr>
          <w:p w14:paraId="67F95770" w14:textId="77777777" w:rsidR="0079675E" w:rsidRPr="00716AA1" w:rsidRDefault="0079675E" w:rsidP="00A40BD9">
            <w:pPr>
              <w:pStyle w:val="TableText0"/>
              <w:jc w:val="center"/>
              <w:rPr>
                <w:szCs w:val="20"/>
              </w:rPr>
            </w:pPr>
            <w:r w:rsidRPr="00716AA1">
              <w:rPr>
                <w:szCs w:val="20"/>
              </w:rPr>
              <w:t>-</w:t>
            </w:r>
          </w:p>
        </w:tc>
        <w:tc>
          <w:tcPr>
            <w:tcW w:w="0" w:type="auto"/>
            <w:tcBorders>
              <w:top w:val="nil"/>
              <w:left w:val="single" w:sz="4" w:space="0" w:color="auto"/>
              <w:bottom w:val="single" w:sz="4" w:space="0" w:color="auto"/>
              <w:right w:val="single" w:sz="4" w:space="0" w:color="auto"/>
            </w:tcBorders>
            <w:vAlign w:val="center"/>
          </w:tcPr>
          <w:p w14:paraId="639C4CBC" w14:textId="77777777" w:rsidR="0079675E" w:rsidRPr="00716AA1" w:rsidRDefault="0079675E" w:rsidP="00A40BD9">
            <w:pPr>
              <w:pStyle w:val="TableText0"/>
              <w:jc w:val="center"/>
              <w:rPr>
                <w:szCs w:val="20"/>
              </w:rPr>
            </w:pPr>
            <w:r w:rsidRPr="00716AA1">
              <w:rPr>
                <w:szCs w:val="20"/>
              </w:rPr>
              <w:t>-</w:t>
            </w:r>
          </w:p>
        </w:tc>
        <w:tc>
          <w:tcPr>
            <w:tcW w:w="0" w:type="auto"/>
            <w:tcBorders>
              <w:top w:val="nil"/>
              <w:left w:val="single" w:sz="4" w:space="0" w:color="auto"/>
              <w:bottom w:val="single" w:sz="4" w:space="0" w:color="auto"/>
              <w:right w:val="single" w:sz="4" w:space="0" w:color="auto"/>
            </w:tcBorders>
            <w:vAlign w:val="center"/>
          </w:tcPr>
          <w:p w14:paraId="7E38BB75" w14:textId="77777777" w:rsidR="0079675E" w:rsidRPr="00716AA1" w:rsidRDefault="0079675E" w:rsidP="00A40BD9">
            <w:pPr>
              <w:pStyle w:val="TableText0"/>
              <w:jc w:val="center"/>
              <w:rPr>
                <w:szCs w:val="20"/>
              </w:rPr>
            </w:pPr>
            <w:r w:rsidRPr="00716AA1">
              <w:rPr>
                <w:szCs w:val="20"/>
              </w:rPr>
              <w:t>-</w:t>
            </w:r>
          </w:p>
        </w:tc>
        <w:tc>
          <w:tcPr>
            <w:tcW w:w="0" w:type="auto"/>
            <w:tcBorders>
              <w:top w:val="nil"/>
              <w:left w:val="single" w:sz="4" w:space="0" w:color="auto"/>
              <w:bottom w:val="single" w:sz="4" w:space="0" w:color="auto"/>
              <w:right w:val="single" w:sz="4" w:space="0" w:color="auto"/>
            </w:tcBorders>
            <w:vAlign w:val="center"/>
          </w:tcPr>
          <w:p w14:paraId="617C7EAC" w14:textId="43862861" w:rsidR="0079675E" w:rsidRPr="00FD4A46" w:rsidRDefault="005822E1" w:rsidP="00A40BD9">
            <w:pPr>
              <w:pStyle w:val="TableText0"/>
              <w:jc w:val="center"/>
              <w:rPr>
                <w:szCs w:val="20"/>
                <w:vertAlign w:val="superscript"/>
              </w:rPr>
            </w:pPr>
            <w:r w:rsidRPr="005822E1">
              <w:rPr>
                <w:sz w:val="2"/>
                <w:szCs w:val="20"/>
                <w:highlight w:val="black"/>
              </w:rPr>
              <w:t>redacted content</w:t>
            </w:r>
            <w:r w:rsidR="00FD4A46">
              <w:rPr>
                <w:szCs w:val="20"/>
                <w:vertAlign w:val="superscript"/>
              </w:rPr>
              <w:t>4</w:t>
            </w:r>
          </w:p>
        </w:tc>
        <w:tc>
          <w:tcPr>
            <w:tcW w:w="0" w:type="auto"/>
            <w:tcBorders>
              <w:top w:val="nil"/>
            </w:tcBorders>
          </w:tcPr>
          <w:p w14:paraId="7A07A0C0" w14:textId="756A8718" w:rsidR="0079675E" w:rsidRPr="00716AA1" w:rsidRDefault="00F94835" w:rsidP="00A40BD9">
            <w:pPr>
              <w:pStyle w:val="TableText0"/>
              <w:jc w:val="center"/>
              <w:rPr>
                <w:szCs w:val="20"/>
              </w:rPr>
            </w:pPr>
            <w:r w:rsidRPr="00716AA1">
              <w:rPr>
                <w:szCs w:val="20"/>
              </w:rPr>
              <w:t>+44%</w:t>
            </w:r>
          </w:p>
        </w:tc>
      </w:tr>
      <w:tr w:rsidR="0079675E" w:rsidRPr="00716AA1" w14:paraId="54091CFE" w14:textId="336A7828" w:rsidTr="00400FF7">
        <w:trPr>
          <w:trHeight w:val="20"/>
        </w:trPr>
        <w:tc>
          <w:tcPr>
            <w:tcW w:w="0" w:type="auto"/>
            <w:gridSpan w:val="8"/>
            <w:tcBorders>
              <w:top w:val="single" w:sz="4" w:space="0" w:color="auto"/>
              <w:left w:val="single" w:sz="4" w:space="0" w:color="auto"/>
              <w:bottom w:val="single" w:sz="4" w:space="0" w:color="auto"/>
              <w:right w:val="single" w:sz="4" w:space="0" w:color="auto"/>
            </w:tcBorders>
            <w:vAlign w:val="center"/>
          </w:tcPr>
          <w:p w14:paraId="2D8EA2D2" w14:textId="77777777" w:rsidR="0079675E" w:rsidRPr="00716AA1" w:rsidRDefault="0079675E" w:rsidP="00A40BD9">
            <w:pPr>
              <w:pStyle w:val="TableText0"/>
              <w:rPr>
                <w:b/>
                <w:bCs w:val="0"/>
                <w:szCs w:val="20"/>
              </w:rPr>
            </w:pPr>
            <w:r w:rsidRPr="00716AA1">
              <w:rPr>
                <w:b/>
                <w:bCs w:val="0"/>
                <w:szCs w:val="20"/>
              </w:rPr>
              <w:t>Total scripts dispensed PBS</w:t>
            </w:r>
          </w:p>
        </w:tc>
        <w:tc>
          <w:tcPr>
            <w:tcW w:w="0" w:type="auto"/>
          </w:tcPr>
          <w:p w14:paraId="16906A14" w14:textId="77777777" w:rsidR="0079675E" w:rsidRPr="00716AA1" w:rsidRDefault="0079675E" w:rsidP="00A40BD9">
            <w:pPr>
              <w:pStyle w:val="TableText0"/>
              <w:rPr>
                <w:b/>
                <w:bCs w:val="0"/>
                <w:szCs w:val="20"/>
              </w:rPr>
            </w:pPr>
          </w:p>
        </w:tc>
      </w:tr>
      <w:tr w:rsidR="0079675E" w:rsidRPr="00716AA1" w14:paraId="01AB1FFE" w14:textId="1C0C546D" w:rsidTr="00400FF7">
        <w:trPr>
          <w:trHeight w:val="20"/>
        </w:trPr>
        <w:tc>
          <w:tcPr>
            <w:tcW w:w="0" w:type="auto"/>
            <w:tcBorders>
              <w:top w:val="single" w:sz="4" w:space="0" w:color="auto"/>
              <w:left w:val="single" w:sz="4" w:space="0" w:color="auto"/>
              <w:bottom w:val="nil"/>
              <w:right w:val="single" w:sz="4" w:space="0" w:color="auto"/>
            </w:tcBorders>
            <w:vAlign w:val="center"/>
          </w:tcPr>
          <w:p w14:paraId="7CAA276B" w14:textId="77777777" w:rsidR="0079675E" w:rsidRPr="00716AA1" w:rsidRDefault="0079675E" w:rsidP="00A40BD9">
            <w:pPr>
              <w:pStyle w:val="TableText0"/>
              <w:rPr>
                <w:szCs w:val="20"/>
              </w:rPr>
            </w:pPr>
            <w:r w:rsidRPr="00716AA1">
              <w:rPr>
                <w:szCs w:val="20"/>
              </w:rPr>
              <w:t>LT, scripts</w:t>
            </w:r>
          </w:p>
        </w:tc>
        <w:tc>
          <w:tcPr>
            <w:tcW w:w="0" w:type="auto"/>
            <w:tcBorders>
              <w:top w:val="single" w:sz="4" w:space="0" w:color="auto"/>
              <w:left w:val="single" w:sz="4" w:space="0" w:color="auto"/>
              <w:bottom w:val="nil"/>
              <w:right w:val="single" w:sz="4" w:space="0" w:color="auto"/>
            </w:tcBorders>
            <w:vAlign w:val="center"/>
          </w:tcPr>
          <w:p w14:paraId="26B72A56" w14:textId="6A5069EE" w:rsidR="0079675E" w:rsidRPr="00716AA1" w:rsidRDefault="005822E1" w:rsidP="00A40BD9">
            <w:pPr>
              <w:pStyle w:val="TableText0"/>
              <w:jc w:val="center"/>
              <w:rPr>
                <w:szCs w:val="20"/>
              </w:rPr>
            </w:pPr>
            <w:r w:rsidRPr="005822E1">
              <w:rPr>
                <w:rFonts w:cs="Arial"/>
                <w:color w:val="000000"/>
                <w:sz w:val="2"/>
                <w:szCs w:val="20"/>
                <w:highlight w:val="black"/>
              </w:rPr>
              <w:t>redacted content</w:t>
            </w:r>
            <w:r w:rsidR="004F665F">
              <w:rPr>
                <w:rFonts w:cs="Arial"/>
                <w:color w:val="000000"/>
                <w:szCs w:val="20"/>
                <w:vertAlign w:val="superscript"/>
              </w:rPr>
              <w:t>1</w:t>
            </w:r>
            <w:r w:rsidR="0079675E" w:rsidRPr="00716AA1">
              <w:rPr>
                <w:rFonts w:cs="Arial"/>
                <w:color w:val="000000"/>
                <w:szCs w:val="20"/>
              </w:rPr>
              <w:t xml:space="preserve"> </w:t>
            </w:r>
          </w:p>
        </w:tc>
        <w:tc>
          <w:tcPr>
            <w:tcW w:w="0" w:type="auto"/>
            <w:tcBorders>
              <w:top w:val="single" w:sz="4" w:space="0" w:color="auto"/>
              <w:left w:val="single" w:sz="4" w:space="0" w:color="auto"/>
              <w:bottom w:val="nil"/>
              <w:right w:val="single" w:sz="4" w:space="0" w:color="auto"/>
            </w:tcBorders>
            <w:vAlign w:val="center"/>
          </w:tcPr>
          <w:p w14:paraId="5BDFDF76" w14:textId="604D7A3C" w:rsidR="0079675E" w:rsidRPr="00716AA1" w:rsidRDefault="005822E1" w:rsidP="00A40BD9">
            <w:pPr>
              <w:pStyle w:val="TableText0"/>
              <w:jc w:val="center"/>
              <w:rPr>
                <w:szCs w:val="20"/>
              </w:rPr>
            </w:pPr>
            <w:r w:rsidRPr="005822E1">
              <w:rPr>
                <w:rFonts w:cs="Arial"/>
                <w:color w:val="000000"/>
                <w:sz w:val="2"/>
                <w:szCs w:val="20"/>
                <w:highlight w:val="black"/>
              </w:rPr>
              <w:t>redacted content</w:t>
            </w:r>
            <w:r w:rsidR="004F665F">
              <w:rPr>
                <w:rFonts w:cs="Arial"/>
                <w:color w:val="000000"/>
                <w:szCs w:val="20"/>
                <w:vertAlign w:val="superscript"/>
              </w:rPr>
              <w:t>1</w:t>
            </w:r>
            <w:r w:rsidR="0079675E" w:rsidRPr="00716AA1">
              <w:rPr>
                <w:rFonts w:cs="Arial"/>
                <w:color w:val="000000"/>
                <w:szCs w:val="20"/>
              </w:rPr>
              <w:t xml:space="preserve"> </w:t>
            </w:r>
          </w:p>
        </w:tc>
        <w:tc>
          <w:tcPr>
            <w:tcW w:w="0" w:type="auto"/>
            <w:tcBorders>
              <w:top w:val="single" w:sz="4" w:space="0" w:color="auto"/>
              <w:left w:val="single" w:sz="4" w:space="0" w:color="auto"/>
              <w:bottom w:val="nil"/>
              <w:right w:val="single" w:sz="4" w:space="0" w:color="auto"/>
            </w:tcBorders>
            <w:vAlign w:val="center"/>
          </w:tcPr>
          <w:p w14:paraId="368C90E1" w14:textId="0660BE54" w:rsidR="0079675E" w:rsidRPr="00716AA1" w:rsidRDefault="005822E1" w:rsidP="00A40BD9">
            <w:pPr>
              <w:pStyle w:val="TableText0"/>
              <w:jc w:val="center"/>
              <w:rPr>
                <w:szCs w:val="20"/>
              </w:rPr>
            </w:pPr>
            <w:r w:rsidRPr="005822E1">
              <w:rPr>
                <w:rFonts w:cs="Arial"/>
                <w:color w:val="000000"/>
                <w:sz w:val="2"/>
                <w:szCs w:val="20"/>
                <w:highlight w:val="black"/>
              </w:rPr>
              <w:t>redacted content</w:t>
            </w:r>
            <w:r w:rsidR="004F665F">
              <w:rPr>
                <w:rFonts w:cs="Arial"/>
                <w:color w:val="000000"/>
                <w:szCs w:val="20"/>
                <w:vertAlign w:val="superscript"/>
              </w:rPr>
              <w:t>1</w:t>
            </w:r>
            <w:r w:rsidR="0079675E" w:rsidRPr="00716AA1">
              <w:rPr>
                <w:rFonts w:cs="Arial"/>
                <w:color w:val="000000"/>
                <w:szCs w:val="20"/>
              </w:rPr>
              <w:t xml:space="preserve"> </w:t>
            </w:r>
          </w:p>
        </w:tc>
        <w:tc>
          <w:tcPr>
            <w:tcW w:w="0" w:type="auto"/>
            <w:tcBorders>
              <w:top w:val="single" w:sz="4" w:space="0" w:color="auto"/>
              <w:left w:val="single" w:sz="4" w:space="0" w:color="auto"/>
              <w:bottom w:val="nil"/>
              <w:right w:val="single" w:sz="4" w:space="0" w:color="auto"/>
            </w:tcBorders>
            <w:vAlign w:val="center"/>
          </w:tcPr>
          <w:p w14:paraId="499EC781" w14:textId="6692DC80" w:rsidR="0079675E" w:rsidRPr="00716AA1" w:rsidRDefault="005822E1" w:rsidP="00A40BD9">
            <w:pPr>
              <w:pStyle w:val="TableText0"/>
              <w:jc w:val="center"/>
              <w:rPr>
                <w:szCs w:val="20"/>
              </w:rPr>
            </w:pPr>
            <w:r w:rsidRPr="005822E1">
              <w:rPr>
                <w:rFonts w:cs="Arial"/>
                <w:color w:val="000000"/>
                <w:sz w:val="2"/>
                <w:szCs w:val="20"/>
                <w:highlight w:val="black"/>
              </w:rPr>
              <w:t>redacted content</w:t>
            </w:r>
            <w:r w:rsidR="004F665F">
              <w:rPr>
                <w:rFonts w:cs="Arial"/>
                <w:color w:val="000000"/>
                <w:szCs w:val="20"/>
                <w:vertAlign w:val="superscript"/>
              </w:rPr>
              <w:t>1</w:t>
            </w:r>
            <w:r w:rsidR="0079675E" w:rsidRPr="00716AA1">
              <w:rPr>
                <w:rFonts w:cs="Arial"/>
                <w:color w:val="000000"/>
                <w:szCs w:val="20"/>
              </w:rPr>
              <w:t xml:space="preserve"> </w:t>
            </w:r>
          </w:p>
        </w:tc>
        <w:tc>
          <w:tcPr>
            <w:tcW w:w="0" w:type="auto"/>
            <w:tcBorders>
              <w:top w:val="single" w:sz="4" w:space="0" w:color="auto"/>
              <w:left w:val="single" w:sz="4" w:space="0" w:color="auto"/>
              <w:bottom w:val="nil"/>
              <w:right w:val="single" w:sz="4" w:space="0" w:color="auto"/>
            </w:tcBorders>
            <w:vAlign w:val="center"/>
          </w:tcPr>
          <w:p w14:paraId="6B586971" w14:textId="549871E2" w:rsidR="0079675E" w:rsidRPr="00716AA1" w:rsidRDefault="005822E1" w:rsidP="00A40BD9">
            <w:pPr>
              <w:pStyle w:val="TableText0"/>
              <w:jc w:val="center"/>
              <w:rPr>
                <w:szCs w:val="20"/>
              </w:rPr>
            </w:pPr>
            <w:r w:rsidRPr="005822E1">
              <w:rPr>
                <w:rFonts w:cs="Arial"/>
                <w:color w:val="000000"/>
                <w:sz w:val="2"/>
                <w:szCs w:val="20"/>
                <w:highlight w:val="black"/>
              </w:rPr>
              <w:t>redacted content</w:t>
            </w:r>
            <w:r w:rsidR="004F665F">
              <w:rPr>
                <w:rFonts w:cs="Arial"/>
                <w:color w:val="000000"/>
                <w:szCs w:val="20"/>
                <w:vertAlign w:val="superscript"/>
              </w:rPr>
              <w:t>1</w:t>
            </w:r>
            <w:r w:rsidR="0079675E" w:rsidRPr="00716AA1">
              <w:rPr>
                <w:rFonts w:cs="Arial"/>
                <w:color w:val="000000"/>
                <w:szCs w:val="20"/>
              </w:rPr>
              <w:t xml:space="preserve"> </w:t>
            </w:r>
          </w:p>
        </w:tc>
        <w:tc>
          <w:tcPr>
            <w:tcW w:w="0" w:type="auto"/>
            <w:tcBorders>
              <w:top w:val="single" w:sz="4" w:space="0" w:color="auto"/>
              <w:left w:val="single" w:sz="4" w:space="0" w:color="auto"/>
              <w:bottom w:val="nil"/>
              <w:right w:val="single" w:sz="4" w:space="0" w:color="auto"/>
            </w:tcBorders>
            <w:vAlign w:val="center"/>
          </w:tcPr>
          <w:p w14:paraId="39D1FC20" w14:textId="3211F079" w:rsidR="0079675E" w:rsidRPr="00716AA1" w:rsidRDefault="005822E1" w:rsidP="00A40BD9">
            <w:pPr>
              <w:pStyle w:val="TableText0"/>
              <w:jc w:val="center"/>
              <w:rPr>
                <w:szCs w:val="20"/>
              </w:rPr>
            </w:pPr>
            <w:r w:rsidRPr="005822E1">
              <w:rPr>
                <w:rFonts w:cs="Arial"/>
                <w:color w:val="000000"/>
                <w:sz w:val="2"/>
                <w:szCs w:val="20"/>
                <w:highlight w:val="black"/>
              </w:rPr>
              <w:t>redacted content</w:t>
            </w:r>
            <w:r w:rsidR="004F665F">
              <w:rPr>
                <w:rFonts w:cs="Arial"/>
                <w:color w:val="000000"/>
                <w:szCs w:val="20"/>
                <w:vertAlign w:val="superscript"/>
              </w:rPr>
              <w:t>1</w:t>
            </w:r>
            <w:r w:rsidR="0079675E" w:rsidRPr="00716AA1">
              <w:rPr>
                <w:rFonts w:cs="Arial"/>
                <w:color w:val="000000"/>
                <w:szCs w:val="20"/>
              </w:rPr>
              <w:t xml:space="preserve"> </w:t>
            </w:r>
          </w:p>
        </w:tc>
        <w:tc>
          <w:tcPr>
            <w:tcW w:w="0" w:type="auto"/>
            <w:tcBorders>
              <w:top w:val="single" w:sz="4" w:space="0" w:color="auto"/>
              <w:left w:val="single" w:sz="4" w:space="0" w:color="auto"/>
              <w:bottom w:val="nil"/>
              <w:right w:val="single" w:sz="4" w:space="0" w:color="auto"/>
            </w:tcBorders>
            <w:vAlign w:val="center"/>
          </w:tcPr>
          <w:p w14:paraId="47C23D01" w14:textId="2995A995" w:rsidR="0079675E" w:rsidRPr="00716AA1" w:rsidRDefault="005822E1" w:rsidP="00A40BD9">
            <w:pPr>
              <w:pStyle w:val="TableText0"/>
              <w:jc w:val="center"/>
              <w:rPr>
                <w:szCs w:val="20"/>
              </w:rPr>
            </w:pPr>
            <w:r w:rsidRPr="005822E1">
              <w:rPr>
                <w:rFonts w:cs="Arial"/>
                <w:color w:val="000000"/>
                <w:sz w:val="2"/>
                <w:szCs w:val="20"/>
                <w:highlight w:val="black"/>
              </w:rPr>
              <w:t>redacted content</w:t>
            </w:r>
            <w:r w:rsidR="004F665F">
              <w:rPr>
                <w:rFonts w:cs="Arial"/>
                <w:color w:val="000000"/>
                <w:szCs w:val="20"/>
                <w:vertAlign w:val="superscript"/>
              </w:rPr>
              <w:t>1</w:t>
            </w:r>
            <w:r w:rsidR="0079675E" w:rsidRPr="00716AA1">
              <w:rPr>
                <w:rFonts w:cs="Arial"/>
                <w:color w:val="000000"/>
                <w:szCs w:val="20"/>
              </w:rPr>
              <w:t xml:space="preserve"> </w:t>
            </w:r>
          </w:p>
        </w:tc>
        <w:tc>
          <w:tcPr>
            <w:tcW w:w="0" w:type="auto"/>
          </w:tcPr>
          <w:p w14:paraId="200F9A43" w14:textId="127D37F5" w:rsidR="0079675E" w:rsidRPr="00716AA1" w:rsidRDefault="0064246F" w:rsidP="00A40BD9">
            <w:pPr>
              <w:pStyle w:val="TableText0"/>
              <w:jc w:val="center"/>
              <w:rPr>
                <w:rFonts w:cs="Arial"/>
                <w:color w:val="000000"/>
                <w:szCs w:val="20"/>
              </w:rPr>
            </w:pPr>
            <w:r w:rsidRPr="00716AA1">
              <w:rPr>
                <w:rFonts w:cs="Arial"/>
                <w:color w:val="000000"/>
                <w:szCs w:val="20"/>
              </w:rPr>
              <w:t>+115%</w:t>
            </w:r>
          </w:p>
        </w:tc>
      </w:tr>
      <w:tr w:rsidR="0079675E" w:rsidRPr="00716AA1" w14:paraId="489A6A27" w14:textId="0BD1F8A9" w:rsidTr="00400FF7">
        <w:trPr>
          <w:trHeight w:val="20"/>
        </w:trPr>
        <w:tc>
          <w:tcPr>
            <w:tcW w:w="0" w:type="auto"/>
            <w:gridSpan w:val="8"/>
            <w:tcBorders>
              <w:top w:val="single" w:sz="4" w:space="0" w:color="auto"/>
              <w:left w:val="single" w:sz="4" w:space="0" w:color="auto"/>
              <w:bottom w:val="single" w:sz="4" w:space="0" w:color="auto"/>
              <w:right w:val="single" w:sz="4" w:space="0" w:color="auto"/>
            </w:tcBorders>
            <w:vAlign w:val="center"/>
          </w:tcPr>
          <w:p w14:paraId="1CF6F179" w14:textId="77777777" w:rsidR="0079675E" w:rsidRPr="00716AA1" w:rsidRDefault="0079675E" w:rsidP="00A40BD9">
            <w:pPr>
              <w:pStyle w:val="TableText0"/>
              <w:rPr>
                <w:szCs w:val="20"/>
              </w:rPr>
            </w:pPr>
            <w:r w:rsidRPr="00716AA1">
              <w:rPr>
                <w:szCs w:val="20"/>
              </w:rPr>
              <w:t>Estimated financial implications for the PBS/RPBS</w:t>
            </w:r>
          </w:p>
        </w:tc>
        <w:tc>
          <w:tcPr>
            <w:tcW w:w="0" w:type="auto"/>
          </w:tcPr>
          <w:p w14:paraId="113D3128" w14:textId="77777777" w:rsidR="0079675E" w:rsidRPr="00716AA1" w:rsidRDefault="0079675E" w:rsidP="00A40BD9">
            <w:pPr>
              <w:pStyle w:val="TableText0"/>
              <w:rPr>
                <w:szCs w:val="20"/>
              </w:rPr>
            </w:pPr>
          </w:p>
        </w:tc>
      </w:tr>
      <w:tr w:rsidR="0079675E" w:rsidRPr="00716AA1" w14:paraId="35CE25C7" w14:textId="77067F81" w:rsidTr="00400FF7">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66E737AD" w14:textId="77777777" w:rsidR="0079675E" w:rsidRPr="00400FF7" w:rsidRDefault="0079675E" w:rsidP="00A40BD9">
            <w:pPr>
              <w:pStyle w:val="TableText0"/>
              <w:jc w:val="center"/>
              <w:rPr>
                <w:szCs w:val="20"/>
              </w:rPr>
            </w:pPr>
            <w:r w:rsidRPr="00400FF7">
              <w:rPr>
                <w:szCs w:val="20"/>
              </w:rPr>
              <w:t>Net cost to PBS/RPBS</w:t>
            </w:r>
          </w:p>
        </w:tc>
        <w:tc>
          <w:tcPr>
            <w:tcW w:w="0" w:type="auto"/>
            <w:tcBorders>
              <w:top w:val="single" w:sz="4" w:space="0" w:color="auto"/>
              <w:left w:val="single" w:sz="4" w:space="0" w:color="auto"/>
              <w:bottom w:val="single" w:sz="4" w:space="0" w:color="auto"/>
              <w:right w:val="single" w:sz="4" w:space="0" w:color="auto"/>
            </w:tcBorders>
            <w:vAlign w:val="center"/>
          </w:tcPr>
          <w:p w14:paraId="7AEB6D11" w14:textId="6670397E" w:rsidR="008064BC" w:rsidRDefault="0079675E" w:rsidP="00A40BD9">
            <w:pPr>
              <w:pStyle w:val="TableText0"/>
              <w:jc w:val="center"/>
              <w:rPr>
                <w:rFonts w:cs="Arial"/>
                <w:b/>
                <w:bCs w:val="0"/>
                <w:color w:val="000000"/>
                <w:szCs w:val="20"/>
              </w:rPr>
            </w:pPr>
            <w:r w:rsidRPr="00400FF7">
              <w:rPr>
                <w:rFonts w:cs="Arial"/>
                <w:b/>
                <w:bCs w:val="0"/>
                <w:color w:val="000000"/>
                <w:szCs w:val="20"/>
              </w:rPr>
              <w:t>$</w:t>
            </w:r>
            <w:r w:rsidR="005822E1" w:rsidRPr="005822E1">
              <w:rPr>
                <w:rFonts w:cs="Arial"/>
                <w:b/>
                <w:bCs w:val="0"/>
                <w:color w:val="000000"/>
                <w:sz w:val="2"/>
                <w:szCs w:val="20"/>
                <w:highlight w:val="black"/>
              </w:rPr>
              <w:t>redacted content</w:t>
            </w:r>
          </w:p>
          <w:p w14:paraId="4F4FDC10" w14:textId="7E0E053A" w:rsidR="0079675E" w:rsidRPr="00EC6AD7" w:rsidRDefault="00EC6AD7" w:rsidP="00A40BD9">
            <w:pPr>
              <w:pStyle w:val="TableText0"/>
              <w:jc w:val="center"/>
              <w:rPr>
                <w:b/>
                <w:bCs w:val="0"/>
                <w:szCs w:val="20"/>
                <w:vertAlign w:val="superscript"/>
              </w:rPr>
            </w:pPr>
            <w:r>
              <w:rPr>
                <w:rFonts w:cs="Arial"/>
                <w:b/>
                <w:bCs w:val="0"/>
                <w:color w:val="000000"/>
                <w:szCs w:val="20"/>
                <w:vertAlign w:val="superscript"/>
              </w:rPr>
              <w:t>5</w:t>
            </w:r>
          </w:p>
        </w:tc>
        <w:tc>
          <w:tcPr>
            <w:tcW w:w="0" w:type="auto"/>
            <w:tcBorders>
              <w:top w:val="single" w:sz="4" w:space="0" w:color="auto"/>
              <w:left w:val="single" w:sz="4" w:space="0" w:color="auto"/>
              <w:bottom w:val="single" w:sz="4" w:space="0" w:color="auto"/>
              <w:right w:val="single" w:sz="4" w:space="0" w:color="auto"/>
            </w:tcBorders>
            <w:vAlign w:val="center"/>
          </w:tcPr>
          <w:p w14:paraId="66226F79" w14:textId="00254915" w:rsidR="008064BC" w:rsidRDefault="0079675E" w:rsidP="00A40BD9">
            <w:pPr>
              <w:pStyle w:val="TableText0"/>
              <w:jc w:val="center"/>
              <w:rPr>
                <w:rFonts w:cs="Arial"/>
                <w:b/>
                <w:bCs w:val="0"/>
                <w:color w:val="000000"/>
                <w:szCs w:val="20"/>
              </w:rPr>
            </w:pPr>
            <w:r w:rsidRPr="00400FF7">
              <w:rPr>
                <w:rFonts w:cs="Arial"/>
                <w:b/>
                <w:bCs w:val="0"/>
                <w:color w:val="000000"/>
                <w:szCs w:val="20"/>
              </w:rPr>
              <w:t>$</w:t>
            </w:r>
            <w:r w:rsidR="005822E1" w:rsidRPr="005822E1">
              <w:rPr>
                <w:rFonts w:cs="Arial"/>
                <w:b/>
                <w:bCs w:val="0"/>
                <w:color w:val="000000"/>
                <w:sz w:val="2"/>
                <w:szCs w:val="20"/>
                <w:highlight w:val="black"/>
              </w:rPr>
              <w:t>redacted content</w:t>
            </w:r>
          </w:p>
          <w:p w14:paraId="45BA2116" w14:textId="7CD08244" w:rsidR="0079675E" w:rsidRPr="00EC6AD7" w:rsidRDefault="00EC6AD7" w:rsidP="00A40BD9">
            <w:pPr>
              <w:pStyle w:val="TableText0"/>
              <w:jc w:val="center"/>
              <w:rPr>
                <w:b/>
                <w:bCs w:val="0"/>
                <w:szCs w:val="20"/>
                <w:vertAlign w:val="superscript"/>
              </w:rPr>
            </w:pPr>
            <w:r>
              <w:rPr>
                <w:rFonts w:cs="Arial"/>
                <w:b/>
                <w:bCs w:val="0"/>
                <w:color w:val="000000"/>
                <w:szCs w:val="20"/>
                <w:vertAlign w:val="superscript"/>
              </w:rPr>
              <w:t>5</w:t>
            </w:r>
          </w:p>
        </w:tc>
        <w:tc>
          <w:tcPr>
            <w:tcW w:w="0" w:type="auto"/>
            <w:tcBorders>
              <w:top w:val="single" w:sz="4" w:space="0" w:color="auto"/>
              <w:left w:val="single" w:sz="4" w:space="0" w:color="auto"/>
              <w:bottom w:val="single" w:sz="4" w:space="0" w:color="auto"/>
              <w:right w:val="single" w:sz="4" w:space="0" w:color="auto"/>
            </w:tcBorders>
            <w:vAlign w:val="center"/>
          </w:tcPr>
          <w:p w14:paraId="49442079" w14:textId="6602FA2B" w:rsidR="008064BC" w:rsidRDefault="0079675E" w:rsidP="00A40BD9">
            <w:pPr>
              <w:pStyle w:val="TableText0"/>
              <w:jc w:val="center"/>
              <w:rPr>
                <w:rFonts w:cs="Arial"/>
                <w:b/>
                <w:bCs w:val="0"/>
                <w:color w:val="000000"/>
                <w:szCs w:val="20"/>
              </w:rPr>
            </w:pPr>
            <w:r w:rsidRPr="00400FF7">
              <w:rPr>
                <w:rFonts w:cs="Arial"/>
                <w:b/>
                <w:bCs w:val="0"/>
                <w:color w:val="000000"/>
                <w:szCs w:val="20"/>
              </w:rPr>
              <w:t>$</w:t>
            </w:r>
            <w:r w:rsidR="005822E1" w:rsidRPr="005822E1">
              <w:rPr>
                <w:rFonts w:cs="Arial"/>
                <w:b/>
                <w:bCs w:val="0"/>
                <w:color w:val="000000"/>
                <w:sz w:val="2"/>
                <w:szCs w:val="20"/>
                <w:highlight w:val="black"/>
              </w:rPr>
              <w:t>redacted content</w:t>
            </w:r>
          </w:p>
          <w:p w14:paraId="10942994" w14:textId="5BFE63B6" w:rsidR="0079675E" w:rsidRPr="00C801C8" w:rsidRDefault="00C801C8" w:rsidP="00A40BD9">
            <w:pPr>
              <w:pStyle w:val="TableText0"/>
              <w:jc w:val="center"/>
              <w:rPr>
                <w:b/>
                <w:bCs w:val="0"/>
                <w:szCs w:val="20"/>
                <w:vertAlign w:val="superscript"/>
              </w:rPr>
            </w:pPr>
            <w:r w:rsidRPr="00C801C8">
              <w:rPr>
                <w:rFonts w:cs="Arial"/>
                <w:b/>
                <w:bCs w:val="0"/>
                <w:color w:val="000000"/>
                <w:szCs w:val="20"/>
                <w:vertAlign w:val="superscript"/>
              </w:rPr>
              <w:t>6</w:t>
            </w:r>
          </w:p>
        </w:tc>
        <w:tc>
          <w:tcPr>
            <w:tcW w:w="0" w:type="auto"/>
            <w:tcBorders>
              <w:top w:val="single" w:sz="4" w:space="0" w:color="auto"/>
              <w:left w:val="single" w:sz="4" w:space="0" w:color="auto"/>
              <w:bottom w:val="single" w:sz="4" w:space="0" w:color="auto"/>
              <w:right w:val="single" w:sz="4" w:space="0" w:color="auto"/>
            </w:tcBorders>
            <w:vAlign w:val="center"/>
          </w:tcPr>
          <w:p w14:paraId="02C56F02" w14:textId="22C89FE6" w:rsidR="008064BC" w:rsidRDefault="0079675E" w:rsidP="00A40BD9">
            <w:pPr>
              <w:pStyle w:val="TableText0"/>
              <w:jc w:val="center"/>
              <w:rPr>
                <w:rFonts w:cs="Arial"/>
                <w:b/>
                <w:bCs w:val="0"/>
                <w:color w:val="000000"/>
                <w:szCs w:val="20"/>
              </w:rPr>
            </w:pPr>
            <w:r w:rsidRPr="00400FF7">
              <w:rPr>
                <w:rFonts w:cs="Arial"/>
                <w:b/>
                <w:bCs w:val="0"/>
                <w:color w:val="000000"/>
                <w:szCs w:val="20"/>
              </w:rPr>
              <w:t>$</w:t>
            </w:r>
            <w:r w:rsidR="005822E1" w:rsidRPr="005822E1">
              <w:rPr>
                <w:rFonts w:cs="Arial"/>
                <w:b/>
                <w:bCs w:val="0"/>
                <w:color w:val="000000"/>
                <w:sz w:val="2"/>
                <w:szCs w:val="20"/>
                <w:highlight w:val="black"/>
              </w:rPr>
              <w:t>redacted content</w:t>
            </w:r>
          </w:p>
          <w:p w14:paraId="1F0BCB6A" w14:textId="5188A8ED" w:rsidR="0079675E" w:rsidRPr="003412DB" w:rsidRDefault="003412DB" w:rsidP="00A40BD9">
            <w:pPr>
              <w:pStyle w:val="TableText0"/>
              <w:jc w:val="center"/>
              <w:rPr>
                <w:b/>
                <w:bCs w:val="0"/>
                <w:szCs w:val="20"/>
                <w:vertAlign w:val="superscript"/>
              </w:rPr>
            </w:pPr>
            <w:r>
              <w:rPr>
                <w:rFonts w:cs="Arial"/>
                <w:b/>
                <w:bCs w:val="0"/>
                <w:color w:val="000000"/>
                <w:szCs w:val="20"/>
                <w:vertAlign w:val="superscript"/>
              </w:rPr>
              <w:t>7</w:t>
            </w:r>
          </w:p>
        </w:tc>
        <w:tc>
          <w:tcPr>
            <w:tcW w:w="0" w:type="auto"/>
            <w:tcBorders>
              <w:top w:val="single" w:sz="4" w:space="0" w:color="auto"/>
              <w:left w:val="single" w:sz="4" w:space="0" w:color="auto"/>
              <w:bottom w:val="single" w:sz="4" w:space="0" w:color="auto"/>
              <w:right w:val="single" w:sz="4" w:space="0" w:color="auto"/>
            </w:tcBorders>
            <w:vAlign w:val="center"/>
          </w:tcPr>
          <w:p w14:paraId="52E561F9" w14:textId="0BC4E033" w:rsidR="008064BC" w:rsidRDefault="0079675E" w:rsidP="00A40BD9">
            <w:pPr>
              <w:pStyle w:val="TableText0"/>
              <w:jc w:val="center"/>
              <w:rPr>
                <w:rFonts w:cs="Arial"/>
                <w:b/>
                <w:bCs w:val="0"/>
                <w:color w:val="000000"/>
                <w:szCs w:val="20"/>
              </w:rPr>
            </w:pPr>
            <w:r w:rsidRPr="00400FF7">
              <w:rPr>
                <w:rFonts w:cs="Arial"/>
                <w:b/>
                <w:bCs w:val="0"/>
                <w:color w:val="000000"/>
                <w:szCs w:val="20"/>
              </w:rPr>
              <w:t>$</w:t>
            </w:r>
            <w:r w:rsidR="005822E1" w:rsidRPr="005822E1">
              <w:rPr>
                <w:rFonts w:cs="Arial"/>
                <w:b/>
                <w:bCs w:val="0"/>
                <w:color w:val="000000"/>
                <w:sz w:val="2"/>
                <w:szCs w:val="20"/>
                <w:highlight w:val="black"/>
              </w:rPr>
              <w:t>redacted content</w:t>
            </w:r>
          </w:p>
          <w:p w14:paraId="22876146" w14:textId="75081A49" w:rsidR="0079675E" w:rsidRPr="00AB5F15" w:rsidRDefault="00AB5F15" w:rsidP="00A40BD9">
            <w:pPr>
              <w:pStyle w:val="TableText0"/>
              <w:jc w:val="center"/>
              <w:rPr>
                <w:b/>
                <w:bCs w:val="0"/>
                <w:szCs w:val="20"/>
                <w:vertAlign w:val="superscript"/>
              </w:rPr>
            </w:pPr>
            <w:r>
              <w:rPr>
                <w:rFonts w:cs="Arial"/>
                <w:b/>
                <w:bCs w:val="0"/>
                <w:color w:val="000000"/>
                <w:szCs w:val="20"/>
                <w:vertAlign w:val="superscript"/>
              </w:rPr>
              <w:t>8</w:t>
            </w:r>
          </w:p>
        </w:tc>
        <w:tc>
          <w:tcPr>
            <w:tcW w:w="0" w:type="auto"/>
            <w:tcBorders>
              <w:top w:val="single" w:sz="4" w:space="0" w:color="auto"/>
              <w:left w:val="single" w:sz="4" w:space="0" w:color="auto"/>
              <w:bottom w:val="single" w:sz="4" w:space="0" w:color="auto"/>
              <w:right w:val="single" w:sz="4" w:space="0" w:color="auto"/>
            </w:tcBorders>
            <w:vAlign w:val="center"/>
          </w:tcPr>
          <w:p w14:paraId="126BFE8D" w14:textId="2DE20B1F" w:rsidR="008064BC" w:rsidRDefault="0079675E" w:rsidP="00A40BD9">
            <w:pPr>
              <w:pStyle w:val="TableText0"/>
              <w:jc w:val="center"/>
              <w:rPr>
                <w:rFonts w:cs="Arial"/>
                <w:b/>
                <w:bCs w:val="0"/>
                <w:color w:val="000000"/>
                <w:szCs w:val="20"/>
              </w:rPr>
            </w:pPr>
            <w:r w:rsidRPr="00400FF7">
              <w:rPr>
                <w:rFonts w:cs="Arial"/>
                <w:b/>
                <w:bCs w:val="0"/>
                <w:color w:val="000000"/>
                <w:szCs w:val="20"/>
              </w:rPr>
              <w:t>$</w:t>
            </w:r>
            <w:r w:rsidR="005822E1" w:rsidRPr="005822E1">
              <w:rPr>
                <w:rFonts w:cs="Arial"/>
                <w:b/>
                <w:bCs w:val="0"/>
                <w:color w:val="000000"/>
                <w:sz w:val="2"/>
                <w:szCs w:val="20"/>
                <w:highlight w:val="black"/>
              </w:rPr>
              <w:t>redacted content</w:t>
            </w:r>
          </w:p>
          <w:p w14:paraId="3EAB8402" w14:textId="730142C9" w:rsidR="0079675E" w:rsidRPr="003408EC" w:rsidRDefault="003408EC" w:rsidP="00A40BD9">
            <w:pPr>
              <w:pStyle w:val="TableText0"/>
              <w:jc w:val="center"/>
              <w:rPr>
                <w:b/>
                <w:bCs w:val="0"/>
                <w:szCs w:val="20"/>
                <w:vertAlign w:val="superscript"/>
              </w:rPr>
            </w:pPr>
            <w:r>
              <w:rPr>
                <w:rFonts w:cs="Arial"/>
                <w:b/>
                <w:bCs w:val="0"/>
                <w:color w:val="000000"/>
                <w:szCs w:val="20"/>
                <w:vertAlign w:val="superscript"/>
              </w:rPr>
              <w:t>9</w:t>
            </w:r>
          </w:p>
        </w:tc>
        <w:tc>
          <w:tcPr>
            <w:tcW w:w="0" w:type="auto"/>
            <w:tcBorders>
              <w:top w:val="single" w:sz="4" w:space="0" w:color="auto"/>
              <w:left w:val="single" w:sz="4" w:space="0" w:color="auto"/>
              <w:bottom w:val="single" w:sz="4" w:space="0" w:color="auto"/>
              <w:right w:val="single" w:sz="4" w:space="0" w:color="auto"/>
            </w:tcBorders>
            <w:vAlign w:val="center"/>
          </w:tcPr>
          <w:p w14:paraId="353E9DE3" w14:textId="26558354" w:rsidR="008064BC" w:rsidRDefault="0079675E" w:rsidP="00A40BD9">
            <w:pPr>
              <w:pStyle w:val="TableText0"/>
              <w:jc w:val="center"/>
              <w:rPr>
                <w:rFonts w:cs="Arial"/>
                <w:b/>
                <w:bCs w:val="0"/>
                <w:color w:val="000000"/>
                <w:szCs w:val="20"/>
              </w:rPr>
            </w:pPr>
            <w:r w:rsidRPr="00400FF7">
              <w:rPr>
                <w:rFonts w:cs="Arial"/>
                <w:b/>
                <w:bCs w:val="0"/>
                <w:color w:val="000000"/>
                <w:szCs w:val="20"/>
              </w:rPr>
              <w:t>$</w:t>
            </w:r>
            <w:r w:rsidR="005822E1" w:rsidRPr="005822E1">
              <w:rPr>
                <w:rFonts w:cs="Arial"/>
                <w:b/>
                <w:bCs w:val="0"/>
                <w:color w:val="000000"/>
                <w:sz w:val="2"/>
                <w:szCs w:val="20"/>
                <w:highlight w:val="black"/>
              </w:rPr>
              <w:t>redacted content</w:t>
            </w:r>
          </w:p>
          <w:p w14:paraId="54F428CD" w14:textId="1CF31A24" w:rsidR="0079675E" w:rsidRPr="008064BC" w:rsidRDefault="008064BC" w:rsidP="00A40BD9">
            <w:pPr>
              <w:pStyle w:val="TableText0"/>
              <w:jc w:val="center"/>
              <w:rPr>
                <w:b/>
                <w:bCs w:val="0"/>
                <w:szCs w:val="20"/>
                <w:vertAlign w:val="superscript"/>
              </w:rPr>
            </w:pPr>
            <w:r>
              <w:rPr>
                <w:rFonts w:cs="Arial"/>
                <w:b/>
                <w:bCs w:val="0"/>
                <w:color w:val="000000"/>
                <w:szCs w:val="20"/>
                <w:vertAlign w:val="superscript"/>
              </w:rPr>
              <w:t>10</w:t>
            </w:r>
          </w:p>
        </w:tc>
        <w:tc>
          <w:tcPr>
            <w:tcW w:w="0" w:type="auto"/>
          </w:tcPr>
          <w:p w14:paraId="4F5661BD" w14:textId="68902DD4" w:rsidR="0079675E" w:rsidRPr="00400FF7" w:rsidRDefault="00693983" w:rsidP="00A40BD9">
            <w:pPr>
              <w:pStyle w:val="TableText0"/>
              <w:jc w:val="center"/>
              <w:rPr>
                <w:rFonts w:cs="Arial"/>
                <w:b/>
                <w:bCs w:val="0"/>
                <w:color w:val="000000"/>
                <w:szCs w:val="20"/>
              </w:rPr>
            </w:pPr>
            <w:r w:rsidRPr="00400FF7">
              <w:rPr>
                <w:rFonts w:cs="Arial"/>
                <w:b/>
                <w:bCs w:val="0"/>
                <w:color w:val="000000"/>
                <w:szCs w:val="20"/>
              </w:rPr>
              <w:t>+106.5%</w:t>
            </w:r>
          </w:p>
        </w:tc>
      </w:tr>
    </w:tbl>
    <w:p w14:paraId="408C0CF3" w14:textId="77777777" w:rsidR="00C76A92" w:rsidRPr="00716AA1" w:rsidRDefault="00C76A92" w:rsidP="00C76A92">
      <w:pPr>
        <w:pStyle w:val="FooterTableFigure"/>
      </w:pPr>
      <w:r w:rsidRPr="00716AA1">
        <w:t xml:space="preserve">Source: Based on pp137-150 of the submission. </w:t>
      </w:r>
    </w:p>
    <w:p w14:paraId="57D98EF5" w14:textId="77777777" w:rsidR="00C76A92" w:rsidRPr="00716AA1" w:rsidRDefault="00C76A92" w:rsidP="00C76A92">
      <w:pPr>
        <w:pStyle w:val="FooterTableFigure"/>
      </w:pPr>
      <w:r w:rsidRPr="00716AA1">
        <w:t>3L=third line; GF = grandfathered; HGBL = high grade B-cell lymphoma; LT = loncastuximab tesirine; PMBL = primary mediastinal B-cell lymphoma.</w:t>
      </w:r>
    </w:p>
    <w:p w14:paraId="504E2E2F" w14:textId="234D538B" w:rsidR="00C76A92" w:rsidRPr="00716AA1" w:rsidRDefault="00C76A92" w:rsidP="00C76A92">
      <w:pPr>
        <w:pStyle w:val="FooterTableFigure"/>
      </w:pPr>
      <w:r w:rsidRPr="00716AA1">
        <w:rPr>
          <w:vertAlign w:val="superscript"/>
        </w:rPr>
        <w:t xml:space="preserve">a </w:t>
      </w:r>
      <w:r w:rsidRPr="00716AA1">
        <w:t xml:space="preserve">Uptake rates were changed to the following from Years 1 to 5 for patients who are R/R to 3L CAR T-cell therapy as well as people who received 3L epcoritamab but are R/R and require 4L treatment: </w:t>
      </w:r>
      <w:r w:rsidR="005822E1" w:rsidRPr="005822E1">
        <w:rPr>
          <w:sz w:val="2"/>
          <w:highlight w:val="black"/>
        </w:rPr>
        <w:t>redacted content</w:t>
      </w:r>
      <w:r w:rsidRPr="00716AA1">
        <w:t xml:space="preserve">%, </w:t>
      </w:r>
      <w:r w:rsidR="005822E1" w:rsidRPr="005822E1">
        <w:rPr>
          <w:sz w:val="2"/>
          <w:highlight w:val="black"/>
        </w:rPr>
        <w:t>redacted content</w:t>
      </w:r>
      <w:r w:rsidRPr="00716AA1">
        <w:t xml:space="preserve">%, </w:t>
      </w:r>
      <w:r w:rsidR="005822E1" w:rsidRPr="005822E1">
        <w:rPr>
          <w:sz w:val="2"/>
          <w:highlight w:val="black"/>
        </w:rPr>
        <w:t>redacted content</w:t>
      </w:r>
      <w:r w:rsidRPr="00716AA1">
        <w:t xml:space="preserve">% </w:t>
      </w:r>
      <w:r w:rsidR="005822E1" w:rsidRPr="005822E1">
        <w:rPr>
          <w:sz w:val="2"/>
          <w:highlight w:val="black"/>
        </w:rPr>
        <w:t>redacted content</w:t>
      </w:r>
      <w:r w:rsidRPr="00716AA1">
        <w:t xml:space="preserve">%, </w:t>
      </w:r>
      <w:r w:rsidR="005822E1" w:rsidRPr="005822E1">
        <w:rPr>
          <w:sz w:val="2"/>
          <w:highlight w:val="black"/>
        </w:rPr>
        <w:t>redacted content</w:t>
      </w:r>
      <w:r w:rsidRPr="00716AA1">
        <w:t xml:space="preserve">%, </w:t>
      </w:r>
      <w:r w:rsidR="005822E1" w:rsidRPr="005822E1">
        <w:rPr>
          <w:sz w:val="2"/>
          <w:highlight w:val="black"/>
        </w:rPr>
        <w:t>redacted content</w:t>
      </w:r>
      <w:r w:rsidRPr="00716AA1">
        <w:t>%.</w:t>
      </w:r>
    </w:p>
    <w:p w14:paraId="3E31225C" w14:textId="562D4344" w:rsidR="00222430" w:rsidRDefault="00C76A92" w:rsidP="00222430">
      <w:pPr>
        <w:pStyle w:val="FooterTableFigure"/>
        <w:spacing w:after="0"/>
      </w:pPr>
      <w:r w:rsidRPr="00716AA1">
        <w:rPr>
          <w:vertAlign w:val="superscript"/>
        </w:rPr>
        <w:t xml:space="preserve">b </w:t>
      </w:r>
      <w:r w:rsidRPr="00716AA1">
        <w:t xml:space="preserve">Includes </w:t>
      </w:r>
      <w:r w:rsidR="001E4B01">
        <w:t>&lt; 500</w:t>
      </w:r>
      <w:r w:rsidR="001E4B01" w:rsidRPr="00716AA1">
        <w:t xml:space="preserve"> </w:t>
      </w:r>
      <w:r w:rsidRPr="00716AA1">
        <w:t xml:space="preserve">prevalent patients and </w:t>
      </w:r>
      <w:r w:rsidR="001E4B01">
        <w:t>&lt; 500</w:t>
      </w:r>
      <w:r w:rsidR="001E4B01" w:rsidRPr="00716AA1">
        <w:t xml:space="preserve"> </w:t>
      </w:r>
      <w:r w:rsidRPr="00716AA1">
        <w:t>grandfathered patients</w:t>
      </w:r>
      <w:r w:rsidR="007B7DC0" w:rsidRPr="00716AA1">
        <w:t xml:space="preserve"> as noted in the financial workbook</w:t>
      </w:r>
      <w:r w:rsidRPr="00716AA1">
        <w:t>.</w:t>
      </w:r>
    </w:p>
    <w:p w14:paraId="22B96B1F" w14:textId="77777777" w:rsidR="00222430" w:rsidRPr="00222430" w:rsidRDefault="00222430" w:rsidP="00222430">
      <w:pPr>
        <w:jc w:val="left"/>
        <w:rPr>
          <w:rFonts w:ascii="Arial Narrow" w:hAnsi="Arial Narrow"/>
          <w:i/>
          <w:sz w:val="18"/>
          <w:szCs w:val="18"/>
        </w:rPr>
      </w:pPr>
      <w:r w:rsidRPr="00222430">
        <w:rPr>
          <w:rFonts w:ascii="Arial Narrow" w:hAnsi="Arial Narrow"/>
          <w:i/>
          <w:sz w:val="18"/>
          <w:szCs w:val="18"/>
        </w:rPr>
        <w:t xml:space="preserve">The redacted values correspond to the following ranges: </w:t>
      </w:r>
    </w:p>
    <w:p w14:paraId="3E4F3F75" w14:textId="5809EA67" w:rsidR="00222430" w:rsidRPr="00222430" w:rsidRDefault="00222430" w:rsidP="00222430">
      <w:pPr>
        <w:jc w:val="left"/>
        <w:rPr>
          <w:rFonts w:ascii="Arial Narrow" w:hAnsi="Arial Narrow"/>
          <w:i/>
          <w:sz w:val="18"/>
          <w:szCs w:val="18"/>
        </w:rPr>
      </w:pPr>
      <w:r w:rsidRPr="00222430">
        <w:rPr>
          <w:rFonts w:ascii="Arial Narrow" w:hAnsi="Arial Narrow"/>
          <w:i/>
          <w:sz w:val="18"/>
          <w:szCs w:val="18"/>
          <w:vertAlign w:val="superscript"/>
        </w:rPr>
        <w:t>1</w:t>
      </w:r>
      <w:r w:rsidRPr="00222430">
        <w:rPr>
          <w:rFonts w:ascii="Arial Narrow" w:hAnsi="Arial Narrow"/>
          <w:i/>
          <w:sz w:val="18"/>
          <w:szCs w:val="18"/>
        </w:rPr>
        <w:t xml:space="preserve"> </w:t>
      </w:r>
      <w:r w:rsidR="004F665F" w:rsidRPr="004F665F">
        <w:rPr>
          <w:rFonts w:ascii="Arial Narrow" w:hAnsi="Arial Narrow"/>
          <w:i/>
          <w:sz w:val="18"/>
          <w:szCs w:val="18"/>
        </w:rPr>
        <w:t>500 to &lt; 5,000</w:t>
      </w:r>
    </w:p>
    <w:p w14:paraId="01423204" w14:textId="6C05FF14" w:rsidR="00222430" w:rsidRPr="00222430" w:rsidRDefault="00222430" w:rsidP="00222430">
      <w:pPr>
        <w:jc w:val="left"/>
        <w:rPr>
          <w:rFonts w:ascii="Arial Narrow" w:hAnsi="Arial Narrow"/>
          <w:i/>
          <w:sz w:val="18"/>
          <w:szCs w:val="18"/>
        </w:rPr>
      </w:pPr>
      <w:r w:rsidRPr="00222430">
        <w:rPr>
          <w:rFonts w:ascii="Arial Narrow" w:hAnsi="Arial Narrow"/>
          <w:i/>
          <w:sz w:val="18"/>
          <w:szCs w:val="18"/>
          <w:vertAlign w:val="superscript"/>
        </w:rPr>
        <w:t>2</w:t>
      </w:r>
      <w:r w:rsidRPr="00222430">
        <w:rPr>
          <w:rFonts w:ascii="Arial Narrow" w:hAnsi="Arial Narrow"/>
          <w:i/>
          <w:sz w:val="18"/>
          <w:szCs w:val="18"/>
        </w:rPr>
        <w:t xml:space="preserve"> </w:t>
      </w:r>
      <w:r w:rsidR="00F22461" w:rsidRPr="00F22461">
        <w:rPr>
          <w:rFonts w:ascii="Arial Narrow" w:hAnsi="Arial Narrow"/>
          <w:i/>
          <w:sz w:val="18"/>
          <w:szCs w:val="18"/>
        </w:rPr>
        <w:t>10,000 to &lt; 20,000</w:t>
      </w:r>
    </w:p>
    <w:p w14:paraId="63857401" w14:textId="5B0D767D" w:rsidR="00222430" w:rsidRPr="00222430" w:rsidRDefault="00222430" w:rsidP="00222430">
      <w:pPr>
        <w:jc w:val="left"/>
        <w:rPr>
          <w:rFonts w:ascii="Arial Narrow" w:hAnsi="Arial Narrow"/>
          <w:i/>
          <w:sz w:val="18"/>
          <w:szCs w:val="18"/>
        </w:rPr>
      </w:pPr>
      <w:r w:rsidRPr="00222430">
        <w:rPr>
          <w:rFonts w:ascii="Arial Narrow" w:hAnsi="Arial Narrow"/>
          <w:i/>
          <w:sz w:val="18"/>
          <w:szCs w:val="18"/>
          <w:vertAlign w:val="superscript"/>
        </w:rPr>
        <w:t>3</w:t>
      </w:r>
      <w:r w:rsidRPr="00222430">
        <w:rPr>
          <w:rFonts w:ascii="Arial Narrow" w:hAnsi="Arial Narrow"/>
          <w:i/>
          <w:sz w:val="18"/>
          <w:szCs w:val="18"/>
        </w:rPr>
        <w:t xml:space="preserve"> </w:t>
      </w:r>
      <w:r w:rsidR="005159D7" w:rsidRPr="005159D7">
        <w:rPr>
          <w:rFonts w:ascii="Arial Narrow" w:hAnsi="Arial Narrow"/>
          <w:i/>
          <w:sz w:val="18"/>
          <w:szCs w:val="18"/>
        </w:rPr>
        <w:t>5,000 to &lt; 10,000</w:t>
      </w:r>
    </w:p>
    <w:p w14:paraId="11C03F2E" w14:textId="0BD51FF9" w:rsidR="00222430" w:rsidRPr="00222430" w:rsidRDefault="00222430" w:rsidP="00222430">
      <w:pPr>
        <w:jc w:val="left"/>
        <w:rPr>
          <w:rFonts w:ascii="Arial Narrow" w:hAnsi="Arial Narrow"/>
          <w:i/>
          <w:sz w:val="18"/>
          <w:szCs w:val="18"/>
        </w:rPr>
      </w:pPr>
      <w:r w:rsidRPr="00222430">
        <w:rPr>
          <w:rFonts w:ascii="Arial Narrow" w:hAnsi="Arial Narrow"/>
          <w:i/>
          <w:sz w:val="18"/>
          <w:szCs w:val="18"/>
          <w:vertAlign w:val="superscript"/>
        </w:rPr>
        <w:t>4</w:t>
      </w:r>
      <w:r w:rsidRPr="00222430">
        <w:rPr>
          <w:rFonts w:ascii="Arial Narrow" w:hAnsi="Arial Narrow"/>
          <w:i/>
          <w:sz w:val="18"/>
          <w:szCs w:val="18"/>
        </w:rPr>
        <w:t xml:space="preserve"> </w:t>
      </w:r>
      <w:r w:rsidR="00FD4A46" w:rsidRPr="00FD4A46">
        <w:rPr>
          <w:rFonts w:ascii="Arial Narrow" w:hAnsi="Arial Narrow"/>
          <w:i/>
          <w:sz w:val="18"/>
          <w:szCs w:val="18"/>
        </w:rPr>
        <w:t>&lt; 500</w:t>
      </w:r>
    </w:p>
    <w:p w14:paraId="17448D79" w14:textId="2EA94713" w:rsidR="00222430" w:rsidRPr="00222430" w:rsidRDefault="00222430" w:rsidP="00222430">
      <w:pPr>
        <w:jc w:val="left"/>
        <w:rPr>
          <w:rFonts w:ascii="Arial Narrow" w:hAnsi="Arial Narrow"/>
          <w:i/>
          <w:sz w:val="18"/>
          <w:szCs w:val="18"/>
        </w:rPr>
      </w:pPr>
      <w:r w:rsidRPr="00222430">
        <w:rPr>
          <w:rFonts w:ascii="Arial Narrow" w:hAnsi="Arial Narrow"/>
          <w:i/>
          <w:sz w:val="18"/>
          <w:szCs w:val="18"/>
          <w:vertAlign w:val="superscript"/>
        </w:rPr>
        <w:t>5</w:t>
      </w:r>
      <w:r w:rsidRPr="00222430">
        <w:rPr>
          <w:rFonts w:ascii="Arial Narrow" w:hAnsi="Arial Narrow"/>
          <w:i/>
          <w:sz w:val="18"/>
          <w:szCs w:val="18"/>
        </w:rPr>
        <w:t xml:space="preserve"> </w:t>
      </w:r>
      <w:r w:rsidR="00EC6AD7" w:rsidRPr="00EC6AD7">
        <w:rPr>
          <w:rFonts w:ascii="Arial Narrow" w:hAnsi="Arial Narrow"/>
          <w:i/>
          <w:sz w:val="18"/>
          <w:szCs w:val="18"/>
        </w:rPr>
        <w:t>$40 million to &lt; $50 million</w:t>
      </w:r>
    </w:p>
    <w:p w14:paraId="3BF4128E" w14:textId="60433112" w:rsidR="00222430" w:rsidRDefault="00222430" w:rsidP="00222430">
      <w:pPr>
        <w:jc w:val="left"/>
        <w:rPr>
          <w:rFonts w:ascii="Arial Narrow" w:hAnsi="Arial Narrow"/>
          <w:i/>
          <w:sz w:val="18"/>
          <w:szCs w:val="18"/>
        </w:rPr>
      </w:pPr>
      <w:r w:rsidRPr="00222430">
        <w:rPr>
          <w:rFonts w:ascii="Arial Narrow" w:hAnsi="Arial Narrow"/>
          <w:i/>
          <w:sz w:val="18"/>
          <w:szCs w:val="18"/>
          <w:vertAlign w:val="superscript"/>
        </w:rPr>
        <w:t>6</w:t>
      </w:r>
      <w:r w:rsidRPr="00222430">
        <w:rPr>
          <w:rFonts w:ascii="Arial Narrow" w:hAnsi="Arial Narrow"/>
          <w:i/>
          <w:sz w:val="18"/>
          <w:szCs w:val="18"/>
        </w:rPr>
        <w:t xml:space="preserve"> </w:t>
      </w:r>
      <w:r w:rsidR="00C801C8" w:rsidRPr="00C801C8">
        <w:rPr>
          <w:rFonts w:ascii="Arial Narrow" w:hAnsi="Arial Narrow"/>
          <w:i/>
          <w:sz w:val="18"/>
          <w:szCs w:val="18"/>
        </w:rPr>
        <w:t>$50 million to &lt; $60 million</w:t>
      </w:r>
    </w:p>
    <w:p w14:paraId="446BD9A3" w14:textId="566BC44A" w:rsidR="003412DB" w:rsidRDefault="003412DB" w:rsidP="00222430">
      <w:pPr>
        <w:jc w:val="left"/>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3408EC" w:rsidRPr="003408EC">
        <w:rPr>
          <w:rFonts w:ascii="Arial Narrow" w:hAnsi="Arial Narrow"/>
          <w:i/>
          <w:sz w:val="18"/>
          <w:szCs w:val="18"/>
        </w:rPr>
        <w:t>$60 million to &lt; $70 million</w:t>
      </w:r>
    </w:p>
    <w:p w14:paraId="1FB756E5" w14:textId="78F8773A" w:rsidR="00AB5F15" w:rsidRDefault="00AB5F15" w:rsidP="00222430">
      <w:pPr>
        <w:jc w:val="left"/>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D12551" w:rsidRPr="00D12551">
        <w:rPr>
          <w:rFonts w:ascii="Arial Narrow" w:hAnsi="Arial Narrow"/>
          <w:i/>
          <w:sz w:val="18"/>
          <w:szCs w:val="18"/>
        </w:rPr>
        <w:t>$70 million to &lt; $80 million</w:t>
      </w:r>
    </w:p>
    <w:p w14:paraId="05F3629E" w14:textId="13152BDA" w:rsidR="00EB06D1" w:rsidRDefault="00EB06D1" w:rsidP="00222430">
      <w:pPr>
        <w:jc w:val="left"/>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D12551" w:rsidRPr="00D12551">
        <w:rPr>
          <w:rFonts w:ascii="Arial Narrow" w:hAnsi="Arial Narrow"/>
          <w:i/>
          <w:sz w:val="18"/>
          <w:szCs w:val="18"/>
        </w:rPr>
        <w:t>$80 million to &lt; $90 million</w:t>
      </w:r>
    </w:p>
    <w:p w14:paraId="20C58E01" w14:textId="72875926" w:rsidR="003408EC" w:rsidRPr="00222430" w:rsidRDefault="003408EC" w:rsidP="00222430">
      <w:pPr>
        <w:jc w:val="left"/>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8064BC" w:rsidRPr="008064BC">
        <w:rPr>
          <w:rFonts w:ascii="Arial Narrow" w:hAnsi="Arial Narrow"/>
          <w:i/>
          <w:sz w:val="18"/>
          <w:szCs w:val="18"/>
        </w:rPr>
        <w:t>$300 million to &lt; $400 million</w:t>
      </w:r>
    </w:p>
    <w:p w14:paraId="624EB177" w14:textId="2A51760E" w:rsidR="00C76A92" w:rsidRDefault="00C76A92" w:rsidP="00C76A92">
      <w:pPr>
        <w:pStyle w:val="FooterTableFigure"/>
      </w:pPr>
    </w:p>
    <w:p w14:paraId="1273B3F3" w14:textId="44E5AFB5" w:rsidR="00927373" w:rsidRPr="00716AA1" w:rsidRDefault="00AA5BF4" w:rsidP="00927373">
      <w:pPr>
        <w:pStyle w:val="3-BodyText"/>
      </w:pPr>
      <w:r>
        <w:t xml:space="preserve">The pre-PBAC response </w:t>
      </w:r>
      <w:r w:rsidR="001B509D">
        <w:t xml:space="preserve">reported that </w:t>
      </w:r>
      <w:r w:rsidR="0015572A">
        <w:t>incorporating the changes pr</w:t>
      </w:r>
      <w:r w:rsidR="00122026">
        <w:t>oposed by the Sub-Committee and the price reduction offered in the response the</w:t>
      </w:r>
      <w:r w:rsidR="00263C73">
        <w:t xml:space="preserve"> net cost to the PBS/RPBS reduced from </w:t>
      </w:r>
      <w:r w:rsidR="008064BC" w:rsidRPr="008064BC">
        <w:t>$300 million to &lt; $400 million</w:t>
      </w:r>
      <w:r w:rsidR="00263C73">
        <w:t xml:space="preserve"> to </w:t>
      </w:r>
      <w:r w:rsidR="00A377DD" w:rsidRPr="00A377DD">
        <w:t>$200 million to &lt; $300 million</w:t>
      </w:r>
      <w:r w:rsidR="00A44251">
        <w:t xml:space="preserve"> over 6 years. </w:t>
      </w:r>
    </w:p>
    <w:p w14:paraId="2238DEE9" w14:textId="295B4527" w:rsidR="00576972" w:rsidRPr="000B298F" w:rsidRDefault="00576972" w:rsidP="000B298F">
      <w:pPr>
        <w:pStyle w:val="4-SubsectionHeading"/>
      </w:pPr>
      <w:bookmarkStart w:id="78" w:name="_Toc219880991"/>
      <w:r w:rsidRPr="000B298F">
        <w:t>Quality Use of Medicines</w:t>
      </w:r>
      <w:bookmarkEnd w:id="76"/>
      <w:bookmarkEnd w:id="78"/>
    </w:p>
    <w:p w14:paraId="18BE0236" w14:textId="77777777" w:rsidR="00B73BE0" w:rsidRPr="003153AA" w:rsidRDefault="00B73BE0" w:rsidP="00B73BE0">
      <w:pPr>
        <w:pStyle w:val="3-BodyText"/>
        <w:numPr>
          <w:ilvl w:val="1"/>
          <w:numId w:val="1"/>
        </w:numPr>
      </w:pPr>
      <w:r w:rsidRPr="003153AA">
        <w:t>The submission mentioned the following activities to support the quality use of loncastuximab tesirine:</w:t>
      </w:r>
    </w:p>
    <w:p w14:paraId="4C679979" w14:textId="77777777" w:rsidR="00B73BE0" w:rsidRPr="003153AA" w:rsidRDefault="00B73BE0" w:rsidP="002A3163">
      <w:pPr>
        <w:pStyle w:val="3-BodyText"/>
        <w:numPr>
          <w:ilvl w:val="0"/>
          <w:numId w:val="18"/>
        </w:numPr>
      </w:pPr>
      <w:r w:rsidRPr="003153AA">
        <w:t xml:space="preserve">A dedicated medical information service and adverse event reporting capabilities with a free toll number and email; </w:t>
      </w:r>
    </w:p>
    <w:p w14:paraId="3D779837" w14:textId="77777777" w:rsidR="00B73BE0" w:rsidRPr="003153AA" w:rsidRDefault="00B73BE0" w:rsidP="002A3163">
      <w:pPr>
        <w:pStyle w:val="3-BodyText"/>
        <w:numPr>
          <w:ilvl w:val="0"/>
          <w:numId w:val="18"/>
        </w:numPr>
      </w:pPr>
      <w:r w:rsidRPr="003153AA">
        <w:t>Capacity to handle dissemination of risk management plan materials nationally;</w:t>
      </w:r>
    </w:p>
    <w:p w14:paraId="301746FB" w14:textId="77777777" w:rsidR="00B73BE0" w:rsidRPr="003153AA" w:rsidRDefault="00B73BE0" w:rsidP="002A3163">
      <w:pPr>
        <w:pStyle w:val="3-BodyText"/>
        <w:numPr>
          <w:ilvl w:val="0"/>
          <w:numId w:val="18"/>
        </w:numPr>
      </w:pPr>
      <w:r w:rsidRPr="003153AA">
        <w:t>Several ongoing post-marketing surveillance studies for loncastuximab tesirine; in particular, an ongoing retrospective real-world evidence study evaluating the use of single-agent loncastuximab tesirine in the 3L setting.</w:t>
      </w:r>
    </w:p>
    <w:p w14:paraId="080ACC3A" w14:textId="77777777" w:rsidR="00B73BE0" w:rsidRPr="000B298F" w:rsidRDefault="00B73BE0" w:rsidP="000B298F">
      <w:pPr>
        <w:pStyle w:val="4-SubsectionHeading"/>
      </w:pPr>
      <w:bookmarkStart w:id="79" w:name="_Toc219124958"/>
      <w:bookmarkStart w:id="80" w:name="_Toc219880992"/>
      <w:r w:rsidRPr="000B298F">
        <w:lastRenderedPageBreak/>
        <w:t>Financial Management – Risk Sharing Arrangements</w:t>
      </w:r>
      <w:bookmarkEnd w:id="79"/>
      <w:bookmarkEnd w:id="80"/>
    </w:p>
    <w:p w14:paraId="214973A9" w14:textId="77777777" w:rsidR="00B73BE0" w:rsidRDefault="00B73BE0" w:rsidP="00B73BE0">
      <w:pPr>
        <w:pStyle w:val="3-BodyText"/>
        <w:numPr>
          <w:ilvl w:val="1"/>
          <w:numId w:val="1"/>
        </w:numPr>
      </w:pPr>
      <w:r w:rsidRPr="003153AA">
        <w:t>The submission acknowledged the expected uptake rate of loncastuximab tesirine in the 3L setting is uncertain, and indicated the Sponsor is willing to work with the Department of Health to manage uncertainty of listing for loncastuximab tesirine and closely monitor PBS usage data and pharmacovigilance activities post-listing to better understand real-world uptake and utilisation patterns.</w:t>
      </w:r>
    </w:p>
    <w:p w14:paraId="2E2EE230" w14:textId="77777777" w:rsidR="004C0CAE" w:rsidRDefault="004C0CAE" w:rsidP="004C0CAE">
      <w:pPr>
        <w:pStyle w:val="3-BodyText"/>
        <w:numPr>
          <w:ilvl w:val="0"/>
          <w:numId w:val="0"/>
        </w:numPr>
        <w:ind w:left="720"/>
        <w:rPr>
          <w:i/>
          <w:iCs/>
        </w:rPr>
      </w:pPr>
      <w:r w:rsidRPr="004C0CAE">
        <w:rPr>
          <w:i/>
          <w:iCs/>
        </w:rPr>
        <w:t>For more detail on PBAC’s view, see section 7 PBAC outcome.</w:t>
      </w:r>
    </w:p>
    <w:p w14:paraId="5F5CA9FC" w14:textId="77777777" w:rsidR="00E46A1B" w:rsidRPr="00E46A1B" w:rsidRDefault="00E46A1B" w:rsidP="00E46A1B">
      <w:pPr>
        <w:keepNext/>
        <w:numPr>
          <w:ilvl w:val="0"/>
          <w:numId w:val="1"/>
        </w:numPr>
        <w:spacing w:before="240" w:after="120"/>
        <w:jc w:val="left"/>
        <w:outlineLvl w:val="0"/>
        <w:rPr>
          <w:rFonts w:asciiTheme="minorHAnsi" w:hAnsiTheme="minorHAnsi"/>
          <w:b/>
          <w:snapToGrid w:val="0"/>
          <w:sz w:val="32"/>
          <w:szCs w:val="32"/>
        </w:rPr>
      </w:pPr>
      <w:bookmarkStart w:id="81" w:name="_Hlk76381249"/>
      <w:bookmarkStart w:id="82" w:name="_Hlk76377955"/>
      <w:r w:rsidRPr="00E46A1B">
        <w:rPr>
          <w:rFonts w:asciiTheme="minorHAnsi" w:hAnsiTheme="minorHAnsi"/>
          <w:b/>
          <w:snapToGrid w:val="0"/>
          <w:sz w:val="32"/>
          <w:szCs w:val="32"/>
        </w:rPr>
        <w:t>PBAC Outcome</w:t>
      </w:r>
    </w:p>
    <w:p w14:paraId="5A64CDD0" w14:textId="72162052" w:rsidR="003130EA" w:rsidRDefault="00933F5C" w:rsidP="00933F5C">
      <w:pPr>
        <w:pStyle w:val="3-BodyText"/>
      </w:pPr>
      <w:bookmarkStart w:id="83" w:name="_Hlk111543188"/>
      <w:r>
        <w:t xml:space="preserve">The PBAC did not recommend </w:t>
      </w:r>
      <w:r w:rsidRPr="00BD7788">
        <w:t>loncastuximab tesirine</w:t>
      </w:r>
      <w:r>
        <w:t xml:space="preserve"> </w:t>
      </w:r>
      <w:r w:rsidRPr="0098262F">
        <w:t xml:space="preserve">for the treatment of </w:t>
      </w:r>
      <w:r w:rsidRPr="00BD7788">
        <w:t xml:space="preserve">adult patients with relapsed or refractory (R/R) diffuse large B-cell lymphoma (DLBCL) </w:t>
      </w:r>
      <w:r>
        <w:t xml:space="preserve">who have received two or more prior lines of </w:t>
      </w:r>
      <w:r w:rsidRPr="00BD7788">
        <w:t>therapy.</w:t>
      </w:r>
      <w:r>
        <w:t xml:space="preserve"> Due to limitations in the evidence the PBAC considered the claim of superior comparative effectiveness was highly uncertain but likely reasonable. </w:t>
      </w:r>
      <w:r w:rsidR="001B5ADE" w:rsidRPr="001B5ADE">
        <w:t xml:space="preserve">The PBAC noted that the limitations with the clinical evidence resulted in the incremental cost-effectiveness ratio (ICER) being highly uncertain, and considered that the ICER incorporating the price reduction offered in the pre-PBAC response remained unacceptably high. </w:t>
      </w:r>
      <w:r>
        <w:t>In addition, the PBAC noted the revisions to the financial estimates proposed by its Sub-Committees increased the estimated financial implications for the Government.</w:t>
      </w:r>
      <w:r w:rsidR="005926DA">
        <w:t xml:space="preserve"> The PBAC considered a </w:t>
      </w:r>
      <w:r w:rsidR="00C62079">
        <w:t xml:space="preserve">Risk </w:t>
      </w:r>
      <w:r w:rsidR="009633F5">
        <w:t>Sharing Agreement (</w:t>
      </w:r>
      <w:r w:rsidR="005926DA">
        <w:t>RSA</w:t>
      </w:r>
      <w:r w:rsidR="009633F5">
        <w:t>)</w:t>
      </w:r>
      <w:r w:rsidR="005926DA">
        <w:t xml:space="preserve"> </w:t>
      </w:r>
      <w:r w:rsidR="005812FF">
        <w:t>based on the</w:t>
      </w:r>
      <w:r w:rsidR="008779D4">
        <w:t xml:space="preserve"> estimated</w:t>
      </w:r>
      <w:r w:rsidR="005812FF">
        <w:t xml:space="preserve"> number of patients treated </w:t>
      </w:r>
      <w:r w:rsidR="00656BA2">
        <w:t>as per</w:t>
      </w:r>
      <w:r w:rsidR="00D9300B">
        <w:t xml:space="preserve"> the submission </w:t>
      </w:r>
      <w:r w:rsidR="005926DA">
        <w:t>would be required</w:t>
      </w:r>
      <w:r w:rsidR="00D9300B">
        <w:t>.</w:t>
      </w:r>
    </w:p>
    <w:p w14:paraId="0F0D283E" w14:textId="556CB18B" w:rsidR="001273C0" w:rsidRDefault="00DA2E95" w:rsidP="00933F5C">
      <w:pPr>
        <w:pStyle w:val="3-BodyText"/>
      </w:pPr>
      <w:r>
        <w:t xml:space="preserve">The PBAC considered the primary reason for this outcome was due to the economic evaluation provided. </w:t>
      </w:r>
    </w:p>
    <w:p w14:paraId="5F63B496" w14:textId="18680B85" w:rsidR="00DA2E95" w:rsidRDefault="0007079B" w:rsidP="00933F5C">
      <w:pPr>
        <w:pStyle w:val="3-BodyText"/>
      </w:pPr>
      <w:r>
        <w:t xml:space="preserve">The PBAC </w:t>
      </w:r>
      <w:r w:rsidR="0073756C">
        <w:t>noted the consumer input from a health care professional</w:t>
      </w:r>
      <w:r w:rsidR="00363F1A">
        <w:t>, Rare Cancers Australia and the Australian Leukaemia &amp; Lymphoma Group</w:t>
      </w:r>
      <w:r w:rsidR="008D5DDD">
        <w:t xml:space="preserve"> </w:t>
      </w:r>
      <w:r w:rsidR="000C4CA9">
        <w:t xml:space="preserve">which described the </w:t>
      </w:r>
      <w:r w:rsidR="00AC3D6F">
        <w:t xml:space="preserve">need for </w:t>
      </w:r>
      <w:r w:rsidR="00072CAE">
        <w:t>additional t</w:t>
      </w:r>
      <w:r w:rsidR="004C3350">
        <w:t>reatment options for patients unsuitable for</w:t>
      </w:r>
      <w:r w:rsidR="00137B00">
        <w:t xml:space="preserve">, or relapsing after </w:t>
      </w:r>
      <w:r w:rsidR="00C076B0" w:rsidRPr="006C4820">
        <w:t>chimeric antigen receptor T-cell (CAR-T) therapy</w:t>
      </w:r>
      <w:r w:rsidR="00C076B0">
        <w:t xml:space="preserve"> </w:t>
      </w:r>
      <w:r w:rsidR="00137B00">
        <w:t xml:space="preserve">or bispecific therapies. The PBAC acknowledged </w:t>
      </w:r>
      <w:r w:rsidR="00623D94">
        <w:t>th</w:t>
      </w:r>
      <w:r w:rsidR="00E90C14">
        <w:t>e high unmet clinical need in</w:t>
      </w:r>
      <w:r w:rsidR="00623D94">
        <w:t xml:space="preserve"> the subgroup of R/R DLBCL patients specified in the submission</w:t>
      </w:r>
      <w:r w:rsidR="00E90C14">
        <w:t xml:space="preserve"> </w:t>
      </w:r>
      <w:r w:rsidR="0004684E">
        <w:t xml:space="preserve">noting that they have </w:t>
      </w:r>
      <w:r w:rsidR="00200732">
        <w:t xml:space="preserve">a very poor prognosis. </w:t>
      </w:r>
    </w:p>
    <w:p w14:paraId="4E783D91" w14:textId="3459D957" w:rsidR="00B24AB7" w:rsidRPr="00FD4EC7" w:rsidRDefault="00C870D6" w:rsidP="002029E4">
      <w:pPr>
        <w:pStyle w:val="3-BodyText"/>
      </w:pPr>
      <w:r>
        <w:t xml:space="preserve">In terms of the proposed restriction, the PBAC </w:t>
      </w:r>
      <w:r w:rsidR="00440B14">
        <w:t xml:space="preserve">considered that an </w:t>
      </w:r>
      <w:r w:rsidR="00440B14" w:rsidRPr="00FD4EC7">
        <w:t xml:space="preserve">Authority Required (Telephone/Electronic) </w:t>
      </w:r>
      <w:r w:rsidR="00E31DA5">
        <w:t xml:space="preserve">listing </w:t>
      </w:r>
      <w:r w:rsidR="00440B14" w:rsidRPr="00FD4EC7">
        <w:t>for initial</w:t>
      </w:r>
      <w:r w:rsidR="00440B14">
        <w:t xml:space="preserve"> and grandfathering</w:t>
      </w:r>
      <w:r w:rsidR="00AA0961">
        <w:t xml:space="preserve"> </w:t>
      </w:r>
      <w:r w:rsidR="00440B14" w:rsidRPr="00FD4EC7">
        <w:t>treatment</w:t>
      </w:r>
      <w:r w:rsidR="00440B14">
        <w:t xml:space="preserve"> phases was appropriate </w:t>
      </w:r>
      <w:r w:rsidR="00B53FC9">
        <w:t xml:space="preserve">with an </w:t>
      </w:r>
      <w:r w:rsidR="00440B14" w:rsidRPr="00FD4EC7">
        <w:t xml:space="preserve">Authority Required (Streamlined) </w:t>
      </w:r>
      <w:r w:rsidR="00B53FC9">
        <w:t xml:space="preserve">listing </w:t>
      </w:r>
      <w:r w:rsidR="00440B14" w:rsidRPr="00FD4EC7">
        <w:t>for continuing</w:t>
      </w:r>
      <w:r w:rsidR="00E31DA5">
        <w:t xml:space="preserve"> </w:t>
      </w:r>
      <w:r w:rsidR="00440B14" w:rsidRPr="00FD4EC7">
        <w:t>treatment</w:t>
      </w:r>
      <w:r w:rsidR="00B53FC9">
        <w:t>.</w:t>
      </w:r>
      <w:r w:rsidR="0009691B">
        <w:t xml:space="preserve"> </w:t>
      </w:r>
      <w:r w:rsidR="001F1616">
        <w:t xml:space="preserve">The PBAC considered the initial </w:t>
      </w:r>
      <w:r w:rsidR="00F42F9A">
        <w:t xml:space="preserve">treatment phase should have 1 repeat with 3 repeats for the continuing and grandfathering treatment phases. The PBAC </w:t>
      </w:r>
      <w:r>
        <w:t xml:space="preserve">agreed with </w:t>
      </w:r>
      <w:r w:rsidR="00476940">
        <w:t>the</w:t>
      </w:r>
      <w:r>
        <w:t xml:space="preserve"> </w:t>
      </w:r>
      <w:r w:rsidR="00071B1A">
        <w:t xml:space="preserve">Sub-Committees that </w:t>
      </w:r>
      <w:r w:rsidR="00071B1A" w:rsidRPr="006C4820">
        <w:t>patients eligible for</w:t>
      </w:r>
      <w:r w:rsidR="00774480">
        <w:t xml:space="preserve"> </w:t>
      </w:r>
      <w:r w:rsidR="00071B1A" w:rsidRPr="006C4820">
        <w:t xml:space="preserve">treatment with loncastuximab tesirine should </w:t>
      </w:r>
      <w:r w:rsidR="00E60ABC">
        <w:t xml:space="preserve">have previously received or </w:t>
      </w:r>
      <w:r w:rsidR="00C50772">
        <w:t xml:space="preserve">be unable to receive treatment with </w:t>
      </w:r>
      <w:r w:rsidR="00071B1A" w:rsidRPr="006C4820">
        <w:t>bispecific antibodies</w:t>
      </w:r>
      <w:r w:rsidR="00476940">
        <w:t xml:space="preserve">. As such, </w:t>
      </w:r>
      <w:r w:rsidR="000114E9">
        <w:t xml:space="preserve">the </w:t>
      </w:r>
      <w:r w:rsidR="00476940">
        <w:t xml:space="preserve">PBAC considered the </w:t>
      </w:r>
      <w:r w:rsidR="000114E9">
        <w:t xml:space="preserve">clinical criteria outlined in paragraph </w:t>
      </w:r>
      <w:r w:rsidR="003A5470">
        <w:fldChar w:fldCharType="begin"/>
      </w:r>
      <w:r w:rsidR="003A5470">
        <w:instrText xml:space="preserve"> REF _Ref226555402 \r \h </w:instrText>
      </w:r>
      <w:r w:rsidR="003A5470">
        <w:fldChar w:fldCharType="separate"/>
      </w:r>
      <w:r w:rsidR="008C4274">
        <w:t>3.5</w:t>
      </w:r>
      <w:r w:rsidR="003A5470">
        <w:fldChar w:fldCharType="end"/>
      </w:r>
      <w:r w:rsidR="003A5470">
        <w:t xml:space="preserve"> should be included in the restriction</w:t>
      </w:r>
      <w:r w:rsidR="00071B1A" w:rsidRPr="006C4820">
        <w:t>.</w:t>
      </w:r>
      <w:r w:rsidR="00476940">
        <w:t xml:space="preserve"> The PBAC also agreed with the Sub-Committees</w:t>
      </w:r>
      <w:r w:rsidR="00071B1A" w:rsidRPr="006C4820">
        <w:t xml:space="preserve"> </w:t>
      </w:r>
      <w:r w:rsidR="00476940">
        <w:t xml:space="preserve">that it was reasonable to </w:t>
      </w:r>
      <w:r w:rsidR="00CB3175">
        <w:t xml:space="preserve">include </w:t>
      </w:r>
      <w:r w:rsidR="000F34B6">
        <w:t xml:space="preserve">patients with </w:t>
      </w:r>
      <w:r w:rsidR="000F34B6" w:rsidRPr="006C4820">
        <w:t xml:space="preserve">high-grade B-cell lymphoma (HGBL) </w:t>
      </w:r>
      <w:r w:rsidR="000F34B6">
        <w:t xml:space="preserve">and </w:t>
      </w:r>
      <w:r w:rsidR="00CB3175" w:rsidRPr="00F112A7">
        <w:rPr>
          <w:color w:val="000000" w:themeColor="text1"/>
          <w:lang w:val="en-US"/>
        </w:rPr>
        <w:t>primary mediastinal B-cell lymphoma (PMBL)</w:t>
      </w:r>
      <w:r w:rsidR="000F34B6">
        <w:rPr>
          <w:color w:val="000000" w:themeColor="text1"/>
          <w:lang w:val="en-US"/>
        </w:rPr>
        <w:t xml:space="preserve"> </w:t>
      </w:r>
      <w:r w:rsidR="009604B5">
        <w:rPr>
          <w:color w:val="000000" w:themeColor="text1"/>
          <w:lang w:val="en-US"/>
        </w:rPr>
        <w:t xml:space="preserve">in the </w:t>
      </w:r>
      <w:r w:rsidR="00FF63EB">
        <w:rPr>
          <w:color w:val="000000" w:themeColor="text1"/>
          <w:lang w:val="en-US"/>
        </w:rPr>
        <w:t xml:space="preserve">eligible population covered by the </w:t>
      </w:r>
      <w:r w:rsidR="009604B5">
        <w:rPr>
          <w:color w:val="000000" w:themeColor="text1"/>
          <w:lang w:val="en-US"/>
        </w:rPr>
        <w:t>proposed restriction</w:t>
      </w:r>
      <w:r w:rsidR="00CB3175" w:rsidRPr="00F112A7">
        <w:rPr>
          <w:color w:val="000000" w:themeColor="text1"/>
          <w:lang w:val="en-US"/>
        </w:rPr>
        <w:t>.</w:t>
      </w:r>
      <w:r w:rsidR="00E22B3D">
        <w:t xml:space="preserve"> </w:t>
      </w:r>
      <w:r w:rsidR="00E22B3D" w:rsidRPr="00F112A7">
        <w:t xml:space="preserve">The </w:t>
      </w:r>
      <w:r w:rsidR="00E22B3D">
        <w:t xml:space="preserve">PBAC considered the </w:t>
      </w:r>
      <w:r w:rsidR="00E22B3D" w:rsidRPr="00F112A7">
        <w:t>Sub</w:t>
      </w:r>
      <w:r w:rsidR="005341E1">
        <w:t xml:space="preserve">-Committees advice </w:t>
      </w:r>
      <w:r w:rsidR="00046647">
        <w:t xml:space="preserve">for the </w:t>
      </w:r>
      <w:r w:rsidR="00E22B3D" w:rsidRPr="00F112A7">
        <w:lastRenderedPageBreak/>
        <w:t xml:space="preserve">restriction indication to state Large B-cell lymphoma rather than DLBCL </w:t>
      </w:r>
      <w:r w:rsidR="00046647">
        <w:t xml:space="preserve">to incorporate </w:t>
      </w:r>
      <w:r w:rsidR="00C97DAA">
        <w:t>HGBL and PMBL was reasonable</w:t>
      </w:r>
      <w:r w:rsidR="00E22B3D" w:rsidRPr="00F112A7">
        <w:t>.</w:t>
      </w:r>
      <w:r w:rsidR="00843024">
        <w:t xml:space="preserve"> </w:t>
      </w:r>
      <w:r w:rsidR="008E4AB6">
        <w:t>The</w:t>
      </w:r>
      <w:r w:rsidR="00D809BA">
        <w:t xml:space="preserve"> PBAC advised that</w:t>
      </w:r>
      <w:r w:rsidR="00B24AB7">
        <w:t xml:space="preserve">, consistent with the LOTIS-2 trial, treatment should be limited to </w:t>
      </w:r>
      <w:r w:rsidR="00D7704E">
        <w:t xml:space="preserve">a maximum of 12 months. </w:t>
      </w:r>
    </w:p>
    <w:p w14:paraId="01727A6E" w14:textId="530677A3" w:rsidR="00126A1C" w:rsidRDefault="006C6D5A" w:rsidP="002A3163">
      <w:pPr>
        <w:pStyle w:val="3-BodyText"/>
      </w:pPr>
      <w:r>
        <w:t xml:space="preserve">The PBAC </w:t>
      </w:r>
      <w:r w:rsidR="00376A66">
        <w:t>advised</w:t>
      </w:r>
      <w:r>
        <w:t xml:space="preserve"> that </w:t>
      </w:r>
      <w:r w:rsidR="00BA4F0D">
        <w:t xml:space="preserve">loncastuximab tesirine is likely to be used as a further line of therapy post-CAR-T and post-bispecific </w:t>
      </w:r>
      <w:r w:rsidR="00C15EAF">
        <w:t>antibodies</w:t>
      </w:r>
      <w:r w:rsidR="002C446B">
        <w:t xml:space="preserve"> or in patients ineligible or unable to access such treatments. </w:t>
      </w:r>
      <w:r w:rsidR="00376A66">
        <w:t>The PBAC considered that with</w:t>
      </w:r>
      <w:r w:rsidR="002F45BF">
        <w:t xml:space="preserve"> the inclusion of additional c</w:t>
      </w:r>
      <w:r w:rsidR="00BC5C83">
        <w:t xml:space="preserve">linical criteria in the restriction regarding bispecific antibodies (see paragraph </w:t>
      </w:r>
      <w:r w:rsidR="00BC5C83">
        <w:fldChar w:fldCharType="begin"/>
      </w:r>
      <w:r w:rsidR="00BC5C83">
        <w:instrText xml:space="preserve"> REF _Ref226555402 \r \h </w:instrText>
      </w:r>
      <w:r w:rsidR="00BC5C83">
        <w:fldChar w:fldCharType="separate"/>
      </w:r>
      <w:r w:rsidR="008C4274">
        <w:t>3.5</w:t>
      </w:r>
      <w:r w:rsidR="00BC5C83">
        <w:fldChar w:fldCharType="end"/>
      </w:r>
      <w:r w:rsidR="00BC5C83">
        <w:t xml:space="preserve">), the </w:t>
      </w:r>
      <w:r w:rsidR="00126A1C">
        <w:t xml:space="preserve">clinical place </w:t>
      </w:r>
      <w:r w:rsidR="00B41C15">
        <w:t xml:space="preserve">proposed for loncastuximab tesirine </w:t>
      </w:r>
      <w:r w:rsidR="00126A1C">
        <w:t xml:space="preserve">was appropriate. </w:t>
      </w:r>
    </w:p>
    <w:p w14:paraId="72FD6079" w14:textId="112088E4" w:rsidR="00071B1A" w:rsidRDefault="009F1F86" w:rsidP="00825E26">
      <w:pPr>
        <w:pStyle w:val="3-BodyText"/>
      </w:pPr>
      <w:r>
        <w:t xml:space="preserve">The PBAC </w:t>
      </w:r>
      <w:r w:rsidR="00DE0605">
        <w:t>noted</w:t>
      </w:r>
      <w:r w:rsidR="00392A1F">
        <w:t xml:space="preserve"> th</w:t>
      </w:r>
      <w:r w:rsidR="00DE0605">
        <w:t xml:space="preserve">e submission </w:t>
      </w:r>
      <w:r w:rsidR="002A54C2">
        <w:t>nominated rituximab</w:t>
      </w:r>
      <w:r w:rsidR="00912D63" w:rsidRPr="006C4820">
        <w:t xml:space="preserve"> in combination with ifosfamide, carboplatin and etoposide (R-ICE) as the main comparator</w:t>
      </w:r>
      <w:r w:rsidR="002A54C2">
        <w:t>.</w:t>
      </w:r>
      <w:r w:rsidR="0009691B">
        <w:t xml:space="preserve"> </w:t>
      </w:r>
      <w:r w:rsidR="002A54C2">
        <w:t xml:space="preserve">The PBAC acknowledged that R-ICE is generally used for fit transplant-eligible patients but </w:t>
      </w:r>
      <w:r w:rsidR="00ED3938">
        <w:t>considered it</w:t>
      </w:r>
      <w:r w:rsidR="005D0F5D">
        <w:t>s nomination as the main comparator</w:t>
      </w:r>
      <w:r w:rsidR="00ED3938">
        <w:t xml:space="preserve"> </w:t>
      </w:r>
      <w:r w:rsidR="00912D63">
        <w:t>was appropriate as a</w:t>
      </w:r>
      <w:r w:rsidR="00912D63" w:rsidRPr="006C4820">
        <w:t xml:space="preserve"> proxy for mixed chemoimmunotherapy.</w:t>
      </w:r>
      <w:r w:rsidR="00912D63">
        <w:t xml:space="preserve"> </w:t>
      </w:r>
      <w:r w:rsidR="00825E26">
        <w:t xml:space="preserve">The PBAC also noted </w:t>
      </w:r>
      <w:r w:rsidR="00A21553">
        <w:t xml:space="preserve">the Sub-Committees advice that </w:t>
      </w:r>
      <w:r w:rsidR="009F46EB">
        <w:t>rituximab in combination with gemcitabine and oxaliplatin (R-</w:t>
      </w:r>
      <w:proofErr w:type="spellStart"/>
      <w:r w:rsidR="009F46EB">
        <w:t>GemOx</w:t>
      </w:r>
      <w:proofErr w:type="spellEnd"/>
      <w:r w:rsidR="009F46EB">
        <w:t xml:space="preserve">) may </w:t>
      </w:r>
      <w:r w:rsidR="003A51A8">
        <w:t xml:space="preserve">also be appropriate as a proxy for mixed chemoimmunotherapy. </w:t>
      </w:r>
      <w:r w:rsidR="00BA0CCD">
        <w:t xml:space="preserve">The PBAC noted that </w:t>
      </w:r>
      <w:r w:rsidR="00523FCC">
        <w:t>the population proposed by the submission will include patients who have relapsed after glofit</w:t>
      </w:r>
      <w:r w:rsidR="00EA1D11">
        <w:t>amab plus</w:t>
      </w:r>
      <w:r w:rsidR="00B24869">
        <w:t xml:space="preserve"> </w:t>
      </w:r>
      <w:r w:rsidR="00B13889">
        <w:t>gemcitabine and oxaliplatin</w:t>
      </w:r>
      <w:r w:rsidR="00B24869">
        <w:t>.</w:t>
      </w:r>
    </w:p>
    <w:p w14:paraId="3E650493" w14:textId="0EBDC8E5" w:rsidR="00E55C5C" w:rsidRDefault="00332217" w:rsidP="00933F5C">
      <w:pPr>
        <w:pStyle w:val="3-BodyText"/>
      </w:pPr>
      <w:r>
        <w:t xml:space="preserve">The pivotal evidence for loncastuximab tesirine was derived from </w:t>
      </w:r>
      <w:r w:rsidR="00347F15">
        <w:t xml:space="preserve">the </w:t>
      </w:r>
      <w:r w:rsidR="00347F15" w:rsidRPr="001A2112">
        <w:t>LOTIS-2</w:t>
      </w:r>
      <w:r w:rsidR="00443B18">
        <w:t xml:space="preserve"> study</w:t>
      </w:r>
      <w:r w:rsidR="00DB1A71">
        <w:t>,</w:t>
      </w:r>
      <w:r w:rsidR="00443B18">
        <w:t xml:space="preserve"> a</w:t>
      </w:r>
      <w:r w:rsidR="00611CFF">
        <w:t xml:space="preserve"> small (n=145),</w:t>
      </w:r>
      <w:r w:rsidR="00443B18">
        <w:t xml:space="preserve"> Phase 2, </w:t>
      </w:r>
      <w:r w:rsidR="00347F15" w:rsidRPr="001A2112">
        <w:t>single-arm, open-label study that enrolled adult patients with R/R DLBCL who had received at least 2 prior lines of systemic therapy</w:t>
      </w:r>
      <w:r w:rsidR="00984369">
        <w:t xml:space="preserve">. The PBAC </w:t>
      </w:r>
      <w:r w:rsidR="00842A61">
        <w:t xml:space="preserve">noted that the overall response rate </w:t>
      </w:r>
      <w:r w:rsidR="0068121C">
        <w:t xml:space="preserve">(ORR) </w:t>
      </w:r>
      <w:r w:rsidR="00842A61">
        <w:t>among patients treated with loncastuximab tesirine</w:t>
      </w:r>
      <w:r w:rsidR="0068121C" w:rsidRPr="001A2112">
        <w:t xml:space="preserve"> was 48.3% (95% CI: 39.9, 56.7), including 36 (24.8%) patients with </w:t>
      </w:r>
      <w:r w:rsidR="00996509">
        <w:t>complete remission (CR)</w:t>
      </w:r>
      <w:r w:rsidR="0068121C" w:rsidRPr="001A2112">
        <w:t>.</w:t>
      </w:r>
      <w:r w:rsidR="004D4898">
        <w:t xml:space="preserve"> </w:t>
      </w:r>
      <w:r w:rsidR="00D63EEF">
        <w:t>In addition, the PBAC noted m</w:t>
      </w:r>
      <w:r w:rsidR="005F1120" w:rsidRPr="001A2112">
        <w:t xml:space="preserve">edian </w:t>
      </w:r>
      <w:r w:rsidR="00B51309">
        <w:t>progression</w:t>
      </w:r>
      <w:r w:rsidR="0003204E">
        <w:t>-</w:t>
      </w:r>
      <w:r w:rsidR="00B51309">
        <w:t>free survival (PFS)</w:t>
      </w:r>
      <w:r w:rsidR="005F1120" w:rsidRPr="001A2112">
        <w:t xml:space="preserve"> for the LOTIS-2 population was 4.93 months (95% CI: 2.89, 8.31)</w:t>
      </w:r>
      <w:r w:rsidR="0003204E">
        <w:t xml:space="preserve"> with median overall survival (OS) </w:t>
      </w:r>
      <w:r w:rsidR="00D135A4" w:rsidRPr="001A2112">
        <w:t>9.53 months (95% CI: 6.75, 11.47)</w:t>
      </w:r>
      <w:r w:rsidR="005F1120" w:rsidRPr="001A2112">
        <w:t>.</w:t>
      </w:r>
      <w:r w:rsidR="00BE0167">
        <w:t xml:space="preserve"> </w:t>
      </w:r>
    </w:p>
    <w:p w14:paraId="45A00449" w14:textId="7D9DD6CB" w:rsidR="002E6EDB" w:rsidRDefault="007B47BF" w:rsidP="00933F5C">
      <w:pPr>
        <w:pStyle w:val="3-BodyText"/>
      </w:pPr>
      <w:r w:rsidRPr="007B47BF">
        <w:rPr>
          <w:color w:val="000000" w:themeColor="text1"/>
        </w:rPr>
        <w:t>T</w:t>
      </w:r>
      <w:r w:rsidR="0007747C" w:rsidRPr="007B47BF">
        <w:rPr>
          <w:color w:val="000000" w:themeColor="text1"/>
        </w:rPr>
        <w:t xml:space="preserve">he evidence for chemoimmunotherapy was from two observational extension studies </w:t>
      </w:r>
      <w:r w:rsidR="00AA258E">
        <w:rPr>
          <w:color w:val="000000" w:themeColor="text1"/>
        </w:rPr>
        <w:t xml:space="preserve">of a randomised controlled trial </w:t>
      </w:r>
      <w:r w:rsidR="00592BDE">
        <w:rPr>
          <w:color w:val="000000" w:themeColor="text1"/>
        </w:rPr>
        <w:t>(RCT)</w:t>
      </w:r>
      <w:r w:rsidR="00AA258E">
        <w:rPr>
          <w:color w:val="000000" w:themeColor="text1"/>
        </w:rPr>
        <w:t>(CORAL)</w:t>
      </w:r>
      <w:r w:rsidR="006C1FF8">
        <w:rPr>
          <w:color w:val="000000" w:themeColor="text1"/>
        </w:rPr>
        <w:t xml:space="preserve">. The </w:t>
      </w:r>
      <w:r w:rsidR="00812513">
        <w:rPr>
          <w:color w:val="000000" w:themeColor="text1"/>
        </w:rPr>
        <w:t xml:space="preserve">extension studies included </w:t>
      </w:r>
      <w:r w:rsidR="002149DA">
        <w:rPr>
          <w:color w:val="000000" w:themeColor="text1"/>
        </w:rPr>
        <w:t xml:space="preserve">patients </w:t>
      </w:r>
      <w:r w:rsidR="009D71E9">
        <w:rPr>
          <w:color w:val="000000" w:themeColor="text1"/>
        </w:rPr>
        <w:t xml:space="preserve">enrolled in the CORAL </w:t>
      </w:r>
      <w:r w:rsidR="0021563A">
        <w:rPr>
          <w:color w:val="000000" w:themeColor="text1"/>
        </w:rPr>
        <w:t>RCT</w:t>
      </w:r>
      <w:r w:rsidR="009D71E9">
        <w:rPr>
          <w:color w:val="000000" w:themeColor="text1"/>
        </w:rPr>
        <w:t xml:space="preserve"> </w:t>
      </w:r>
      <w:r w:rsidR="00716EAF">
        <w:rPr>
          <w:color w:val="000000" w:themeColor="text1"/>
        </w:rPr>
        <w:t>who subsequently underwent 3L therap</w:t>
      </w:r>
      <w:r w:rsidR="009D71E9">
        <w:rPr>
          <w:color w:val="000000" w:themeColor="text1"/>
        </w:rPr>
        <w:t>y</w:t>
      </w:r>
      <w:r w:rsidR="00716EAF">
        <w:rPr>
          <w:color w:val="000000" w:themeColor="text1"/>
        </w:rPr>
        <w:t xml:space="preserve">. </w:t>
      </w:r>
      <w:r w:rsidR="0030072F">
        <w:rPr>
          <w:color w:val="000000" w:themeColor="text1"/>
        </w:rPr>
        <w:t>The PBAC acknowledged the concerns raised by the</w:t>
      </w:r>
      <w:r w:rsidR="00DB5E0E">
        <w:rPr>
          <w:color w:val="000000" w:themeColor="text1"/>
        </w:rPr>
        <w:t xml:space="preserve"> evaluation that </w:t>
      </w:r>
      <w:r w:rsidR="00295AA8">
        <w:rPr>
          <w:color w:val="000000" w:themeColor="text1"/>
        </w:rPr>
        <w:t xml:space="preserve">chemoimmunotherapy was not standard of care at the time the </w:t>
      </w:r>
      <w:r w:rsidR="00FA143D">
        <w:rPr>
          <w:color w:val="000000" w:themeColor="text1"/>
        </w:rPr>
        <w:t xml:space="preserve">CORAL </w:t>
      </w:r>
      <w:r w:rsidR="00B73201">
        <w:rPr>
          <w:color w:val="000000" w:themeColor="text1"/>
        </w:rPr>
        <w:t xml:space="preserve">extension studies were conducted and hence </w:t>
      </w:r>
      <w:r w:rsidR="007A360C">
        <w:rPr>
          <w:color w:val="000000" w:themeColor="text1"/>
        </w:rPr>
        <w:t>may not accurately reflect current standard of care</w:t>
      </w:r>
      <w:r w:rsidR="008525DE">
        <w:rPr>
          <w:color w:val="000000" w:themeColor="text1"/>
        </w:rPr>
        <w:t xml:space="preserve">. However, the PBAC </w:t>
      </w:r>
      <w:r w:rsidR="007A360C">
        <w:rPr>
          <w:color w:val="000000" w:themeColor="text1"/>
        </w:rPr>
        <w:t xml:space="preserve">agreed with the Sub-Committees that they are </w:t>
      </w:r>
      <w:r w:rsidR="009E52D8">
        <w:rPr>
          <w:color w:val="000000" w:themeColor="text1"/>
        </w:rPr>
        <w:t xml:space="preserve">a reasonable representation of chemoimmunotherapy in this context. </w:t>
      </w:r>
      <w:r w:rsidR="00016645">
        <w:rPr>
          <w:color w:val="000000" w:themeColor="text1"/>
        </w:rPr>
        <w:t xml:space="preserve">The PBAC noted that </w:t>
      </w:r>
      <w:r w:rsidR="00CE56E2">
        <w:rPr>
          <w:color w:val="000000" w:themeColor="text1"/>
        </w:rPr>
        <w:t xml:space="preserve">pooled data from the CORAL </w:t>
      </w:r>
      <w:r w:rsidR="00FF47A1">
        <w:rPr>
          <w:color w:val="000000" w:themeColor="text1"/>
        </w:rPr>
        <w:t xml:space="preserve">extension studies reported an ORR of 40.3% </w:t>
      </w:r>
      <w:r w:rsidR="008E6C7F">
        <w:rPr>
          <w:color w:val="000000" w:themeColor="text1"/>
        </w:rPr>
        <w:t>and a CR of 28</w:t>
      </w:r>
      <w:r w:rsidR="00F318C5">
        <w:rPr>
          <w:color w:val="000000" w:themeColor="text1"/>
        </w:rPr>
        <w:t>.4</w:t>
      </w:r>
      <w:r w:rsidR="008E6C7F">
        <w:rPr>
          <w:color w:val="000000" w:themeColor="text1"/>
        </w:rPr>
        <w:t xml:space="preserve">%. </w:t>
      </w:r>
      <w:r w:rsidR="00BC7C19">
        <w:rPr>
          <w:color w:val="000000" w:themeColor="text1"/>
        </w:rPr>
        <w:t xml:space="preserve">Median </w:t>
      </w:r>
      <w:r w:rsidR="00C60242">
        <w:rPr>
          <w:color w:val="000000" w:themeColor="text1"/>
        </w:rPr>
        <w:t xml:space="preserve">OS in </w:t>
      </w:r>
      <w:r w:rsidR="00C60242" w:rsidRPr="001A2112">
        <w:t>CORAL Extension 1 patients who had relapsed after achieving ASCT in 2L</w:t>
      </w:r>
      <w:r w:rsidR="00C60242">
        <w:t xml:space="preserve"> was </w:t>
      </w:r>
      <w:r w:rsidR="00976C32">
        <w:t xml:space="preserve">10.0 months </w:t>
      </w:r>
      <w:r w:rsidR="00EC3F9C">
        <w:t xml:space="preserve">(95% CI: 6.6, 12.6) </w:t>
      </w:r>
      <w:r w:rsidR="00976C32">
        <w:t xml:space="preserve">and </w:t>
      </w:r>
      <w:r w:rsidR="00EC3F9C">
        <w:t xml:space="preserve">4.4 months (95% CI: </w:t>
      </w:r>
      <w:r w:rsidR="007C638C">
        <w:t xml:space="preserve">3.4, 5.9) </w:t>
      </w:r>
      <w:r w:rsidR="003122AA">
        <w:t>for</w:t>
      </w:r>
      <w:r w:rsidR="007C638C">
        <w:t xml:space="preserve"> </w:t>
      </w:r>
      <w:r w:rsidR="003122AA" w:rsidRPr="001A2112">
        <w:t>patients in CORAL extension 2, who had not been able to proceed to the planned ASCT in 2L</w:t>
      </w:r>
      <w:r w:rsidR="00C60242">
        <w:t>.</w:t>
      </w:r>
    </w:p>
    <w:p w14:paraId="1516B07F" w14:textId="42D5196F" w:rsidR="00584CF8" w:rsidRPr="00584CF8" w:rsidRDefault="00584CF8" w:rsidP="00077E0A">
      <w:pPr>
        <w:pStyle w:val="3-BodyText"/>
      </w:pPr>
      <w:r w:rsidRPr="00584CF8">
        <w:t xml:space="preserve">The </w:t>
      </w:r>
      <w:r w:rsidR="00E1266C">
        <w:t>submission conducted a</w:t>
      </w:r>
      <w:r w:rsidR="008C567C">
        <w:t>n unanchored</w:t>
      </w:r>
      <w:r w:rsidRPr="00584CF8">
        <w:t xml:space="preserve"> matching adjusted indirect comparison (MAIC) </w:t>
      </w:r>
      <w:r w:rsidR="008C567C">
        <w:t xml:space="preserve">to evaluate the comparative effectiveness </w:t>
      </w:r>
      <w:r w:rsidR="005E3E4A">
        <w:t>between loncastuximab tesirine and chemo</w:t>
      </w:r>
      <w:r w:rsidR="00DB2E73">
        <w:t xml:space="preserve">immunotherapy. </w:t>
      </w:r>
      <w:r w:rsidR="0020459A" w:rsidRPr="001A2112">
        <w:t xml:space="preserve">The </w:t>
      </w:r>
      <w:r w:rsidR="00BF3BED">
        <w:t xml:space="preserve">PBAC noted the </w:t>
      </w:r>
      <w:r w:rsidR="0020459A" w:rsidRPr="001A2112">
        <w:t xml:space="preserve">MAIC estimated that patients treated with loncastuximab tesirine gained a 4.27-month survival benefit over patients treated with chemoimmunotherapy (median OS: 10.23 months [95% CI: 6.34, 13.63] </w:t>
      </w:r>
      <w:r w:rsidR="0020459A" w:rsidRPr="001A2112">
        <w:lastRenderedPageBreak/>
        <w:t>versus 5.85 months [95% CI: 4.80, 7.14]).</w:t>
      </w:r>
      <w:r w:rsidR="003D1A7C">
        <w:t xml:space="preserve"> However, the PBAC </w:t>
      </w:r>
      <w:r w:rsidR="003452D6">
        <w:t xml:space="preserve">considered that </w:t>
      </w:r>
      <w:r w:rsidRPr="00584CF8">
        <w:t xml:space="preserve">the differences between LOTIS-2 and the CORAL extension studies, such as changes in diagnostic and assessment criteria over the decade between CORAL and LOTIS-2, and differences in study populations, introduce </w:t>
      </w:r>
      <w:r w:rsidR="00565B34">
        <w:t xml:space="preserve">a high level of </w:t>
      </w:r>
      <w:r w:rsidRPr="00584CF8">
        <w:t>uncertainty to the magnitude of the benefit.</w:t>
      </w:r>
      <w:r w:rsidR="008D56B2">
        <w:t xml:space="preserve"> </w:t>
      </w:r>
      <w:r w:rsidR="000147E7">
        <w:t>The PBAC considered the re</w:t>
      </w:r>
      <w:r w:rsidR="00A93C3B">
        <w:t xml:space="preserve">sults of a retrospective observational study on the efficacy of loncastuximab tesirine </w:t>
      </w:r>
      <w:r w:rsidR="00911355">
        <w:t>post CAR-T therapy provided</w:t>
      </w:r>
      <w:r w:rsidR="001650EF">
        <w:t xml:space="preserve"> additional </w:t>
      </w:r>
      <w:r w:rsidR="001940AB">
        <w:t>information</w:t>
      </w:r>
      <w:r w:rsidR="001650EF">
        <w:t xml:space="preserve"> </w:t>
      </w:r>
      <w:r w:rsidR="00EF2017">
        <w:t xml:space="preserve">regarding the effectiveness of </w:t>
      </w:r>
      <w:r w:rsidR="003C05EE">
        <w:t>this agent</w:t>
      </w:r>
      <w:r w:rsidR="00EF2017">
        <w:t xml:space="preserve"> (see paragraph </w:t>
      </w:r>
      <w:r w:rsidR="00806276">
        <w:fldChar w:fldCharType="begin"/>
      </w:r>
      <w:r w:rsidR="00806276">
        <w:instrText xml:space="preserve"> REF _Ref226624337 \r \h </w:instrText>
      </w:r>
      <w:r w:rsidR="00806276">
        <w:fldChar w:fldCharType="separate"/>
      </w:r>
      <w:r w:rsidR="008C4274">
        <w:t>6.30</w:t>
      </w:r>
      <w:r w:rsidR="00806276">
        <w:fldChar w:fldCharType="end"/>
      </w:r>
      <w:r w:rsidR="00806276">
        <w:t xml:space="preserve">). </w:t>
      </w:r>
      <w:r w:rsidR="008D56B2">
        <w:t>Overall, the PBAC considered</w:t>
      </w:r>
      <w:r w:rsidR="008D56B2" w:rsidRPr="002525B9">
        <w:rPr>
          <w:snapToGrid w:val="0"/>
          <w:szCs w:val="20"/>
        </w:rPr>
        <w:t xml:space="preserve"> the claim of superior comparative effectiveness was </w:t>
      </w:r>
      <w:r w:rsidR="008D56B2">
        <w:rPr>
          <w:snapToGrid w:val="0"/>
          <w:szCs w:val="20"/>
        </w:rPr>
        <w:t xml:space="preserve">highly uncertain but likely </w:t>
      </w:r>
      <w:r w:rsidR="008D56B2" w:rsidRPr="002525B9">
        <w:rPr>
          <w:snapToGrid w:val="0"/>
          <w:szCs w:val="20"/>
        </w:rPr>
        <w:t>reasonable</w:t>
      </w:r>
      <w:r w:rsidR="008D56B2">
        <w:rPr>
          <w:snapToGrid w:val="0"/>
          <w:szCs w:val="20"/>
        </w:rPr>
        <w:t xml:space="preserve">. </w:t>
      </w:r>
    </w:p>
    <w:p w14:paraId="3020E8B5" w14:textId="43239234" w:rsidR="00197E0C" w:rsidRDefault="00131CD8" w:rsidP="00933F5C">
      <w:pPr>
        <w:pStyle w:val="3-BodyText"/>
      </w:pPr>
      <w:r w:rsidRPr="001A2112">
        <w:rPr>
          <w:rFonts w:eastAsia="Calibri"/>
        </w:rPr>
        <w:t xml:space="preserve">The submission described </w:t>
      </w:r>
      <w:r w:rsidRPr="001A2112">
        <w:t>loncastuximab tesirine</w:t>
      </w:r>
      <w:r w:rsidRPr="001A2112">
        <w:rPr>
          <w:rFonts w:eastAsia="Calibri"/>
        </w:rPr>
        <w:t xml:space="preserve"> as superior in terms of safety compared to </w:t>
      </w:r>
      <w:r w:rsidRPr="001A2112">
        <w:t>chemoimmunotherapy</w:t>
      </w:r>
      <w:r w:rsidRPr="001A2112">
        <w:rPr>
          <w:rFonts w:eastAsia="Calibri"/>
        </w:rPr>
        <w:t xml:space="preserve">. </w:t>
      </w:r>
      <w:r w:rsidRPr="00131CD8">
        <w:rPr>
          <w:rFonts w:eastAsia="Calibri"/>
        </w:rPr>
        <w:t xml:space="preserve">The PBAC </w:t>
      </w:r>
      <w:r w:rsidR="00BF0EAE">
        <w:rPr>
          <w:rFonts w:eastAsia="Calibri"/>
        </w:rPr>
        <w:t xml:space="preserve">acknowledged the </w:t>
      </w:r>
      <w:r w:rsidR="00072C39">
        <w:rPr>
          <w:rFonts w:eastAsia="Calibri"/>
        </w:rPr>
        <w:t>safety data presented for chemoimmunotherap</w:t>
      </w:r>
      <w:r w:rsidR="0084610C">
        <w:rPr>
          <w:rFonts w:eastAsia="Calibri"/>
        </w:rPr>
        <w:t>y</w:t>
      </w:r>
      <w:r w:rsidR="00BF0EAE">
        <w:rPr>
          <w:rFonts w:eastAsia="Calibri"/>
        </w:rPr>
        <w:t xml:space="preserve"> were limited but </w:t>
      </w:r>
      <w:r w:rsidR="009316A5">
        <w:rPr>
          <w:rFonts w:eastAsia="Calibri"/>
        </w:rPr>
        <w:t>noted that patients in LOTIS</w:t>
      </w:r>
      <w:r w:rsidR="0010736B">
        <w:rPr>
          <w:rFonts w:eastAsia="Calibri"/>
        </w:rPr>
        <w:t>-2 reported higher rates of adverse events (AEs)</w:t>
      </w:r>
      <w:r w:rsidR="00067789">
        <w:rPr>
          <w:rFonts w:eastAsia="Calibri"/>
        </w:rPr>
        <w:t>, including Grade</w:t>
      </w:r>
      <w:r w:rsidR="00067789" w:rsidRPr="001A2112">
        <w:t xml:space="preserve"> </w:t>
      </w:r>
      <w:r w:rsidR="00067789" w:rsidRPr="001A2112">
        <w:rPr>
          <w:rFonts w:cs="Calibri"/>
        </w:rPr>
        <w:t>≥</w:t>
      </w:r>
      <w:r w:rsidR="00067789" w:rsidRPr="001A2112">
        <w:t xml:space="preserve"> 3 AEs, </w:t>
      </w:r>
      <w:r w:rsidR="00160515">
        <w:t>serious AEs</w:t>
      </w:r>
      <w:r w:rsidR="00067789" w:rsidRPr="001A2112">
        <w:t>, and AEs leading to discontinuation</w:t>
      </w:r>
      <w:r w:rsidR="0084610C">
        <w:rPr>
          <w:rFonts w:eastAsia="Calibri"/>
        </w:rPr>
        <w:t xml:space="preserve">. </w:t>
      </w:r>
      <w:r w:rsidR="007F00CE">
        <w:rPr>
          <w:rFonts w:eastAsia="Calibri"/>
        </w:rPr>
        <w:t xml:space="preserve">As such, the PBAC </w:t>
      </w:r>
      <w:r w:rsidRPr="00131CD8">
        <w:rPr>
          <w:rFonts w:eastAsia="Calibri"/>
        </w:rPr>
        <w:t>considered</w:t>
      </w:r>
      <w:r>
        <w:rPr>
          <w:rFonts w:eastAsia="Calibri"/>
        </w:rPr>
        <w:t xml:space="preserve"> t</w:t>
      </w:r>
      <w:r w:rsidRPr="001A2112">
        <w:rPr>
          <w:rFonts w:eastAsia="Calibri"/>
        </w:rPr>
        <w:t>his claim was not adequately supported.</w:t>
      </w:r>
      <w:r w:rsidR="007F00CE">
        <w:rPr>
          <w:rFonts w:eastAsia="Calibri"/>
        </w:rPr>
        <w:t xml:space="preserve"> </w:t>
      </w:r>
      <w:r w:rsidR="007F00CE">
        <w:t xml:space="preserve">The PBAC agreed with the </w:t>
      </w:r>
      <w:r w:rsidR="00601B95">
        <w:t xml:space="preserve">Sub-Committees that </w:t>
      </w:r>
      <w:r w:rsidR="000D217E">
        <w:t xml:space="preserve">a claim of </w:t>
      </w:r>
      <w:r w:rsidR="0054567E">
        <w:t>non-inferior safety w</w:t>
      </w:r>
      <w:r w:rsidR="004F612B">
        <w:t>as</w:t>
      </w:r>
      <w:r w:rsidR="0054567E">
        <w:t xml:space="preserve"> appropriate. </w:t>
      </w:r>
    </w:p>
    <w:p w14:paraId="13D3A861" w14:textId="3D2CC7D0" w:rsidR="00E65BFB" w:rsidRDefault="00DC4C02" w:rsidP="00AD27E9">
      <w:pPr>
        <w:pStyle w:val="3-BodyText"/>
        <w:numPr>
          <w:ilvl w:val="1"/>
          <w:numId w:val="1"/>
        </w:numPr>
      </w:pPr>
      <w:bookmarkStart w:id="84" w:name="_Ref226646399"/>
      <w:r>
        <w:t>The submission presented a cost-utility analysis to determine the cost effectiveness of loncastuximab tesirine</w:t>
      </w:r>
      <w:r w:rsidR="0052579F">
        <w:t xml:space="preserve"> with the error corrected base case reporting an ICER of </w:t>
      </w:r>
      <w:r w:rsidR="00104E60" w:rsidRPr="00104E60">
        <w:t>$95,000 to &lt; $115,000</w:t>
      </w:r>
      <w:r w:rsidR="00B7556B">
        <w:t xml:space="preserve"> per QALY gained. </w:t>
      </w:r>
      <w:r w:rsidR="009A33C8">
        <w:t xml:space="preserve">The PBAC noted the Sub-Committees </w:t>
      </w:r>
      <w:r w:rsidR="0083529E">
        <w:t xml:space="preserve">proposed a revised base case that modified the </w:t>
      </w:r>
      <w:r w:rsidR="002C110E">
        <w:t xml:space="preserve">approach taken to </w:t>
      </w:r>
      <w:r w:rsidR="0083572E">
        <w:t>progression-free (</w:t>
      </w:r>
      <w:r w:rsidR="002C110E">
        <w:t>PF</w:t>
      </w:r>
      <w:r w:rsidR="0083572E">
        <w:t>)</w:t>
      </w:r>
      <w:r w:rsidR="002C110E">
        <w:t xml:space="preserve"> patients so that</w:t>
      </w:r>
      <w:r w:rsidR="0083572E">
        <w:t xml:space="preserve"> they follow background </w:t>
      </w:r>
      <w:r w:rsidR="00F54284">
        <w:t>mortality after 2 years</w:t>
      </w:r>
      <w:r w:rsidR="00167D2C">
        <w:t xml:space="preserve"> and removed terminal care costs</w:t>
      </w:r>
      <w:r w:rsidR="00F54284">
        <w:t xml:space="preserve">. </w:t>
      </w:r>
      <w:r w:rsidR="00231B2D">
        <w:t xml:space="preserve">In addition, the Sub-Committee revised base case </w:t>
      </w:r>
      <w:r w:rsidR="00BF3BAD">
        <w:t xml:space="preserve">removed </w:t>
      </w:r>
      <w:r w:rsidR="000F3CB1">
        <w:t xml:space="preserve">the </w:t>
      </w:r>
      <w:r w:rsidR="00BF3BAD">
        <w:t xml:space="preserve">half-cycle correction </w:t>
      </w:r>
      <w:r w:rsidR="000F3CB1">
        <w:t xml:space="preserve">to costs, </w:t>
      </w:r>
      <w:r w:rsidR="00612134">
        <w:t xml:space="preserve">incorporated a 15 year time horizon, </w:t>
      </w:r>
      <w:r w:rsidR="00B60748">
        <w:t xml:space="preserve">required 100% of comparator patients to receive 3 R-ICE cycles and </w:t>
      </w:r>
      <w:r w:rsidR="005839A2">
        <w:t xml:space="preserve">increased the PF utility value by 10% with the same disutility of </w:t>
      </w:r>
      <w:r w:rsidR="00B47B2F">
        <w:t xml:space="preserve">progressed disease (PD) versus PF assumed. </w:t>
      </w:r>
      <w:r w:rsidR="0004793E">
        <w:t xml:space="preserve">The PBAC noted that these amendments increased the </w:t>
      </w:r>
      <w:r w:rsidR="009E42F6">
        <w:t xml:space="preserve">ICER to </w:t>
      </w:r>
      <w:r w:rsidR="0018523E" w:rsidRPr="0018523E">
        <w:t>$115,000 to &lt; $135,000</w:t>
      </w:r>
      <w:r w:rsidR="009E42F6">
        <w:t xml:space="preserve"> per QALY gained. </w:t>
      </w:r>
      <w:r w:rsidR="003D7650">
        <w:t xml:space="preserve">The pre-PBAC accepted the </w:t>
      </w:r>
      <w:r w:rsidR="0068230B">
        <w:t xml:space="preserve">amendments proposed by the Sub-Committee </w:t>
      </w:r>
      <w:r w:rsidR="006403EC">
        <w:t>except for</w:t>
      </w:r>
      <w:r w:rsidR="0068230B">
        <w:t xml:space="preserve"> the </w:t>
      </w:r>
      <w:r w:rsidR="00010B6E">
        <w:t>approach taken to PF patients and the removal of terminal care costs</w:t>
      </w:r>
      <w:r w:rsidR="00A65184">
        <w:t xml:space="preserve"> (see paragraph </w:t>
      </w:r>
      <w:r w:rsidR="00967729">
        <w:fldChar w:fldCharType="begin"/>
      </w:r>
      <w:r w:rsidR="00967729">
        <w:instrText xml:space="preserve"> REF _Ref226636463 \r \h </w:instrText>
      </w:r>
      <w:r w:rsidR="00967729">
        <w:fldChar w:fldCharType="separate"/>
      </w:r>
      <w:r w:rsidR="008C4274">
        <w:t>6.78</w:t>
      </w:r>
      <w:r w:rsidR="00967729">
        <w:fldChar w:fldCharType="end"/>
      </w:r>
      <w:r w:rsidR="00967729">
        <w:t>)</w:t>
      </w:r>
      <w:r w:rsidR="00010B6E">
        <w:t xml:space="preserve">. </w:t>
      </w:r>
      <w:r w:rsidR="0049508F">
        <w:t xml:space="preserve">The PBAC </w:t>
      </w:r>
      <w:r w:rsidR="001D6687">
        <w:t xml:space="preserve">considered the </w:t>
      </w:r>
      <w:r w:rsidR="00DB443F">
        <w:t>revisions proposed by the Sub-Committees were appropriate</w:t>
      </w:r>
      <w:r w:rsidR="0033057C">
        <w:t xml:space="preserve">. </w:t>
      </w:r>
      <w:r w:rsidR="00FA287E">
        <w:t>However, t</w:t>
      </w:r>
      <w:r w:rsidR="0033057C">
        <w:t>he</w:t>
      </w:r>
      <w:r w:rsidR="00884D82">
        <w:t xml:space="preserve"> PBAC </w:t>
      </w:r>
      <w:r w:rsidR="00F91346">
        <w:t xml:space="preserve">noted </w:t>
      </w:r>
      <w:r w:rsidR="004C2AE9">
        <w:t>the model</w:t>
      </w:r>
      <w:r w:rsidR="0033057C">
        <w:t xml:space="preserve"> </w:t>
      </w:r>
      <w:r w:rsidR="004D2E9D">
        <w:t xml:space="preserve">continued to </w:t>
      </w:r>
      <w:r w:rsidR="00884D82" w:rsidRPr="00875E73">
        <w:t>rel</w:t>
      </w:r>
      <w:r w:rsidR="004D2E9D">
        <w:t>y</w:t>
      </w:r>
      <w:r w:rsidR="00884D82" w:rsidRPr="00875E73">
        <w:t xml:space="preserve"> on the OS hazard ratio (HR) from the MAIC of loncastuximab versus chemoimmunotherapy </w:t>
      </w:r>
      <w:r w:rsidR="00FA287E">
        <w:t>with this same</w:t>
      </w:r>
      <w:r w:rsidR="00884D82" w:rsidRPr="00875E73">
        <w:t xml:space="preserve"> HR </w:t>
      </w:r>
      <w:r w:rsidR="00FA287E">
        <w:t xml:space="preserve">applied </w:t>
      </w:r>
      <w:r w:rsidR="00884D82" w:rsidRPr="00875E73">
        <w:t>to progression</w:t>
      </w:r>
      <w:r w:rsidR="00884D82" w:rsidRPr="00875E73">
        <w:rPr>
          <w:rFonts w:ascii="Cambria Math" w:hAnsi="Cambria Math" w:cs="Cambria Math"/>
        </w:rPr>
        <w:t>‑</w:t>
      </w:r>
      <w:r w:rsidR="00884D82" w:rsidRPr="00875E73">
        <w:t>free survival (PFS) and time on treatment (</w:t>
      </w:r>
      <w:proofErr w:type="spellStart"/>
      <w:r w:rsidR="00884D82" w:rsidRPr="00875E73">
        <w:t>ToT</w:t>
      </w:r>
      <w:proofErr w:type="spellEnd"/>
      <w:r w:rsidR="00884D82" w:rsidRPr="00875E73">
        <w:t>). Th</w:t>
      </w:r>
      <w:r w:rsidR="00872728">
        <w:t xml:space="preserve">e PBAC agreed with the Sub-Committees that this </w:t>
      </w:r>
      <w:r w:rsidR="00884D82" w:rsidRPr="00875E73">
        <w:t>introduced significant uncertainty into the model results, given the high uncertainty surrounding the comparative evidence from the MAIC.</w:t>
      </w:r>
      <w:r w:rsidR="003277D0">
        <w:t xml:space="preserve"> </w:t>
      </w:r>
      <w:r w:rsidR="00F15C60">
        <w:t>As such, t</w:t>
      </w:r>
      <w:r w:rsidR="006A27E6">
        <w:t>he PBAC considered that the ICER was high and highly uncertain and considered that this was not adequately resolved with incorporation of the price reduction offered in the pre-PBAC response.</w:t>
      </w:r>
      <w:bookmarkEnd w:id="84"/>
      <w:r w:rsidR="007F1BA8">
        <w:t xml:space="preserve"> </w:t>
      </w:r>
    </w:p>
    <w:p w14:paraId="6451B5FF" w14:textId="25B431A0" w:rsidR="00664E8A" w:rsidRDefault="00E55C2E" w:rsidP="002A7EC9">
      <w:pPr>
        <w:pStyle w:val="3-BodyText"/>
      </w:pPr>
      <w:r>
        <w:t xml:space="preserve">The </w:t>
      </w:r>
      <w:r w:rsidR="00583875">
        <w:t xml:space="preserve">PBAC noted that an epidemiological approach was used to estimate the </w:t>
      </w:r>
      <w:r w:rsidR="00A529C1">
        <w:t>extent of use and financial implications of listing loncastuximab tesirine</w:t>
      </w:r>
      <w:r w:rsidR="00185A71">
        <w:t>, which was reasonable. The</w:t>
      </w:r>
      <w:r w:rsidR="00D47D6E">
        <w:t xml:space="preserve"> PBAC</w:t>
      </w:r>
      <w:r w:rsidR="00185A71">
        <w:t xml:space="preserve"> </w:t>
      </w:r>
      <w:r w:rsidR="00AD6834">
        <w:t xml:space="preserve">noted the Sub-Committee considered that the financial implications were </w:t>
      </w:r>
      <w:r w:rsidR="00F47FA6">
        <w:t xml:space="preserve">underestimated and suggested changes to </w:t>
      </w:r>
      <w:r w:rsidR="00021D89">
        <w:t>incorporate increased uptake rates, a prevalent pool</w:t>
      </w:r>
      <w:r w:rsidR="006739CA">
        <w:t xml:space="preserve"> of patients</w:t>
      </w:r>
      <w:r w:rsidR="00021D89">
        <w:t xml:space="preserve"> and an increase in the proportion of incident patients entering 3L treatment</w:t>
      </w:r>
      <w:r w:rsidR="00C30E32">
        <w:t xml:space="preserve"> (see </w:t>
      </w:r>
      <w:r w:rsidR="00C30E32">
        <w:fldChar w:fldCharType="begin"/>
      </w:r>
      <w:r w:rsidR="00C30E32">
        <w:instrText xml:space="preserve"> REF _Ref226644237 \h </w:instrText>
      </w:r>
      <w:r w:rsidR="00C30E32">
        <w:fldChar w:fldCharType="separate"/>
      </w:r>
      <w:r w:rsidR="00C30E32" w:rsidRPr="00716AA1">
        <w:t>Table 20</w:t>
      </w:r>
      <w:r w:rsidR="00C30E32">
        <w:fldChar w:fldCharType="end"/>
      </w:r>
      <w:r w:rsidR="00C30E32">
        <w:t>).</w:t>
      </w:r>
      <w:r w:rsidR="00606B53">
        <w:t xml:space="preserve"> </w:t>
      </w:r>
      <w:r w:rsidR="0030030D">
        <w:t xml:space="preserve">The PBAC </w:t>
      </w:r>
      <w:r w:rsidR="00F30F20">
        <w:t xml:space="preserve">acknowledged the pre-PBAC response </w:t>
      </w:r>
      <w:r w:rsidR="00F30F20">
        <w:lastRenderedPageBreak/>
        <w:t xml:space="preserve">argument that </w:t>
      </w:r>
      <w:r w:rsidR="006E6FD6">
        <w:t>a substantial proportion of 3L patients continue to receive treatment through clinical trials and he</w:t>
      </w:r>
      <w:r w:rsidR="00115CAC">
        <w:t>nce the uptake rate</w:t>
      </w:r>
      <w:r w:rsidR="002A0E71">
        <w:t xml:space="preserve"> proposed by the Sub-Committees was likely to reflect the upper limit </w:t>
      </w:r>
      <w:r w:rsidR="0090031C">
        <w:t>of loncastuximab tesirine use</w:t>
      </w:r>
      <w:r w:rsidR="00374063">
        <w:t xml:space="preserve"> (see paragraph </w:t>
      </w:r>
      <w:r w:rsidR="00374063">
        <w:fldChar w:fldCharType="begin"/>
      </w:r>
      <w:r w:rsidR="00374063">
        <w:instrText xml:space="preserve"> REF _Ref226968963 \r \h </w:instrText>
      </w:r>
      <w:r w:rsidR="00374063">
        <w:fldChar w:fldCharType="separate"/>
      </w:r>
      <w:r w:rsidR="008C4274">
        <w:t>6.90</w:t>
      </w:r>
      <w:r w:rsidR="00374063">
        <w:fldChar w:fldCharType="end"/>
      </w:r>
      <w:r w:rsidR="00374063">
        <w:t>)</w:t>
      </w:r>
      <w:r w:rsidR="0090031C">
        <w:t>.</w:t>
      </w:r>
      <w:r w:rsidR="00C30E32">
        <w:t xml:space="preserve"> </w:t>
      </w:r>
      <w:r w:rsidR="00E51996">
        <w:t xml:space="preserve">The PBAC </w:t>
      </w:r>
      <w:r w:rsidR="002A2317">
        <w:t>noted that</w:t>
      </w:r>
      <w:r w:rsidR="00E51996">
        <w:t xml:space="preserve"> </w:t>
      </w:r>
      <w:r w:rsidR="00C31612">
        <w:t xml:space="preserve">revisions to the financial estimates proposed by its Sub-Committees increased the estimated financial implications for the Government. </w:t>
      </w:r>
    </w:p>
    <w:p w14:paraId="3A199210" w14:textId="1AFB5482" w:rsidR="008515B9" w:rsidRDefault="002904A0" w:rsidP="00364880">
      <w:pPr>
        <w:pStyle w:val="3-BodyText"/>
      </w:pPr>
      <w:bookmarkStart w:id="85" w:name="_Ref226648075"/>
      <w:r>
        <w:t>The PBAC considered the outstanding issues could be easily resolved in a simple resubmission for lonc</w:t>
      </w:r>
      <w:r w:rsidR="002A7EC9">
        <w:t>astuximab tesirine</w:t>
      </w:r>
      <w:r w:rsidR="0060735C">
        <w:t xml:space="preserve"> using the early re-entry pathway. If the sponsor accepts this pathway, the following changes may address the outstanding issues without requiring further re-evaluation:</w:t>
      </w:r>
      <w:bookmarkEnd w:id="85"/>
    </w:p>
    <w:p w14:paraId="16338296" w14:textId="29DA7B4B" w:rsidR="00AE7CF0" w:rsidRDefault="0042152B" w:rsidP="00CF3AAB">
      <w:pPr>
        <w:pStyle w:val="ListParagraph"/>
        <w:ind w:left="993"/>
        <w:jc w:val="both"/>
      </w:pPr>
      <w:r>
        <w:t>U</w:t>
      </w:r>
      <w:r w:rsidR="00CA06D8">
        <w:t>s</w:t>
      </w:r>
      <w:r w:rsidR="007208D3">
        <w:t xml:space="preserve">e of </w:t>
      </w:r>
      <w:r w:rsidR="00BC1A0C">
        <w:t>the</w:t>
      </w:r>
      <w:r w:rsidR="00CA06D8">
        <w:t xml:space="preserve"> Sub-Committees revised base case</w:t>
      </w:r>
      <w:r w:rsidR="00B97987">
        <w:t xml:space="preserve"> economic evaluation</w:t>
      </w:r>
      <w:r w:rsidR="00CA06D8">
        <w:t xml:space="preserve"> </w:t>
      </w:r>
      <w:r w:rsidR="007208D3">
        <w:t xml:space="preserve">with </w:t>
      </w:r>
      <w:r w:rsidR="009C0E0A">
        <w:t>a price reduction</w:t>
      </w:r>
      <w:r w:rsidR="00295D06">
        <w:t xml:space="preserve"> to achieve</w:t>
      </w:r>
      <w:r w:rsidR="009C0E0A">
        <w:t xml:space="preserve"> </w:t>
      </w:r>
      <w:r w:rsidR="00CA06D8">
        <w:t xml:space="preserve">an ICER of up to </w:t>
      </w:r>
      <w:r w:rsidR="00001C27" w:rsidRPr="00001C27">
        <w:t>$55,000 to &lt; $75,000</w:t>
      </w:r>
      <w:r w:rsidR="00CA06D8">
        <w:t xml:space="preserve"> per QALY gained</w:t>
      </w:r>
      <w:r w:rsidR="00BC1A0C">
        <w:t>.</w:t>
      </w:r>
    </w:p>
    <w:p w14:paraId="3A218A94" w14:textId="66FB5C2A" w:rsidR="00933F5C" w:rsidRDefault="00572813" w:rsidP="00CF3AAB">
      <w:pPr>
        <w:pStyle w:val="ListParagraph"/>
        <w:ind w:left="993"/>
        <w:jc w:val="both"/>
      </w:pPr>
      <w:r>
        <w:t xml:space="preserve">An RSA </w:t>
      </w:r>
      <w:r w:rsidR="00126991">
        <w:t xml:space="preserve">informed by the financial estimates included in the submissions i.e. approximately </w:t>
      </w:r>
      <w:r w:rsidR="00734BB9" w:rsidRPr="00734BB9">
        <w:t>500 to &lt; 5,000</w:t>
      </w:r>
      <w:r w:rsidR="00126991">
        <w:t xml:space="preserve"> patients treated over the</w:t>
      </w:r>
      <w:r w:rsidR="00CF2FE6">
        <w:t xml:space="preserve"> first</w:t>
      </w:r>
      <w:r w:rsidR="00126991">
        <w:t xml:space="preserve"> 6 year</w:t>
      </w:r>
      <w:r w:rsidR="00CF2FE6">
        <w:t>s</w:t>
      </w:r>
      <w:r w:rsidR="006C2B3F">
        <w:t xml:space="preserve"> (</w:t>
      </w:r>
      <w:r w:rsidR="00F372DE">
        <w:fldChar w:fldCharType="begin"/>
      </w:r>
      <w:r w:rsidR="00F372DE">
        <w:instrText xml:space="preserve"> REF _Ref104805295 \h </w:instrText>
      </w:r>
      <w:r w:rsidR="00F372DE">
        <w:fldChar w:fldCharType="separate"/>
      </w:r>
      <w:r w:rsidR="00F372DE" w:rsidRPr="003153AA">
        <w:t xml:space="preserve">Table </w:t>
      </w:r>
      <w:r w:rsidR="00F372DE" w:rsidRPr="003153AA">
        <w:rPr>
          <w:noProof/>
        </w:rPr>
        <w:t>19</w:t>
      </w:r>
      <w:r w:rsidR="00F372DE">
        <w:fldChar w:fldCharType="end"/>
      </w:r>
      <w:r w:rsidR="004A4C4C">
        <w:t>)</w:t>
      </w:r>
      <w:r w:rsidR="00FF0BC5">
        <w:t xml:space="preserve">. </w:t>
      </w:r>
      <w:r w:rsidR="00666320">
        <w:t xml:space="preserve">The PBAC </w:t>
      </w:r>
      <w:r w:rsidR="00F36956">
        <w:t xml:space="preserve">considered, based on the price reduction and </w:t>
      </w:r>
      <w:r w:rsidR="00D52BF1">
        <w:t>number of patients treated,</w:t>
      </w:r>
      <w:r w:rsidR="00F36956">
        <w:t xml:space="preserve"> the RSA</w:t>
      </w:r>
      <w:r w:rsidR="00D52BF1">
        <w:t xml:space="preserve"> should </w:t>
      </w:r>
      <w:r w:rsidR="00CB589E">
        <w:t>ensure the</w:t>
      </w:r>
      <w:r w:rsidR="004522DA">
        <w:t xml:space="preserve"> PBS </w:t>
      </w:r>
      <w:r w:rsidR="003E639C">
        <w:t xml:space="preserve">expenditure </w:t>
      </w:r>
      <w:r w:rsidR="009637EE">
        <w:t>for</w:t>
      </w:r>
      <w:r w:rsidR="003E639C">
        <w:t xml:space="preserve"> loncas</w:t>
      </w:r>
      <w:r w:rsidR="00096CD8">
        <w:t xml:space="preserve">tuximab </w:t>
      </w:r>
      <w:r w:rsidR="009637EE">
        <w:t>does not exceed</w:t>
      </w:r>
      <w:r w:rsidR="009210BE">
        <w:t xml:space="preserve"> approximately $100</w:t>
      </w:r>
      <w:r w:rsidR="0045726E">
        <w:t xml:space="preserve"> </w:t>
      </w:r>
      <w:r w:rsidR="009210BE">
        <w:t>m</w:t>
      </w:r>
      <w:r w:rsidR="0045726E">
        <w:t>illion</w:t>
      </w:r>
      <w:r w:rsidR="009210BE">
        <w:t xml:space="preserve"> over 6 years</w:t>
      </w:r>
      <w:r w:rsidR="00E6508A">
        <w:t xml:space="preserve"> (compared with </w:t>
      </w:r>
      <w:r w:rsidR="000E6D84" w:rsidRPr="000E6D84">
        <w:t>$100 million to &lt; $200 million</w:t>
      </w:r>
      <w:r w:rsidR="00AC45DB">
        <w:t xml:space="preserve"> in the submission</w:t>
      </w:r>
      <w:r w:rsidR="00A46E9A">
        <w:t xml:space="preserve"> as per</w:t>
      </w:r>
      <w:r w:rsidR="00AC45DB">
        <w:t xml:space="preserve"> </w:t>
      </w:r>
      <w:r w:rsidR="00AC45DB">
        <w:fldChar w:fldCharType="begin"/>
      </w:r>
      <w:r w:rsidR="00AC45DB">
        <w:instrText xml:space="preserve"> REF _Ref104805295 \h </w:instrText>
      </w:r>
      <w:r w:rsidR="00AC45DB">
        <w:fldChar w:fldCharType="separate"/>
      </w:r>
      <w:r w:rsidR="00AC45DB" w:rsidRPr="003153AA">
        <w:t xml:space="preserve">Table </w:t>
      </w:r>
      <w:r w:rsidR="00AC45DB" w:rsidRPr="003153AA">
        <w:rPr>
          <w:noProof/>
        </w:rPr>
        <w:t>19</w:t>
      </w:r>
      <w:r w:rsidR="00AC45DB">
        <w:fldChar w:fldCharType="end"/>
      </w:r>
      <w:r w:rsidR="00AC45DB">
        <w:t>)</w:t>
      </w:r>
      <w:r w:rsidR="00933F5C">
        <w:t xml:space="preserve">. </w:t>
      </w:r>
    </w:p>
    <w:bookmarkEnd w:id="83"/>
    <w:p w14:paraId="6959FDED" w14:textId="58137EB0" w:rsidR="002B4AD3" w:rsidRDefault="00A760F8" w:rsidP="00BD45AD">
      <w:pPr>
        <w:pStyle w:val="3-BodyText"/>
        <w:numPr>
          <w:ilvl w:val="0"/>
          <w:numId w:val="0"/>
        </w:numPr>
        <w:ind w:left="720"/>
        <w:rPr>
          <w:snapToGrid w:val="0"/>
          <w:lang w:val="en-GB" w:eastAsia="en-US"/>
        </w:rPr>
      </w:pPr>
      <w:r>
        <w:rPr>
          <w:snapToGrid w:val="0"/>
          <w:lang w:val="en-GB" w:eastAsia="en-US"/>
        </w:rPr>
        <w:t>The PBAC considered any available results from the confirmatory</w:t>
      </w:r>
      <w:r w:rsidR="00191806">
        <w:rPr>
          <w:snapToGrid w:val="0"/>
          <w:lang w:val="en-GB" w:eastAsia="en-US"/>
        </w:rPr>
        <w:t xml:space="preserve"> randomised</w:t>
      </w:r>
      <w:r>
        <w:rPr>
          <w:snapToGrid w:val="0"/>
          <w:lang w:val="en-GB" w:eastAsia="en-US"/>
        </w:rPr>
        <w:t xml:space="preserve"> </w:t>
      </w:r>
      <w:r w:rsidR="00947524">
        <w:rPr>
          <w:snapToGrid w:val="0"/>
          <w:lang w:val="en-GB" w:eastAsia="en-US"/>
        </w:rPr>
        <w:t xml:space="preserve">LOTIS-5 </w:t>
      </w:r>
      <w:r w:rsidR="00263E9D">
        <w:rPr>
          <w:snapToGrid w:val="0"/>
          <w:lang w:val="en-GB" w:eastAsia="en-US"/>
        </w:rPr>
        <w:t>trial</w:t>
      </w:r>
      <w:r w:rsidR="00947524">
        <w:rPr>
          <w:snapToGrid w:val="0"/>
          <w:lang w:val="en-GB" w:eastAsia="en-US"/>
        </w:rPr>
        <w:t xml:space="preserve"> should be included in the early re-entry </w:t>
      </w:r>
      <w:r w:rsidR="00263E9D">
        <w:rPr>
          <w:snapToGrid w:val="0"/>
          <w:lang w:val="en-GB" w:eastAsia="en-US"/>
        </w:rPr>
        <w:t xml:space="preserve">resubmission. The PBAC noted that </w:t>
      </w:r>
      <w:r w:rsidR="00F67E65">
        <w:rPr>
          <w:snapToGrid w:val="0"/>
          <w:lang w:val="en-GB" w:eastAsia="en-US"/>
        </w:rPr>
        <w:t>patients received loncastuxim</w:t>
      </w:r>
      <w:r w:rsidR="00C45AF8">
        <w:rPr>
          <w:snapToGrid w:val="0"/>
          <w:lang w:val="en-GB" w:eastAsia="en-US"/>
        </w:rPr>
        <w:t>ab as</w:t>
      </w:r>
      <w:r w:rsidR="00263E9D">
        <w:rPr>
          <w:snapToGrid w:val="0"/>
          <w:lang w:val="en-GB" w:eastAsia="en-US"/>
        </w:rPr>
        <w:t xml:space="preserve"> an earlier line of </w:t>
      </w:r>
      <w:r w:rsidR="00C45AF8">
        <w:rPr>
          <w:snapToGrid w:val="0"/>
          <w:lang w:val="en-GB" w:eastAsia="en-US"/>
        </w:rPr>
        <w:t>treatment</w:t>
      </w:r>
      <w:r w:rsidR="008164A4">
        <w:rPr>
          <w:snapToGrid w:val="0"/>
          <w:lang w:val="en-GB" w:eastAsia="en-US"/>
        </w:rPr>
        <w:t xml:space="preserve"> in LOTIS-5</w:t>
      </w:r>
      <w:r w:rsidR="00C45AF8">
        <w:rPr>
          <w:snapToGrid w:val="0"/>
          <w:lang w:val="en-GB" w:eastAsia="en-US"/>
        </w:rPr>
        <w:t xml:space="preserve">, however </w:t>
      </w:r>
      <w:r w:rsidR="00592D59">
        <w:rPr>
          <w:snapToGrid w:val="0"/>
          <w:lang w:val="en-GB" w:eastAsia="en-US"/>
        </w:rPr>
        <w:t xml:space="preserve">considered </w:t>
      </w:r>
      <w:r w:rsidR="00EB433F">
        <w:rPr>
          <w:snapToGrid w:val="0"/>
          <w:lang w:val="en-GB" w:eastAsia="en-US"/>
        </w:rPr>
        <w:t xml:space="preserve">that </w:t>
      </w:r>
      <w:r w:rsidR="00191806">
        <w:rPr>
          <w:snapToGrid w:val="0"/>
          <w:lang w:val="en-GB" w:eastAsia="en-US"/>
        </w:rPr>
        <w:t xml:space="preserve">the results would be informative </w:t>
      </w:r>
      <w:r w:rsidR="00B07351">
        <w:rPr>
          <w:snapToGrid w:val="0"/>
          <w:lang w:val="en-GB" w:eastAsia="en-US"/>
        </w:rPr>
        <w:t>in the context of</w:t>
      </w:r>
      <w:r w:rsidR="00C45AF8">
        <w:rPr>
          <w:snapToGrid w:val="0"/>
          <w:lang w:val="en-GB" w:eastAsia="en-US"/>
        </w:rPr>
        <w:t xml:space="preserve"> the </w:t>
      </w:r>
      <w:r w:rsidR="00F836E1">
        <w:rPr>
          <w:snapToGrid w:val="0"/>
          <w:lang w:val="en-GB" w:eastAsia="en-US"/>
        </w:rPr>
        <w:t xml:space="preserve">high level of </w:t>
      </w:r>
      <w:r w:rsidR="00C45AF8">
        <w:rPr>
          <w:snapToGrid w:val="0"/>
          <w:lang w:val="en-GB" w:eastAsia="en-US"/>
        </w:rPr>
        <w:t>uncertainty</w:t>
      </w:r>
      <w:r w:rsidR="00F836E1">
        <w:rPr>
          <w:snapToGrid w:val="0"/>
          <w:lang w:val="en-GB" w:eastAsia="en-US"/>
        </w:rPr>
        <w:t xml:space="preserve"> associated</w:t>
      </w:r>
      <w:r w:rsidR="00C45AF8">
        <w:rPr>
          <w:snapToGrid w:val="0"/>
          <w:lang w:val="en-GB" w:eastAsia="en-US"/>
        </w:rPr>
        <w:t xml:space="preserve"> with the </w:t>
      </w:r>
      <w:r w:rsidR="00F65461">
        <w:rPr>
          <w:snapToGrid w:val="0"/>
          <w:lang w:val="en-GB" w:eastAsia="en-US"/>
        </w:rPr>
        <w:t xml:space="preserve">clinical comparison </w:t>
      </w:r>
      <w:r w:rsidR="00F836E1">
        <w:rPr>
          <w:snapToGrid w:val="0"/>
          <w:lang w:val="en-GB" w:eastAsia="en-US"/>
        </w:rPr>
        <w:t>based on the LOTIS-2 study</w:t>
      </w:r>
      <w:r w:rsidR="006A2051">
        <w:rPr>
          <w:snapToGrid w:val="0"/>
          <w:lang w:val="en-GB" w:eastAsia="en-US"/>
        </w:rPr>
        <w:t xml:space="preserve"> </w:t>
      </w:r>
      <w:r w:rsidR="009659C1">
        <w:rPr>
          <w:snapToGrid w:val="0"/>
          <w:lang w:val="en-GB" w:eastAsia="en-US"/>
        </w:rPr>
        <w:t xml:space="preserve">and </w:t>
      </w:r>
      <w:r w:rsidR="0079748D">
        <w:rPr>
          <w:snapToGrid w:val="0"/>
          <w:lang w:val="en-GB" w:eastAsia="en-US"/>
        </w:rPr>
        <w:t>the corresponding</w:t>
      </w:r>
      <w:r w:rsidR="009659C1">
        <w:rPr>
          <w:snapToGrid w:val="0"/>
          <w:lang w:val="en-GB" w:eastAsia="en-US"/>
        </w:rPr>
        <w:t xml:space="preserve"> high level of</w:t>
      </w:r>
      <w:r w:rsidR="006A2051">
        <w:rPr>
          <w:snapToGrid w:val="0"/>
          <w:lang w:val="en-GB" w:eastAsia="en-US"/>
        </w:rPr>
        <w:t xml:space="preserve"> </w:t>
      </w:r>
      <w:r w:rsidR="00B7627A">
        <w:rPr>
          <w:snapToGrid w:val="0"/>
          <w:lang w:val="en-GB" w:eastAsia="en-US"/>
        </w:rPr>
        <w:t xml:space="preserve">uncertainty </w:t>
      </w:r>
      <w:r w:rsidR="009A179C">
        <w:rPr>
          <w:snapToGrid w:val="0"/>
          <w:lang w:val="en-GB" w:eastAsia="en-US"/>
        </w:rPr>
        <w:t>for</w:t>
      </w:r>
      <w:r w:rsidR="00B7627A">
        <w:rPr>
          <w:snapToGrid w:val="0"/>
          <w:lang w:val="en-GB" w:eastAsia="en-US"/>
        </w:rPr>
        <w:t xml:space="preserve"> </w:t>
      </w:r>
      <w:r w:rsidR="006A2051">
        <w:rPr>
          <w:snapToGrid w:val="0"/>
          <w:lang w:val="en-GB" w:eastAsia="en-US"/>
        </w:rPr>
        <w:t>the economic evaluation</w:t>
      </w:r>
      <w:r w:rsidR="002330AA">
        <w:rPr>
          <w:snapToGrid w:val="0"/>
          <w:lang w:val="en-GB" w:eastAsia="en-US"/>
        </w:rPr>
        <w:t xml:space="preserve">. </w:t>
      </w:r>
    </w:p>
    <w:p w14:paraId="54B81E9E" w14:textId="519557E6" w:rsidR="00BD45AD" w:rsidRDefault="00BD45AD" w:rsidP="00BD45AD">
      <w:pPr>
        <w:pStyle w:val="3-BodyText"/>
        <w:numPr>
          <w:ilvl w:val="0"/>
          <w:numId w:val="0"/>
        </w:numPr>
        <w:ind w:left="720"/>
      </w:pPr>
      <w:r w:rsidRPr="00E46A1B">
        <w:rPr>
          <w:snapToGrid w:val="0"/>
          <w:lang w:val="en-GB" w:eastAsia="en-US"/>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000F2F13" w14:textId="1DE873CC" w:rsidR="0030286E" w:rsidRDefault="0030286E" w:rsidP="0030286E">
      <w:pPr>
        <w:pStyle w:val="3-BodyText"/>
      </w:pPr>
      <w:r>
        <w:t xml:space="preserve">Noting the </w:t>
      </w:r>
      <w:r w:rsidRPr="00D57480">
        <w:t xml:space="preserve">Sub-Committees </w:t>
      </w:r>
      <w:r>
        <w:t xml:space="preserve">advice that the </w:t>
      </w:r>
      <w:r w:rsidRPr="00D57480">
        <w:t>R</w:t>
      </w:r>
      <w:r w:rsidRPr="00D57480">
        <w:noBreakHyphen/>
      </w:r>
      <w:proofErr w:type="spellStart"/>
      <w:r w:rsidRPr="00D57480">
        <w:t>GemOx</w:t>
      </w:r>
      <w:proofErr w:type="spellEnd"/>
      <w:r w:rsidRPr="00D57480">
        <w:t xml:space="preserve"> arm of the STARGLO study is also a reasonable representation of chemoimmunotherapy</w:t>
      </w:r>
      <w:r>
        <w:t xml:space="preserve"> the PBAC considered that</w:t>
      </w:r>
      <w:r w:rsidR="00DA3473">
        <w:t xml:space="preserve"> and alternative to the approach proposed in paragraph </w:t>
      </w:r>
      <w:r w:rsidR="00FB0ED2">
        <w:fldChar w:fldCharType="begin"/>
      </w:r>
      <w:r w:rsidR="00FB0ED2">
        <w:instrText xml:space="preserve"> REF _Ref226648075 \r \h </w:instrText>
      </w:r>
      <w:r w:rsidR="00FB0ED2">
        <w:fldChar w:fldCharType="separate"/>
      </w:r>
      <w:r w:rsidR="008C4274">
        <w:t>7.13</w:t>
      </w:r>
      <w:r w:rsidR="00FB0ED2">
        <w:fldChar w:fldCharType="end"/>
      </w:r>
      <w:r w:rsidR="00FB0ED2">
        <w:t xml:space="preserve"> would be for</w:t>
      </w:r>
      <w:r>
        <w:t xml:space="preserve"> any resubmission </w:t>
      </w:r>
      <w:r w:rsidR="00FB0ED2">
        <w:t>to</w:t>
      </w:r>
      <w:r>
        <w:t xml:space="preserve"> consider using R-</w:t>
      </w:r>
      <w:proofErr w:type="spellStart"/>
      <w:r>
        <w:t>GemOx</w:t>
      </w:r>
      <w:proofErr w:type="spellEnd"/>
      <w:r>
        <w:t xml:space="preserve"> </w:t>
      </w:r>
      <w:r w:rsidR="00960B8E">
        <w:t>as a comparator</w:t>
      </w:r>
      <w:r w:rsidR="00FB0ED2">
        <w:t xml:space="preserve">. </w:t>
      </w:r>
      <w:r w:rsidR="00073B1E">
        <w:t xml:space="preserve">However, the PBAC considered that such a proposal </w:t>
      </w:r>
      <w:r>
        <w:t>would require re-evaluation</w:t>
      </w:r>
      <w:r w:rsidR="0042542A">
        <w:t xml:space="preserve"> via the standard re-entry pathway</w:t>
      </w:r>
      <w:r w:rsidRPr="00D57480">
        <w:t>.</w:t>
      </w:r>
    </w:p>
    <w:p w14:paraId="11CCEC2E" w14:textId="183885EA" w:rsidR="00E46A1B" w:rsidRPr="00E46A1B" w:rsidRDefault="00E46A1B" w:rsidP="002F2745">
      <w:pPr>
        <w:widowControl w:val="0"/>
        <w:numPr>
          <w:ilvl w:val="1"/>
          <w:numId w:val="1"/>
        </w:numPr>
        <w:spacing w:after="120"/>
        <w:jc w:val="left"/>
        <w:rPr>
          <w:rFonts w:asciiTheme="minorHAnsi" w:hAnsiTheme="minorHAnsi"/>
          <w:bCs/>
          <w:snapToGrid w:val="0"/>
          <w:lang w:val="en-GB" w:eastAsia="en-US"/>
        </w:rPr>
      </w:pPr>
      <w:r w:rsidRPr="00E46A1B">
        <w:rPr>
          <w:rFonts w:asciiTheme="minorHAnsi" w:hAnsiTheme="minorHAnsi"/>
          <w:bCs/>
          <w:snapToGrid w:val="0"/>
          <w:lang w:val="en-GB" w:eastAsia="en-US"/>
        </w:rPr>
        <w:t>The PBAC noted that this submission is</w:t>
      </w:r>
      <w:r w:rsidR="002F2745">
        <w:rPr>
          <w:rFonts w:asciiTheme="minorHAnsi" w:hAnsiTheme="minorHAnsi"/>
          <w:bCs/>
          <w:snapToGrid w:val="0"/>
          <w:lang w:val="en-GB" w:eastAsia="en-US"/>
        </w:rPr>
        <w:t xml:space="preserve"> </w:t>
      </w:r>
      <w:r w:rsidRPr="00E46A1B">
        <w:rPr>
          <w:rFonts w:asciiTheme="minorHAnsi" w:hAnsiTheme="minorHAnsi"/>
          <w:bCs/>
          <w:snapToGrid w:val="0"/>
          <w:lang w:val="en-GB" w:eastAsia="en-US"/>
        </w:rPr>
        <w:t xml:space="preserve">eligible for an Independent Review. </w:t>
      </w:r>
    </w:p>
    <w:p w14:paraId="7D8D4D4A" w14:textId="77777777" w:rsidR="00E46A1B" w:rsidRPr="00E46A1B" w:rsidRDefault="00E46A1B" w:rsidP="00E46A1B">
      <w:pPr>
        <w:spacing w:before="240"/>
        <w:rPr>
          <w:rFonts w:asciiTheme="minorHAnsi" w:hAnsiTheme="minorHAnsi"/>
          <w:b/>
          <w:bCs/>
          <w:snapToGrid w:val="0"/>
          <w:lang w:val="en-GB" w:eastAsia="en-US"/>
        </w:rPr>
      </w:pPr>
      <w:r w:rsidRPr="00E46A1B">
        <w:rPr>
          <w:rFonts w:asciiTheme="minorHAnsi" w:hAnsiTheme="minorHAnsi"/>
          <w:b/>
          <w:bCs/>
          <w:snapToGrid w:val="0"/>
          <w:lang w:val="en-GB" w:eastAsia="en-US"/>
        </w:rPr>
        <w:t>Outcome:</w:t>
      </w:r>
    </w:p>
    <w:p w14:paraId="46EF28A2" w14:textId="67F7BFC5" w:rsidR="00753B29" w:rsidRDefault="00E46A1B" w:rsidP="007D7459">
      <w:pPr>
        <w:spacing w:after="120"/>
        <w:rPr>
          <w:rFonts w:asciiTheme="minorHAnsi" w:hAnsiTheme="minorHAnsi"/>
          <w:bCs/>
          <w:snapToGrid w:val="0"/>
          <w:lang w:val="en-GB" w:eastAsia="en-US"/>
        </w:rPr>
      </w:pPr>
      <w:r w:rsidRPr="00E46A1B">
        <w:rPr>
          <w:rFonts w:asciiTheme="minorHAnsi" w:hAnsiTheme="minorHAnsi"/>
          <w:bCs/>
          <w:snapToGrid w:val="0"/>
          <w:lang w:val="en-GB" w:eastAsia="en-US"/>
        </w:rPr>
        <w:t>Not recommended</w:t>
      </w:r>
      <w:bookmarkEnd w:id="81"/>
      <w:bookmarkEnd w:id="82"/>
    </w:p>
    <w:p w14:paraId="15EFE3DE" w14:textId="0FAB7164" w:rsidR="00081FC4" w:rsidRPr="00081FC4" w:rsidRDefault="00372D65" w:rsidP="00081FC4">
      <w:pPr>
        <w:keepNext/>
        <w:spacing w:before="240" w:after="120"/>
        <w:ind w:left="720" w:hanging="720"/>
        <w:jc w:val="left"/>
        <w:outlineLvl w:val="0"/>
        <w:rPr>
          <w:rFonts w:asciiTheme="minorHAnsi" w:hAnsiTheme="minorHAnsi"/>
          <w:b/>
          <w:snapToGrid w:val="0"/>
          <w:sz w:val="32"/>
          <w:szCs w:val="32"/>
          <w:lang w:val="en-GB" w:eastAsia="en-US"/>
        </w:rPr>
      </w:pPr>
      <w:r>
        <w:rPr>
          <w:rFonts w:asciiTheme="minorHAnsi" w:hAnsiTheme="minorHAnsi"/>
          <w:b/>
          <w:snapToGrid w:val="0"/>
          <w:sz w:val="32"/>
          <w:szCs w:val="32"/>
          <w:lang w:eastAsia="en-US"/>
        </w:rPr>
        <w:t>8</w:t>
      </w:r>
      <w:r w:rsidR="00081FC4" w:rsidRPr="00081FC4">
        <w:rPr>
          <w:rFonts w:asciiTheme="minorHAnsi" w:hAnsiTheme="minorHAnsi"/>
          <w:b/>
          <w:snapToGrid w:val="0"/>
          <w:sz w:val="32"/>
          <w:szCs w:val="32"/>
          <w:lang w:eastAsia="en-US"/>
        </w:rPr>
        <w:tab/>
        <w:t>Context for Decision</w:t>
      </w:r>
    </w:p>
    <w:p w14:paraId="2F058A8D" w14:textId="77777777" w:rsidR="00081FC4" w:rsidRPr="00081FC4" w:rsidRDefault="00081FC4" w:rsidP="00081FC4">
      <w:pPr>
        <w:spacing w:after="120"/>
        <w:ind w:left="720"/>
        <w:rPr>
          <w:rFonts w:cs="Calibri"/>
          <w:bCs/>
          <w:szCs w:val="22"/>
          <w:lang w:val="en-GB"/>
        </w:rPr>
      </w:pPr>
      <w:r w:rsidRPr="00081FC4">
        <w:rPr>
          <w:rFonts w:cs="Calibri"/>
          <w:bCs/>
          <w:szCs w:val="22"/>
          <w:lang w:val="en-GB"/>
        </w:rPr>
        <w:t xml:space="preserve">The PBAC helps decide whether and, if so, how medicines should be subsidised through the Pharmaceutical Benefits Scheme (PBS) in Australia. It considers </w:t>
      </w:r>
      <w:r w:rsidRPr="00081FC4">
        <w:rPr>
          <w:rFonts w:cs="Calibri"/>
          <w:bCs/>
          <w:szCs w:val="22"/>
          <w:lang w:val="en-GB"/>
        </w:rPr>
        <w:lastRenderedPageBreak/>
        <w:t>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2A100F8" w14:textId="754140AA" w:rsidR="00081FC4" w:rsidRPr="00081FC4" w:rsidRDefault="00372D65" w:rsidP="00081FC4">
      <w:pPr>
        <w:keepNext/>
        <w:spacing w:before="240" w:after="120"/>
        <w:ind w:left="720" w:hanging="720"/>
        <w:jc w:val="left"/>
        <w:outlineLvl w:val="0"/>
        <w:rPr>
          <w:rFonts w:asciiTheme="minorHAnsi" w:hAnsiTheme="minorHAnsi"/>
          <w:b/>
          <w:snapToGrid w:val="0"/>
          <w:sz w:val="32"/>
          <w:szCs w:val="32"/>
          <w:lang w:eastAsia="en-US"/>
        </w:rPr>
      </w:pPr>
      <w:r>
        <w:rPr>
          <w:rFonts w:asciiTheme="minorHAnsi" w:hAnsiTheme="minorHAnsi"/>
          <w:b/>
          <w:snapToGrid w:val="0"/>
          <w:sz w:val="32"/>
          <w:szCs w:val="32"/>
          <w:lang w:eastAsia="en-US"/>
        </w:rPr>
        <w:t>9</w:t>
      </w:r>
      <w:r w:rsidR="00081FC4" w:rsidRPr="00081FC4">
        <w:rPr>
          <w:rFonts w:asciiTheme="minorHAnsi" w:hAnsiTheme="minorHAnsi"/>
          <w:b/>
          <w:snapToGrid w:val="0"/>
          <w:sz w:val="32"/>
          <w:szCs w:val="32"/>
          <w:lang w:eastAsia="en-US"/>
        </w:rPr>
        <w:tab/>
        <w:t>Sponsor’s Comment</w:t>
      </w:r>
    </w:p>
    <w:p w14:paraId="65A76A01" w14:textId="4E941170" w:rsidR="00081FC4" w:rsidRPr="007D7459" w:rsidRDefault="00081FC4" w:rsidP="00081FC4">
      <w:pPr>
        <w:spacing w:after="120"/>
        <w:ind w:left="510" w:firstLine="170"/>
        <w:rPr>
          <w:rFonts w:asciiTheme="minorHAnsi" w:hAnsiTheme="minorHAnsi"/>
          <w:b/>
          <w:bCs/>
          <w:snapToGrid w:val="0"/>
          <w:lang w:eastAsia="en-US"/>
        </w:rPr>
      </w:pPr>
      <w:r w:rsidRPr="00081FC4">
        <w:rPr>
          <w:rFonts w:cs="Calibri"/>
          <w:bCs/>
          <w:szCs w:val="22"/>
          <w:lang w:eastAsia="en-US"/>
        </w:rPr>
        <w:t>The sponsor had no comment.</w:t>
      </w:r>
    </w:p>
    <w:sectPr w:rsidR="00081FC4" w:rsidRPr="007D7459" w:rsidSect="00251006">
      <w:headerReference w:type="even" r:id="rId26"/>
      <w:headerReference w:type="default" r:id="rId27"/>
      <w:footerReference w:type="even" r:id="rId28"/>
      <w:footerReference w:type="default" r:id="rId29"/>
      <w:headerReference w:type="first" r:id="rId30"/>
      <w:footerReference w:type="first" r:id="rId3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AA62A" w14:textId="77777777" w:rsidR="00860B69" w:rsidRDefault="00860B69" w:rsidP="00124A51">
      <w:r>
        <w:separator/>
      </w:r>
    </w:p>
    <w:p w14:paraId="6F55944A" w14:textId="77777777" w:rsidR="00860B69" w:rsidRDefault="00860B69"/>
  </w:endnote>
  <w:endnote w:type="continuationSeparator" w:id="0">
    <w:p w14:paraId="066B5DE3" w14:textId="77777777" w:rsidR="00860B69" w:rsidRDefault="00860B69" w:rsidP="00124A51">
      <w:r>
        <w:continuationSeparator/>
      </w:r>
    </w:p>
    <w:p w14:paraId="5FFD8090" w14:textId="77777777" w:rsidR="00860B69" w:rsidRDefault="00860B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21D7" w14:textId="50552C3A" w:rsidR="00D843F2" w:rsidRDefault="005235FD">
    <w:pPr>
      <w:pStyle w:val="Footer"/>
    </w:pPr>
    <w:r>
      <w:rPr>
        <w:noProof/>
      </w:rPr>
      <mc:AlternateContent>
        <mc:Choice Requires="wps">
          <w:drawing>
            <wp:anchor distT="0" distB="0" distL="0" distR="0" simplePos="0" relativeHeight="251663365" behindDoc="0" locked="0" layoutInCell="1" allowOverlap="1" wp14:anchorId="6E8EA075" wp14:editId="77E59A9E">
              <wp:simplePos x="635" y="635"/>
              <wp:positionH relativeFrom="page">
                <wp:align>center</wp:align>
              </wp:positionH>
              <wp:positionV relativeFrom="page">
                <wp:align>bottom</wp:align>
              </wp:positionV>
              <wp:extent cx="622300" cy="376555"/>
              <wp:effectExtent l="0" t="0" r="6350" b="0"/>
              <wp:wrapNone/>
              <wp:docPr id="99540475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5F88B9A" w14:textId="5B109B3D" w:rsidR="005235FD" w:rsidRPr="005235FD" w:rsidRDefault="005235FD" w:rsidP="005235FD">
                          <w:pPr>
                            <w:rPr>
                              <w:rFonts w:ascii="Aptos" w:eastAsia="Aptos" w:hAnsi="Aptos" w:cs="Aptos"/>
                              <w:noProof/>
                              <w:color w:val="FF0000"/>
                            </w:rPr>
                          </w:pPr>
                          <w:r w:rsidRPr="005235FD">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8EA075"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75F88B9A" w14:textId="5B109B3D" w:rsidR="005235FD" w:rsidRPr="005235FD" w:rsidRDefault="005235FD" w:rsidP="005235FD">
                    <w:pPr>
                      <w:rPr>
                        <w:rFonts w:ascii="Aptos" w:eastAsia="Aptos" w:hAnsi="Aptos" w:cs="Aptos"/>
                        <w:noProof/>
                        <w:color w:val="FF0000"/>
                      </w:rPr>
                    </w:pPr>
                    <w:r w:rsidRPr="005235FD">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25C6873" w:rsidR="00D843F2" w:rsidRDefault="005235FD" w:rsidP="00753B29">
    <w:pPr>
      <w:pStyle w:val="Footer"/>
      <w:jc w:val="center"/>
    </w:pPr>
    <w:r>
      <w:rPr>
        <w:noProof/>
      </w:rPr>
      <mc:AlternateContent>
        <mc:Choice Requires="wps">
          <w:drawing>
            <wp:anchor distT="0" distB="0" distL="0" distR="0" simplePos="0" relativeHeight="251664389" behindDoc="0" locked="0" layoutInCell="1" allowOverlap="1" wp14:anchorId="5E1FF751" wp14:editId="04CD37EA">
              <wp:simplePos x="635" y="635"/>
              <wp:positionH relativeFrom="page">
                <wp:align>center</wp:align>
              </wp:positionH>
              <wp:positionV relativeFrom="page">
                <wp:align>bottom</wp:align>
              </wp:positionV>
              <wp:extent cx="622300" cy="376555"/>
              <wp:effectExtent l="0" t="0" r="6350" b="0"/>
              <wp:wrapNone/>
              <wp:docPr id="69300063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2B6D42A" w14:textId="6AF64904" w:rsidR="005235FD" w:rsidRPr="005235FD" w:rsidRDefault="005235FD" w:rsidP="005235FD">
                          <w:pPr>
                            <w:rPr>
                              <w:rFonts w:ascii="Aptos" w:eastAsia="Aptos" w:hAnsi="Aptos" w:cs="Aptos"/>
                              <w:noProof/>
                              <w:color w:val="FF0000"/>
                            </w:rPr>
                          </w:pPr>
                          <w:r w:rsidRPr="005235FD">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1FF751"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72B6D42A" w14:textId="6AF64904" w:rsidR="005235FD" w:rsidRPr="005235FD" w:rsidRDefault="005235FD" w:rsidP="005235FD">
                    <w:pPr>
                      <w:rPr>
                        <w:rFonts w:ascii="Aptos" w:eastAsia="Aptos" w:hAnsi="Aptos" w:cs="Aptos"/>
                        <w:noProof/>
                        <w:color w:val="FF0000"/>
                      </w:rPr>
                    </w:pPr>
                    <w:r w:rsidRPr="005235FD">
                      <w:rPr>
                        <w:rFonts w:ascii="Aptos" w:eastAsia="Aptos" w:hAnsi="Aptos" w:cs="Aptos"/>
                        <w:noProof/>
                        <w:color w:val="FF0000"/>
                      </w:rPr>
                      <w:t>OFFICIAL</w:t>
                    </w:r>
                  </w:p>
                </w:txbxContent>
              </v:textbox>
              <w10:wrap anchorx="page" anchory="page"/>
            </v:shape>
          </w:pict>
        </mc:Fallback>
      </mc:AlternateContent>
    </w:r>
  </w:p>
  <w:p w14:paraId="37484CD3" w14:textId="4CB45611" w:rsidR="00D843F2" w:rsidRPr="00F74EAE" w:rsidRDefault="00860B69" w:rsidP="006028D3">
    <w:pPr>
      <w:pStyle w:val="PageFooter"/>
      <w:rPr>
        <w:b w:val="0"/>
        <w:bCs/>
      </w:rPr>
    </w:pPr>
    <w:sdt>
      <w:sdtPr>
        <w:rPr>
          <w:b w:val="0"/>
          <w:bCs/>
        </w:rPr>
        <w:id w:val="1036156457"/>
        <w:docPartObj>
          <w:docPartGallery w:val="Page Numbers (Bottom of Page)"/>
          <w:docPartUnique/>
        </w:docPartObj>
      </w:sdtPr>
      <w:sdtEndPr>
        <w:rPr>
          <w:noProof/>
        </w:rPr>
      </w:sdtEndPr>
      <w:sdtContent>
        <w:r w:rsidR="00D843F2" w:rsidRPr="00F74EAE">
          <w:rPr>
            <w:b w:val="0"/>
            <w:bCs/>
          </w:rPr>
          <w:fldChar w:fldCharType="begin"/>
        </w:r>
        <w:r w:rsidR="00D843F2" w:rsidRPr="00F74EAE">
          <w:rPr>
            <w:b w:val="0"/>
            <w:bCs/>
          </w:rPr>
          <w:instrText xml:space="preserve"> PAGE   \* MERGEFORMAT </w:instrText>
        </w:r>
        <w:r w:rsidR="00D843F2" w:rsidRPr="00F74EAE">
          <w:rPr>
            <w:b w:val="0"/>
            <w:bCs/>
          </w:rPr>
          <w:fldChar w:fldCharType="separate"/>
        </w:r>
        <w:r w:rsidR="00D843F2" w:rsidRPr="00F74EAE">
          <w:rPr>
            <w:b w:val="0"/>
            <w:bCs/>
            <w:noProof/>
          </w:rPr>
          <w:t>2</w:t>
        </w:r>
        <w:r w:rsidR="00D843F2" w:rsidRPr="00F74EAE">
          <w:rPr>
            <w:b w:val="0"/>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AA4E7" w14:textId="6CC916CA" w:rsidR="00D843F2" w:rsidRDefault="005235FD">
    <w:pPr>
      <w:pStyle w:val="Footer"/>
    </w:pPr>
    <w:r>
      <w:rPr>
        <w:noProof/>
      </w:rPr>
      <mc:AlternateContent>
        <mc:Choice Requires="wps">
          <w:drawing>
            <wp:anchor distT="0" distB="0" distL="0" distR="0" simplePos="0" relativeHeight="251662341" behindDoc="0" locked="0" layoutInCell="1" allowOverlap="1" wp14:anchorId="797C3FB0" wp14:editId="5FB85E9F">
              <wp:simplePos x="635" y="635"/>
              <wp:positionH relativeFrom="page">
                <wp:align>center</wp:align>
              </wp:positionH>
              <wp:positionV relativeFrom="page">
                <wp:align>bottom</wp:align>
              </wp:positionV>
              <wp:extent cx="622300" cy="376555"/>
              <wp:effectExtent l="0" t="0" r="6350" b="0"/>
              <wp:wrapNone/>
              <wp:docPr id="169402378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EAB947" w14:textId="49D2BCBF" w:rsidR="005235FD" w:rsidRPr="005235FD" w:rsidRDefault="005235FD" w:rsidP="005235FD">
                          <w:pPr>
                            <w:rPr>
                              <w:rFonts w:ascii="Aptos" w:eastAsia="Aptos" w:hAnsi="Aptos" w:cs="Aptos"/>
                              <w:noProof/>
                              <w:color w:val="FF0000"/>
                            </w:rPr>
                          </w:pPr>
                          <w:r w:rsidRPr="005235FD">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7C3FB0"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6AEAB947" w14:textId="49D2BCBF" w:rsidR="005235FD" w:rsidRPr="005235FD" w:rsidRDefault="005235FD" w:rsidP="005235FD">
                    <w:pPr>
                      <w:rPr>
                        <w:rFonts w:ascii="Aptos" w:eastAsia="Aptos" w:hAnsi="Aptos" w:cs="Aptos"/>
                        <w:noProof/>
                        <w:color w:val="FF0000"/>
                      </w:rPr>
                    </w:pPr>
                    <w:r w:rsidRPr="005235FD">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ADA20" w14:textId="77777777" w:rsidR="00860B69" w:rsidRDefault="00860B69" w:rsidP="00124A51">
      <w:r>
        <w:separator/>
      </w:r>
    </w:p>
    <w:p w14:paraId="7E6EE912" w14:textId="77777777" w:rsidR="00860B69" w:rsidRDefault="00860B69"/>
  </w:footnote>
  <w:footnote w:type="continuationSeparator" w:id="0">
    <w:p w14:paraId="3F60886E" w14:textId="77777777" w:rsidR="00860B69" w:rsidRDefault="00860B69" w:rsidP="00124A51">
      <w:r>
        <w:continuationSeparator/>
      </w:r>
    </w:p>
    <w:p w14:paraId="755EBC4C" w14:textId="77777777" w:rsidR="00860B69" w:rsidRDefault="00860B69"/>
  </w:footnote>
  <w:footnote w:id="1">
    <w:p w14:paraId="54D7FFE9" w14:textId="77777777" w:rsidR="007B03F7" w:rsidRDefault="007B03F7" w:rsidP="007B03F7">
      <w:pPr>
        <w:pStyle w:val="FootnoteText"/>
      </w:pPr>
      <w:r>
        <w:rPr>
          <w:rStyle w:val="FootnoteReference"/>
        </w:rPr>
        <w:footnoteRef/>
      </w:r>
      <w:r>
        <w:t xml:space="preserve"> </w:t>
      </w:r>
      <w:proofErr w:type="spellStart"/>
      <w:r w:rsidRPr="00D377A7">
        <w:rPr>
          <w:rFonts w:ascii="Arial Narrow" w:hAnsi="Arial Narrow"/>
          <w:snapToGrid w:val="0"/>
          <w:sz w:val="18"/>
          <w:szCs w:val="22"/>
        </w:rPr>
        <w:t>Alaggio</w:t>
      </w:r>
      <w:proofErr w:type="spellEnd"/>
      <w:r w:rsidRPr="00D377A7">
        <w:rPr>
          <w:rFonts w:ascii="Arial Narrow" w:hAnsi="Arial Narrow"/>
          <w:snapToGrid w:val="0"/>
          <w:sz w:val="18"/>
          <w:szCs w:val="22"/>
        </w:rPr>
        <w:t xml:space="preserve"> R. et al. The 5th edition of the World Health Organization Classification of Haematolymphoid Tumours:</w:t>
      </w:r>
      <w:r>
        <w:rPr>
          <w:rFonts w:ascii="Arial Narrow" w:hAnsi="Arial Narrow"/>
          <w:snapToGrid w:val="0"/>
          <w:sz w:val="18"/>
          <w:szCs w:val="22"/>
        </w:rPr>
        <w:t xml:space="preserve"> </w:t>
      </w:r>
      <w:r w:rsidRPr="00D377A7">
        <w:rPr>
          <w:rFonts w:ascii="Arial Narrow" w:hAnsi="Arial Narrow"/>
          <w:snapToGrid w:val="0"/>
          <w:sz w:val="18"/>
          <w:szCs w:val="22"/>
        </w:rPr>
        <w:t>Lymphoid Neoplasms. Leukemia. 2022 Jul;36(7):1720-1748</w:t>
      </w:r>
    </w:p>
  </w:footnote>
  <w:footnote w:id="2">
    <w:p w14:paraId="7D816861" w14:textId="77777777" w:rsidR="007B03F7" w:rsidRDefault="007B03F7" w:rsidP="007B03F7">
      <w:pPr>
        <w:pStyle w:val="FootnoteText"/>
      </w:pPr>
      <w:r>
        <w:rPr>
          <w:rStyle w:val="FootnoteReference"/>
        </w:rPr>
        <w:footnoteRef/>
      </w:r>
      <w:r>
        <w:t xml:space="preserve"> </w:t>
      </w:r>
      <w:r w:rsidRPr="00AA12DF">
        <w:rPr>
          <w:rFonts w:ascii="Arial Narrow" w:hAnsi="Arial Narrow"/>
          <w:snapToGrid w:val="0"/>
          <w:sz w:val="18"/>
          <w:szCs w:val="22"/>
        </w:rPr>
        <w:t xml:space="preserve">Zeng Y et al. Characteristics and Clinical Value of MYC, BCL2, and BCL6 Rearrangement Detected by Next-generation Sequencing in DLBCL. Am J Surg </w:t>
      </w:r>
      <w:proofErr w:type="spellStart"/>
      <w:r w:rsidRPr="00AA12DF">
        <w:rPr>
          <w:rFonts w:ascii="Arial Narrow" w:hAnsi="Arial Narrow"/>
          <w:snapToGrid w:val="0"/>
          <w:sz w:val="18"/>
          <w:szCs w:val="22"/>
        </w:rPr>
        <w:t>Pathol</w:t>
      </w:r>
      <w:proofErr w:type="spellEnd"/>
      <w:r w:rsidRPr="00AA12DF">
        <w:rPr>
          <w:rFonts w:ascii="Arial Narrow" w:hAnsi="Arial Narrow"/>
          <w:snapToGrid w:val="0"/>
          <w:sz w:val="18"/>
          <w:szCs w:val="22"/>
        </w:rPr>
        <w:t>. 2024 Aug 1;48(8):919-929.</w:t>
      </w:r>
    </w:p>
  </w:footnote>
  <w:footnote w:id="3">
    <w:p w14:paraId="7F44A584" w14:textId="77777777" w:rsidR="007B03F7" w:rsidRPr="00CE5414" w:rsidRDefault="007B03F7" w:rsidP="007B03F7">
      <w:pPr>
        <w:pStyle w:val="FootnoteText"/>
        <w:rPr>
          <w:rFonts w:ascii="Arial Narrow" w:hAnsi="Arial Narrow"/>
          <w:sz w:val="18"/>
          <w:szCs w:val="18"/>
        </w:rPr>
      </w:pPr>
      <w:r w:rsidRPr="00CE5414">
        <w:rPr>
          <w:rStyle w:val="FootnoteReference"/>
          <w:rFonts w:ascii="Arial Narrow" w:hAnsi="Arial Narrow"/>
          <w:sz w:val="18"/>
          <w:szCs w:val="18"/>
        </w:rPr>
        <w:footnoteRef/>
      </w:r>
      <w:r w:rsidRPr="00CE5414">
        <w:rPr>
          <w:rFonts w:ascii="Arial Narrow" w:hAnsi="Arial Narrow"/>
          <w:sz w:val="18"/>
          <w:szCs w:val="18"/>
        </w:rPr>
        <w:t xml:space="preserve"> </w:t>
      </w:r>
      <w:proofErr w:type="spellStart"/>
      <w:r w:rsidRPr="00CE5414">
        <w:rPr>
          <w:rFonts w:ascii="Arial Narrow" w:hAnsi="Arial Narrow"/>
          <w:sz w:val="18"/>
          <w:szCs w:val="18"/>
        </w:rPr>
        <w:t>Gisselbrecht</w:t>
      </w:r>
      <w:proofErr w:type="spellEnd"/>
      <w:r w:rsidRPr="00CE5414">
        <w:rPr>
          <w:rFonts w:ascii="Arial Narrow" w:hAnsi="Arial Narrow"/>
          <w:sz w:val="18"/>
          <w:szCs w:val="18"/>
        </w:rPr>
        <w:t xml:space="preserve"> C, et al. Salvage regimens with autologous transplantation for relapsed large B-cell lymphoma in the rituximab era. J Clin Oncol. 2010 Sep 20;28(27):4184-90. doi: 10.1200/JCO.2010.28.1618.</w:t>
      </w:r>
    </w:p>
  </w:footnote>
  <w:footnote w:id="4">
    <w:p w14:paraId="078EADFF" w14:textId="77777777" w:rsidR="007B03F7" w:rsidRDefault="007B03F7" w:rsidP="007B03F7">
      <w:pPr>
        <w:pStyle w:val="FootnoteText"/>
      </w:pPr>
      <w:r w:rsidRPr="00CE5414">
        <w:rPr>
          <w:rStyle w:val="FootnoteReference"/>
          <w:rFonts w:ascii="Arial Narrow" w:hAnsi="Arial Narrow"/>
          <w:sz w:val="18"/>
          <w:szCs w:val="18"/>
        </w:rPr>
        <w:footnoteRef/>
      </w:r>
      <w:r w:rsidRPr="00CE5414">
        <w:rPr>
          <w:rFonts w:ascii="Arial Narrow" w:hAnsi="Arial Narrow"/>
          <w:sz w:val="18"/>
          <w:szCs w:val="18"/>
        </w:rPr>
        <w:t xml:space="preserve"> </w:t>
      </w:r>
      <w:proofErr w:type="spellStart"/>
      <w:r w:rsidRPr="00CE5414">
        <w:rPr>
          <w:rFonts w:ascii="Arial Narrow" w:hAnsi="Arial Narrow"/>
          <w:sz w:val="18"/>
          <w:szCs w:val="18"/>
        </w:rPr>
        <w:t>Gisselbrecht</w:t>
      </w:r>
      <w:proofErr w:type="spellEnd"/>
      <w:r w:rsidRPr="00CE5414">
        <w:rPr>
          <w:rFonts w:ascii="Arial Narrow" w:hAnsi="Arial Narrow"/>
          <w:sz w:val="18"/>
          <w:szCs w:val="18"/>
        </w:rPr>
        <w:t xml:space="preserve"> C, et al. Rituximab maintenance therapy after autologous stem-cell transplantation in patients with relapsed CD20(+) diffuse large B-cell lymphoma: final analysis of the collaborative trial in relapsed aggressive lymphoma. J Clin Oncol. 2012 Dec 20;30(36):4462-9. doi: 10.1200/JCO.2012.41.9416.</w:t>
      </w:r>
    </w:p>
  </w:footnote>
  <w:footnote w:id="5">
    <w:p w14:paraId="07B5B8A0" w14:textId="77777777" w:rsidR="007B03F7" w:rsidRPr="00A26C28" w:rsidRDefault="007B03F7" w:rsidP="007B03F7">
      <w:pPr>
        <w:pStyle w:val="FootnoteText"/>
        <w:rPr>
          <w:rFonts w:ascii="Arial Narrow" w:hAnsi="Arial Narrow"/>
          <w:sz w:val="18"/>
          <w:szCs w:val="18"/>
        </w:rPr>
      </w:pPr>
      <w:r w:rsidRPr="00A26C28">
        <w:rPr>
          <w:rStyle w:val="FootnoteReference"/>
          <w:rFonts w:ascii="Arial Narrow" w:hAnsi="Arial Narrow"/>
          <w:sz w:val="18"/>
          <w:szCs w:val="18"/>
        </w:rPr>
        <w:footnoteRef/>
      </w:r>
      <w:r w:rsidRPr="00A26C28">
        <w:rPr>
          <w:rFonts w:ascii="Arial Narrow" w:hAnsi="Arial Narrow"/>
          <w:sz w:val="18"/>
          <w:szCs w:val="18"/>
        </w:rPr>
        <w:t xml:space="preserve"> Barraclough, A, et al. (2024). Diffuse large B</w:t>
      </w:r>
      <w:r w:rsidRPr="00A26C28">
        <w:rPr>
          <w:rFonts w:ascii="Cambria Math" w:hAnsi="Cambria Math" w:cs="Cambria Math"/>
          <w:sz w:val="18"/>
          <w:szCs w:val="18"/>
        </w:rPr>
        <w:t>‐</w:t>
      </w:r>
      <w:r w:rsidRPr="00A26C28">
        <w:rPr>
          <w:rFonts w:ascii="Arial Narrow" w:hAnsi="Arial Narrow"/>
          <w:sz w:val="18"/>
          <w:szCs w:val="18"/>
        </w:rPr>
        <w:t xml:space="preserve">cell lymphoma. </w:t>
      </w:r>
      <w:proofErr w:type="spellStart"/>
      <w:r w:rsidRPr="00A26C28">
        <w:rPr>
          <w:rFonts w:ascii="Arial Narrow" w:hAnsi="Arial Narrow"/>
          <w:sz w:val="18"/>
          <w:szCs w:val="18"/>
        </w:rPr>
        <w:t>Hematological</w:t>
      </w:r>
      <w:proofErr w:type="spellEnd"/>
      <w:r w:rsidRPr="00A26C28">
        <w:rPr>
          <w:rFonts w:ascii="Arial Narrow" w:hAnsi="Arial Narrow"/>
          <w:sz w:val="18"/>
          <w:szCs w:val="18"/>
        </w:rPr>
        <w:t xml:space="preserve"> Oncology, 42(6), e3202-n/a. DOI: 10.1002/hon.3202</w:t>
      </w:r>
    </w:p>
  </w:footnote>
  <w:footnote w:id="6">
    <w:p w14:paraId="32002384" w14:textId="77777777" w:rsidR="007B03F7" w:rsidRPr="00EC2DCF" w:rsidRDefault="007B03F7" w:rsidP="007B03F7">
      <w:pPr>
        <w:pStyle w:val="FootnoteText"/>
        <w:rPr>
          <w:rFonts w:ascii="Arial Narrow" w:hAnsi="Arial Narrow"/>
          <w:sz w:val="18"/>
          <w:szCs w:val="18"/>
        </w:rPr>
      </w:pPr>
      <w:r w:rsidRPr="00EC2DCF">
        <w:rPr>
          <w:rStyle w:val="FootnoteReference"/>
          <w:rFonts w:ascii="Arial Narrow" w:hAnsi="Arial Narrow"/>
          <w:sz w:val="18"/>
          <w:szCs w:val="18"/>
        </w:rPr>
        <w:footnoteRef/>
      </w:r>
      <w:r w:rsidRPr="00EC2DCF">
        <w:rPr>
          <w:rFonts w:ascii="Arial Narrow" w:hAnsi="Arial Narrow"/>
          <w:sz w:val="18"/>
          <w:szCs w:val="18"/>
        </w:rPr>
        <w:t xml:space="preserve"> </w:t>
      </w:r>
      <w:proofErr w:type="spellStart"/>
      <w:r w:rsidRPr="00EC2DCF">
        <w:rPr>
          <w:rFonts w:ascii="Arial Narrow" w:hAnsi="Arial Narrow"/>
          <w:sz w:val="18"/>
          <w:szCs w:val="18"/>
        </w:rPr>
        <w:t>Zelikson</w:t>
      </w:r>
      <w:proofErr w:type="spellEnd"/>
      <w:r w:rsidRPr="00EC2DCF">
        <w:rPr>
          <w:rFonts w:ascii="Arial Narrow" w:hAnsi="Arial Narrow"/>
          <w:sz w:val="18"/>
          <w:szCs w:val="18"/>
        </w:rPr>
        <w:t xml:space="preserve"> V, et al. Loncastuximab in high-risk and heavily pretreated relapsed/refractory diffuse large B-cell lymphoma: a </w:t>
      </w:r>
      <w:proofErr w:type="spellStart"/>
      <w:r w:rsidRPr="00EC2DCF">
        <w:rPr>
          <w:rFonts w:ascii="Arial Narrow" w:hAnsi="Arial Narrow"/>
          <w:sz w:val="18"/>
          <w:szCs w:val="18"/>
        </w:rPr>
        <w:t>realworld</w:t>
      </w:r>
      <w:proofErr w:type="spellEnd"/>
      <w:r w:rsidRPr="00EC2DCF">
        <w:rPr>
          <w:rFonts w:ascii="Arial Narrow" w:hAnsi="Arial Narrow"/>
          <w:sz w:val="18"/>
          <w:szCs w:val="18"/>
        </w:rPr>
        <w:t xml:space="preserve"> analysis from 21 US </w:t>
      </w:r>
      <w:proofErr w:type="spellStart"/>
      <w:r w:rsidRPr="00EC2DCF">
        <w:rPr>
          <w:rFonts w:ascii="Arial Narrow" w:hAnsi="Arial Narrow"/>
          <w:sz w:val="18"/>
          <w:szCs w:val="18"/>
        </w:rPr>
        <w:t>centers</w:t>
      </w:r>
      <w:proofErr w:type="spellEnd"/>
      <w:r w:rsidRPr="00EC2DCF">
        <w:rPr>
          <w:rFonts w:ascii="Arial Narrow" w:hAnsi="Arial Narrow"/>
          <w:sz w:val="18"/>
          <w:szCs w:val="18"/>
        </w:rPr>
        <w:t xml:space="preserve">. </w:t>
      </w:r>
      <w:proofErr w:type="spellStart"/>
      <w:r w:rsidRPr="00EC2DCF">
        <w:rPr>
          <w:rFonts w:ascii="Arial Narrow" w:hAnsi="Arial Narrow"/>
          <w:sz w:val="18"/>
          <w:szCs w:val="18"/>
        </w:rPr>
        <w:t>Haematologica</w:t>
      </w:r>
      <w:proofErr w:type="spellEnd"/>
      <w:r w:rsidRPr="00EC2DCF">
        <w:rPr>
          <w:rFonts w:ascii="Arial Narrow" w:hAnsi="Arial Narrow"/>
          <w:sz w:val="18"/>
          <w:szCs w:val="18"/>
        </w:rPr>
        <w:t xml:space="preserve"> 2025;110(3):706-714; https://doi.org/10.3324/haematol.2024.285977.</w:t>
      </w:r>
    </w:p>
  </w:footnote>
  <w:footnote w:id="7">
    <w:p w14:paraId="4A5F3C78" w14:textId="77777777" w:rsidR="007B03F7" w:rsidRDefault="007B03F7" w:rsidP="007B03F7">
      <w:pPr>
        <w:pStyle w:val="TableFigureFooter"/>
      </w:pPr>
      <w:r>
        <w:rPr>
          <w:rStyle w:val="FootnoteReference"/>
        </w:rPr>
        <w:footnoteRef/>
      </w:r>
      <w:r>
        <w:t xml:space="preserve"> Abramson et al. 2024. Glofitamab plus gemcitabine and oxaliplatin (</w:t>
      </w:r>
      <w:proofErr w:type="spellStart"/>
      <w:r>
        <w:t>GemOx</w:t>
      </w:r>
      <w:proofErr w:type="spellEnd"/>
      <w:r>
        <w:t>) versus rituximab-</w:t>
      </w:r>
      <w:proofErr w:type="spellStart"/>
      <w:r>
        <w:t>GemOx</w:t>
      </w:r>
      <w:proofErr w:type="spellEnd"/>
      <w:r>
        <w:t xml:space="preserve"> for relapsed or refractory diffuse large B-cell lymphoma (STARGLO): a global phase 3, randomised, open-label trial. The Lancet, Volume 404, Issue 10466, 1940 - 1954</w:t>
      </w:r>
    </w:p>
  </w:footnote>
  <w:footnote w:id="8">
    <w:p w14:paraId="35EFB1E6" w14:textId="4D0128B6" w:rsidR="004A2F6A" w:rsidRPr="00291591" w:rsidRDefault="004A2F6A">
      <w:pPr>
        <w:pStyle w:val="FootnoteText"/>
        <w:rPr>
          <w:rFonts w:ascii="Arial Narrow" w:hAnsi="Arial Narrow"/>
          <w:bCs/>
          <w:snapToGrid w:val="0"/>
          <w:sz w:val="18"/>
          <w:szCs w:val="18"/>
        </w:rPr>
      </w:pPr>
      <w:r>
        <w:rPr>
          <w:rStyle w:val="FootnoteReference"/>
        </w:rPr>
        <w:footnoteRef/>
      </w:r>
      <w:r>
        <w:t xml:space="preserve"> </w:t>
      </w:r>
      <w:proofErr w:type="spellStart"/>
      <w:r w:rsidR="00403381" w:rsidRPr="00291591">
        <w:rPr>
          <w:rFonts w:ascii="Arial Narrow" w:hAnsi="Arial Narrow"/>
          <w:bCs/>
          <w:snapToGrid w:val="0"/>
          <w:sz w:val="18"/>
          <w:szCs w:val="18"/>
        </w:rPr>
        <w:t>Epperla</w:t>
      </w:r>
      <w:proofErr w:type="spellEnd"/>
      <w:r w:rsidR="00291591">
        <w:rPr>
          <w:rFonts w:ascii="Arial Narrow" w:hAnsi="Arial Narrow"/>
          <w:bCs/>
          <w:snapToGrid w:val="0"/>
          <w:sz w:val="18"/>
          <w:szCs w:val="18"/>
        </w:rPr>
        <w:t xml:space="preserve"> et</w:t>
      </w:r>
      <w:r w:rsidR="004F6D82">
        <w:rPr>
          <w:rFonts w:ascii="Arial Narrow" w:hAnsi="Arial Narrow"/>
          <w:bCs/>
          <w:snapToGrid w:val="0"/>
          <w:sz w:val="18"/>
          <w:szCs w:val="18"/>
        </w:rPr>
        <w:t xml:space="preserve">. al. </w:t>
      </w:r>
      <w:r w:rsidR="00403381" w:rsidRPr="00291591">
        <w:rPr>
          <w:rFonts w:ascii="Arial Narrow" w:hAnsi="Arial Narrow"/>
          <w:bCs/>
          <w:snapToGrid w:val="0"/>
          <w:sz w:val="18"/>
          <w:szCs w:val="18"/>
        </w:rPr>
        <w:t>2024</w:t>
      </w:r>
      <w:r w:rsidR="00876AC5">
        <w:rPr>
          <w:rFonts w:ascii="Arial Narrow" w:hAnsi="Arial Narrow"/>
          <w:bCs/>
          <w:snapToGrid w:val="0"/>
          <w:sz w:val="18"/>
          <w:szCs w:val="18"/>
        </w:rPr>
        <w:t>.</w:t>
      </w:r>
      <w:r w:rsidR="00403381" w:rsidRPr="00291591">
        <w:rPr>
          <w:rFonts w:ascii="Arial Narrow" w:hAnsi="Arial Narrow"/>
          <w:bCs/>
          <w:snapToGrid w:val="0"/>
          <w:sz w:val="18"/>
          <w:szCs w:val="18"/>
        </w:rPr>
        <w:t xml:space="preserve"> Outcomes with loncastuximab tesirine following CAR T-cell therapy in patients with relapsed or refractory diffuse large B-cell lymphoma. Blood cancer journal, 14(1), 210. https://doi.org/10.1038/s41408-024-01195-4</w:t>
      </w:r>
    </w:p>
  </w:footnote>
  <w:footnote w:id="9">
    <w:p w14:paraId="50A38B3B" w14:textId="77777777" w:rsidR="002F0974" w:rsidRPr="00C826AC" w:rsidRDefault="002F0974" w:rsidP="002F0974">
      <w:pPr>
        <w:pStyle w:val="FootnoteText"/>
        <w:rPr>
          <w:rFonts w:ascii="Arial Narrow" w:hAnsi="Arial Narrow"/>
          <w:sz w:val="18"/>
          <w:szCs w:val="18"/>
        </w:rPr>
      </w:pPr>
      <w:r w:rsidRPr="00FA0371">
        <w:rPr>
          <w:rStyle w:val="FootnoteReference"/>
        </w:rPr>
        <w:footnoteRef/>
      </w:r>
      <w:r w:rsidRPr="00FA0371">
        <w:t xml:space="preserve"> </w:t>
      </w:r>
      <w:proofErr w:type="spellStart"/>
      <w:r w:rsidRPr="00C826AC">
        <w:rPr>
          <w:rFonts w:ascii="Arial Narrow" w:hAnsi="Arial Narrow"/>
          <w:sz w:val="18"/>
          <w:szCs w:val="18"/>
        </w:rPr>
        <w:t>Polatuzumab</w:t>
      </w:r>
      <w:proofErr w:type="spellEnd"/>
      <w:r w:rsidRPr="00C826AC">
        <w:rPr>
          <w:rFonts w:ascii="Arial Narrow" w:hAnsi="Arial Narrow"/>
          <w:sz w:val="18"/>
          <w:szCs w:val="18"/>
        </w:rPr>
        <w:t xml:space="preserve"> vedotin PBAC submission (November 2022)</w:t>
      </w:r>
      <w:r>
        <w:rPr>
          <w:rFonts w:ascii="Arial Narrow" w:hAnsi="Arial Narrow"/>
          <w:sz w:val="18"/>
          <w:szCs w:val="18"/>
        </w:rPr>
        <w:t>.</w:t>
      </w:r>
    </w:p>
  </w:footnote>
  <w:footnote w:id="10">
    <w:p w14:paraId="2D21264F" w14:textId="77777777" w:rsidR="002F0974" w:rsidRPr="00C826AC" w:rsidRDefault="002F0974" w:rsidP="002F0974">
      <w:pPr>
        <w:pStyle w:val="FootnoteText"/>
        <w:rPr>
          <w:rFonts w:ascii="Arial Narrow" w:hAnsi="Arial Narrow"/>
          <w:sz w:val="18"/>
          <w:szCs w:val="18"/>
        </w:rPr>
      </w:pPr>
      <w:r w:rsidRPr="00C826AC">
        <w:rPr>
          <w:rStyle w:val="FootnoteReference"/>
          <w:rFonts w:ascii="Arial Narrow" w:hAnsi="Arial Narrow"/>
          <w:sz w:val="18"/>
          <w:szCs w:val="18"/>
        </w:rPr>
        <w:footnoteRef/>
      </w:r>
      <w:r w:rsidRPr="00C826AC">
        <w:rPr>
          <w:rFonts w:ascii="Arial Narrow" w:hAnsi="Arial Narrow"/>
          <w:sz w:val="18"/>
          <w:szCs w:val="18"/>
        </w:rPr>
        <w:t xml:space="preserve"> NICE loncastuximab tesirine evaluation;</w:t>
      </w:r>
      <w:r>
        <w:rPr>
          <w:rFonts w:ascii="Arial Narrow" w:hAnsi="Arial Narrow"/>
          <w:sz w:val="18"/>
          <w:szCs w:val="18"/>
        </w:rPr>
        <w:t xml:space="preserve"> </w:t>
      </w:r>
      <w:r w:rsidRPr="00C826AC">
        <w:rPr>
          <w:rFonts w:ascii="Arial Narrow" w:hAnsi="Arial Narrow"/>
          <w:sz w:val="18"/>
          <w:szCs w:val="18"/>
        </w:rPr>
        <w:t xml:space="preserve">epcoritamab </w:t>
      </w:r>
      <w:r>
        <w:rPr>
          <w:rFonts w:ascii="Arial Narrow" w:hAnsi="Arial Narrow"/>
          <w:sz w:val="18"/>
          <w:szCs w:val="18"/>
        </w:rPr>
        <w:t>PBAC submission</w:t>
      </w:r>
      <w:r w:rsidRPr="00C826AC">
        <w:rPr>
          <w:rFonts w:ascii="Arial Narrow" w:hAnsi="Arial Narrow"/>
          <w:sz w:val="18"/>
          <w:szCs w:val="18"/>
        </w:rPr>
        <w:t xml:space="preserve"> (November 2024); epcoritamab evaluation </w:t>
      </w:r>
      <w:r>
        <w:rPr>
          <w:rFonts w:ascii="Arial Narrow" w:hAnsi="Arial Narrow"/>
          <w:sz w:val="18"/>
          <w:szCs w:val="18"/>
        </w:rPr>
        <w:t xml:space="preserve">for NICE </w:t>
      </w:r>
      <w:hyperlink r:id="rId1" w:history="1">
        <w:r w:rsidRPr="00926029">
          <w:rPr>
            <w:rStyle w:val="Hyperlink"/>
            <w:rFonts w:ascii="Arial Narrow" w:hAnsi="Arial Narrow"/>
            <w:sz w:val="18"/>
            <w:szCs w:val="18"/>
          </w:rPr>
          <w:t>https://www.nice.org.uk/guidance/ta954/evidence/final-guidance-committee-papers-pdf-13314642590</w:t>
        </w:r>
      </w:hyperlink>
      <w:r w:rsidRPr="00C826AC">
        <w:rPr>
          <w:rFonts w:ascii="Arial Narrow" w:hAnsi="Arial Narrow"/>
          <w:sz w:val="18"/>
          <w:szCs w:val="18"/>
        </w:rPr>
        <w:t>; epcoritamab evaluation</w:t>
      </w:r>
      <w:r>
        <w:rPr>
          <w:rFonts w:ascii="Arial Narrow" w:hAnsi="Arial Narrow"/>
          <w:sz w:val="18"/>
          <w:szCs w:val="18"/>
        </w:rPr>
        <w:t xml:space="preserve"> for CDA.</w:t>
      </w:r>
    </w:p>
  </w:footnote>
  <w:footnote w:id="11">
    <w:p w14:paraId="6BC7704D" w14:textId="77777777" w:rsidR="002F0974" w:rsidRPr="00C826AC" w:rsidRDefault="002F0974" w:rsidP="002F0974">
      <w:pPr>
        <w:pStyle w:val="FootnoteText"/>
        <w:rPr>
          <w:rFonts w:ascii="Arial Narrow" w:hAnsi="Arial Narrow"/>
          <w:sz w:val="18"/>
          <w:szCs w:val="18"/>
        </w:rPr>
      </w:pPr>
      <w:r w:rsidRPr="00C826AC">
        <w:rPr>
          <w:rStyle w:val="FootnoteReference"/>
          <w:rFonts w:ascii="Arial Narrow" w:hAnsi="Arial Narrow"/>
          <w:sz w:val="18"/>
          <w:szCs w:val="18"/>
        </w:rPr>
        <w:footnoteRef/>
      </w:r>
      <w:r w:rsidRPr="00C826AC">
        <w:rPr>
          <w:rFonts w:ascii="Arial Narrow" w:hAnsi="Arial Narrow"/>
          <w:sz w:val="18"/>
          <w:szCs w:val="18"/>
        </w:rPr>
        <w:t xml:space="preserve"> https://scottishmedicines.org.uk/media/8387/epcoritamab-tepkinly-final-may-2024-amended-050624-for-website.pdf</w:t>
      </w:r>
    </w:p>
  </w:footnote>
  <w:footnote w:id="12">
    <w:p w14:paraId="5D2C1E60" w14:textId="77777777" w:rsidR="002F0974" w:rsidRPr="00C826AC" w:rsidRDefault="002F0974" w:rsidP="002F0974">
      <w:pPr>
        <w:pStyle w:val="FootnoteText"/>
        <w:rPr>
          <w:rFonts w:ascii="Arial Narrow" w:hAnsi="Arial Narrow"/>
          <w:sz w:val="18"/>
          <w:szCs w:val="18"/>
        </w:rPr>
      </w:pPr>
      <w:r w:rsidRPr="00C826AC">
        <w:rPr>
          <w:rStyle w:val="FootnoteReference"/>
          <w:rFonts w:ascii="Arial Narrow" w:hAnsi="Arial Narrow"/>
          <w:sz w:val="18"/>
          <w:szCs w:val="18"/>
        </w:rPr>
        <w:footnoteRef/>
      </w:r>
      <w:r w:rsidRPr="00C826AC">
        <w:rPr>
          <w:rFonts w:ascii="Arial Narrow" w:hAnsi="Arial Narrow"/>
          <w:sz w:val="18"/>
          <w:szCs w:val="18"/>
        </w:rPr>
        <w:t xml:space="preserve"> https://scottishmedicines.org.uk/media/8110/loncastuximab-tesirine-zynlonta-final-jan-2024-for-website.pdf</w:t>
      </w:r>
    </w:p>
  </w:footnote>
  <w:footnote w:id="13">
    <w:p w14:paraId="00963201" w14:textId="77777777" w:rsidR="002F0974" w:rsidRPr="00C826AC" w:rsidRDefault="002F0974" w:rsidP="002F0974">
      <w:pPr>
        <w:pStyle w:val="FootnoteText"/>
        <w:rPr>
          <w:rFonts w:ascii="Arial Narrow" w:hAnsi="Arial Narrow"/>
          <w:sz w:val="18"/>
          <w:szCs w:val="18"/>
        </w:rPr>
      </w:pPr>
      <w:r w:rsidRPr="00C826AC">
        <w:rPr>
          <w:rStyle w:val="FootnoteReference"/>
          <w:rFonts w:ascii="Arial Narrow" w:hAnsi="Arial Narrow"/>
          <w:sz w:val="18"/>
          <w:szCs w:val="18"/>
        </w:rPr>
        <w:footnoteRef/>
      </w:r>
      <w:r w:rsidRPr="00C826AC">
        <w:rPr>
          <w:rFonts w:ascii="Arial Narrow" w:hAnsi="Arial Narrow"/>
          <w:sz w:val="18"/>
          <w:szCs w:val="18"/>
        </w:rPr>
        <w:t>https://www.nice.org.uk/guidance/ta947/resources/loncastuximab-tesirine-for-treating-relapsed-or-refractory-diffuse-large-bcell-lymphoma-and-highgrade-bcell-lymphoma-after-2-or-more-systemic-treatments-pdf-82615673574853</w:t>
      </w:r>
    </w:p>
  </w:footnote>
  <w:footnote w:id="14">
    <w:p w14:paraId="1D08FDC6" w14:textId="77777777" w:rsidR="002F0974" w:rsidRPr="00C826AC" w:rsidRDefault="002F0974" w:rsidP="002F0974">
      <w:pPr>
        <w:pStyle w:val="FootnoteText"/>
        <w:rPr>
          <w:rFonts w:ascii="Arial Narrow" w:hAnsi="Arial Narrow"/>
          <w:sz w:val="18"/>
          <w:szCs w:val="18"/>
        </w:rPr>
      </w:pPr>
      <w:r w:rsidRPr="00C826AC">
        <w:rPr>
          <w:rStyle w:val="FootnoteReference"/>
          <w:rFonts w:ascii="Arial Narrow" w:hAnsi="Arial Narrow"/>
          <w:sz w:val="18"/>
          <w:szCs w:val="18"/>
        </w:rPr>
        <w:footnoteRef/>
      </w:r>
      <w:r w:rsidRPr="00C826AC">
        <w:rPr>
          <w:rFonts w:ascii="Arial Narrow" w:hAnsi="Arial Narrow"/>
          <w:sz w:val="18"/>
          <w:szCs w:val="18"/>
        </w:rPr>
        <w:t xml:space="preserve"> https://www.cda-amc.ca/sites/default/files/DRR/2024/PC0334-Combined_Review.pdf</w:t>
      </w:r>
    </w:p>
  </w:footnote>
  <w:footnote w:id="15">
    <w:p w14:paraId="7C7A8304" w14:textId="6530528E" w:rsidR="0041007D" w:rsidRDefault="0041007D">
      <w:pPr>
        <w:pStyle w:val="FootnoteText"/>
      </w:pPr>
      <w:r>
        <w:rPr>
          <w:rStyle w:val="FootnoteReference"/>
        </w:rPr>
        <w:footnoteRef/>
      </w:r>
      <w:r>
        <w:t xml:space="preserve"> </w:t>
      </w:r>
      <w:hyperlink r:id="rId2" w:history="1">
        <w:r w:rsidRPr="00C826AC">
          <w:rPr>
            <w:rStyle w:val="Hyperlink"/>
            <w:rFonts w:ascii="Arial Narrow" w:hAnsi="Arial Narrow"/>
            <w:sz w:val="18"/>
            <w:szCs w:val="18"/>
          </w:rPr>
          <w:t>https://www.pbs.gov.au/industry/listing/elements/pbac-meetings/psd/2022-11/files/polatuzumab-vedotin-psd-11-2022.pdf</w:t>
        </w:r>
      </w:hyperlink>
    </w:p>
  </w:footnote>
  <w:footnote w:id="16">
    <w:p w14:paraId="7CFC4B40" w14:textId="77777777" w:rsidR="002F0974" w:rsidRDefault="002F0974" w:rsidP="002F0974">
      <w:pPr>
        <w:pStyle w:val="FootnoteText"/>
      </w:pPr>
      <w:r>
        <w:rPr>
          <w:rStyle w:val="FootnoteReference"/>
        </w:rPr>
        <w:footnoteRef/>
      </w:r>
      <w:r>
        <w:t xml:space="preserve"> </w:t>
      </w:r>
      <w:r w:rsidRPr="00C826AC">
        <w:rPr>
          <w:rFonts w:ascii="Arial Narrow" w:hAnsi="Arial Narrow"/>
          <w:sz w:val="18"/>
          <w:szCs w:val="18"/>
        </w:rPr>
        <w:t>https://www.pbs.gov.au/industry/listing/elements/pbac-meetings/psd/2024-11/files/epcoritamab-psd-nov-2024.pdf</w:t>
      </w:r>
    </w:p>
  </w:footnote>
  <w:footnote w:id="17">
    <w:p w14:paraId="68F06788" w14:textId="77777777" w:rsidR="002F0974" w:rsidRPr="008C555C" w:rsidRDefault="002F0974" w:rsidP="002F0974">
      <w:pPr>
        <w:pStyle w:val="FootnoteText"/>
        <w:rPr>
          <w:rFonts w:ascii="Arial Narrow" w:hAnsi="Arial Narrow"/>
          <w:sz w:val="18"/>
          <w:szCs w:val="18"/>
        </w:rPr>
      </w:pPr>
      <w:r w:rsidRPr="008C555C">
        <w:rPr>
          <w:rStyle w:val="FootnoteReference"/>
        </w:rPr>
        <w:footnoteRef/>
      </w:r>
      <w:r w:rsidRPr="008C555C">
        <w:t xml:space="preserve"> </w:t>
      </w:r>
      <w:r w:rsidRPr="008C555C">
        <w:rPr>
          <w:rFonts w:ascii="Arial Narrow" w:hAnsi="Arial Narrow"/>
          <w:sz w:val="18"/>
          <w:szCs w:val="18"/>
        </w:rPr>
        <w:t xml:space="preserve">AIHW Cancer Data in Australia 2025. Book 11a- Blood cancer incidence by histology. Access date: 12/12/2025. </w:t>
      </w:r>
      <w:hyperlink r:id="rId3" w:history="1">
        <w:r w:rsidRPr="008C555C">
          <w:rPr>
            <w:rStyle w:val="Hyperlink"/>
            <w:rFonts w:ascii="Arial Narrow" w:hAnsi="Arial Narrow"/>
            <w:sz w:val="18"/>
            <w:szCs w:val="18"/>
          </w:rPr>
          <w:t>https://www.aihw.gov.au/reports/cancer/cancer-data-in-australia/data</w:t>
        </w:r>
      </w:hyperlink>
    </w:p>
  </w:footnote>
  <w:footnote w:id="18">
    <w:p w14:paraId="69C0CBDB" w14:textId="77777777" w:rsidR="002F0974" w:rsidRDefault="002F0974" w:rsidP="002F0974">
      <w:pPr>
        <w:pStyle w:val="FootnoteText"/>
      </w:pPr>
      <w:r w:rsidRPr="008C555C">
        <w:rPr>
          <w:rStyle w:val="FootnoteReference"/>
        </w:rPr>
        <w:footnoteRef/>
      </w:r>
      <w:r w:rsidRPr="008C555C">
        <w:t xml:space="preserve"> </w:t>
      </w:r>
      <w:r w:rsidRPr="008C555C">
        <w:rPr>
          <w:rFonts w:ascii="Arial Narrow" w:hAnsi="Arial Narrow"/>
          <w:sz w:val="18"/>
          <w:szCs w:val="18"/>
        </w:rPr>
        <w:t xml:space="preserve">AIHW Cancer Data in Australia 2025. Book 11i- Blood cancer prevalence. Access date: 12/12/2025. </w:t>
      </w:r>
      <w:hyperlink r:id="rId4" w:history="1">
        <w:r w:rsidRPr="008C555C">
          <w:rPr>
            <w:rStyle w:val="Hyperlink"/>
            <w:rFonts w:ascii="Arial Narrow" w:hAnsi="Arial Narrow"/>
            <w:sz w:val="18"/>
            <w:szCs w:val="18"/>
          </w:rPr>
          <w:t>https://www.aihw.gov.au/reports/cancer/cancer-data-in-australia/data</w:t>
        </w:r>
      </w:hyperlink>
    </w:p>
  </w:footnote>
  <w:footnote w:id="19">
    <w:p w14:paraId="24598FA4" w14:textId="77777777" w:rsidR="002F0974" w:rsidRPr="00BE0422" w:rsidRDefault="002F0974" w:rsidP="002F0974">
      <w:pPr>
        <w:pStyle w:val="FootnoteText"/>
        <w:rPr>
          <w:rFonts w:ascii="Arial Narrow" w:hAnsi="Arial Narrow"/>
          <w:sz w:val="18"/>
          <w:szCs w:val="18"/>
        </w:rPr>
      </w:pPr>
      <w:r>
        <w:rPr>
          <w:rStyle w:val="FootnoteReference"/>
        </w:rPr>
        <w:footnoteRef/>
      </w:r>
      <w:r>
        <w:t xml:space="preserve"> </w:t>
      </w:r>
      <w:r w:rsidRPr="00BE0422">
        <w:rPr>
          <w:rFonts w:ascii="Arial Narrow" w:hAnsi="Arial Narrow"/>
          <w:sz w:val="18"/>
          <w:szCs w:val="18"/>
        </w:rPr>
        <w:t>Kanas et al. Epidemiology</w:t>
      </w:r>
      <w:r>
        <w:rPr>
          <w:rFonts w:ascii="Arial Narrow" w:hAnsi="Arial Narrow"/>
          <w:sz w:val="18"/>
          <w:szCs w:val="18"/>
        </w:rPr>
        <w:t xml:space="preserve"> </w:t>
      </w:r>
      <w:r w:rsidRPr="00BE0422">
        <w:rPr>
          <w:rFonts w:ascii="Arial Narrow" w:hAnsi="Arial Narrow"/>
          <w:sz w:val="18"/>
          <w:szCs w:val="18"/>
        </w:rPr>
        <w:t>of diffuse large B-cell lymphoma (DLBCL) and follicular lymphoma (FL) in the</w:t>
      </w:r>
      <w:r>
        <w:rPr>
          <w:rFonts w:ascii="Arial Narrow" w:hAnsi="Arial Narrow"/>
          <w:sz w:val="18"/>
          <w:szCs w:val="18"/>
        </w:rPr>
        <w:t xml:space="preserve"> </w:t>
      </w:r>
      <w:r w:rsidRPr="00BE0422">
        <w:rPr>
          <w:rFonts w:ascii="Arial Narrow" w:hAnsi="Arial Narrow"/>
          <w:sz w:val="18"/>
          <w:szCs w:val="18"/>
        </w:rPr>
        <w:t>United States and Western Europe: population-level projections for 2020-2025.</w:t>
      </w:r>
      <w:r>
        <w:rPr>
          <w:rFonts w:ascii="Arial Narrow" w:hAnsi="Arial Narrow"/>
          <w:sz w:val="18"/>
          <w:szCs w:val="18"/>
        </w:rPr>
        <w:t xml:space="preserve"> </w:t>
      </w:r>
      <w:r w:rsidRPr="00BE0422">
        <w:rPr>
          <w:rFonts w:ascii="Arial Narrow" w:hAnsi="Arial Narrow"/>
          <w:sz w:val="18"/>
          <w:szCs w:val="18"/>
        </w:rPr>
        <w:t>Leuk Lymphoma. 2022 Jan;63(1):54-63.</w:t>
      </w:r>
    </w:p>
  </w:footnote>
  <w:footnote w:id="20">
    <w:p w14:paraId="1AE83C74" w14:textId="77777777" w:rsidR="002F0974" w:rsidRDefault="002F0974" w:rsidP="002F0974">
      <w:pPr>
        <w:pStyle w:val="FootnoteText"/>
      </w:pPr>
      <w:r>
        <w:rPr>
          <w:rStyle w:val="FootnoteReference"/>
        </w:rPr>
        <w:footnoteRef/>
      </w:r>
      <w:r>
        <w:t xml:space="preserve"> </w:t>
      </w:r>
      <w:r w:rsidRPr="00646F3D">
        <w:rPr>
          <w:rFonts w:ascii="Arial Narrow" w:hAnsi="Arial Narrow"/>
          <w:sz w:val="18"/>
          <w:szCs w:val="18"/>
        </w:rPr>
        <w:t>Lewis and Cheah. The value of bispecific antibodies in relapsed and</w:t>
      </w:r>
      <w:r>
        <w:rPr>
          <w:rFonts w:ascii="Arial Narrow" w:hAnsi="Arial Narrow"/>
          <w:sz w:val="18"/>
          <w:szCs w:val="18"/>
        </w:rPr>
        <w:t xml:space="preserve"> </w:t>
      </w:r>
      <w:r w:rsidRPr="00646F3D">
        <w:rPr>
          <w:rFonts w:ascii="Arial Narrow" w:hAnsi="Arial Narrow"/>
          <w:sz w:val="18"/>
          <w:szCs w:val="18"/>
        </w:rPr>
        <w:t>refractory DLBCL. Leuk Lymphoma. 2024 Jun;65(6):720-735.</w:t>
      </w:r>
    </w:p>
  </w:footnote>
  <w:footnote w:id="21">
    <w:p w14:paraId="5A63F89E" w14:textId="77777777" w:rsidR="002F0974" w:rsidRDefault="002F0974" w:rsidP="002F0974">
      <w:pPr>
        <w:pStyle w:val="FootnoteText"/>
      </w:pPr>
      <w:r>
        <w:rPr>
          <w:rStyle w:val="FootnoteReference"/>
        </w:rPr>
        <w:footnoteRef/>
      </w:r>
      <w:r>
        <w:t xml:space="preserve"> </w:t>
      </w:r>
      <w:r w:rsidRPr="00646F3D">
        <w:rPr>
          <w:rFonts w:ascii="Arial Narrow" w:hAnsi="Arial Narrow"/>
          <w:sz w:val="18"/>
          <w:szCs w:val="18"/>
        </w:rPr>
        <w:t xml:space="preserve">Karimi et al. Novel analysis of 3-y results from the pivotal EPCORE NHL-1 study: Outcomes in patients (pts) with relapsed/refractory large B-cell lymphoma (R/R LBCL) and complete response (CR) at 2 y with </w:t>
      </w:r>
      <w:proofErr w:type="spellStart"/>
      <w:r w:rsidRPr="00646F3D">
        <w:rPr>
          <w:rFonts w:ascii="Arial Narrow" w:hAnsi="Arial Narrow"/>
          <w:sz w:val="18"/>
          <w:szCs w:val="18"/>
        </w:rPr>
        <w:t>epcoritamab</w:t>
      </w:r>
      <w:proofErr w:type="spellEnd"/>
      <w:r w:rsidRPr="00646F3D">
        <w:rPr>
          <w:rFonts w:ascii="Arial Narrow" w:hAnsi="Arial Narrow"/>
          <w:sz w:val="18"/>
          <w:szCs w:val="18"/>
        </w:rPr>
        <w:t xml:space="preserve"> (</w:t>
      </w:r>
      <w:proofErr w:type="spellStart"/>
      <w:r w:rsidRPr="00646F3D">
        <w:rPr>
          <w:rFonts w:ascii="Arial Narrow" w:hAnsi="Arial Narrow"/>
          <w:sz w:val="18"/>
          <w:szCs w:val="18"/>
        </w:rPr>
        <w:t>epcor</w:t>
      </w:r>
      <w:proofErr w:type="spellEnd"/>
      <w:r w:rsidRPr="00646F3D">
        <w:rPr>
          <w:rFonts w:ascii="Arial Narrow" w:hAnsi="Arial Narrow"/>
          <w:sz w:val="18"/>
          <w:szCs w:val="18"/>
        </w:rPr>
        <w:t>) monotherapy.</w:t>
      </w:r>
      <w:r>
        <w:rPr>
          <w:rFonts w:ascii="Arial Narrow" w:hAnsi="Arial Narrow"/>
          <w:sz w:val="18"/>
          <w:szCs w:val="18"/>
        </w:rPr>
        <w:t xml:space="preserve"> </w:t>
      </w:r>
      <w:r w:rsidRPr="00646F3D">
        <w:rPr>
          <w:rFonts w:ascii="Arial Narrow" w:hAnsi="Arial Narrow"/>
          <w:sz w:val="18"/>
          <w:szCs w:val="18"/>
        </w:rPr>
        <w:t>J Clin Oncol</w:t>
      </w:r>
      <w:r>
        <w:rPr>
          <w:rFonts w:ascii="Arial Narrow" w:hAnsi="Arial Narrow"/>
          <w:sz w:val="18"/>
          <w:szCs w:val="18"/>
        </w:rPr>
        <w:t xml:space="preserve"> 2025;</w:t>
      </w:r>
      <w:r w:rsidRPr="00646F3D">
        <w:rPr>
          <w:rFonts w:ascii="Arial Narrow" w:hAnsi="Arial Narrow"/>
          <w:sz w:val="18"/>
          <w:szCs w:val="18"/>
        </w:rPr>
        <w:t xml:space="preserve"> 43, 7043-7043</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DF1A5" w14:textId="72488CCA" w:rsidR="00D843F2" w:rsidRDefault="005235FD">
    <w:pPr>
      <w:pStyle w:val="Header"/>
    </w:pPr>
    <w:r>
      <w:rPr>
        <w:noProof/>
      </w:rPr>
      <mc:AlternateContent>
        <mc:Choice Requires="wps">
          <w:drawing>
            <wp:anchor distT="0" distB="0" distL="0" distR="0" simplePos="0" relativeHeight="251660293" behindDoc="0" locked="0" layoutInCell="1" allowOverlap="1" wp14:anchorId="644E1632" wp14:editId="010DF698">
              <wp:simplePos x="635" y="635"/>
              <wp:positionH relativeFrom="page">
                <wp:align>center</wp:align>
              </wp:positionH>
              <wp:positionV relativeFrom="page">
                <wp:align>top</wp:align>
              </wp:positionV>
              <wp:extent cx="622300" cy="376555"/>
              <wp:effectExtent l="0" t="0" r="6350" b="4445"/>
              <wp:wrapNone/>
              <wp:docPr id="118088100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C864290" w14:textId="55B47124" w:rsidR="005235FD" w:rsidRPr="005235FD" w:rsidRDefault="005235FD" w:rsidP="005235FD">
                          <w:pPr>
                            <w:rPr>
                              <w:rFonts w:ascii="Aptos" w:eastAsia="Aptos" w:hAnsi="Aptos" w:cs="Aptos"/>
                              <w:noProof/>
                              <w:color w:val="FF0000"/>
                            </w:rPr>
                          </w:pPr>
                          <w:r w:rsidRPr="005235FD">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4E1632"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C864290" w14:textId="55B47124" w:rsidR="005235FD" w:rsidRPr="005235FD" w:rsidRDefault="005235FD" w:rsidP="005235FD">
                    <w:pPr>
                      <w:rPr>
                        <w:rFonts w:ascii="Aptos" w:eastAsia="Aptos" w:hAnsi="Aptos" w:cs="Aptos"/>
                        <w:noProof/>
                        <w:color w:val="FF0000"/>
                      </w:rPr>
                    </w:pPr>
                    <w:r w:rsidRPr="005235FD">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4C78F7F2" w:rsidR="00D843F2" w:rsidRPr="00195452" w:rsidRDefault="005235FD" w:rsidP="00D822E2">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61317" behindDoc="0" locked="0" layoutInCell="1" allowOverlap="1" wp14:anchorId="3A013C45" wp14:editId="76982029">
              <wp:simplePos x="635" y="635"/>
              <wp:positionH relativeFrom="page">
                <wp:align>center</wp:align>
              </wp:positionH>
              <wp:positionV relativeFrom="page">
                <wp:align>top</wp:align>
              </wp:positionV>
              <wp:extent cx="622300" cy="376555"/>
              <wp:effectExtent l="0" t="0" r="6350" b="4445"/>
              <wp:wrapNone/>
              <wp:docPr id="8709717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BF78258" w14:textId="0150295D" w:rsidR="005235FD" w:rsidRPr="005235FD" w:rsidRDefault="005235FD" w:rsidP="005235FD">
                          <w:pPr>
                            <w:rPr>
                              <w:rFonts w:ascii="Aptos" w:eastAsia="Aptos" w:hAnsi="Aptos" w:cs="Aptos"/>
                              <w:noProof/>
                              <w:color w:val="FF0000"/>
                            </w:rPr>
                          </w:pPr>
                          <w:r w:rsidRPr="005235FD">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013C45"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BF78258" w14:textId="0150295D" w:rsidR="005235FD" w:rsidRPr="005235FD" w:rsidRDefault="005235FD" w:rsidP="005235FD">
                    <w:pPr>
                      <w:rPr>
                        <w:rFonts w:ascii="Aptos" w:eastAsia="Aptos" w:hAnsi="Aptos" w:cs="Aptos"/>
                        <w:noProof/>
                        <w:color w:val="FF0000"/>
                      </w:rPr>
                    </w:pPr>
                    <w:r w:rsidRPr="005235FD">
                      <w:rPr>
                        <w:rFonts w:ascii="Aptos" w:eastAsia="Aptos" w:hAnsi="Aptos" w:cs="Aptos"/>
                        <w:noProof/>
                        <w:color w:val="FF0000"/>
                      </w:rPr>
                      <w:t>OFFICIAL</w:t>
                    </w:r>
                  </w:p>
                </w:txbxContent>
              </v:textbox>
              <w10:wrap anchorx="page" anchory="page"/>
            </v:shape>
          </w:pict>
        </mc:Fallback>
      </mc:AlternateContent>
    </w:r>
    <w:r w:rsidR="00D40054">
      <w:rPr>
        <w:rFonts w:asciiTheme="minorHAnsi" w:hAnsiTheme="minorHAnsi"/>
        <w:color w:val="808080"/>
      </w:rPr>
      <w:t>Public Summary Document</w:t>
    </w:r>
    <w:r w:rsidR="002E1825">
      <w:rPr>
        <w:rFonts w:asciiTheme="minorHAnsi" w:hAnsiTheme="minorHAnsi"/>
        <w:color w:val="808080"/>
      </w:rPr>
      <w:t xml:space="preserve"> - </w:t>
    </w:r>
    <w:r w:rsidR="00B754B2">
      <w:rPr>
        <w:rFonts w:asciiTheme="minorHAnsi" w:hAnsiTheme="minorHAnsi"/>
        <w:color w:val="808080"/>
      </w:rPr>
      <w:t>March</w:t>
    </w:r>
    <w:r w:rsidR="00D843F2">
      <w:rPr>
        <w:rFonts w:asciiTheme="minorHAnsi" w:hAnsiTheme="minorHAnsi"/>
        <w:color w:val="808080"/>
      </w:rPr>
      <w:t xml:space="preserve"> 202</w:t>
    </w:r>
    <w:r w:rsidR="00B754B2">
      <w:rPr>
        <w:rFonts w:asciiTheme="minorHAnsi" w:hAnsiTheme="minorHAnsi"/>
        <w:color w:val="808080"/>
      </w:rPr>
      <w:t>6</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5BE60" w14:textId="61661997" w:rsidR="00D843F2" w:rsidRDefault="005235FD">
    <w:pPr>
      <w:pStyle w:val="Header"/>
    </w:pPr>
    <w:r>
      <w:rPr>
        <w:noProof/>
      </w:rPr>
      <mc:AlternateContent>
        <mc:Choice Requires="wps">
          <w:drawing>
            <wp:anchor distT="0" distB="0" distL="0" distR="0" simplePos="0" relativeHeight="251659269" behindDoc="0" locked="0" layoutInCell="1" allowOverlap="1" wp14:anchorId="24F0AE91" wp14:editId="56C94275">
              <wp:simplePos x="635" y="635"/>
              <wp:positionH relativeFrom="page">
                <wp:align>center</wp:align>
              </wp:positionH>
              <wp:positionV relativeFrom="page">
                <wp:align>top</wp:align>
              </wp:positionV>
              <wp:extent cx="622300" cy="376555"/>
              <wp:effectExtent l="0" t="0" r="6350" b="4445"/>
              <wp:wrapNone/>
              <wp:docPr id="127172323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EC3496" w14:textId="15AA2D9F" w:rsidR="005235FD" w:rsidRPr="005235FD" w:rsidRDefault="005235FD" w:rsidP="005235FD">
                          <w:pPr>
                            <w:rPr>
                              <w:rFonts w:ascii="Aptos" w:eastAsia="Aptos" w:hAnsi="Aptos" w:cs="Aptos"/>
                              <w:noProof/>
                              <w:color w:val="FF0000"/>
                            </w:rPr>
                          </w:pPr>
                          <w:r w:rsidRPr="005235FD">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F0AE91"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19EC3496" w14:textId="15AA2D9F" w:rsidR="005235FD" w:rsidRPr="005235FD" w:rsidRDefault="005235FD" w:rsidP="005235FD">
                    <w:pPr>
                      <w:rPr>
                        <w:rFonts w:ascii="Aptos" w:eastAsia="Aptos" w:hAnsi="Aptos" w:cs="Aptos"/>
                        <w:noProof/>
                        <w:color w:val="FF0000"/>
                      </w:rPr>
                    </w:pPr>
                    <w:r w:rsidRPr="005235FD">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634FE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EF4D4A"/>
    <w:multiLevelType w:val="hybridMultilevel"/>
    <w:tmpl w:val="B8868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CD76B8"/>
    <w:multiLevelType w:val="hybridMultilevel"/>
    <w:tmpl w:val="8CAE6D4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346AD7"/>
    <w:multiLevelType w:val="hybridMultilevel"/>
    <w:tmpl w:val="71A65F8E"/>
    <w:lvl w:ilvl="0" w:tplc="CFBE442A">
      <w:start w:val="1"/>
      <w:numFmt w:val="bullet"/>
      <w:pStyle w:val="ListParagraph"/>
      <w:lvlText w:val=""/>
      <w:lvlJc w:val="left"/>
      <w:pPr>
        <w:ind w:left="4187"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F611AC5"/>
    <w:multiLevelType w:val="hybridMultilevel"/>
    <w:tmpl w:val="54FCDD8A"/>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507E4A"/>
    <w:multiLevelType w:val="hybridMultilevel"/>
    <w:tmpl w:val="C534EA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46332AF"/>
    <w:multiLevelType w:val="hybridMultilevel"/>
    <w:tmpl w:val="C93825BA"/>
    <w:lvl w:ilvl="0" w:tplc="1A52FD5C">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4B61747"/>
    <w:multiLevelType w:val="hybridMultilevel"/>
    <w:tmpl w:val="7304F6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A721A81"/>
    <w:multiLevelType w:val="hybridMultilevel"/>
    <w:tmpl w:val="1EC033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27E36FF"/>
    <w:multiLevelType w:val="hybridMultilevel"/>
    <w:tmpl w:val="204C71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647413C6"/>
    <w:multiLevelType w:val="hybridMultilevel"/>
    <w:tmpl w:val="8D323D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3E43D4E"/>
    <w:multiLevelType w:val="hybridMultilevel"/>
    <w:tmpl w:val="9E6C1C3A"/>
    <w:lvl w:ilvl="0" w:tplc="2362EE7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8470A51"/>
    <w:multiLevelType w:val="hybridMultilevel"/>
    <w:tmpl w:val="0A9080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784D033C"/>
    <w:multiLevelType w:val="multilevel"/>
    <w:tmpl w:val="5226F89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DB67C63"/>
    <w:multiLevelType w:val="hybridMultilevel"/>
    <w:tmpl w:val="A5DED7AE"/>
    <w:lvl w:ilvl="0" w:tplc="D49CE484">
      <w:start w:val="1"/>
      <w:numFmt w:val="bullet"/>
      <w:pStyle w:val="Tabledash"/>
      <w:lvlText w:val="-"/>
      <w:lvlJc w:val="left"/>
      <w:pPr>
        <w:ind w:left="786" w:hanging="360"/>
      </w:pPr>
      <w:rPr>
        <w:rFonts w:ascii="Montserrat" w:hAnsi="Montserra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EBF3C6C"/>
    <w:multiLevelType w:val="hybridMultilevel"/>
    <w:tmpl w:val="55F87E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87153498">
    <w:abstractNumId w:val="23"/>
  </w:num>
  <w:num w:numId="2" w16cid:durableId="1150633409">
    <w:abstractNumId w:val="9"/>
  </w:num>
  <w:num w:numId="3" w16cid:durableId="2015297719">
    <w:abstractNumId w:val="0"/>
  </w:num>
  <w:num w:numId="4" w16cid:durableId="1208031735">
    <w:abstractNumId w:val="18"/>
  </w:num>
  <w:num w:numId="5" w16cid:durableId="1772626192">
    <w:abstractNumId w:val="7"/>
  </w:num>
  <w:num w:numId="6" w16cid:durableId="648248520">
    <w:abstractNumId w:val="23"/>
  </w:num>
  <w:num w:numId="7" w16cid:durableId="793326984">
    <w:abstractNumId w:val="11"/>
  </w:num>
  <w:num w:numId="8" w16cid:durableId="1876773992">
    <w:abstractNumId w:val="24"/>
  </w:num>
  <w:num w:numId="9" w16cid:durableId="693700410">
    <w:abstractNumId w:val="10"/>
  </w:num>
  <w:num w:numId="10" w16cid:durableId="347949877">
    <w:abstractNumId w:val="21"/>
  </w:num>
  <w:num w:numId="11" w16cid:durableId="812723786">
    <w:abstractNumId w:val="19"/>
  </w:num>
  <w:num w:numId="12" w16cid:durableId="1512448505">
    <w:abstractNumId w:val="25"/>
  </w:num>
  <w:num w:numId="13" w16cid:durableId="597062074">
    <w:abstractNumId w:val="22"/>
  </w:num>
  <w:num w:numId="14" w16cid:durableId="772094841">
    <w:abstractNumId w:val="17"/>
  </w:num>
  <w:num w:numId="15" w16cid:durableId="1423380180">
    <w:abstractNumId w:val="12"/>
  </w:num>
  <w:num w:numId="16" w16cid:durableId="694311505">
    <w:abstractNumId w:val="2"/>
  </w:num>
  <w:num w:numId="17" w16cid:durableId="393896746">
    <w:abstractNumId w:val="8"/>
  </w:num>
  <w:num w:numId="18" w16cid:durableId="860970895">
    <w:abstractNumId w:val="15"/>
  </w:num>
  <w:num w:numId="19" w16cid:durableId="2028671437">
    <w:abstractNumId w:val="3"/>
  </w:num>
  <w:num w:numId="20" w16cid:durableId="1573005167">
    <w:abstractNumId w:val="13"/>
  </w:num>
  <w:num w:numId="21" w16cid:durableId="408699874">
    <w:abstractNumId w:val="14"/>
  </w:num>
  <w:num w:numId="22" w16cid:durableId="705176722">
    <w:abstractNumId w:val="1"/>
  </w:num>
  <w:num w:numId="23" w16cid:durableId="1926569401">
    <w:abstractNumId w:val="5"/>
  </w:num>
  <w:num w:numId="24" w16cid:durableId="1979457665">
    <w:abstractNumId w:val="6"/>
  </w:num>
  <w:num w:numId="25" w16cid:durableId="2038313566">
    <w:abstractNumId w:val="4"/>
  </w:num>
  <w:num w:numId="26" w16cid:durableId="129744317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9997201">
    <w:abstractNumId w:val="20"/>
  </w:num>
  <w:num w:numId="28" w16cid:durableId="354114695">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1CE"/>
    <w:rsid w:val="00001C27"/>
    <w:rsid w:val="00001E38"/>
    <w:rsid w:val="000021F2"/>
    <w:rsid w:val="000027E9"/>
    <w:rsid w:val="00003499"/>
    <w:rsid w:val="000035AF"/>
    <w:rsid w:val="00003790"/>
    <w:rsid w:val="000039B7"/>
    <w:rsid w:val="00003DF9"/>
    <w:rsid w:val="00004CD4"/>
    <w:rsid w:val="00004FA6"/>
    <w:rsid w:val="000056B9"/>
    <w:rsid w:val="00005A13"/>
    <w:rsid w:val="00005FC9"/>
    <w:rsid w:val="0000639A"/>
    <w:rsid w:val="00007D37"/>
    <w:rsid w:val="00010B6E"/>
    <w:rsid w:val="000112BD"/>
    <w:rsid w:val="000114E9"/>
    <w:rsid w:val="00011B16"/>
    <w:rsid w:val="000128C9"/>
    <w:rsid w:val="00013247"/>
    <w:rsid w:val="0001363A"/>
    <w:rsid w:val="00013D05"/>
    <w:rsid w:val="000147E7"/>
    <w:rsid w:val="00014945"/>
    <w:rsid w:val="0001559A"/>
    <w:rsid w:val="00015886"/>
    <w:rsid w:val="0001607E"/>
    <w:rsid w:val="000162EF"/>
    <w:rsid w:val="00016352"/>
    <w:rsid w:val="0001657F"/>
    <w:rsid w:val="00016645"/>
    <w:rsid w:val="00016F2F"/>
    <w:rsid w:val="000170A9"/>
    <w:rsid w:val="0001771E"/>
    <w:rsid w:val="00017E6A"/>
    <w:rsid w:val="0002039C"/>
    <w:rsid w:val="000207C9"/>
    <w:rsid w:val="00020BBB"/>
    <w:rsid w:val="00020DD1"/>
    <w:rsid w:val="00020E86"/>
    <w:rsid w:val="000216D7"/>
    <w:rsid w:val="00021D89"/>
    <w:rsid w:val="0002225F"/>
    <w:rsid w:val="000222C9"/>
    <w:rsid w:val="000225CC"/>
    <w:rsid w:val="00023763"/>
    <w:rsid w:val="00024031"/>
    <w:rsid w:val="000242F6"/>
    <w:rsid w:val="00024E2F"/>
    <w:rsid w:val="00024EB5"/>
    <w:rsid w:val="00026461"/>
    <w:rsid w:val="00026769"/>
    <w:rsid w:val="000267EF"/>
    <w:rsid w:val="000268B0"/>
    <w:rsid w:val="000273D6"/>
    <w:rsid w:val="000274B8"/>
    <w:rsid w:val="000277A4"/>
    <w:rsid w:val="00027DBC"/>
    <w:rsid w:val="000307E0"/>
    <w:rsid w:val="000313EF"/>
    <w:rsid w:val="00031904"/>
    <w:rsid w:val="0003204E"/>
    <w:rsid w:val="000321A1"/>
    <w:rsid w:val="000321D0"/>
    <w:rsid w:val="000323F3"/>
    <w:rsid w:val="00033863"/>
    <w:rsid w:val="000339F6"/>
    <w:rsid w:val="00033B48"/>
    <w:rsid w:val="00033BB8"/>
    <w:rsid w:val="00033D0A"/>
    <w:rsid w:val="00034309"/>
    <w:rsid w:val="00034F5D"/>
    <w:rsid w:val="00035DC0"/>
    <w:rsid w:val="000363B4"/>
    <w:rsid w:val="00036829"/>
    <w:rsid w:val="000368A6"/>
    <w:rsid w:val="000374E2"/>
    <w:rsid w:val="0003762B"/>
    <w:rsid w:val="000379CC"/>
    <w:rsid w:val="00040895"/>
    <w:rsid w:val="00040B40"/>
    <w:rsid w:val="000410A0"/>
    <w:rsid w:val="000412A0"/>
    <w:rsid w:val="000419C2"/>
    <w:rsid w:val="00041B55"/>
    <w:rsid w:val="000423A1"/>
    <w:rsid w:val="00042756"/>
    <w:rsid w:val="00042DA0"/>
    <w:rsid w:val="000435EE"/>
    <w:rsid w:val="00043C37"/>
    <w:rsid w:val="00045017"/>
    <w:rsid w:val="00045A2B"/>
    <w:rsid w:val="00046647"/>
    <w:rsid w:val="0004684E"/>
    <w:rsid w:val="0004698F"/>
    <w:rsid w:val="00046B2A"/>
    <w:rsid w:val="00046D64"/>
    <w:rsid w:val="0004793E"/>
    <w:rsid w:val="000500FA"/>
    <w:rsid w:val="000508C2"/>
    <w:rsid w:val="000511D8"/>
    <w:rsid w:val="00052539"/>
    <w:rsid w:val="0005277A"/>
    <w:rsid w:val="00052964"/>
    <w:rsid w:val="00053365"/>
    <w:rsid w:val="000538CD"/>
    <w:rsid w:val="000539D0"/>
    <w:rsid w:val="00053D08"/>
    <w:rsid w:val="00054621"/>
    <w:rsid w:val="000546D7"/>
    <w:rsid w:val="00054707"/>
    <w:rsid w:val="00054A8D"/>
    <w:rsid w:val="00056BDC"/>
    <w:rsid w:val="00056ECF"/>
    <w:rsid w:val="00056EF8"/>
    <w:rsid w:val="000576C8"/>
    <w:rsid w:val="000604DF"/>
    <w:rsid w:val="0006069D"/>
    <w:rsid w:val="00060F86"/>
    <w:rsid w:val="0006171C"/>
    <w:rsid w:val="00061BEA"/>
    <w:rsid w:val="00062237"/>
    <w:rsid w:val="00062324"/>
    <w:rsid w:val="00062BD9"/>
    <w:rsid w:val="00062D8F"/>
    <w:rsid w:val="00064336"/>
    <w:rsid w:val="00064DFE"/>
    <w:rsid w:val="000653B5"/>
    <w:rsid w:val="00065991"/>
    <w:rsid w:val="00065A19"/>
    <w:rsid w:val="00065BA3"/>
    <w:rsid w:val="00066360"/>
    <w:rsid w:val="00066AF8"/>
    <w:rsid w:val="000673FC"/>
    <w:rsid w:val="00067789"/>
    <w:rsid w:val="00067B86"/>
    <w:rsid w:val="0007079B"/>
    <w:rsid w:val="00071248"/>
    <w:rsid w:val="0007142B"/>
    <w:rsid w:val="00071B1A"/>
    <w:rsid w:val="00071DB7"/>
    <w:rsid w:val="000720B9"/>
    <w:rsid w:val="00072C39"/>
    <w:rsid w:val="00072CAE"/>
    <w:rsid w:val="00073157"/>
    <w:rsid w:val="000737F7"/>
    <w:rsid w:val="00073B1E"/>
    <w:rsid w:val="00073D42"/>
    <w:rsid w:val="00074C48"/>
    <w:rsid w:val="00075B6A"/>
    <w:rsid w:val="00075BA0"/>
    <w:rsid w:val="0007672F"/>
    <w:rsid w:val="00076B54"/>
    <w:rsid w:val="00076BC0"/>
    <w:rsid w:val="00077070"/>
    <w:rsid w:val="00077085"/>
    <w:rsid w:val="0007747C"/>
    <w:rsid w:val="00077481"/>
    <w:rsid w:val="000774F0"/>
    <w:rsid w:val="00077873"/>
    <w:rsid w:val="00077E0A"/>
    <w:rsid w:val="00077F19"/>
    <w:rsid w:val="00080909"/>
    <w:rsid w:val="000812CA"/>
    <w:rsid w:val="000814A4"/>
    <w:rsid w:val="00081E63"/>
    <w:rsid w:val="00081FC4"/>
    <w:rsid w:val="00082219"/>
    <w:rsid w:val="0008256C"/>
    <w:rsid w:val="0008258D"/>
    <w:rsid w:val="00082D16"/>
    <w:rsid w:val="000837E2"/>
    <w:rsid w:val="0008399A"/>
    <w:rsid w:val="00083B11"/>
    <w:rsid w:val="00083E99"/>
    <w:rsid w:val="00084B7F"/>
    <w:rsid w:val="00084FA8"/>
    <w:rsid w:val="000852AC"/>
    <w:rsid w:val="000856C5"/>
    <w:rsid w:val="00085C31"/>
    <w:rsid w:val="0008642E"/>
    <w:rsid w:val="000867AA"/>
    <w:rsid w:val="000902D9"/>
    <w:rsid w:val="00090C7E"/>
    <w:rsid w:val="0009113E"/>
    <w:rsid w:val="000911AC"/>
    <w:rsid w:val="000911F9"/>
    <w:rsid w:val="0009131C"/>
    <w:rsid w:val="000918C4"/>
    <w:rsid w:val="00091D3B"/>
    <w:rsid w:val="00091E0C"/>
    <w:rsid w:val="00092600"/>
    <w:rsid w:val="0009262B"/>
    <w:rsid w:val="00092E6A"/>
    <w:rsid w:val="00093310"/>
    <w:rsid w:val="000942F1"/>
    <w:rsid w:val="0009445C"/>
    <w:rsid w:val="000948E2"/>
    <w:rsid w:val="000950FF"/>
    <w:rsid w:val="00095200"/>
    <w:rsid w:val="00095FE5"/>
    <w:rsid w:val="00096284"/>
    <w:rsid w:val="0009691B"/>
    <w:rsid w:val="00096CD8"/>
    <w:rsid w:val="00097AD0"/>
    <w:rsid w:val="000A0E21"/>
    <w:rsid w:val="000A12A6"/>
    <w:rsid w:val="000A1434"/>
    <w:rsid w:val="000A144E"/>
    <w:rsid w:val="000A1BC0"/>
    <w:rsid w:val="000A2BF7"/>
    <w:rsid w:val="000A2CB6"/>
    <w:rsid w:val="000A2F9E"/>
    <w:rsid w:val="000A3112"/>
    <w:rsid w:val="000A3261"/>
    <w:rsid w:val="000A3BB0"/>
    <w:rsid w:val="000A3C02"/>
    <w:rsid w:val="000A3E47"/>
    <w:rsid w:val="000A3F2A"/>
    <w:rsid w:val="000A425E"/>
    <w:rsid w:val="000A522B"/>
    <w:rsid w:val="000A55AA"/>
    <w:rsid w:val="000A57B1"/>
    <w:rsid w:val="000A6039"/>
    <w:rsid w:val="000A65E1"/>
    <w:rsid w:val="000A7453"/>
    <w:rsid w:val="000A7D08"/>
    <w:rsid w:val="000B00B3"/>
    <w:rsid w:val="000B0121"/>
    <w:rsid w:val="000B0670"/>
    <w:rsid w:val="000B0E75"/>
    <w:rsid w:val="000B1D3D"/>
    <w:rsid w:val="000B27CB"/>
    <w:rsid w:val="000B298F"/>
    <w:rsid w:val="000B2C01"/>
    <w:rsid w:val="000B2DCB"/>
    <w:rsid w:val="000B36F6"/>
    <w:rsid w:val="000B5CE0"/>
    <w:rsid w:val="000B6CAC"/>
    <w:rsid w:val="000B7612"/>
    <w:rsid w:val="000B770F"/>
    <w:rsid w:val="000B78AE"/>
    <w:rsid w:val="000C105E"/>
    <w:rsid w:val="000C10AE"/>
    <w:rsid w:val="000C2D6C"/>
    <w:rsid w:val="000C3709"/>
    <w:rsid w:val="000C3DF9"/>
    <w:rsid w:val="000C421E"/>
    <w:rsid w:val="000C431D"/>
    <w:rsid w:val="000C4CA9"/>
    <w:rsid w:val="000C4CF2"/>
    <w:rsid w:val="000C5262"/>
    <w:rsid w:val="000C6713"/>
    <w:rsid w:val="000C76BE"/>
    <w:rsid w:val="000C78D7"/>
    <w:rsid w:val="000D0DF7"/>
    <w:rsid w:val="000D1BFC"/>
    <w:rsid w:val="000D1D5D"/>
    <w:rsid w:val="000D1E68"/>
    <w:rsid w:val="000D217E"/>
    <w:rsid w:val="000D26E6"/>
    <w:rsid w:val="000D281A"/>
    <w:rsid w:val="000D2848"/>
    <w:rsid w:val="000D326A"/>
    <w:rsid w:val="000D441F"/>
    <w:rsid w:val="000D47CC"/>
    <w:rsid w:val="000D4996"/>
    <w:rsid w:val="000D51FB"/>
    <w:rsid w:val="000D533B"/>
    <w:rsid w:val="000D575A"/>
    <w:rsid w:val="000D59EC"/>
    <w:rsid w:val="000D5B99"/>
    <w:rsid w:val="000D5BA6"/>
    <w:rsid w:val="000D5EB8"/>
    <w:rsid w:val="000D6555"/>
    <w:rsid w:val="000D69CD"/>
    <w:rsid w:val="000D6E66"/>
    <w:rsid w:val="000D717D"/>
    <w:rsid w:val="000D7288"/>
    <w:rsid w:val="000D770F"/>
    <w:rsid w:val="000D774F"/>
    <w:rsid w:val="000D7806"/>
    <w:rsid w:val="000D7EBF"/>
    <w:rsid w:val="000E0604"/>
    <w:rsid w:val="000E0640"/>
    <w:rsid w:val="000E0948"/>
    <w:rsid w:val="000E135D"/>
    <w:rsid w:val="000E1E79"/>
    <w:rsid w:val="000E2039"/>
    <w:rsid w:val="000E2294"/>
    <w:rsid w:val="000E287F"/>
    <w:rsid w:val="000E2D72"/>
    <w:rsid w:val="000E3C6E"/>
    <w:rsid w:val="000E4136"/>
    <w:rsid w:val="000E579C"/>
    <w:rsid w:val="000E6048"/>
    <w:rsid w:val="000E668C"/>
    <w:rsid w:val="000E66DA"/>
    <w:rsid w:val="000E6D84"/>
    <w:rsid w:val="000E72E9"/>
    <w:rsid w:val="000E739D"/>
    <w:rsid w:val="000E7672"/>
    <w:rsid w:val="000E779E"/>
    <w:rsid w:val="000E7831"/>
    <w:rsid w:val="000E7BC3"/>
    <w:rsid w:val="000E7C64"/>
    <w:rsid w:val="000F00BA"/>
    <w:rsid w:val="000F05E0"/>
    <w:rsid w:val="000F0A13"/>
    <w:rsid w:val="000F0CDC"/>
    <w:rsid w:val="000F1C12"/>
    <w:rsid w:val="000F2ED8"/>
    <w:rsid w:val="000F316A"/>
    <w:rsid w:val="000F34B6"/>
    <w:rsid w:val="000F3C74"/>
    <w:rsid w:val="000F3CB1"/>
    <w:rsid w:val="000F4102"/>
    <w:rsid w:val="000F437F"/>
    <w:rsid w:val="000F4BB8"/>
    <w:rsid w:val="000F4FA9"/>
    <w:rsid w:val="000F53FB"/>
    <w:rsid w:val="000F57D8"/>
    <w:rsid w:val="000F6BE7"/>
    <w:rsid w:val="000F7127"/>
    <w:rsid w:val="000F7B54"/>
    <w:rsid w:val="000F7C1B"/>
    <w:rsid w:val="000F7DFB"/>
    <w:rsid w:val="001000B3"/>
    <w:rsid w:val="00100BDB"/>
    <w:rsid w:val="00100C70"/>
    <w:rsid w:val="00100F8A"/>
    <w:rsid w:val="001012A0"/>
    <w:rsid w:val="00102240"/>
    <w:rsid w:val="0010224B"/>
    <w:rsid w:val="001025AF"/>
    <w:rsid w:val="00103ECC"/>
    <w:rsid w:val="00104435"/>
    <w:rsid w:val="0010452E"/>
    <w:rsid w:val="001045D2"/>
    <w:rsid w:val="00104CBE"/>
    <w:rsid w:val="00104E60"/>
    <w:rsid w:val="00105159"/>
    <w:rsid w:val="00105AE2"/>
    <w:rsid w:val="001060C6"/>
    <w:rsid w:val="00106B80"/>
    <w:rsid w:val="00106D0C"/>
    <w:rsid w:val="00106D83"/>
    <w:rsid w:val="0010709C"/>
    <w:rsid w:val="0010736B"/>
    <w:rsid w:val="00107405"/>
    <w:rsid w:val="001079F5"/>
    <w:rsid w:val="001102AC"/>
    <w:rsid w:val="0011032E"/>
    <w:rsid w:val="0011185F"/>
    <w:rsid w:val="001127B9"/>
    <w:rsid w:val="001130A6"/>
    <w:rsid w:val="00113367"/>
    <w:rsid w:val="0011348B"/>
    <w:rsid w:val="001135B6"/>
    <w:rsid w:val="00113D68"/>
    <w:rsid w:val="001140A6"/>
    <w:rsid w:val="0011415E"/>
    <w:rsid w:val="001141DC"/>
    <w:rsid w:val="00114693"/>
    <w:rsid w:val="00114E51"/>
    <w:rsid w:val="0011520A"/>
    <w:rsid w:val="00115982"/>
    <w:rsid w:val="00115CAC"/>
    <w:rsid w:val="001160DE"/>
    <w:rsid w:val="0011615C"/>
    <w:rsid w:val="00116C53"/>
    <w:rsid w:val="00117C4D"/>
    <w:rsid w:val="00117E24"/>
    <w:rsid w:val="001202CD"/>
    <w:rsid w:val="00121593"/>
    <w:rsid w:val="00121799"/>
    <w:rsid w:val="00122026"/>
    <w:rsid w:val="001222FC"/>
    <w:rsid w:val="00122485"/>
    <w:rsid w:val="0012313C"/>
    <w:rsid w:val="001231BB"/>
    <w:rsid w:val="00123902"/>
    <w:rsid w:val="00124A51"/>
    <w:rsid w:val="0012575E"/>
    <w:rsid w:val="001263AC"/>
    <w:rsid w:val="00126621"/>
    <w:rsid w:val="00126888"/>
    <w:rsid w:val="00126991"/>
    <w:rsid w:val="00126A1C"/>
    <w:rsid w:val="00126A3A"/>
    <w:rsid w:val="00126B1D"/>
    <w:rsid w:val="00126D6F"/>
    <w:rsid w:val="001273C0"/>
    <w:rsid w:val="0012783C"/>
    <w:rsid w:val="001301E9"/>
    <w:rsid w:val="001304F5"/>
    <w:rsid w:val="00130BEA"/>
    <w:rsid w:val="00130E79"/>
    <w:rsid w:val="00130F07"/>
    <w:rsid w:val="00131C6D"/>
    <w:rsid w:val="00131CD8"/>
    <w:rsid w:val="00131D82"/>
    <w:rsid w:val="001325D5"/>
    <w:rsid w:val="00132A31"/>
    <w:rsid w:val="00132B22"/>
    <w:rsid w:val="00132E13"/>
    <w:rsid w:val="0013319A"/>
    <w:rsid w:val="00133248"/>
    <w:rsid w:val="00133445"/>
    <w:rsid w:val="0013378B"/>
    <w:rsid w:val="00133D36"/>
    <w:rsid w:val="001344F2"/>
    <w:rsid w:val="00134BF9"/>
    <w:rsid w:val="00134F2C"/>
    <w:rsid w:val="00135322"/>
    <w:rsid w:val="001359D9"/>
    <w:rsid w:val="00137645"/>
    <w:rsid w:val="00137B00"/>
    <w:rsid w:val="0014015A"/>
    <w:rsid w:val="0014051B"/>
    <w:rsid w:val="0014091C"/>
    <w:rsid w:val="0014093A"/>
    <w:rsid w:val="00140E99"/>
    <w:rsid w:val="00140F8C"/>
    <w:rsid w:val="001414E6"/>
    <w:rsid w:val="00141660"/>
    <w:rsid w:val="00141F49"/>
    <w:rsid w:val="00143F67"/>
    <w:rsid w:val="00144425"/>
    <w:rsid w:val="001447A2"/>
    <w:rsid w:val="00144D1F"/>
    <w:rsid w:val="00145234"/>
    <w:rsid w:val="00145540"/>
    <w:rsid w:val="001456B0"/>
    <w:rsid w:val="001466AC"/>
    <w:rsid w:val="00146A62"/>
    <w:rsid w:val="001479A5"/>
    <w:rsid w:val="00150264"/>
    <w:rsid w:val="00150303"/>
    <w:rsid w:val="001512F1"/>
    <w:rsid w:val="00152122"/>
    <w:rsid w:val="00152857"/>
    <w:rsid w:val="0015327F"/>
    <w:rsid w:val="001547AB"/>
    <w:rsid w:val="0015572A"/>
    <w:rsid w:val="0015647F"/>
    <w:rsid w:val="00156F8F"/>
    <w:rsid w:val="00157130"/>
    <w:rsid w:val="001576B1"/>
    <w:rsid w:val="00157AAE"/>
    <w:rsid w:val="00157C0F"/>
    <w:rsid w:val="0016047B"/>
    <w:rsid w:val="00160515"/>
    <w:rsid w:val="00160898"/>
    <w:rsid w:val="00160A4C"/>
    <w:rsid w:val="00160D9B"/>
    <w:rsid w:val="001611CB"/>
    <w:rsid w:val="0016171F"/>
    <w:rsid w:val="001618B4"/>
    <w:rsid w:val="001619D3"/>
    <w:rsid w:val="001624F0"/>
    <w:rsid w:val="00162913"/>
    <w:rsid w:val="00162BA4"/>
    <w:rsid w:val="00162DD0"/>
    <w:rsid w:val="00162ECC"/>
    <w:rsid w:val="0016345D"/>
    <w:rsid w:val="00163937"/>
    <w:rsid w:val="00163EFF"/>
    <w:rsid w:val="00163F66"/>
    <w:rsid w:val="00164406"/>
    <w:rsid w:val="0016478E"/>
    <w:rsid w:val="001650EF"/>
    <w:rsid w:val="0016519B"/>
    <w:rsid w:val="00165270"/>
    <w:rsid w:val="00165339"/>
    <w:rsid w:val="00165EC4"/>
    <w:rsid w:val="001661FB"/>
    <w:rsid w:val="00166A79"/>
    <w:rsid w:val="00166CBB"/>
    <w:rsid w:val="00166E4F"/>
    <w:rsid w:val="001671A0"/>
    <w:rsid w:val="001672E9"/>
    <w:rsid w:val="0016756E"/>
    <w:rsid w:val="0016767F"/>
    <w:rsid w:val="00167D2C"/>
    <w:rsid w:val="001700AB"/>
    <w:rsid w:val="001703C1"/>
    <w:rsid w:val="00171008"/>
    <w:rsid w:val="001711D3"/>
    <w:rsid w:val="001713A4"/>
    <w:rsid w:val="00173565"/>
    <w:rsid w:val="00173B07"/>
    <w:rsid w:val="00173D64"/>
    <w:rsid w:val="001740DF"/>
    <w:rsid w:val="00174CB0"/>
    <w:rsid w:val="00174E49"/>
    <w:rsid w:val="001751FA"/>
    <w:rsid w:val="001757FE"/>
    <w:rsid w:val="001764B6"/>
    <w:rsid w:val="00176752"/>
    <w:rsid w:val="0017676A"/>
    <w:rsid w:val="00176832"/>
    <w:rsid w:val="0017735E"/>
    <w:rsid w:val="00177771"/>
    <w:rsid w:val="00177B26"/>
    <w:rsid w:val="00177CBA"/>
    <w:rsid w:val="00177D61"/>
    <w:rsid w:val="001804B6"/>
    <w:rsid w:val="00180522"/>
    <w:rsid w:val="00180803"/>
    <w:rsid w:val="00181619"/>
    <w:rsid w:val="00181709"/>
    <w:rsid w:val="00181ACB"/>
    <w:rsid w:val="00181C10"/>
    <w:rsid w:val="00181D9C"/>
    <w:rsid w:val="00182841"/>
    <w:rsid w:val="001829C8"/>
    <w:rsid w:val="0018303F"/>
    <w:rsid w:val="001837FF"/>
    <w:rsid w:val="00183809"/>
    <w:rsid w:val="00184A11"/>
    <w:rsid w:val="00184A73"/>
    <w:rsid w:val="00184AEF"/>
    <w:rsid w:val="00184B0E"/>
    <w:rsid w:val="00184BF4"/>
    <w:rsid w:val="0018523E"/>
    <w:rsid w:val="00185A71"/>
    <w:rsid w:val="001866F3"/>
    <w:rsid w:val="00186E33"/>
    <w:rsid w:val="0018752F"/>
    <w:rsid w:val="0019006D"/>
    <w:rsid w:val="00191125"/>
    <w:rsid w:val="001913DD"/>
    <w:rsid w:val="00191806"/>
    <w:rsid w:val="00191C81"/>
    <w:rsid w:val="00192A35"/>
    <w:rsid w:val="00193837"/>
    <w:rsid w:val="00193838"/>
    <w:rsid w:val="001940AB"/>
    <w:rsid w:val="00194701"/>
    <w:rsid w:val="00194AD8"/>
    <w:rsid w:val="00195222"/>
    <w:rsid w:val="00195233"/>
    <w:rsid w:val="00195452"/>
    <w:rsid w:val="0019561F"/>
    <w:rsid w:val="00196326"/>
    <w:rsid w:val="0019649B"/>
    <w:rsid w:val="00197062"/>
    <w:rsid w:val="0019726E"/>
    <w:rsid w:val="001975D8"/>
    <w:rsid w:val="00197AA3"/>
    <w:rsid w:val="00197C90"/>
    <w:rsid w:val="00197E0C"/>
    <w:rsid w:val="001A0B07"/>
    <w:rsid w:val="001A0C25"/>
    <w:rsid w:val="001A0F21"/>
    <w:rsid w:val="001A178E"/>
    <w:rsid w:val="001A1DC9"/>
    <w:rsid w:val="001A2112"/>
    <w:rsid w:val="001A407A"/>
    <w:rsid w:val="001A43FA"/>
    <w:rsid w:val="001A47C5"/>
    <w:rsid w:val="001A59FB"/>
    <w:rsid w:val="001A5E9E"/>
    <w:rsid w:val="001A6354"/>
    <w:rsid w:val="001A6366"/>
    <w:rsid w:val="001A7019"/>
    <w:rsid w:val="001A7AE8"/>
    <w:rsid w:val="001A7BD3"/>
    <w:rsid w:val="001B0750"/>
    <w:rsid w:val="001B1E3D"/>
    <w:rsid w:val="001B204E"/>
    <w:rsid w:val="001B22E6"/>
    <w:rsid w:val="001B2372"/>
    <w:rsid w:val="001B240B"/>
    <w:rsid w:val="001B308D"/>
    <w:rsid w:val="001B32A2"/>
    <w:rsid w:val="001B3443"/>
    <w:rsid w:val="001B3604"/>
    <w:rsid w:val="001B4D20"/>
    <w:rsid w:val="001B509D"/>
    <w:rsid w:val="001B5A7A"/>
    <w:rsid w:val="001B5ADE"/>
    <w:rsid w:val="001B62D6"/>
    <w:rsid w:val="001B6B08"/>
    <w:rsid w:val="001B7F84"/>
    <w:rsid w:val="001C06B5"/>
    <w:rsid w:val="001C096E"/>
    <w:rsid w:val="001C1509"/>
    <w:rsid w:val="001C2100"/>
    <w:rsid w:val="001C2742"/>
    <w:rsid w:val="001C2A9B"/>
    <w:rsid w:val="001C31D6"/>
    <w:rsid w:val="001C36B5"/>
    <w:rsid w:val="001C3DD6"/>
    <w:rsid w:val="001C41F7"/>
    <w:rsid w:val="001C4299"/>
    <w:rsid w:val="001C45DF"/>
    <w:rsid w:val="001C4874"/>
    <w:rsid w:val="001C4E8C"/>
    <w:rsid w:val="001C4F23"/>
    <w:rsid w:val="001C5B60"/>
    <w:rsid w:val="001C5BBB"/>
    <w:rsid w:val="001C5F5F"/>
    <w:rsid w:val="001C5F94"/>
    <w:rsid w:val="001C654C"/>
    <w:rsid w:val="001C663C"/>
    <w:rsid w:val="001C6E66"/>
    <w:rsid w:val="001C7666"/>
    <w:rsid w:val="001D0847"/>
    <w:rsid w:val="001D1100"/>
    <w:rsid w:val="001D1391"/>
    <w:rsid w:val="001D1622"/>
    <w:rsid w:val="001D25D7"/>
    <w:rsid w:val="001D2C68"/>
    <w:rsid w:val="001D32BD"/>
    <w:rsid w:val="001D3423"/>
    <w:rsid w:val="001D3848"/>
    <w:rsid w:val="001D3B6B"/>
    <w:rsid w:val="001D4E06"/>
    <w:rsid w:val="001D5078"/>
    <w:rsid w:val="001D50B2"/>
    <w:rsid w:val="001D5923"/>
    <w:rsid w:val="001D5DE2"/>
    <w:rsid w:val="001D6687"/>
    <w:rsid w:val="001D69C0"/>
    <w:rsid w:val="001D71F4"/>
    <w:rsid w:val="001D73DC"/>
    <w:rsid w:val="001D7645"/>
    <w:rsid w:val="001E1187"/>
    <w:rsid w:val="001E157C"/>
    <w:rsid w:val="001E180A"/>
    <w:rsid w:val="001E1E86"/>
    <w:rsid w:val="001E238E"/>
    <w:rsid w:val="001E2483"/>
    <w:rsid w:val="001E2702"/>
    <w:rsid w:val="001E2B1E"/>
    <w:rsid w:val="001E2CFF"/>
    <w:rsid w:val="001E2F24"/>
    <w:rsid w:val="001E30D4"/>
    <w:rsid w:val="001E34DF"/>
    <w:rsid w:val="001E3808"/>
    <w:rsid w:val="001E4B01"/>
    <w:rsid w:val="001E4E3B"/>
    <w:rsid w:val="001E51D6"/>
    <w:rsid w:val="001E52EB"/>
    <w:rsid w:val="001E5513"/>
    <w:rsid w:val="001E61D2"/>
    <w:rsid w:val="001E6AB0"/>
    <w:rsid w:val="001E6E42"/>
    <w:rsid w:val="001E740C"/>
    <w:rsid w:val="001F0029"/>
    <w:rsid w:val="001F015D"/>
    <w:rsid w:val="001F0BC0"/>
    <w:rsid w:val="001F0D0F"/>
    <w:rsid w:val="001F1235"/>
    <w:rsid w:val="001F12C0"/>
    <w:rsid w:val="001F1616"/>
    <w:rsid w:val="001F1CB3"/>
    <w:rsid w:val="001F1D46"/>
    <w:rsid w:val="001F2ACA"/>
    <w:rsid w:val="001F2D25"/>
    <w:rsid w:val="001F2EFC"/>
    <w:rsid w:val="001F32B3"/>
    <w:rsid w:val="001F3506"/>
    <w:rsid w:val="001F38B5"/>
    <w:rsid w:val="001F4081"/>
    <w:rsid w:val="001F5200"/>
    <w:rsid w:val="001F7361"/>
    <w:rsid w:val="001F797B"/>
    <w:rsid w:val="001F7D02"/>
    <w:rsid w:val="001F7D11"/>
    <w:rsid w:val="00200732"/>
    <w:rsid w:val="00200C80"/>
    <w:rsid w:val="002011B0"/>
    <w:rsid w:val="00201583"/>
    <w:rsid w:val="00201D06"/>
    <w:rsid w:val="0020210C"/>
    <w:rsid w:val="00202682"/>
    <w:rsid w:val="002029E4"/>
    <w:rsid w:val="00203181"/>
    <w:rsid w:val="00203783"/>
    <w:rsid w:val="0020385F"/>
    <w:rsid w:val="00204112"/>
    <w:rsid w:val="00204412"/>
    <w:rsid w:val="0020459A"/>
    <w:rsid w:val="00204ACC"/>
    <w:rsid w:val="00204EB9"/>
    <w:rsid w:val="00205712"/>
    <w:rsid w:val="00205AFC"/>
    <w:rsid w:val="0020632E"/>
    <w:rsid w:val="002068A0"/>
    <w:rsid w:val="00207021"/>
    <w:rsid w:val="002070BE"/>
    <w:rsid w:val="0020732F"/>
    <w:rsid w:val="00207D00"/>
    <w:rsid w:val="002105C1"/>
    <w:rsid w:val="002116FD"/>
    <w:rsid w:val="00211EE3"/>
    <w:rsid w:val="0021239B"/>
    <w:rsid w:val="00212B55"/>
    <w:rsid w:val="00212C01"/>
    <w:rsid w:val="002130E5"/>
    <w:rsid w:val="00213655"/>
    <w:rsid w:val="0021373E"/>
    <w:rsid w:val="00213999"/>
    <w:rsid w:val="00213A25"/>
    <w:rsid w:val="00213EF5"/>
    <w:rsid w:val="0021488D"/>
    <w:rsid w:val="002149DA"/>
    <w:rsid w:val="0021563A"/>
    <w:rsid w:val="00215D75"/>
    <w:rsid w:val="00216BF5"/>
    <w:rsid w:val="002174D6"/>
    <w:rsid w:val="00217B3E"/>
    <w:rsid w:val="00217EC2"/>
    <w:rsid w:val="00222430"/>
    <w:rsid w:val="00223274"/>
    <w:rsid w:val="00223B49"/>
    <w:rsid w:val="00223D5A"/>
    <w:rsid w:val="0022440A"/>
    <w:rsid w:val="00224498"/>
    <w:rsid w:val="00224736"/>
    <w:rsid w:val="00224DD4"/>
    <w:rsid w:val="00225234"/>
    <w:rsid w:val="00225F2A"/>
    <w:rsid w:val="002264CA"/>
    <w:rsid w:val="002278A0"/>
    <w:rsid w:val="002309CC"/>
    <w:rsid w:val="00230B10"/>
    <w:rsid w:val="00230B96"/>
    <w:rsid w:val="00231B2D"/>
    <w:rsid w:val="00231BA9"/>
    <w:rsid w:val="0023209F"/>
    <w:rsid w:val="00232FD5"/>
    <w:rsid w:val="002330AA"/>
    <w:rsid w:val="00233C01"/>
    <w:rsid w:val="00233C5C"/>
    <w:rsid w:val="002340FB"/>
    <w:rsid w:val="0023413C"/>
    <w:rsid w:val="00234396"/>
    <w:rsid w:val="00234428"/>
    <w:rsid w:val="002346F0"/>
    <w:rsid w:val="002349A8"/>
    <w:rsid w:val="00234C41"/>
    <w:rsid w:val="00234C68"/>
    <w:rsid w:val="00235F28"/>
    <w:rsid w:val="0023629D"/>
    <w:rsid w:val="00237255"/>
    <w:rsid w:val="00237F43"/>
    <w:rsid w:val="00240D6F"/>
    <w:rsid w:val="002413A7"/>
    <w:rsid w:val="0024242A"/>
    <w:rsid w:val="002424AF"/>
    <w:rsid w:val="00243271"/>
    <w:rsid w:val="002439DC"/>
    <w:rsid w:val="002441D2"/>
    <w:rsid w:val="00244703"/>
    <w:rsid w:val="00244DC8"/>
    <w:rsid w:val="0024572D"/>
    <w:rsid w:val="002458BA"/>
    <w:rsid w:val="00245CE9"/>
    <w:rsid w:val="00245F25"/>
    <w:rsid w:val="0024636C"/>
    <w:rsid w:val="00246E22"/>
    <w:rsid w:val="00246FB6"/>
    <w:rsid w:val="002477C9"/>
    <w:rsid w:val="00247925"/>
    <w:rsid w:val="002508BF"/>
    <w:rsid w:val="00251006"/>
    <w:rsid w:val="002513A6"/>
    <w:rsid w:val="002520A8"/>
    <w:rsid w:val="00252200"/>
    <w:rsid w:val="002524D5"/>
    <w:rsid w:val="00252562"/>
    <w:rsid w:val="002525B9"/>
    <w:rsid w:val="002533E6"/>
    <w:rsid w:val="0025390F"/>
    <w:rsid w:val="00253B1D"/>
    <w:rsid w:val="002540B2"/>
    <w:rsid w:val="002549E7"/>
    <w:rsid w:val="00254DCF"/>
    <w:rsid w:val="002552CB"/>
    <w:rsid w:val="0025534B"/>
    <w:rsid w:val="00255BB7"/>
    <w:rsid w:val="002560A7"/>
    <w:rsid w:val="0025628E"/>
    <w:rsid w:val="00257346"/>
    <w:rsid w:val="00257541"/>
    <w:rsid w:val="002578C4"/>
    <w:rsid w:val="00257A39"/>
    <w:rsid w:val="00257AC4"/>
    <w:rsid w:val="00257BBE"/>
    <w:rsid w:val="002605E5"/>
    <w:rsid w:val="0026063C"/>
    <w:rsid w:val="00260FBB"/>
    <w:rsid w:val="00261688"/>
    <w:rsid w:val="00261707"/>
    <w:rsid w:val="00261EEF"/>
    <w:rsid w:val="002621D8"/>
    <w:rsid w:val="00262382"/>
    <w:rsid w:val="00262A1A"/>
    <w:rsid w:val="00262A87"/>
    <w:rsid w:val="00263604"/>
    <w:rsid w:val="002637DD"/>
    <w:rsid w:val="00263AD5"/>
    <w:rsid w:val="00263C73"/>
    <w:rsid w:val="00263E9D"/>
    <w:rsid w:val="00264566"/>
    <w:rsid w:val="00264C4D"/>
    <w:rsid w:val="00264D26"/>
    <w:rsid w:val="00264D8E"/>
    <w:rsid w:val="00264FC5"/>
    <w:rsid w:val="00265072"/>
    <w:rsid w:val="002653F0"/>
    <w:rsid w:val="00265590"/>
    <w:rsid w:val="00265C48"/>
    <w:rsid w:val="00266309"/>
    <w:rsid w:val="00266F88"/>
    <w:rsid w:val="00267531"/>
    <w:rsid w:val="00267642"/>
    <w:rsid w:val="00267746"/>
    <w:rsid w:val="00267AEA"/>
    <w:rsid w:val="002700E6"/>
    <w:rsid w:val="00270464"/>
    <w:rsid w:val="00270A33"/>
    <w:rsid w:val="0027138F"/>
    <w:rsid w:val="002716C0"/>
    <w:rsid w:val="00271BBF"/>
    <w:rsid w:val="00271D10"/>
    <w:rsid w:val="00271DE7"/>
    <w:rsid w:val="00271E87"/>
    <w:rsid w:val="00272928"/>
    <w:rsid w:val="0027294B"/>
    <w:rsid w:val="002730E8"/>
    <w:rsid w:val="002732ED"/>
    <w:rsid w:val="00273615"/>
    <w:rsid w:val="00273EB4"/>
    <w:rsid w:val="00274682"/>
    <w:rsid w:val="00275158"/>
    <w:rsid w:val="00275193"/>
    <w:rsid w:val="00275C5A"/>
    <w:rsid w:val="0027611B"/>
    <w:rsid w:val="002768A0"/>
    <w:rsid w:val="00276BA9"/>
    <w:rsid w:val="002771F6"/>
    <w:rsid w:val="00277E50"/>
    <w:rsid w:val="002809D9"/>
    <w:rsid w:val="00281014"/>
    <w:rsid w:val="0028353C"/>
    <w:rsid w:val="00284D63"/>
    <w:rsid w:val="00285BCE"/>
    <w:rsid w:val="00285BE1"/>
    <w:rsid w:val="0028665D"/>
    <w:rsid w:val="0028787B"/>
    <w:rsid w:val="00290143"/>
    <w:rsid w:val="002904A0"/>
    <w:rsid w:val="00291247"/>
    <w:rsid w:val="00291591"/>
    <w:rsid w:val="00292A39"/>
    <w:rsid w:val="002930AE"/>
    <w:rsid w:val="002935EE"/>
    <w:rsid w:val="00294453"/>
    <w:rsid w:val="00294567"/>
    <w:rsid w:val="00294EAB"/>
    <w:rsid w:val="0029511F"/>
    <w:rsid w:val="0029557C"/>
    <w:rsid w:val="00295930"/>
    <w:rsid w:val="00295AA8"/>
    <w:rsid w:val="00295D06"/>
    <w:rsid w:val="00295E99"/>
    <w:rsid w:val="00296331"/>
    <w:rsid w:val="002979C8"/>
    <w:rsid w:val="00297A13"/>
    <w:rsid w:val="00297AB0"/>
    <w:rsid w:val="002A0AA7"/>
    <w:rsid w:val="002A0E71"/>
    <w:rsid w:val="002A14AB"/>
    <w:rsid w:val="002A16CF"/>
    <w:rsid w:val="002A2317"/>
    <w:rsid w:val="002A2AC3"/>
    <w:rsid w:val="002A2ADE"/>
    <w:rsid w:val="002A2D51"/>
    <w:rsid w:val="002A2F50"/>
    <w:rsid w:val="002A3163"/>
    <w:rsid w:val="002A32BF"/>
    <w:rsid w:val="002A362A"/>
    <w:rsid w:val="002A3F97"/>
    <w:rsid w:val="002A54C2"/>
    <w:rsid w:val="002A5C00"/>
    <w:rsid w:val="002A660D"/>
    <w:rsid w:val="002A6932"/>
    <w:rsid w:val="002A6E6D"/>
    <w:rsid w:val="002A7153"/>
    <w:rsid w:val="002A75F9"/>
    <w:rsid w:val="002A7943"/>
    <w:rsid w:val="002A7EC9"/>
    <w:rsid w:val="002B05A1"/>
    <w:rsid w:val="002B0988"/>
    <w:rsid w:val="002B09A4"/>
    <w:rsid w:val="002B0C95"/>
    <w:rsid w:val="002B1C1F"/>
    <w:rsid w:val="002B1EE0"/>
    <w:rsid w:val="002B432F"/>
    <w:rsid w:val="002B456E"/>
    <w:rsid w:val="002B46C4"/>
    <w:rsid w:val="002B479F"/>
    <w:rsid w:val="002B4AD3"/>
    <w:rsid w:val="002B5B36"/>
    <w:rsid w:val="002B608F"/>
    <w:rsid w:val="002B62B3"/>
    <w:rsid w:val="002B6740"/>
    <w:rsid w:val="002B6754"/>
    <w:rsid w:val="002B6885"/>
    <w:rsid w:val="002B6A74"/>
    <w:rsid w:val="002B6AB2"/>
    <w:rsid w:val="002B6CCE"/>
    <w:rsid w:val="002B70C8"/>
    <w:rsid w:val="002C0A51"/>
    <w:rsid w:val="002C110E"/>
    <w:rsid w:val="002C1986"/>
    <w:rsid w:val="002C1EAF"/>
    <w:rsid w:val="002C2510"/>
    <w:rsid w:val="002C2775"/>
    <w:rsid w:val="002C27C1"/>
    <w:rsid w:val="002C36E3"/>
    <w:rsid w:val="002C3788"/>
    <w:rsid w:val="002C446B"/>
    <w:rsid w:val="002C4E1A"/>
    <w:rsid w:val="002C5099"/>
    <w:rsid w:val="002C51D3"/>
    <w:rsid w:val="002C5455"/>
    <w:rsid w:val="002C5889"/>
    <w:rsid w:val="002C63B5"/>
    <w:rsid w:val="002C6743"/>
    <w:rsid w:val="002C6916"/>
    <w:rsid w:val="002C71CE"/>
    <w:rsid w:val="002C767C"/>
    <w:rsid w:val="002D05F3"/>
    <w:rsid w:val="002D08F8"/>
    <w:rsid w:val="002D1701"/>
    <w:rsid w:val="002D1B35"/>
    <w:rsid w:val="002D3362"/>
    <w:rsid w:val="002D3674"/>
    <w:rsid w:val="002D3869"/>
    <w:rsid w:val="002D4400"/>
    <w:rsid w:val="002D4F2C"/>
    <w:rsid w:val="002D544E"/>
    <w:rsid w:val="002D577C"/>
    <w:rsid w:val="002D5E16"/>
    <w:rsid w:val="002D5E1D"/>
    <w:rsid w:val="002D62A6"/>
    <w:rsid w:val="002D7586"/>
    <w:rsid w:val="002D7832"/>
    <w:rsid w:val="002D7F94"/>
    <w:rsid w:val="002E0B47"/>
    <w:rsid w:val="002E1071"/>
    <w:rsid w:val="002E133B"/>
    <w:rsid w:val="002E1378"/>
    <w:rsid w:val="002E1410"/>
    <w:rsid w:val="002E15B9"/>
    <w:rsid w:val="002E171F"/>
    <w:rsid w:val="002E1825"/>
    <w:rsid w:val="002E2094"/>
    <w:rsid w:val="002E2158"/>
    <w:rsid w:val="002E3089"/>
    <w:rsid w:val="002E38DC"/>
    <w:rsid w:val="002E3E65"/>
    <w:rsid w:val="002E4F02"/>
    <w:rsid w:val="002E5B97"/>
    <w:rsid w:val="002E60B3"/>
    <w:rsid w:val="002E6124"/>
    <w:rsid w:val="002E6EDB"/>
    <w:rsid w:val="002E6F58"/>
    <w:rsid w:val="002E7722"/>
    <w:rsid w:val="002E7DCF"/>
    <w:rsid w:val="002F07BA"/>
    <w:rsid w:val="002F08F4"/>
    <w:rsid w:val="002F0974"/>
    <w:rsid w:val="002F0DA9"/>
    <w:rsid w:val="002F1014"/>
    <w:rsid w:val="002F1592"/>
    <w:rsid w:val="002F15F4"/>
    <w:rsid w:val="002F17CB"/>
    <w:rsid w:val="002F1DA2"/>
    <w:rsid w:val="002F1E3B"/>
    <w:rsid w:val="002F2377"/>
    <w:rsid w:val="002F24B6"/>
    <w:rsid w:val="002F24DF"/>
    <w:rsid w:val="002F2745"/>
    <w:rsid w:val="002F2E86"/>
    <w:rsid w:val="002F35CD"/>
    <w:rsid w:val="002F3733"/>
    <w:rsid w:val="002F40CD"/>
    <w:rsid w:val="002F45BF"/>
    <w:rsid w:val="002F507E"/>
    <w:rsid w:val="002F5E5F"/>
    <w:rsid w:val="002F643C"/>
    <w:rsid w:val="002F654C"/>
    <w:rsid w:val="002F6B9B"/>
    <w:rsid w:val="002F6BAA"/>
    <w:rsid w:val="002F71C0"/>
    <w:rsid w:val="002F7275"/>
    <w:rsid w:val="002F74F1"/>
    <w:rsid w:val="002F7EF3"/>
    <w:rsid w:val="0030030D"/>
    <w:rsid w:val="0030072F"/>
    <w:rsid w:val="00300E88"/>
    <w:rsid w:val="00301017"/>
    <w:rsid w:val="0030132F"/>
    <w:rsid w:val="0030155F"/>
    <w:rsid w:val="00301773"/>
    <w:rsid w:val="0030209E"/>
    <w:rsid w:val="00302231"/>
    <w:rsid w:val="003023B3"/>
    <w:rsid w:val="0030286E"/>
    <w:rsid w:val="00303243"/>
    <w:rsid w:val="003038CF"/>
    <w:rsid w:val="00303B86"/>
    <w:rsid w:val="0030587B"/>
    <w:rsid w:val="003060E3"/>
    <w:rsid w:val="00306361"/>
    <w:rsid w:val="00306D98"/>
    <w:rsid w:val="00307291"/>
    <w:rsid w:val="003076A9"/>
    <w:rsid w:val="0030786C"/>
    <w:rsid w:val="0031031A"/>
    <w:rsid w:val="00310981"/>
    <w:rsid w:val="00311033"/>
    <w:rsid w:val="00311110"/>
    <w:rsid w:val="003112F2"/>
    <w:rsid w:val="0031147A"/>
    <w:rsid w:val="00311D9B"/>
    <w:rsid w:val="003120FF"/>
    <w:rsid w:val="003122AA"/>
    <w:rsid w:val="003124D9"/>
    <w:rsid w:val="00312594"/>
    <w:rsid w:val="0031298F"/>
    <w:rsid w:val="00312A6A"/>
    <w:rsid w:val="003130EA"/>
    <w:rsid w:val="00313725"/>
    <w:rsid w:val="00313FC6"/>
    <w:rsid w:val="003153AA"/>
    <w:rsid w:val="00315498"/>
    <w:rsid w:val="00315864"/>
    <w:rsid w:val="00315D23"/>
    <w:rsid w:val="003160B5"/>
    <w:rsid w:val="00316177"/>
    <w:rsid w:val="00316474"/>
    <w:rsid w:val="0031725E"/>
    <w:rsid w:val="00317305"/>
    <w:rsid w:val="00320C89"/>
    <w:rsid w:val="00321320"/>
    <w:rsid w:val="003214C2"/>
    <w:rsid w:val="00322107"/>
    <w:rsid w:val="00322355"/>
    <w:rsid w:val="003224EA"/>
    <w:rsid w:val="00322846"/>
    <w:rsid w:val="0032349B"/>
    <w:rsid w:val="0032351E"/>
    <w:rsid w:val="00324584"/>
    <w:rsid w:val="003246AF"/>
    <w:rsid w:val="00326BFF"/>
    <w:rsid w:val="00326DA7"/>
    <w:rsid w:val="00326F42"/>
    <w:rsid w:val="003270E4"/>
    <w:rsid w:val="003277D0"/>
    <w:rsid w:val="0032791F"/>
    <w:rsid w:val="00327A42"/>
    <w:rsid w:val="00327BF7"/>
    <w:rsid w:val="0033057C"/>
    <w:rsid w:val="00330A5C"/>
    <w:rsid w:val="00330DAA"/>
    <w:rsid w:val="00330F5C"/>
    <w:rsid w:val="00332217"/>
    <w:rsid w:val="00332476"/>
    <w:rsid w:val="00333D08"/>
    <w:rsid w:val="00334002"/>
    <w:rsid w:val="003343F3"/>
    <w:rsid w:val="00334D89"/>
    <w:rsid w:val="00335AF1"/>
    <w:rsid w:val="003366C9"/>
    <w:rsid w:val="003371B0"/>
    <w:rsid w:val="003408EC"/>
    <w:rsid w:val="00340DF1"/>
    <w:rsid w:val="003412DB"/>
    <w:rsid w:val="00341683"/>
    <w:rsid w:val="00341C5E"/>
    <w:rsid w:val="00342DBE"/>
    <w:rsid w:val="003432AD"/>
    <w:rsid w:val="00343A70"/>
    <w:rsid w:val="00344B37"/>
    <w:rsid w:val="00345076"/>
    <w:rsid w:val="003452D6"/>
    <w:rsid w:val="00345DCF"/>
    <w:rsid w:val="00347B4F"/>
    <w:rsid w:val="00347F15"/>
    <w:rsid w:val="00350BA8"/>
    <w:rsid w:val="00351510"/>
    <w:rsid w:val="003517F9"/>
    <w:rsid w:val="00351BA9"/>
    <w:rsid w:val="0035329E"/>
    <w:rsid w:val="00354EA2"/>
    <w:rsid w:val="00354F15"/>
    <w:rsid w:val="00354F64"/>
    <w:rsid w:val="0035561A"/>
    <w:rsid w:val="0035620E"/>
    <w:rsid w:val="00356A6E"/>
    <w:rsid w:val="003572A4"/>
    <w:rsid w:val="00357468"/>
    <w:rsid w:val="003575BE"/>
    <w:rsid w:val="00357B20"/>
    <w:rsid w:val="00357C9E"/>
    <w:rsid w:val="00360345"/>
    <w:rsid w:val="0036035D"/>
    <w:rsid w:val="0036072E"/>
    <w:rsid w:val="00360B52"/>
    <w:rsid w:val="00361A05"/>
    <w:rsid w:val="00361A26"/>
    <w:rsid w:val="00361E85"/>
    <w:rsid w:val="003624C4"/>
    <w:rsid w:val="00362574"/>
    <w:rsid w:val="00362699"/>
    <w:rsid w:val="0036341C"/>
    <w:rsid w:val="003637B2"/>
    <w:rsid w:val="00363828"/>
    <w:rsid w:val="00363B00"/>
    <w:rsid w:val="00363BA9"/>
    <w:rsid w:val="00363F1A"/>
    <w:rsid w:val="00364880"/>
    <w:rsid w:val="00364F91"/>
    <w:rsid w:val="003654AC"/>
    <w:rsid w:val="003661D2"/>
    <w:rsid w:val="00366A00"/>
    <w:rsid w:val="00366D87"/>
    <w:rsid w:val="00370F46"/>
    <w:rsid w:val="003710CF"/>
    <w:rsid w:val="00371755"/>
    <w:rsid w:val="00371A20"/>
    <w:rsid w:val="00371DF3"/>
    <w:rsid w:val="00371E47"/>
    <w:rsid w:val="003726C7"/>
    <w:rsid w:val="00372D65"/>
    <w:rsid w:val="00372E5E"/>
    <w:rsid w:val="0037358A"/>
    <w:rsid w:val="00373800"/>
    <w:rsid w:val="00374063"/>
    <w:rsid w:val="003750F6"/>
    <w:rsid w:val="003755AA"/>
    <w:rsid w:val="0037587B"/>
    <w:rsid w:val="003760FC"/>
    <w:rsid w:val="00376595"/>
    <w:rsid w:val="00376A66"/>
    <w:rsid w:val="0037717F"/>
    <w:rsid w:val="00377A33"/>
    <w:rsid w:val="003801AD"/>
    <w:rsid w:val="00380D4E"/>
    <w:rsid w:val="00381139"/>
    <w:rsid w:val="00381539"/>
    <w:rsid w:val="00382909"/>
    <w:rsid w:val="00382CE0"/>
    <w:rsid w:val="00383252"/>
    <w:rsid w:val="0038333E"/>
    <w:rsid w:val="0038365C"/>
    <w:rsid w:val="0038369B"/>
    <w:rsid w:val="00383734"/>
    <w:rsid w:val="00383B78"/>
    <w:rsid w:val="003841EB"/>
    <w:rsid w:val="003849C7"/>
    <w:rsid w:val="00384DCF"/>
    <w:rsid w:val="00385A9D"/>
    <w:rsid w:val="00385BB5"/>
    <w:rsid w:val="00386131"/>
    <w:rsid w:val="00387121"/>
    <w:rsid w:val="003876CF"/>
    <w:rsid w:val="0039013A"/>
    <w:rsid w:val="003902B1"/>
    <w:rsid w:val="003906BF"/>
    <w:rsid w:val="003915A4"/>
    <w:rsid w:val="0039179C"/>
    <w:rsid w:val="00391C83"/>
    <w:rsid w:val="003926CA"/>
    <w:rsid w:val="00392A1F"/>
    <w:rsid w:val="0039469E"/>
    <w:rsid w:val="003950DD"/>
    <w:rsid w:val="0039518B"/>
    <w:rsid w:val="0039619E"/>
    <w:rsid w:val="00396896"/>
    <w:rsid w:val="00396CB1"/>
    <w:rsid w:val="00396F34"/>
    <w:rsid w:val="00396FD0"/>
    <w:rsid w:val="00397057"/>
    <w:rsid w:val="00397946"/>
    <w:rsid w:val="003A1A7A"/>
    <w:rsid w:val="003A1B92"/>
    <w:rsid w:val="003A2392"/>
    <w:rsid w:val="003A2408"/>
    <w:rsid w:val="003A2831"/>
    <w:rsid w:val="003A3CB6"/>
    <w:rsid w:val="003A3ED1"/>
    <w:rsid w:val="003A3EFC"/>
    <w:rsid w:val="003A44DB"/>
    <w:rsid w:val="003A4607"/>
    <w:rsid w:val="003A4B74"/>
    <w:rsid w:val="003A4C14"/>
    <w:rsid w:val="003A51A8"/>
    <w:rsid w:val="003A5470"/>
    <w:rsid w:val="003A6C94"/>
    <w:rsid w:val="003A730F"/>
    <w:rsid w:val="003A735F"/>
    <w:rsid w:val="003B0E47"/>
    <w:rsid w:val="003B160F"/>
    <w:rsid w:val="003B2FB8"/>
    <w:rsid w:val="003B3971"/>
    <w:rsid w:val="003B4102"/>
    <w:rsid w:val="003B44E5"/>
    <w:rsid w:val="003B46B8"/>
    <w:rsid w:val="003B55D1"/>
    <w:rsid w:val="003B5B61"/>
    <w:rsid w:val="003B618D"/>
    <w:rsid w:val="003B6CBE"/>
    <w:rsid w:val="003C0151"/>
    <w:rsid w:val="003C0329"/>
    <w:rsid w:val="003C05EE"/>
    <w:rsid w:val="003C1654"/>
    <w:rsid w:val="003C1D96"/>
    <w:rsid w:val="003C1E3E"/>
    <w:rsid w:val="003C267D"/>
    <w:rsid w:val="003C28A2"/>
    <w:rsid w:val="003C3D8F"/>
    <w:rsid w:val="003C50F3"/>
    <w:rsid w:val="003C5238"/>
    <w:rsid w:val="003C5542"/>
    <w:rsid w:val="003C62DF"/>
    <w:rsid w:val="003C63D1"/>
    <w:rsid w:val="003C6EF9"/>
    <w:rsid w:val="003C728B"/>
    <w:rsid w:val="003C7C15"/>
    <w:rsid w:val="003C7D19"/>
    <w:rsid w:val="003C7D2F"/>
    <w:rsid w:val="003D0437"/>
    <w:rsid w:val="003D06F6"/>
    <w:rsid w:val="003D0C5A"/>
    <w:rsid w:val="003D11F9"/>
    <w:rsid w:val="003D1828"/>
    <w:rsid w:val="003D19FC"/>
    <w:rsid w:val="003D1A7C"/>
    <w:rsid w:val="003D1DE4"/>
    <w:rsid w:val="003D1E9A"/>
    <w:rsid w:val="003D2422"/>
    <w:rsid w:val="003D2DFB"/>
    <w:rsid w:val="003D2E06"/>
    <w:rsid w:val="003D3218"/>
    <w:rsid w:val="003D39A1"/>
    <w:rsid w:val="003D3D95"/>
    <w:rsid w:val="003D3FBF"/>
    <w:rsid w:val="003D485C"/>
    <w:rsid w:val="003D4A30"/>
    <w:rsid w:val="003D5AFF"/>
    <w:rsid w:val="003D6C4C"/>
    <w:rsid w:val="003D7452"/>
    <w:rsid w:val="003D7650"/>
    <w:rsid w:val="003D79BB"/>
    <w:rsid w:val="003D7C98"/>
    <w:rsid w:val="003D7D9D"/>
    <w:rsid w:val="003E0543"/>
    <w:rsid w:val="003E08C1"/>
    <w:rsid w:val="003E0B6B"/>
    <w:rsid w:val="003E1B55"/>
    <w:rsid w:val="003E352C"/>
    <w:rsid w:val="003E377E"/>
    <w:rsid w:val="003E3A89"/>
    <w:rsid w:val="003E4863"/>
    <w:rsid w:val="003E49FF"/>
    <w:rsid w:val="003E4AE7"/>
    <w:rsid w:val="003E4B0F"/>
    <w:rsid w:val="003E4B41"/>
    <w:rsid w:val="003E5603"/>
    <w:rsid w:val="003E5C82"/>
    <w:rsid w:val="003E5C96"/>
    <w:rsid w:val="003E639C"/>
    <w:rsid w:val="003E657A"/>
    <w:rsid w:val="003E669A"/>
    <w:rsid w:val="003E6B36"/>
    <w:rsid w:val="003E6EE8"/>
    <w:rsid w:val="003E7325"/>
    <w:rsid w:val="003E749E"/>
    <w:rsid w:val="003E7D7F"/>
    <w:rsid w:val="003F12C4"/>
    <w:rsid w:val="003F1345"/>
    <w:rsid w:val="003F1DD9"/>
    <w:rsid w:val="003F20A2"/>
    <w:rsid w:val="003F4156"/>
    <w:rsid w:val="003F49B9"/>
    <w:rsid w:val="003F573A"/>
    <w:rsid w:val="003F5ADF"/>
    <w:rsid w:val="003F5BFB"/>
    <w:rsid w:val="003F5D36"/>
    <w:rsid w:val="003F64AE"/>
    <w:rsid w:val="003F6EE4"/>
    <w:rsid w:val="003F772C"/>
    <w:rsid w:val="003F777F"/>
    <w:rsid w:val="003F7D3D"/>
    <w:rsid w:val="00400B29"/>
    <w:rsid w:val="00400FF7"/>
    <w:rsid w:val="00401847"/>
    <w:rsid w:val="004018A4"/>
    <w:rsid w:val="00402631"/>
    <w:rsid w:val="00402812"/>
    <w:rsid w:val="00403381"/>
    <w:rsid w:val="00403699"/>
    <w:rsid w:val="00403BA7"/>
    <w:rsid w:val="00403FB1"/>
    <w:rsid w:val="0040499C"/>
    <w:rsid w:val="0040504B"/>
    <w:rsid w:val="004059F4"/>
    <w:rsid w:val="00406837"/>
    <w:rsid w:val="00406F34"/>
    <w:rsid w:val="0040788B"/>
    <w:rsid w:val="0040791F"/>
    <w:rsid w:val="00407FE5"/>
    <w:rsid w:val="0041007D"/>
    <w:rsid w:val="004101B0"/>
    <w:rsid w:val="00410326"/>
    <w:rsid w:val="00410708"/>
    <w:rsid w:val="00410888"/>
    <w:rsid w:val="00410947"/>
    <w:rsid w:val="00410EC7"/>
    <w:rsid w:val="00411271"/>
    <w:rsid w:val="00411AB2"/>
    <w:rsid w:val="00411B39"/>
    <w:rsid w:val="004127A7"/>
    <w:rsid w:val="00412A7B"/>
    <w:rsid w:val="00412DAA"/>
    <w:rsid w:val="0041317C"/>
    <w:rsid w:val="00413674"/>
    <w:rsid w:val="00413A1E"/>
    <w:rsid w:val="00413F6F"/>
    <w:rsid w:val="00414476"/>
    <w:rsid w:val="00414C2E"/>
    <w:rsid w:val="00414F15"/>
    <w:rsid w:val="004151CF"/>
    <w:rsid w:val="00416364"/>
    <w:rsid w:val="00416C6F"/>
    <w:rsid w:val="00420157"/>
    <w:rsid w:val="004203DE"/>
    <w:rsid w:val="0042047F"/>
    <w:rsid w:val="0042054F"/>
    <w:rsid w:val="00420AA6"/>
    <w:rsid w:val="00420B9F"/>
    <w:rsid w:val="00420BA3"/>
    <w:rsid w:val="0042152B"/>
    <w:rsid w:val="00421667"/>
    <w:rsid w:val="0042192C"/>
    <w:rsid w:val="00421E26"/>
    <w:rsid w:val="00422260"/>
    <w:rsid w:val="0042255D"/>
    <w:rsid w:val="0042284F"/>
    <w:rsid w:val="004237A3"/>
    <w:rsid w:val="0042413F"/>
    <w:rsid w:val="00424506"/>
    <w:rsid w:val="004248FC"/>
    <w:rsid w:val="0042542A"/>
    <w:rsid w:val="0042598F"/>
    <w:rsid w:val="0042667F"/>
    <w:rsid w:val="004268DC"/>
    <w:rsid w:val="00426F7E"/>
    <w:rsid w:val="00430473"/>
    <w:rsid w:val="00430826"/>
    <w:rsid w:val="004315F1"/>
    <w:rsid w:val="004319F8"/>
    <w:rsid w:val="00431E55"/>
    <w:rsid w:val="004321F6"/>
    <w:rsid w:val="0043262C"/>
    <w:rsid w:val="00432E61"/>
    <w:rsid w:val="00433044"/>
    <w:rsid w:val="00433764"/>
    <w:rsid w:val="00434088"/>
    <w:rsid w:val="00434382"/>
    <w:rsid w:val="00434521"/>
    <w:rsid w:val="00434A5F"/>
    <w:rsid w:val="00434DE7"/>
    <w:rsid w:val="00435DBD"/>
    <w:rsid w:val="00435F35"/>
    <w:rsid w:val="0043618F"/>
    <w:rsid w:val="0043654D"/>
    <w:rsid w:val="004367B4"/>
    <w:rsid w:val="00436F89"/>
    <w:rsid w:val="004375B9"/>
    <w:rsid w:val="00437626"/>
    <w:rsid w:val="00437711"/>
    <w:rsid w:val="00437DF1"/>
    <w:rsid w:val="00437FF5"/>
    <w:rsid w:val="00440688"/>
    <w:rsid w:val="0044068E"/>
    <w:rsid w:val="00440B14"/>
    <w:rsid w:val="00441237"/>
    <w:rsid w:val="0044156B"/>
    <w:rsid w:val="004423EF"/>
    <w:rsid w:val="004424DA"/>
    <w:rsid w:val="004428D0"/>
    <w:rsid w:val="004435FD"/>
    <w:rsid w:val="00443B18"/>
    <w:rsid w:val="00443CFF"/>
    <w:rsid w:val="00444185"/>
    <w:rsid w:val="004443A7"/>
    <w:rsid w:val="0044442C"/>
    <w:rsid w:val="004444B4"/>
    <w:rsid w:val="00444DB3"/>
    <w:rsid w:val="00445415"/>
    <w:rsid w:val="004456BE"/>
    <w:rsid w:val="00445941"/>
    <w:rsid w:val="00445F4E"/>
    <w:rsid w:val="004464EB"/>
    <w:rsid w:val="00446AC9"/>
    <w:rsid w:val="00446BDA"/>
    <w:rsid w:val="00446ED8"/>
    <w:rsid w:val="004472B7"/>
    <w:rsid w:val="00447302"/>
    <w:rsid w:val="00447D26"/>
    <w:rsid w:val="00447DFC"/>
    <w:rsid w:val="00450290"/>
    <w:rsid w:val="00450845"/>
    <w:rsid w:val="0045174B"/>
    <w:rsid w:val="004522DA"/>
    <w:rsid w:val="004532F2"/>
    <w:rsid w:val="00455795"/>
    <w:rsid w:val="0045587E"/>
    <w:rsid w:val="00455D45"/>
    <w:rsid w:val="0045652A"/>
    <w:rsid w:val="00456C92"/>
    <w:rsid w:val="00456D12"/>
    <w:rsid w:val="00457206"/>
    <w:rsid w:val="0045726E"/>
    <w:rsid w:val="0045736F"/>
    <w:rsid w:val="004577B8"/>
    <w:rsid w:val="00460326"/>
    <w:rsid w:val="00460337"/>
    <w:rsid w:val="00460564"/>
    <w:rsid w:val="00460DF7"/>
    <w:rsid w:val="004613EF"/>
    <w:rsid w:val="00461BE4"/>
    <w:rsid w:val="004623B7"/>
    <w:rsid w:val="00462D9B"/>
    <w:rsid w:val="00462ED8"/>
    <w:rsid w:val="00463226"/>
    <w:rsid w:val="004634F4"/>
    <w:rsid w:val="00464595"/>
    <w:rsid w:val="00465523"/>
    <w:rsid w:val="004658B5"/>
    <w:rsid w:val="00467D84"/>
    <w:rsid w:val="0047058C"/>
    <w:rsid w:val="00471AF2"/>
    <w:rsid w:val="00471EA5"/>
    <w:rsid w:val="004723C3"/>
    <w:rsid w:val="0047253F"/>
    <w:rsid w:val="004726F0"/>
    <w:rsid w:val="00472A79"/>
    <w:rsid w:val="00473235"/>
    <w:rsid w:val="004734DB"/>
    <w:rsid w:val="00473A94"/>
    <w:rsid w:val="00473F19"/>
    <w:rsid w:val="004742C8"/>
    <w:rsid w:val="00474FF3"/>
    <w:rsid w:val="00475E22"/>
    <w:rsid w:val="004760E5"/>
    <w:rsid w:val="0047634D"/>
    <w:rsid w:val="00476769"/>
    <w:rsid w:val="00476940"/>
    <w:rsid w:val="00477E65"/>
    <w:rsid w:val="0048088E"/>
    <w:rsid w:val="00480F2B"/>
    <w:rsid w:val="0048114D"/>
    <w:rsid w:val="00482720"/>
    <w:rsid w:val="00482A41"/>
    <w:rsid w:val="004835E7"/>
    <w:rsid w:val="00484DBA"/>
    <w:rsid w:val="00485213"/>
    <w:rsid w:val="004859E1"/>
    <w:rsid w:val="00485A30"/>
    <w:rsid w:val="00485B75"/>
    <w:rsid w:val="004867E2"/>
    <w:rsid w:val="0048707C"/>
    <w:rsid w:val="00487983"/>
    <w:rsid w:val="00487C28"/>
    <w:rsid w:val="004908FB"/>
    <w:rsid w:val="00490A45"/>
    <w:rsid w:val="00490B17"/>
    <w:rsid w:val="00491291"/>
    <w:rsid w:val="0049162E"/>
    <w:rsid w:val="00491953"/>
    <w:rsid w:val="00491B3A"/>
    <w:rsid w:val="004923AA"/>
    <w:rsid w:val="004925D4"/>
    <w:rsid w:val="00492C6C"/>
    <w:rsid w:val="00492CFD"/>
    <w:rsid w:val="00492F21"/>
    <w:rsid w:val="00492FD4"/>
    <w:rsid w:val="004934B3"/>
    <w:rsid w:val="00493922"/>
    <w:rsid w:val="00494207"/>
    <w:rsid w:val="00494DD5"/>
    <w:rsid w:val="00494E08"/>
    <w:rsid w:val="0049508F"/>
    <w:rsid w:val="00495EB9"/>
    <w:rsid w:val="004962BB"/>
    <w:rsid w:val="004962D2"/>
    <w:rsid w:val="00496572"/>
    <w:rsid w:val="00496668"/>
    <w:rsid w:val="00497004"/>
    <w:rsid w:val="00497943"/>
    <w:rsid w:val="004A07EA"/>
    <w:rsid w:val="004A0A49"/>
    <w:rsid w:val="004A0DA1"/>
    <w:rsid w:val="004A1293"/>
    <w:rsid w:val="004A13D6"/>
    <w:rsid w:val="004A2505"/>
    <w:rsid w:val="004A2F6A"/>
    <w:rsid w:val="004A39D6"/>
    <w:rsid w:val="004A4C4C"/>
    <w:rsid w:val="004A50F7"/>
    <w:rsid w:val="004A52E9"/>
    <w:rsid w:val="004A549C"/>
    <w:rsid w:val="004A6040"/>
    <w:rsid w:val="004A6597"/>
    <w:rsid w:val="004A7014"/>
    <w:rsid w:val="004A728F"/>
    <w:rsid w:val="004A77B0"/>
    <w:rsid w:val="004A7848"/>
    <w:rsid w:val="004A78F1"/>
    <w:rsid w:val="004A793B"/>
    <w:rsid w:val="004A7EAF"/>
    <w:rsid w:val="004B0B74"/>
    <w:rsid w:val="004B0CEA"/>
    <w:rsid w:val="004B0DD5"/>
    <w:rsid w:val="004B114E"/>
    <w:rsid w:val="004B12CC"/>
    <w:rsid w:val="004B1C90"/>
    <w:rsid w:val="004B1CB4"/>
    <w:rsid w:val="004B207B"/>
    <w:rsid w:val="004B2421"/>
    <w:rsid w:val="004B2F18"/>
    <w:rsid w:val="004B3D09"/>
    <w:rsid w:val="004B3DDB"/>
    <w:rsid w:val="004B44FD"/>
    <w:rsid w:val="004B5381"/>
    <w:rsid w:val="004B5586"/>
    <w:rsid w:val="004B5A75"/>
    <w:rsid w:val="004B5CFC"/>
    <w:rsid w:val="004B629E"/>
    <w:rsid w:val="004B6DFC"/>
    <w:rsid w:val="004B6F79"/>
    <w:rsid w:val="004B774D"/>
    <w:rsid w:val="004B7A42"/>
    <w:rsid w:val="004C0CAE"/>
    <w:rsid w:val="004C17C2"/>
    <w:rsid w:val="004C24A6"/>
    <w:rsid w:val="004C2AC2"/>
    <w:rsid w:val="004C2AE9"/>
    <w:rsid w:val="004C3350"/>
    <w:rsid w:val="004C347B"/>
    <w:rsid w:val="004C3B02"/>
    <w:rsid w:val="004C4599"/>
    <w:rsid w:val="004C4AED"/>
    <w:rsid w:val="004C50EA"/>
    <w:rsid w:val="004C75A4"/>
    <w:rsid w:val="004D0A85"/>
    <w:rsid w:val="004D0D36"/>
    <w:rsid w:val="004D1397"/>
    <w:rsid w:val="004D1F5C"/>
    <w:rsid w:val="004D2B95"/>
    <w:rsid w:val="004D2C2D"/>
    <w:rsid w:val="004D2CF0"/>
    <w:rsid w:val="004D2E9D"/>
    <w:rsid w:val="004D2F15"/>
    <w:rsid w:val="004D2F3D"/>
    <w:rsid w:val="004D3224"/>
    <w:rsid w:val="004D3B70"/>
    <w:rsid w:val="004D3EB1"/>
    <w:rsid w:val="004D4898"/>
    <w:rsid w:val="004D69B5"/>
    <w:rsid w:val="004D6CB2"/>
    <w:rsid w:val="004D7227"/>
    <w:rsid w:val="004D738E"/>
    <w:rsid w:val="004D7B5E"/>
    <w:rsid w:val="004E0501"/>
    <w:rsid w:val="004E0E7F"/>
    <w:rsid w:val="004E0EB8"/>
    <w:rsid w:val="004E0F4F"/>
    <w:rsid w:val="004E18E9"/>
    <w:rsid w:val="004E1920"/>
    <w:rsid w:val="004E22F8"/>
    <w:rsid w:val="004E2ADC"/>
    <w:rsid w:val="004E2BF9"/>
    <w:rsid w:val="004E43B2"/>
    <w:rsid w:val="004E47A4"/>
    <w:rsid w:val="004E51D8"/>
    <w:rsid w:val="004E584E"/>
    <w:rsid w:val="004E5D9E"/>
    <w:rsid w:val="004E6242"/>
    <w:rsid w:val="004E6A5E"/>
    <w:rsid w:val="004E7CEC"/>
    <w:rsid w:val="004E7EAF"/>
    <w:rsid w:val="004F0926"/>
    <w:rsid w:val="004F0BBE"/>
    <w:rsid w:val="004F1042"/>
    <w:rsid w:val="004F1D02"/>
    <w:rsid w:val="004F2679"/>
    <w:rsid w:val="004F2F21"/>
    <w:rsid w:val="004F378D"/>
    <w:rsid w:val="004F3DE5"/>
    <w:rsid w:val="004F418D"/>
    <w:rsid w:val="004F4A47"/>
    <w:rsid w:val="004F4DD4"/>
    <w:rsid w:val="004F5B6E"/>
    <w:rsid w:val="004F612B"/>
    <w:rsid w:val="004F6399"/>
    <w:rsid w:val="004F665F"/>
    <w:rsid w:val="004F676A"/>
    <w:rsid w:val="004F6913"/>
    <w:rsid w:val="004F6D82"/>
    <w:rsid w:val="004F7244"/>
    <w:rsid w:val="004F7865"/>
    <w:rsid w:val="004F7A2C"/>
    <w:rsid w:val="00501659"/>
    <w:rsid w:val="0050174E"/>
    <w:rsid w:val="00501831"/>
    <w:rsid w:val="00501854"/>
    <w:rsid w:val="00501866"/>
    <w:rsid w:val="005019FE"/>
    <w:rsid w:val="00501CC4"/>
    <w:rsid w:val="00501DE9"/>
    <w:rsid w:val="00501E2F"/>
    <w:rsid w:val="00501E7C"/>
    <w:rsid w:val="0050219B"/>
    <w:rsid w:val="00502AAC"/>
    <w:rsid w:val="00502B84"/>
    <w:rsid w:val="00502C90"/>
    <w:rsid w:val="00502D07"/>
    <w:rsid w:val="00503337"/>
    <w:rsid w:val="005034E1"/>
    <w:rsid w:val="0050354A"/>
    <w:rsid w:val="005036CB"/>
    <w:rsid w:val="00503F17"/>
    <w:rsid w:val="00503F3A"/>
    <w:rsid w:val="0050426A"/>
    <w:rsid w:val="00504498"/>
    <w:rsid w:val="00504A80"/>
    <w:rsid w:val="00504A9E"/>
    <w:rsid w:val="0050503B"/>
    <w:rsid w:val="005053B9"/>
    <w:rsid w:val="00506928"/>
    <w:rsid w:val="005077EF"/>
    <w:rsid w:val="005113B9"/>
    <w:rsid w:val="00511471"/>
    <w:rsid w:val="005114A1"/>
    <w:rsid w:val="005114B3"/>
    <w:rsid w:val="005115EE"/>
    <w:rsid w:val="00511AD5"/>
    <w:rsid w:val="00511DC7"/>
    <w:rsid w:val="0051239E"/>
    <w:rsid w:val="005125B9"/>
    <w:rsid w:val="00512A3C"/>
    <w:rsid w:val="00513422"/>
    <w:rsid w:val="005142C5"/>
    <w:rsid w:val="0051433D"/>
    <w:rsid w:val="00514D5B"/>
    <w:rsid w:val="0051501B"/>
    <w:rsid w:val="005152B5"/>
    <w:rsid w:val="00515886"/>
    <w:rsid w:val="005159D7"/>
    <w:rsid w:val="00515E7C"/>
    <w:rsid w:val="005164C4"/>
    <w:rsid w:val="00516BF1"/>
    <w:rsid w:val="00516C07"/>
    <w:rsid w:val="00516F44"/>
    <w:rsid w:val="005201F0"/>
    <w:rsid w:val="005204E6"/>
    <w:rsid w:val="005209CB"/>
    <w:rsid w:val="00520C7D"/>
    <w:rsid w:val="0052123C"/>
    <w:rsid w:val="00521319"/>
    <w:rsid w:val="00522BC8"/>
    <w:rsid w:val="005232A8"/>
    <w:rsid w:val="005235FD"/>
    <w:rsid w:val="00523C28"/>
    <w:rsid w:val="00523EBB"/>
    <w:rsid w:val="00523FCC"/>
    <w:rsid w:val="00525370"/>
    <w:rsid w:val="00525522"/>
    <w:rsid w:val="0052579F"/>
    <w:rsid w:val="00526E55"/>
    <w:rsid w:val="005271A8"/>
    <w:rsid w:val="00527E2D"/>
    <w:rsid w:val="00530399"/>
    <w:rsid w:val="0053061D"/>
    <w:rsid w:val="0053102A"/>
    <w:rsid w:val="0053176B"/>
    <w:rsid w:val="005317D6"/>
    <w:rsid w:val="00531DCE"/>
    <w:rsid w:val="005320F0"/>
    <w:rsid w:val="005324F6"/>
    <w:rsid w:val="005329DA"/>
    <w:rsid w:val="005341B3"/>
    <w:rsid w:val="005341E1"/>
    <w:rsid w:val="005344EC"/>
    <w:rsid w:val="00535861"/>
    <w:rsid w:val="00535B6B"/>
    <w:rsid w:val="0053665C"/>
    <w:rsid w:val="00536F42"/>
    <w:rsid w:val="00537182"/>
    <w:rsid w:val="00541EDD"/>
    <w:rsid w:val="00542056"/>
    <w:rsid w:val="00542327"/>
    <w:rsid w:val="00542743"/>
    <w:rsid w:val="00542C2D"/>
    <w:rsid w:val="00543294"/>
    <w:rsid w:val="0054484F"/>
    <w:rsid w:val="00544AD7"/>
    <w:rsid w:val="00544E8E"/>
    <w:rsid w:val="0054567E"/>
    <w:rsid w:val="00545C45"/>
    <w:rsid w:val="00545F99"/>
    <w:rsid w:val="00547505"/>
    <w:rsid w:val="00547622"/>
    <w:rsid w:val="005478BD"/>
    <w:rsid w:val="005479C2"/>
    <w:rsid w:val="005479E3"/>
    <w:rsid w:val="00547DCB"/>
    <w:rsid w:val="005511E2"/>
    <w:rsid w:val="005517A8"/>
    <w:rsid w:val="00551985"/>
    <w:rsid w:val="0055201A"/>
    <w:rsid w:val="00552BD3"/>
    <w:rsid w:val="0055300D"/>
    <w:rsid w:val="005532A0"/>
    <w:rsid w:val="00553511"/>
    <w:rsid w:val="00553F8B"/>
    <w:rsid w:val="005545B4"/>
    <w:rsid w:val="005548BE"/>
    <w:rsid w:val="00555109"/>
    <w:rsid w:val="00555FE4"/>
    <w:rsid w:val="00556B35"/>
    <w:rsid w:val="00556E1B"/>
    <w:rsid w:val="0055741A"/>
    <w:rsid w:val="00557C5C"/>
    <w:rsid w:val="00560527"/>
    <w:rsid w:val="005607CD"/>
    <w:rsid w:val="0056083A"/>
    <w:rsid w:val="005608F5"/>
    <w:rsid w:val="00561178"/>
    <w:rsid w:val="005611B7"/>
    <w:rsid w:val="005618D4"/>
    <w:rsid w:val="005619D1"/>
    <w:rsid w:val="0056221B"/>
    <w:rsid w:val="00562352"/>
    <w:rsid w:val="00562A86"/>
    <w:rsid w:val="00563A07"/>
    <w:rsid w:val="00563D67"/>
    <w:rsid w:val="005642B6"/>
    <w:rsid w:val="00564867"/>
    <w:rsid w:val="00564F3F"/>
    <w:rsid w:val="00565B22"/>
    <w:rsid w:val="00565B34"/>
    <w:rsid w:val="00565C79"/>
    <w:rsid w:val="00565DF0"/>
    <w:rsid w:val="005661C5"/>
    <w:rsid w:val="005663FB"/>
    <w:rsid w:val="005664FB"/>
    <w:rsid w:val="0056696F"/>
    <w:rsid w:val="00566A5C"/>
    <w:rsid w:val="00566BC9"/>
    <w:rsid w:val="00567393"/>
    <w:rsid w:val="005676A7"/>
    <w:rsid w:val="005678BD"/>
    <w:rsid w:val="00567BDC"/>
    <w:rsid w:val="00570A48"/>
    <w:rsid w:val="00570EAF"/>
    <w:rsid w:val="00572269"/>
    <w:rsid w:val="0057244A"/>
    <w:rsid w:val="00572813"/>
    <w:rsid w:val="00572F26"/>
    <w:rsid w:val="00572FBC"/>
    <w:rsid w:val="0057323C"/>
    <w:rsid w:val="00573C39"/>
    <w:rsid w:val="00574002"/>
    <w:rsid w:val="00574085"/>
    <w:rsid w:val="00574B09"/>
    <w:rsid w:val="005750C5"/>
    <w:rsid w:val="005752DE"/>
    <w:rsid w:val="00575D60"/>
    <w:rsid w:val="00575D8D"/>
    <w:rsid w:val="00575E99"/>
    <w:rsid w:val="00576047"/>
    <w:rsid w:val="00576972"/>
    <w:rsid w:val="00577248"/>
    <w:rsid w:val="00577480"/>
    <w:rsid w:val="005774E5"/>
    <w:rsid w:val="00580DAC"/>
    <w:rsid w:val="005812FF"/>
    <w:rsid w:val="00581E5F"/>
    <w:rsid w:val="0058208E"/>
    <w:rsid w:val="005822E1"/>
    <w:rsid w:val="00583593"/>
    <w:rsid w:val="00583699"/>
    <w:rsid w:val="00583875"/>
    <w:rsid w:val="005839A2"/>
    <w:rsid w:val="00584CF8"/>
    <w:rsid w:val="00584D84"/>
    <w:rsid w:val="00585CAA"/>
    <w:rsid w:val="00585CDD"/>
    <w:rsid w:val="00586D90"/>
    <w:rsid w:val="00587058"/>
    <w:rsid w:val="005870BE"/>
    <w:rsid w:val="0058768F"/>
    <w:rsid w:val="005904E8"/>
    <w:rsid w:val="00590D4F"/>
    <w:rsid w:val="0059171C"/>
    <w:rsid w:val="00591957"/>
    <w:rsid w:val="00591A2E"/>
    <w:rsid w:val="005922E1"/>
    <w:rsid w:val="005926DA"/>
    <w:rsid w:val="00592BDE"/>
    <w:rsid w:val="00592D59"/>
    <w:rsid w:val="00592E87"/>
    <w:rsid w:val="00593492"/>
    <w:rsid w:val="005938DB"/>
    <w:rsid w:val="0059395B"/>
    <w:rsid w:val="00593B65"/>
    <w:rsid w:val="00594AC1"/>
    <w:rsid w:val="005954C0"/>
    <w:rsid w:val="0059675E"/>
    <w:rsid w:val="00596C74"/>
    <w:rsid w:val="00596F17"/>
    <w:rsid w:val="005971A1"/>
    <w:rsid w:val="0059763E"/>
    <w:rsid w:val="00597A1D"/>
    <w:rsid w:val="00597A5D"/>
    <w:rsid w:val="00597BF9"/>
    <w:rsid w:val="005A0467"/>
    <w:rsid w:val="005A06E9"/>
    <w:rsid w:val="005A0C11"/>
    <w:rsid w:val="005A0F54"/>
    <w:rsid w:val="005A0FAA"/>
    <w:rsid w:val="005A1BC2"/>
    <w:rsid w:val="005A29D8"/>
    <w:rsid w:val="005A309A"/>
    <w:rsid w:val="005A326B"/>
    <w:rsid w:val="005A33C2"/>
    <w:rsid w:val="005A373D"/>
    <w:rsid w:val="005A3E6D"/>
    <w:rsid w:val="005A3EE9"/>
    <w:rsid w:val="005A4294"/>
    <w:rsid w:val="005A476D"/>
    <w:rsid w:val="005A5624"/>
    <w:rsid w:val="005A58FD"/>
    <w:rsid w:val="005A5E24"/>
    <w:rsid w:val="005A6013"/>
    <w:rsid w:val="005A6B88"/>
    <w:rsid w:val="005A75AC"/>
    <w:rsid w:val="005B03BD"/>
    <w:rsid w:val="005B0B58"/>
    <w:rsid w:val="005B172D"/>
    <w:rsid w:val="005B208E"/>
    <w:rsid w:val="005B228E"/>
    <w:rsid w:val="005B2901"/>
    <w:rsid w:val="005B29F8"/>
    <w:rsid w:val="005B2D44"/>
    <w:rsid w:val="005B3040"/>
    <w:rsid w:val="005B36BA"/>
    <w:rsid w:val="005B3FDF"/>
    <w:rsid w:val="005B4E53"/>
    <w:rsid w:val="005B554A"/>
    <w:rsid w:val="005B5857"/>
    <w:rsid w:val="005B58E5"/>
    <w:rsid w:val="005B716E"/>
    <w:rsid w:val="005B7D98"/>
    <w:rsid w:val="005C039B"/>
    <w:rsid w:val="005C12BD"/>
    <w:rsid w:val="005C19C4"/>
    <w:rsid w:val="005C1B83"/>
    <w:rsid w:val="005C1DF9"/>
    <w:rsid w:val="005C2255"/>
    <w:rsid w:val="005C25FF"/>
    <w:rsid w:val="005C2D55"/>
    <w:rsid w:val="005C3369"/>
    <w:rsid w:val="005C346B"/>
    <w:rsid w:val="005C361A"/>
    <w:rsid w:val="005C4142"/>
    <w:rsid w:val="005C4AAD"/>
    <w:rsid w:val="005C4C1E"/>
    <w:rsid w:val="005C5ABC"/>
    <w:rsid w:val="005C62C1"/>
    <w:rsid w:val="005C6318"/>
    <w:rsid w:val="005C6E08"/>
    <w:rsid w:val="005C7138"/>
    <w:rsid w:val="005C74FC"/>
    <w:rsid w:val="005C770A"/>
    <w:rsid w:val="005D044D"/>
    <w:rsid w:val="005D0ABD"/>
    <w:rsid w:val="005D0EF5"/>
    <w:rsid w:val="005D0F5D"/>
    <w:rsid w:val="005D1616"/>
    <w:rsid w:val="005D18AD"/>
    <w:rsid w:val="005D1FDB"/>
    <w:rsid w:val="005D221E"/>
    <w:rsid w:val="005D2664"/>
    <w:rsid w:val="005D26B4"/>
    <w:rsid w:val="005D27F8"/>
    <w:rsid w:val="005D31D6"/>
    <w:rsid w:val="005D50B0"/>
    <w:rsid w:val="005D605B"/>
    <w:rsid w:val="005D646C"/>
    <w:rsid w:val="005D66D3"/>
    <w:rsid w:val="005D759E"/>
    <w:rsid w:val="005D7654"/>
    <w:rsid w:val="005E1039"/>
    <w:rsid w:val="005E137F"/>
    <w:rsid w:val="005E1995"/>
    <w:rsid w:val="005E1C00"/>
    <w:rsid w:val="005E1EA7"/>
    <w:rsid w:val="005E24B3"/>
    <w:rsid w:val="005E260F"/>
    <w:rsid w:val="005E3873"/>
    <w:rsid w:val="005E3875"/>
    <w:rsid w:val="005E3C83"/>
    <w:rsid w:val="005E3E4A"/>
    <w:rsid w:val="005E400F"/>
    <w:rsid w:val="005E40FB"/>
    <w:rsid w:val="005E55C8"/>
    <w:rsid w:val="005E6CBC"/>
    <w:rsid w:val="005E6E5C"/>
    <w:rsid w:val="005E72FF"/>
    <w:rsid w:val="005E73C0"/>
    <w:rsid w:val="005E7936"/>
    <w:rsid w:val="005E7DD1"/>
    <w:rsid w:val="005F039C"/>
    <w:rsid w:val="005F054E"/>
    <w:rsid w:val="005F07ED"/>
    <w:rsid w:val="005F1120"/>
    <w:rsid w:val="005F12B8"/>
    <w:rsid w:val="005F195F"/>
    <w:rsid w:val="005F2706"/>
    <w:rsid w:val="005F3A08"/>
    <w:rsid w:val="005F4135"/>
    <w:rsid w:val="005F4478"/>
    <w:rsid w:val="005F4E4F"/>
    <w:rsid w:val="005F54E2"/>
    <w:rsid w:val="005F6013"/>
    <w:rsid w:val="005F6A8F"/>
    <w:rsid w:val="005F6BB7"/>
    <w:rsid w:val="005F7588"/>
    <w:rsid w:val="0060191B"/>
    <w:rsid w:val="00601ADB"/>
    <w:rsid w:val="00601B95"/>
    <w:rsid w:val="006028D3"/>
    <w:rsid w:val="00602936"/>
    <w:rsid w:val="00602D3E"/>
    <w:rsid w:val="00602E04"/>
    <w:rsid w:val="00603DB9"/>
    <w:rsid w:val="0060422A"/>
    <w:rsid w:val="00604504"/>
    <w:rsid w:val="00604851"/>
    <w:rsid w:val="00604FEE"/>
    <w:rsid w:val="00605CE6"/>
    <w:rsid w:val="00606404"/>
    <w:rsid w:val="006065DE"/>
    <w:rsid w:val="00606B53"/>
    <w:rsid w:val="00606FBA"/>
    <w:rsid w:val="0060735C"/>
    <w:rsid w:val="00607669"/>
    <w:rsid w:val="006076F4"/>
    <w:rsid w:val="00607AFD"/>
    <w:rsid w:val="00610D89"/>
    <w:rsid w:val="00611853"/>
    <w:rsid w:val="0061198A"/>
    <w:rsid w:val="00611B12"/>
    <w:rsid w:val="00611CFF"/>
    <w:rsid w:val="00611E07"/>
    <w:rsid w:val="00612134"/>
    <w:rsid w:val="00612A45"/>
    <w:rsid w:val="00612F97"/>
    <w:rsid w:val="006131DA"/>
    <w:rsid w:val="00613209"/>
    <w:rsid w:val="006133CC"/>
    <w:rsid w:val="0061345D"/>
    <w:rsid w:val="00614130"/>
    <w:rsid w:val="0061459B"/>
    <w:rsid w:val="006153E8"/>
    <w:rsid w:val="0061549B"/>
    <w:rsid w:val="0061568C"/>
    <w:rsid w:val="00615934"/>
    <w:rsid w:val="00616802"/>
    <w:rsid w:val="00616AC2"/>
    <w:rsid w:val="00616ACD"/>
    <w:rsid w:val="00616CA5"/>
    <w:rsid w:val="00617E12"/>
    <w:rsid w:val="00617ED5"/>
    <w:rsid w:val="0062028A"/>
    <w:rsid w:val="00620C25"/>
    <w:rsid w:val="00621477"/>
    <w:rsid w:val="00621ADA"/>
    <w:rsid w:val="00621D0F"/>
    <w:rsid w:val="00622760"/>
    <w:rsid w:val="00623D04"/>
    <w:rsid w:val="00623D94"/>
    <w:rsid w:val="00623F7B"/>
    <w:rsid w:val="00624149"/>
    <w:rsid w:val="00624421"/>
    <w:rsid w:val="00624B6F"/>
    <w:rsid w:val="00624BD4"/>
    <w:rsid w:val="00624C67"/>
    <w:rsid w:val="00624DBE"/>
    <w:rsid w:val="00625B4D"/>
    <w:rsid w:val="0062619E"/>
    <w:rsid w:val="00627902"/>
    <w:rsid w:val="0063002C"/>
    <w:rsid w:val="0063071E"/>
    <w:rsid w:val="0063158F"/>
    <w:rsid w:val="00631D6B"/>
    <w:rsid w:val="00632183"/>
    <w:rsid w:val="006326E7"/>
    <w:rsid w:val="0063288D"/>
    <w:rsid w:val="00632B91"/>
    <w:rsid w:val="006330A1"/>
    <w:rsid w:val="0063323D"/>
    <w:rsid w:val="00633D13"/>
    <w:rsid w:val="0063465F"/>
    <w:rsid w:val="0063479F"/>
    <w:rsid w:val="0063499A"/>
    <w:rsid w:val="006353F0"/>
    <w:rsid w:val="006356B4"/>
    <w:rsid w:val="006357B5"/>
    <w:rsid w:val="006364A1"/>
    <w:rsid w:val="0063678E"/>
    <w:rsid w:val="006371DE"/>
    <w:rsid w:val="00637BFD"/>
    <w:rsid w:val="00637C5C"/>
    <w:rsid w:val="00637E76"/>
    <w:rsid w:val="006403EC"/>
    <w:rsid w:val="00641338"/>
    <w:rsid w:val="00641347"/>
    <w:rsid w:val="006414D1"/>
    <w:rsid w:val="006419C5"/>
    <w:rsid w:val="00641C4E"/>
    <w:rsid w:val="00641E4C"/>
    <w:rsid w:val="00641FB3"/>
    <w:rsid w:val="0064246F"/>
    <w:rsid w:val="006429D8"/>
    <w:rsid w:val="00643016"/>
    <w:rsid w:val="00643446"/>
    <w:rsid w:val="00644331"/>
    <w:rsid w:val="0064434C"/>
    <w:rsid w:val="00644780"/>
    <w:rsid w:val="00644E97"/>
    <w:rsid w:val="006456C8"/>
    <w:rsid w:val="0064627F"/>
    <w:rsid w:val="006471CC"/>
    <w:rsid w:val="006472FE"/>
    <w:rsid w:val="00647951"/>
    <w:rsid w:val="00647A29"/>
    <w:rsid w:val="006506A3"/>
    <w:rsid w:val="0065071E"/>
    <w:rsid w:val="0065079F"/>
    <w:rsid w:val="00650AC9"/>
    <w:rsid w:val="00650CA1"/>
    <w:rsid w:val="00650F25"/>
    <w:rsid w:val="006514AF"/>
    <w:rsid w:val="006514F6"/>
    <w:rsid w:val="00651933"/>
    <w:rsid w:val="00651D36"/>
    <w:rsid w:val="0065201B"/>
    <w:rsid w:val="00652652"/>
    <w:rsid w:val="00652A28"/>
    <w:rsid w:val="0065309D"/>
    <w:rsid w:val="006536C5"/>
    <w:rsid w:val="0065379F"/>
    <w:rsid w:val="00653E15"/>
    <w:rsid w:val="006542F7"/>
    <w:rsid w:val="00654FAF"/>
    <w:rsid w:val="00655B41"/>
    <w:rsid w:val="00655F42"/>
    <w:rsid w:val="00656038"/>
    <w:rsid w:val="006560B0"/>
    <w:rsid w:val="00656188"/>
    <w:rsid w:val="006561BA"/>
    <w:rsid w:val="00656BA2"/>
    <w:rsid w:val="0065715A"/>
    <w:rsid w:val="00657834"/>
    <w:rsid w:val="00657EE3"/>
    <w:rsid w:val="006600EA"/>
    <w:rsid w:val="00660B80"/>
    <w:rsid w:val="00661085"/>
    <w:rsid w:val="006610F1"/>
    <w:rsid w:val="00661C6B"/>
    <w:rsid w:val="006620CA"/>
    <w:rsid w:val="0066275B"/>
    <w:rsid w:val="00662C6E"/>
    <w:rsid w:val="00662D3E"/>
    <w:rsid w:val="00662D64"/>
    <w:rsid w:val="00663785"/>
    <w:rsid w:val="006637ED"/>
    <w:rsid w:val="006639BE"/>
    <w:rsid w:val="00663A53"/>
    <w:rsid w:val="00663CF0"/>
    <w:rsid w:val="0066419E"/>
    <w:rsid w:val="00664744"/>
    <w:rsid w:val="00664E8A"/>
    <w:rsid w:val="00665222"/>
    <w:rsid w:val="006657B5"/>
    <w:rsid w:val="00665F3E"/>
    <w:rsid w:val="00666320"/>
    <w:rsid w:val="00666460"/>
    <w:rsid w:val="00666531"/>
    <w:rsid w:val="00667438"/>
    <w:rsid w:val="0066757F"/>
    <w:rsid w:val="00667BE3"/>
    <w:rsid w:val="006707FF"/>
    <w:rsid w:val="00671004"/>
    <w:rsid w:val="006721E0"/>
    <w:rsid w:val="006724BC"/>
    <w:rsid w:val="00672646"/>
    <w:rsid w:val="006739CA"/>
    <w:rsid w:val="00673DB1"/>
    <w:rsid w:val="00674E42"/>
    <w:rsid w:val="00676140"/>
    <w:rsid w:val="00676563"/>
    <w:rsid w:val="0067658A"/>
    <w:rsid w:val="00676956"/>
    <w:rsid w:val="00676B5A"/>
    <w:rsid w:val="00676EC7"/>
    <w:rsid w:val="00677945"/>
    <w:rsid w:val="00677C9D"/>
    <w:rsid w:val="00680386"/>
    <w:rsid w:val="0068121C"/>
    <w:rsid w:val="006813F8"/>
    <w:rsid w:val="00681813"/>
    <w:rsid w:val="0068209F"/>
    <w:rsid w:val="00682112"/>
    <w:rsid w:val="00682219"/>
    <w:rsid w:val="0068230B"/>
    <w:rsid w:val="006824A5"/>
    <w:rsid w:val="00682A4D"/>
    <w:rsid w:val="00682BA6"/>
    <w:rsid w:val="00683592"/>
    <w:rsid w:val="00685233"/>
    <w:rsid w:val="00685DAE"/>
    <w:rsid w:val="00686957"/>
    <w:rsid w:val="00686A56"/>
    <w:rsid w:val="00686BD2"/>
    <w:rsid w:val="006872BA"/>
    <w:rsid w:val="00687B69"/>
    <w:rsid w:val="00690795"/>
    <w:rsid w:val="00690976"/>
    <w:rsid w:val="006909DC"/>
    <w:rsid w:val="00690CDF"/>
    <w:rsid w:val="00691648"/>
    <w:rsid w:val="006917D7"/>
    <w:rsid w:val="00692570"/>
    <w:rsid w:val="00692B2B"/>
    <w:rsid w:val="00693731"/>
    <w:rsid w:val="00693983"/>
    <w:rsid w:val="00693A0C"/>
    <w:rsid w:val="0069434C"/>
    <w:rsid w:val="00694F44"/>
    <w:rsid w:val="0069538D"/>
    <w:rsid w:val="00695864"/>
    <w:rsid w:val="00696325"/>
    <w:rsid w:val="00696622"/>
    <w:rsid w:val="00696EF9"/>
    <w:rsid w:val="00696F51"/>
    <w:rsid w:val="00697010"/>
    <w:rsid w:val="006974DC"/>
    <w:rsid w:val="006975EB"/>
    <w:rsid w:val="006979A5"/>
    <w:rsid w:val="006A016F"/>
    <w:rsid w:val="006A052D"/>
    <w:rsid w:val="006A0890"/>
    <w:rsid w:val="006A0DF7"/>
    <w:rsid w:val="006A1343"/>
    <w:rsid w:val="006A16F3"/>
    <w:rsid w:val="006A2051"/>
    <w:rsid w:val="006A27E6"/>
    <w:rsid w:val="006A2814"/>
    <w:rsid w:val="006A3802"/>
    <w:rsid w:val="006A3CC3"/>
    <w:rsid w:val="006A4321"/>
    <w:rsid w:val="006A43D9"/>
    <w:rsid w:val="006A43E2"/>
    <w:rsid w:val="006A4A20"/>
    <w:rsid w:val="006A500E"/>
    <w:rsid w:val="006A5463"/>
    <w:rsid w:val="006A60AA"/>
    <w:rsid w:val="006A62A4"/>
    <w:rsid w:val="006A672C"/>
    <w:rsid w:val="006A69AF"/>
    <w:rsid w:val="006A6B99"/>
    <w:rsid w:val="006A78A5"/>
    <w:rsid w:val="006A7E5F"/>
    <w:rsid w:val="006B1E27"/>
    <w:rsid w:val="006B261B"/>
    <w:rsid w:val="006B2C90"/>
    <w:rsid w:val="006B3092"/>
    <w:rsid w:val="006B3266"/>
    <w:rsid w:val="006B33BC"/>
    <w:rsid w:val="006B35E6"/>
    <w:rsid w:val="006B3E1E"/>
    <w:rsid w:val="006B465A"/>
    <w:rsid w:val="006B4FAF"/>
    <w:rsid w:val="006B5702"/>
    <w:rsid w:val="006B5A0A"/>
    <w:rsid w:val="006B691A"/>
    <w:rsid w:val="006B6B22"/>
    <w:rsid w:val="006B6DD0"/>
    <w:rsid w:val="006B76BD"/>
    <w:rsid w:val="006C0399"/>
    <w:rsid w:val="006C0617"/>
    <w:rsid w:val="006C07E3"/>
    <w:rsid w:val="006C091C"/>
    <w:rsid w:val="006C0EA4"/>
    <w:rsid w:val="006C13AB"/>
    <w:rsid w:val="006C1FF8"/>
    <w:rsid w:val="006C2A8E"/>
    <w:rsid w:val="006C2B3F"/>
    <w:rsid w:val="006C2EF3"/>
    <w:rsid w:val="006C31C3"/>
    <w:rsid w:val="006C3255"/>
    <w:rsid w:val="006C3F26"/>
    <w:rsid w:val="006C47D1"/>
    <w:rsid w:val="006C4820"/>
    <w:rsid w:val="006C5AA6"/>
    <w:rsid w:val="006C6D5A"/>
    <w:rsid w:val="006C71AA"/>
    <w:rsid w:val="006C734D"/>
    <w:rsid w:val="006C75EC"/>
    <w:rsid w:val="006C78B4"/>
    <w:rsid w:val="006C7F74"/>
    <w:rsid w:val="006D013B"/>
    <w:rsid w:val="006D071C"/>
    <w:rsid w:val="006D0D17"/>
    <w:rsid w:val="006D10FA"/>
    <w:rsid w:val="006D1AAC"/>
    <w:rsid w:val="006D23D7"/>
    <w:rsid w:val="006D3C7D"/>
    <w:rsid w:val="006D3CDE"/>
    <w:rsid w:val="006D4659"/>
    <w:rsid w:val="006D50F0"/>
    <w:rsid w:val="006D5357"/>
    <w:rsid w:val="006D5A85"/>
    <w:rsid w:val="006D5D5F"/>
    <w:rsid w:val="006D633A"/>
    <w:rsid w:val="006D65D5"/>
    <w:rsid w:val="006D68FB"/>
    <w:rsid w:val="006D7CC7"/>
    <w:rsid w:val="006E0B89"/>
    <w:rsid w:val="006E16EE"/>
    <w:rsid w:val="006E1C79"/>
    <w:rsid w:val="006E1ED5"/>
    <w:rsid w:val="006E2388"/>
    <w:rsid w:val="006E2868"/>
    <w:rsid w:val="006E316C"/>
    <w:rsid w:val="006E3208"/>
    <w:rsid w:val="006E39AA"/>
    <w:rsid w:val="006E3CA0"/>
    <w:rsid w:val="006E6DFD"/>
    <w:rsid w:val="006E6FD6"/>
    <w:rsid w:val="006E752C"/>
    <w:rsid w:val="006E7F21"/>
    <w:rsid w:val="006F0980"/>
    <w:rsid w:val="006F09CA"/>
    <w:rsid w:val="006F0FB2"/>
    <w:rsid w:val="006F1256"/>
    <w:rsid w:val="006F12FB"/>
    <w:rsid w:val="006F25C7"/>
    <w:rsid w:val="006F306C"/>
    <w:rsid w:val="006F3714"/>
    <w:rsid w:val="006F39DC"/>
    <w:rsid w:val="006F47F8"/>
    <w:rsid w:val="006F4B37"/>
    <w:rsid w:val="006F569B"/>
    <w:rsid w:val="006F63A5"/>
    <w:rsid w:val="006F6497"/>
    <w:rsid w:val="006F66D8"/>
    <w:rsid w:val="006F6CB6"/>
    <w:rsid w:val="006F779D"/>
    <w:rsid w:val="007003C2"/>
    <w:rsid w:val="00700AC1"/>
    <w:rsid w:val="007010D5"/>
    <w:rsid w:val="0070142B"/>
    <w:rsid w:val="0070145B"/>
    <w:rsid w:val="007020E7"/>
    <w:rsid w:val="007023BD"/>
    <w:rsid w:val="0070276E"/>
    <w:rsid w:val="00702B85"/>
    <w:rsid w:val="00702F8F"/>
    <w:rsid w:val="00703B89"/>
    <w:rsid w:val="00703F84"/>
    <w:rsid w:val="007079FC"/>
    <w:rsid w:val="00710360"/>
    <w:rsid w:val="00711A36"/>
    <w:rsid w:val="007125D3"/>
    <w:rsid w:val="00712D94"/>
    <w:rsid w:val="007135BF"/>
    <w:rsid w:val="00713A7F"/>
    <w:rsid w:val="00713D79"/>
    <w:rsid w:val="0071459A"/>
    <w:rsid w:val="00714C26"/>
    <w:rsid w:val="0071529C"/>
    <w:rsid w:val="007158B4"/>
    <w:rsid w:val="007159F4"/>
    <w:rsid w:val="00715E23"/>
    <w:rsid w:val="00715F72"/>
    <w:rsid w:val="00715FFB"/>
    <w:rsid w:val="007160C4"/>
    <w:rsid w:val="00716AA1"/>
    <w:rsid w:val="00716DFF"/>
    <w:rsid w:val="00716EAF"/>
    <w:rsid w:val="00717058"/>
    <w:rsid w:val="007170DA"/>
    <w:rsid w:val="007172AD"/>
    <w:rsid w:val="00717546"/>
    <w:rsid w:val="00717C1C"/>
    <w:rsid w:val="00720140"/>
    <w:rsid w:val="0072027D"/>
    <w:rsid w:val="00720550"/>
    <w:rsid w:val="007206FC"/>
    <w:rsid w:val="00720801"/>
    <w:rsid w:val="007208D3"/>
    <w:rsid w:val="00721899"/>
    <w:rsid w:val="007219DC"/>
    <w:rsid w:val="00722B1B"/>
    <w:rsid w:val="00723921"/>
    <w:rsid w:val="0072416F"/>
    <w:rsid w:val="00724849"/>
    <w:rsid w:val="0072492D"/>
    <w:rsid w:val="00724CE5"/>
    <w:rsid w:val="00725002"/>
    <w:rsid w:val="0072533A"/>
    <w:rsid w:val="00725848"/>
    <w:rsid w:val="00725C55"/>
    <w:rsid w:val="00726268"/>
    <w:rsid w:val="00726CDE"/>
    <w:rsid w:val="00727AC9"/>
    <w:rsid w:val="00727C94"/>
    <w:rsid w:val="00730049"/>
    <w:rsid w:val="00730E85"/>
    <w:rsid w:val="007312BE"/>
    <w:rsid w:val="00731A8F"/>
    <w:rsid w:val="00731B0A"/>
    <w:rsid w:val="00731BA4"/>
    <w:rsid w:val="00731EAE"/>
    <w:rsid w:val="00733073"/>
    <w:rsid w:val="00733400"/>
    <w:rsid w:val="007338AD"/>
    <w:rsid w:val="007345F2"/>
    <w:rsid w:val="007347F8"/>
    <w:rsid w:val="00734BB1"/>
    <w:rsid w:val="00734BB9"/>
    <w:rsid w:val="00735033"/>
    <w:rsid w:val="00735328"/>
    <w:rsid w:val="0073548B"/>
    <w:rsid w:val="00735B38"/>
    <w:rsid w:val="00735FFA"/>
    <w:rsid w:val="0073685B"/>
    <w:rsid w:val="00737245"/>
    <w:rsid w:val="00737329"/>
    <w:rsid w:val="0073756C"/>
    <w:rsid w:val="00740069"/>
    <w:rsid w:val="0074006B"/>
    <w:rsid w:val="00740159"/>
    <w:rsid w:val="007409A5"/>
    <w:rsid w:val="00740AFC"/>
    <w:rsid w:val="0074156F"/>
    <w:rsid w:val="00741B7D"/>
    <w:rsid w:val="00742321"/>
    <w:rsid w:val="0074242C"/>
    <w:rsid w:val="007428EA"/>
    <w:rsid w:val="00742956"/>
    <w:rsid w:val="007435C8"/>
    <w:rsid w:val="00744692"/>
    <w:rsid w:val="007449BF"/>
    <w:rsid w:val="00744AD5"/>
    <w:rsid w:val="00744D01"/>
    <w:rsid w:val="00745B3B"/>
    <w:rsid w:val="00745E6F"/>
    <w:rsid w:val="007463FE"/>
    <w:rsid w:val="00746BC0"/>
    <w:rsid w:val="00746E28"/>
    <w:rsid w:val="00746F1B"/>
    <w:rsid w:val="0074709E"/>
    <w:rsid w:val="00747A3D"/>
    <w:rsid w:val="0075000B"/>
    <w:rsid w:val="0075070C"/>
    <w:rsid w:val="007508B7"/>
    <w:rsid w:val="007510B4"/>
    <w:rsid w:val="00751549"/>
    <w:rsid w:val="007515B5"/>
    <w:rsid w:val="00752142"/>
    <w:rsid w:val="007523F9"/>
    <w:rsid w:val="0075357E"/>
    <w:rsid w:val="007535AA"/>
    <w:rsid w:val="0075399B"/>
    <w:rsid w:val="00753B29"/>
    <w:rsid w:val="00753D11"/>
    <w:rsid w:val="00755A73"/>
    <w:rsid w:val="00756176"/>
    <w:rsid w:val="007573E8"/>
    <w:rsid w:val="00757BD6"/>
    <w:rsid w:val="00760C4E"/>
    <w:rsid w:val="00760F9E"/>
    <w:rsid w:val="007610F7"/>
    <w:rsid w:val="007613D3"/>
    <w:rsid w:val="007616E6"/>
    <w:rsid w:val="00761A81"/>
    <w:rsid w:val="00761FCA"/>
    <w:rsid w:val="007627BE"/>
    <w:rsid w:val="00763A5F"/>
    <w:rsid w:val="00763B84"/>
    <w:rsid w:val="00764246"/>
    <w:rsid w:val="00764F03"/>
    <w:rsid w:val="00765049"/>
    <w:rsid w:val="007652B3"/>
    <w:rsid w:val="00765B1A"/>
    <w:rsid w:val="00765DC1"/>
    <w:rsid w:val="00765EE8"/>
    <w:rsid w:val="007661A6"/>
    <w:rsid w:val="007669D0"/>
    <w:rsid w:val="00766C85"/>
    <w:rsid w:val="00766D86"/>
    <w:rsid w:val="00767683"/>
    <w:rsid w:val="00771671"/>
    <w:rsid w:val="0077206F"/>
    <w:rsid w:val="007738ED"/>
    <w:rsid w:val="00773B33"/>
    <w:rsid w:val="007743AA"/>
    <w:rsid w:val="00774480"/>
    <w:rsid w:val="0077568D"/>
    <w:rsid w:val="00775740"/>
    <w:rsid w:val="00775E03"/>
    <w:rsid w:val="00776053"/>
    <w:rsid w:val="007765BB"/>
    <w:rsid w:val="00776A29"/>
    <w:rsid w:val="00777335"/>
    <w:rsid w:val="007803FE"/>
    <w:rsid w:val="00780E63"/>
    <w:rsid w:val="007810CC"/>
    <w:rsid w:val="0078110F"/>
    <w:rsid w:val="007816C1"/>
    <w:rsid w:val="007821EB"/>
    <w:rsid w:val="007824FF"/>
    <w:rsid w:val="00782E1D"/>
    <w:rsid w:val="00782E5B"/>
    <w:rsid w:val="007843F2"/>
    <w:rsid w:val="007846FA"/>
    <w:rsid w:val="00785046"/>
    <w:rsid w:val="00785383"/>
    <w:rsid w:val="007854F8"/>
    <w:rsid w:val="00785A9F"/>
    <w:rsid w:val="0078604B"/>
    <w:rsid w:val="0078655A"/>
    <w:rsid w:val="00787BBE"/>
    <w:rsid w:val="00791289"/>
    <w:rsid w:val="00791D8C"/>
    <w:rsid w:val="00792031"/>
    <w:rsid w:val="007925DF"/>
    <w:rsid w:val="00793F8F"/>
    <w:rsid w:val="00794A25"/>
    <w:rsid w:val="00796329"/>
    <w:rsid w:val="00796602"/>
    <w:rsid w:val="0079675E"/>
    <w:rsid w:val="00796B6F"/>
    <w:rsid w:val="0079711C"/>
    <w:rsid w:val="0079748D"/>
    <w:rsid w:val="00797662"/>
    <w:rsid w:val="007976C0"/>
    <w:rsid w:val="007A08AA"/>
    <w:rsid w:val="007A08CD"/>
    <w:rsid w:val="007A0A12"/>
    <w:rsid w:val="007A132D"/>
    <w:rsid w:val="007A1345"/>
    <w:rsid w:val="007A29BE"/>
    <w:rsid w:val="007A2A8A"/>
    <w:rsid w:val="007A2DDB"/>
    <w:rsid w:val="007A31BE"/>
    <w:rsid w:val="007A360C"/>
    <w:rsid w:val="007A47FF"/>
    <w:rsid w:val="007A4FFE"/>
    <w:rsid w:val="007A5023"/>
    <w:rsid w:val="007A5523"/>
    <w:rsid w:val="007A5ADA"/>
    <w:rsid w:val="007A5BE5"/>
    <w:rsid w:val="007A5E79"/>
    <w:rsid w:val="007A6552"/>
    <w:rsid w:val="007A67FD"/>
    <w:rsid w:val="007A6D23"/>
    <w:rsid w:val="007A6EF7"/>
    <w:rsid w:val="007A70BA"/>
    <w:rsid w:val="007B03F7"/>
    <w:rsid w:val="007B0908"/>
    <w:rsid w:val="007B09EE"/>
    <w:rsid w:val="007B0A7D"/>
    <w:rsid w:val="007B0CF9"/>
    <w:rsid w:val="007B0D68"/>
    <w:rsid w:val="007B135E"/>
    <w:rsid w:val="007B1DC1"/>
    <w:rsid w:val="007B251D"/>
    <w:rsid w:val="007B3533"/>
    <w:rsid w:val="007B3825"/>
    <w:rsid w:val="007B3D7D"/>
    <w:rsid w:val="007B4012"/>
    <w:rsid w:val="007B47BF"/>
    <w:rsid w:val="007B48D8"/>
    <w:rsid w:val="007B4C9D"/>
    <w:rsid w:val="007B4F58"/>
    <w:rsid w:val="007B4F80"/>
    <w:rsid w:val="007B528D"/>
    <w:rsid w:val="007B53F4"/>
    <w:rsid w:val="007B58C9"/>
    <w:rsid w:val="007B6397"/>
    <w:rsid w:val="007B63A6"/>
    <w:rsid w:val="007B63CA"/>
    <w:rsid w:val="007B76A1"/>
    <w:rsid w:val="007B77D1"/>
    <w:rsid w:val="007B7A61"/>
    <w:rsid w:val="007B7DC0"/>
    <w:rsid w:val="007B7DF9"/>
    <w:rsid w:val="007B7E84"/>
    <w:rsid w:val="007C07C7"/>
    <w:rsid w:val="007C135A"/>
    <w:rsid w:val="007C17B0"/>
    <w:rsid w:val="007C1CD9"/>
    <w:rsid w:val="007C1E60"/>
    <w:rsid w:val="007C259C"/>
    <w:rsid w:val="007C2B12"/>
    <w:rsid w:val="007C32EF"/>
    <w:rsid w:val="007C361D"/>
    <w:rsid w:val="007C3E90"/>
    <w:rsid w:val="007C3F84"/>
    <w:rsid w:val="007C4B84"/>
    <w:rsid w:val="007C58F5"/>
    <w:rsid w:val="007C5C32"/>
    <w:rsid w:val="007C5EFE"/>
    <w:rsid w:val="007C638C"/>
    <w:rsid w:val="007C6ABE"/>
    <w:rsid w:val="007C70FF"/>
    <w:rsid w:val="007C76BF"/>
    <w:rsid w:val="007C7C25"/>
    <w:rsid w:val="007C7F4F"/>
    <w:rsid w:val="007D004F"/>
    <w:rsid w:val="007D035F"/>
    <w:rsid w:val="007D06B2"/>
    <w:rsid w:val="007D075C"/>
    <w:rsid w:val="007D0B38"/>
    <w:rsid w:val="007D12DA"/>
    <w:rsid w:val="007D33FD"/>
    <w:rsid w:val="007D3617"/>
    <w:rsid w:val="007D3A1D"/>
    <w:rsid w:val="007D46EA"/>
    <w:rsid w:val="007D5440"/>
    <w:rsid w:val="007D6277"/>
    <w:rsid w:val="007D628D"/>
    <w:rsid w:val="007D649B"/>
    <w:rsid w:val="007D69EB"/>
    <w:rsid w:val="007D6E75"/>
    <w:rsid w:val="007D725B"/>
    <w:rsid w:val="007D7459"/>
    <w:rsid w:val="007E008E"/>
    <w:rsid w:val="007E04A4"/>
    <w:rsid w:val="007E06D5"/>
    <w:rsid w:val="007E128F"/>
    <w:rsid w:val="007E1F9E"/>
    <w:rsid w:val="007E224E"/>
    <w:rsid w:val="007E2A0C"/>
    <w:rsid w:val="007E43EF"/>
    <w:rsid w:val="007E4B80"/>
    <w:rsid w:val="007E55E8"/>
    <w:rsid w:val="007E5AA9"/>
    <w:rsid w:val="007E66A1"/>
    <w:rsid w:val="007E7556"/>
    <w:rsid w:val="007E789E"/>
    <w:rsid w:val="007F00CE"/>
    <w:rsid w:val="007F0A47"/>
    <w:rsid w:val="007F1017"/>
    <w:rsid w:val="007F1BA8"/>
    <w:rsid w:val="007F2CE2"/>
    <w:rsid w:val="007F3B68"/>
    <w:rsid w:val="007F44F6"/>
    <w:rsid w:val="007F4A3F"/>
    <w:rsid w:val="007F4A61"/>
    <w:rsid w:val="007F5145"/>
    <w:rsid w:val="007F5255"/>
    <w:rsid w:val="007F56CC"/>
    <w:rsid w:val="007F5B06"/>
    <w:rsid w:val="007F61C2"/>
    <w:rsid w:val="007F651C"/>
    <w:rsid w:val="007F702E"/>
    <w:rsid w:val="007F7D71"/>
    <w:rsid w:val="007F7FE1"/>
    <w:rsid w:val="008004EB"/>
    <w:rsid w:val="008006AA"/>
    <w:rsid w:val="00801371"/>
    <w:rsid w:val="008013F7"/>
    <w:rsid w:val="008015D2"/>
    <w:rsid w:val="00801806"/>
    <w:rsid w:val="00802E3B"/>
    <w:rsid w:val="0080361A"/>
    <w:rsid w:val="00803BCE"/>
    <w:rsid w:val="00805142"/>
    <w:rsid w:val="0080566B"/>
    <w:rsid w:val="00805FCE"/>
    <w:rsid w:val="00806276"/>
    <w:rsid w:val="008064BC"/>
    <w:rsid w:val="0080787C"/>
    <w:rsid w:val="008079D6"/>
    <w:rsid w:val="00807A8B"/>
    <w:rsid w:val="00807F1C"/>
    <w:rsid w:val="008100F9"/>
    <w:rsid w:val="008108DF"/>
    <w:rsid w:val="00811383"/>
    <w:rsid w:val="00811963"/>
    <w:rsid w:val="00811F0A"/>
    <w:rsid w:val="00812149"/>
    <w:rsid w:val="008124D3"/>
    <w:rsid w:val="00812513"/>
    <w:rsid w:val="008129AF"/>
    <w:rsid w:val="00812CAC"/>
    <w:rsid w:val="008133C4"/>
    <w:rsid w:val="008133D8"/>
    <w:rsid w:val="00813D46"/>
    <w:rsid w:val="008147E0"/>
    <w:rsid w:val="00814B18"/>
    <w:rsid w:val="00814B63"/>
    <w:rsid w:val="0081556A"/>
    <w:rsid w:val="008155F3"/>
    <w:rsid w:val="00815617"/>
    <w:rsid w:val="00816361"/>
    <w:rsid w:val="008164A4"/>
    <w:rsid w:val="008166B5"/>
    <w:rsid w:val="008166EF"/>
    <w:rsid w:val="008168F0"/>
    <w:rsid w:val="00816D35"/>
    <w:rsid w:val="00816E47"/>
    <w:rsid w:val="00816FEF"/>
    <w:rsid w:val="00817F6E"/>
    <w:rsid w:val="00820476"/>
    <w:rsid w:val="00820A8C"/>
    <w:rsid w:val="008215FB"/>
    <w:rsid w:val="008218A3"/>
    <w:rsid w:val="008220CC"/>
    <w:rsid w:val="008226AA"/>
    <w:rsid w:val="00823174"/>
    <w:rsid w:val="008233F9"/>
    <w:rsid w:val="00823896"/>
    <w:rsid w:val="0082396B"/>
    <w:rsid w:val="00824277"/>
    <w:rsid w:val="008244B1"/>
    <w:rsid w:val="00824EDD"/>
    <w:rsid w:val="008252E1"/>
    <w:rsid w:val="00825751"/>
    <w:rsid w:val="00825E26"/>
    <w:rsid w:val="00825F68"/>
    <w:rsid w:val="008264EB"/>
    <w:rsid w:val="008268CE"/>
    <w:rsid w:val="00826FA8"/>
    <w:rsid w:val="00827C23"/>
    <w:rsid w:val="00830F9E"/>
    <w:rsid w:val="008316BD"/>
    <w:rsid w:val="00831724"/>
    <w:rsid w:val="00831A06"/>
    <w:rsid w:val="008320F9"/>
    <w:rsid w:val="00832AEE"/>
    <w:rsid w:val="00833B05"/>
    <w:rsid w:val="00834220"/>
    <w:rsid w:val="0083447B"/>
    <w:rsid w:val="0083529E"/>
    <w:rsid w:val="0083572E"/>
    <w:rsid w:val="008360A6"/>
    <w:rsid w:val="008362B4"/>
    <w:rsid w:val="00836812"/>
    <w:rsid w:val="0083701D"/>
    <w:rsid w:val="00837275"/>
    <w:rsid w:val="008375FC"/>
    <w:rsid w:val="008376D1"/>
    <w:rsid w:val="0083789B"/>
    <w:rsid w:val="008402E4"/>
    <w:rsid w:val="00840788"/>
    <w:rsid w:val="00840CA2"/>
    <w:rsid w:val="00841762"/>
    <w:rsid w:val="00841AC4"/>
    <w:rsid w:val="00841E70"/>
    <w:rsid w:val="00842A61"/>
    <w:rsid w:val="00842BD8"/>
    <w:rsid w:val="00843024"/>
    <w:rsid w:val="0084354E"/>
    <w:rsid w:val="0084374F"/>
    <w:rsid w:val="00843AC7"/>
    <w:rsid w:val="008444AE"/>
    <w:rsid w:val="00844A22"/>
    <w:rsid w:val="00844CB0"/>
    <w:rsid w:val="00845F45"/>
    <w:rsid w:val="0084610C"/>
    <w:rsid w:val="00846169"/>
    <w:rsid w:val="00846AD4"/>
    <w:rsid w:val="00846AED"/>
    <w:rsid w:val="00846F1C"/>
    <w:rsid w:val="00847703"/>
    <w:rsid w:val="00847DF5"/>
    <w:rsid w:val="008509E4"/>
    <w:rsid w:val="00850E16"/>
    <w:rsid w:val="0085111A"/>
    <w:rsid w:val="00851191"/>
    <w:rsid w:val="008513CA"/>
    <w:rsid w:val="008515B9"/>
    <w:rsid w:val="00851C82"/>
    <w:rsid w:val="0085234B"/>
    <w:rsid w:val="008525DE"/>
    <w:rsid w:val="00852A10"/>
    <w:rsid w:val="0085309D"/>
    <w:rsid w:val="008533E7"/>
    <w:rsid w:val="00856515"/>
    <w:rsid w:val="00856897"/>
    <w:rsid w:val="00856E9A"/>
    <w:rsid w:val="00857C89"/>
    <w:rsid w:val="0086075D"/>
    <w:rsid w:val="00860B69"/>
    <w:rsid w:val="00861204"/>
    <w:rsid w:val="00861A25"/>
    <w:rsid w:val="00862502"/>
    <w:rsid w:val="00862A86"/>
    <w:rsid w:val="00862B68"/>
    <w:rsid w:val="00862C09"/>
    <w:rsid w:val="00862CC1"/>
    <w:rsid w:val="0086387B"/>
    <w:rsid w:val="00863960"/>
    <w:rsid w:val="008642A7"/>
    <w:rsid w:val="00864549"/>
    <w:rsid w:val="008645F9"/>
    <w:rsid w:val="008646AA"/>
    <w:rsid w:val="00865257"/>
    <w:rsid w:val="008660D4"/>
    <w:rsid w:val="00866303"/>
    <w:rsid w:val="008664B7"/>
    <w:rsid w:val="00866530"/>
    <w:rsid w:val="008704F0"/>
    <w:rsid w:val="008705DC"/>
    <w:rsid w:val="008711BD"/>
    <w:rsid w:val="0087138C"/>
    <w:rsid w:val="00871FA9"/>
    <w:rsid w:val="00871FB6"/>
    <w:rsid w:val="0087221D"/>
    <w:rsid w:val="00872728"/>
    <w:rsid w:val="008728E9"/>
    <w:rsid w:val="00872EDC"/>
    <w:rsid w:val="008731E8"/>
    <w:rsid w:val="00873F42"/>
    <w:rsid w:val="008742E8"/>
    <w:rsid w:val="008749E3"/>
    <w:rsid w:val="00874F8A"/>
    <w:rsid w:val="008754F1"/>
    <w:rsid w:val="0087577A"/>
    <w:rsid w:val="00875A18"/>
    <w:rsid w:val="00875E73"/>
    <w:rsid w:val="008762FB"/>
    <w:rsid w:val="00876AC5"/>
    <w:rsid w:val="00876E4D"/>
    <w:rsid w:val="00876E88"/>
    <w:rsid w:val="008779D4"/>
    <w:rsid w:val="00880E62"/>
    <w:rsid w:val="00880EE2"/>
    <w:rsid w:val="00881238"/>
    <w:rsid w:val="008816EE"/>
    <w:rsid w:val="008818F2"/>
    <w:rsid w:val="00881FA4"/>
    <w:rsid w:val="00882874"/>
    <w:rsid w:val="008828CA"/>
    <w:rsid w:val="00882A78"/>
    <w:rsid w:val="00882C62"/>
    <w:rsid w:val="00882E3C"/>
    <w:rsid w:val="00882ECC"/>
    <w:rsid w:val="0088308A"/>
    <w:rsid w:val="0088309C"/>
    <w:rsid w:val="008832F5"/>
    <w:rsid w:val="00883787"/>
    <w:rsid w:val="00884D82"/>
    <w:rsid w:val="008855E4"/>
    <w:rsid w:val="0088561B"/>
    <w:rsid w:val="008866D7"/>
    <w:rsid w:val="00886CD2"/>
    <w:rsid w:val="008872E9"/>
    <w:rsid w:val="00887C16"/>
    <w:rsid w:val="008905A3"/>
    <w:rsid w:val="00890C43"/>
    <w:rsid w:val="00891762"/>
    <w:rsid w:val="00891E15"/>
    <w:rsid w:val="00891E6F"/>
    <w:rsid w:val="0089275D"/>
    <w:rsid w:val="00892A36"/>
    <w:rsid w:val="00892CF4"/>
    <w:rsid w:val="00893176"/>
    <w:rsid w:val="00893239"/>
    <w:rsid w:val="0089420E"/>
    <w:rsid w:val="00894489"/>
    <w:rsid w:val="00894C43"/>
    <w:rsid w:val="00894CD6"/>
    <w:rsid w:val="00894F36"/>
    <w:rsid w:val="00895D1C"/>
    <w:rsid w:val="008963A5"/>
    <w:rsid w:val="00896518"/>
    <w:rsid w:val="00896D5D"/>
    <w:rsid w:val="00896FC8"/>
    <w:rsid w:val="00897282"/>
    <w:rsid w:val="0089751F"/>
    <w:rsid w:val="00897613"/>
    <w:rsid w:val="008978FD"/>
    <w:rsid w:val="0089794D"/>
    <w:rsid w:val="00897DBE"/>
    <w:rsid w:val="008A0132"/>
    <w:rsid w:val="008A02C8"/>
    <w:rsid w:val="008A10A6"/>
    <w:rsid w:val="008A194B"/>
    <w:rsid w:val="008A309D"/>
    <w:rsid w:val="008A3158"/>
    <w:rsid w:val="008A3363"/>
    <w:rsid w:val="008A3371"/>
    <w:rsid w:val="008A3C3E"/>
    <w:rsid w:val="008A4307"/>
    <w:rsid w:val="008A4C73"/>
    <w:rsid w:val="008A53FA"/>
    <w:rsid w:val="008A6866"/>
    <w:rsid w:val="008A6887"/>
    <w:rsid w:val="008A796E"/>
    <w:rsid w:val="008A79DE"/>
    <w:rsid w:val="008B056A"/>
    <w:rsid w:val="008B0D70"/>
    <w:rsid w:val="008B1038"/>
    <w:rsid w:val="008B1757"/>
    <w:rsid w:val="008B1C33"/>
    <w:rsid w:val="008B1D43"/>
    <w:rsid w:val="008B2444"/>
    <w:rsid w:val="008B24FB"/>
    <w:rsid w:val="008B341A"/>
    <w:rsid w:val="008B35E7"/>
    <w:rsid w:val="008B3778"/>
    <w:rsid w:val="008B4046"/>
    <w:rsid w:val="008B4280"/>
    <w:rsid w:val="008B4399"/>
    <w:rsid w:val="008B4B6F"/>
    <w:rsid w:val="008B4F25"/>
    <w:rsid w:val="008B503B"/>
    <w:rsid w:val="008B520A"/>
    <w:rsid w:val="008B6DBC"/>
    <w:rsid w:val="008B7399"/>
    <w:rsid w:val="008B76AD"/>
    <w:rsid w:val="008B77FC"/>
    <w:rsid w:val="008B781D"/>
    <w:rsid w:val="008B7992"/>
    <w:rsid w:val="008B7D7E"/>
    <w:rsid w:val="008C0870"/>
    <w:rsid w:val="008C2611"/>
    <w:rsid w:val="008C3751"/>
    <w:rsid w:val="008C3FC1"/>
    <w:rsid w:val="008C4274"/>
    <w:rsid w:val="008C4C05"/>
    <w:rsid w:val="008C4D6F"/>
    <w:rsid w:val="008C555C"/>
    <w:rsid w:val="008C5610"/>
    <w:rsid w:val="008C567C"/>
    <w:rsid w:val="008C5739"/>
    <w:rsid w:val="008C5A6D"/>
    <w:rsid w:val="008C66A6"/>
    <w:rsid w:val="008C6923"/>
    <w:rsid w:val="008C7166"/>
    <w:rsid w:val="008C71B3"/>
    <w:rsid w:val="008C7282"/>
    <w:rsid w:val="008C7ECB"/>
    <w:rsid w:val="008D0A55"/>
    <w:rsid w:val="008D0AB9"/>
    <w:rsid w:val="008D0C34"/>
    <w:rsid w:val="008D125B"/>
    <w:rsid w:val="008D1625"/>
    <w:rsid w:val="008D243F"/>
    <w:rsid w:val="008D2C41"/>
    <w:rsid w:val="008D2DCB"/>
    <w:rsid w:val="008D3B86"/>
    <w:rsid w:val="008D3F1E"/>
    <w:rsid w:val="008D4065"/>
    <w:rsid w:val="008D43FD"/>
    <w:rsid w:val="008D4755"/>
    <w:rsid w:val="008D4C3D"/>
    <w:rsid w:val="008D56B2"/>
    <w:rsid w:val="008D5DDD"/>
    <w:rsid w:val="008D6416"/>
    <w:rsid w:val="008D69EF"/>
    <w:rsid w:val="008D6ED0"/>
    <w:rsid w:val="008D743C"/>
    <w:rsid w:val="008D772B"/>
    <w:rsid w:val="008E0BFA"/>
    <w:rsid w:val="008E0D3C"/>
    <w:rsid w:val="008E0EF2"/>
    <w:rsid w:val="008E19D3"/>
    <w:rsid w:val="008E1B9E"/>
    <w:rsid w:val="008E2F04"/>
    <w:rsid w:val="008E2F1A"/>
    <w:rsid w:val="008E38EC"/>
    <w:rsid w:val="008E42BD"/>
    <w:rsid w:val="008E43D4"/>
    <w:rsid w:val="008E45A4"/>
    <w:rsid w:val="008E4AB6"/>
    <w:rsid w:val="008E55AB"/>
    <w:rsid w:val="008E5A69"/>
    <w:rsid w:val="008E6C7F"/>
    <w:rsid w:val="008F0DE2"/>
    <w:rsid w:val="008F120A"/>
    <w:rsid w:val="008F1E2D"/>
    <w:rsid w:val="008F2352"/>
    <w:rsid w:val="008F250A"/>
    <w:rsid w:val="008F27E0"/>
    <w:rsid w:val="008F2AD5"/>
    <w:rsid w:val="008F3EB6"/>
    <w:rsid w:val="008F4133"/>
    <w:rsid w:val="008F48EB"/>
    <w:rsid w:val="008F4EF8"/>
    <w:rsid w:val="008F4F0B"/>
    <w:rsid w:val="008F52C2"/>
    <w:rsid w:val="008F5814"/>
    <w:rsid w:val="008F59B3"/>
    <w:rsid w:val="008F5AF2"/>
    <w:rsid w:val="008F6259"/>
    <w:rsid w:val="008F625F"/>
    <w:rsid w:val="008F7B24"/>
    <w:rsid w:val="008F7FCC"/>
    <w:rsid w:val="0090031C"/>
    <w:rsid w:val="009019C6"/>
    <w:rsid w:val="0090274D"/>
    <w:rsid w:val="00903EDF"/>
    <w:rsid w:val="009046C4"/>
    <w:rsid w:val="00906023"/>
    <w:rsid w:val="009062A5"/>
    <w:rsid w:val="00907127"/>
    <w:rsid w:val="009073D3"/>
    <w:rsid w:val="00907699"/>
    <w:rsid w:val="00907700"/>
    <w:rsid w:val="0090783A"/>
    <w:rsid w:val="00907BBC"/>
    <w:rsid w:val="00910D46"/>
    <w:rsid w:val="00910FA7"/>
    <w:rsid w:val="00911272"/>
    <w:rsid w:val="00911339"/>
    <w:rsid w:val="00911355"/>
    <w:rsid w:val="0091172F"/>
    <w:rsid w:val="00911D96"/>
    <w:rsid w:val="00912D63"/>
    <w:rsid w:val="009133A8"/>
    <w:rsid w:val="00913480"/>
    <w:rsid w:val="009135D6"/>
    <w:rsid w:val="009136D5"/>
    <w:rsid w:val="00914C3D"/>
    <w:rsid w:val="00914C77"/>
    <w:rsid w:val="00915B7B"/>
    <w:rsid w:val="00915BAF"/>
    <w:rsid w:val="009169B3"/>
    <w:rsid w:val="0091766D"/>
    <w:rsid w:val="00920033"/>
    <w:rsid w:val="009202C8"/>
    <w:rsid w:val="009205AB"/>
    <w:rsid w:val="009205F3"/>
    <w:rsid w:val="0092072F"/>
    <w:rsid w:val="00920DCB"/>
    <w:rsid w:val="0092105B"/>
    <w:rsid w:val="009210BE"/>
    <w:rsid w:val="009210C2"/>
    <w:rsid w:val="00921333"/>
    <w:rsid w:val="00921357"/>
    <w:rsid w:val="00921ACB"/>
    <w:rsid w:val="0092220C"/>
    <w:rsid w:val="009224C1"/>
    <w:rsid w:val="00923232"/>
    <w:rsid w:val="0092369B"/>
    <w:rsid w:val="00923F0D"/>
    <w:rsid w:val="009241E1"/>
    <w:rsid w:val="0092426F"/>
    <w:rsid w:val="00925189"/>
    <w:rsid w:val="009251D7"/>
    <w:rsid w:val="0092643C"/>
    <w:rsid w:val="00926C86"/>
    <w:rsid w:val="009270C0"/>
    <w:rsid w:val="00927373"/>
    <w:rsid w:val="0092783D"/>
    <w:rsid w:val="00927B0C"/>
    <w:rsid w:val="00927E3E"/>
    <w:rsid w:val="00930134"/>
    <w:rsid w:val="009308AB"/>
    <w:rsid w:val="009316A5"/>
    <w:rsid w:val="00932513"/>
    <w:rsid w:val="0093291C"/>
    <w:rsid w:val="00932A66"/>
    <w:rsid w:val="00932B7B"/>
    <w:rsid w:val="00932E64"/>
    <w:rsid w:val="009330DD"/>
    <w:rsid w:val="00933D2F"/>
    <w:rsid w:val="00933E90"/>
    <w:rsid w:val="00933F38"/>
    <w:rsid w:val="00933F5C"/>
    <w:rsid w:val="00934383"/>
    <w:rsid w:val="009343CD"/>
    <w:rsid w:val="00934648"/>
    <w:rsid w:val="00934988"/>
    <w:rsid w:val="00935576"/>
    <w:rsid w:val="009356E6"/>
    <w:rsid w:val="00935F52"/>
    <w:rsid w:val="00937089"/>
    <w:rsid w:val="009408D6"/>
    <w:rsid w:val="009412B9"/>
    <w:rsid w:val="00941333"/>
    <w:rsid w:val="00941E9E"/>
    <w:rsid w:val="00942022"/>
    <w:rsid w:val="0094368A"/>
    <w:rsid w:val="0094387E"/>
    <w:rsid w:val="00943C37"/>
    <w:rsid w:val="009444E2"/>
    <w:rsid w:val="0094474C"/>
    <w:rsid w:val="00944F8A"/>
    <w:rsid w:val="0094670E"/>
    <w:rsid w:val="0094749A"/>
    <w:rsid w:val="00947524"/>
    <w:rsid w:val="0094771B"/>
    <w:rsid w:val="00950703"/>
    <w:rsid w:val="009509C6"/>
    <w:rsid w:val="009510A2"/>
    <w:rsid w:val="00951268"/>
    <w:rsid w:val="009518B5"/>
    <w:rsid w:val="009529E4"/>
    <w:rsid w:val="009531E9"/>
    <w:rsid w:val="00953257"/>
    <w:rsid w:val="0095387D"/>
    <w:rsid w:val="00954683"/>
    <w:rsid w:val="0095474C"/>
    <w:rsid w:val="00954CAC"/>
    <w:rsid w:val="00957828"/>
    <w:rsid w:val="00957D92"/>
    <w:rsid w:val="00960131"/>
    <w:rsid w:val="009601A2"/>
    <w:rsid w:val="009602B5"/>
    <w:rsid w:val="0096043A"/>
    <w:rsid w:val="009604B5"/>
    <w:rsid w:val="00960B8E"/>
    <w:rsid w:val="00961AD6"/>
    <w:rsid w:val="00962B6F"/>
    <w:rsid w:val="00962CB9"/>
    <w:rsid w:val="00962D5B"/>
    <w:rsid w:val="009633F5"/>
    <w:rsid w:val="009637EE"/>
    <w:rsid w:val="00964312"/>
    <w:rsid w:val="009648B9"/>
    <w:rsid w:val="009651EF"/>
    <w:rsid w:val="0096562B"/>
    <w:rsid w:val="009659C1"/>
    <w:rsid w:val="00965B8A"/>
    <w:rsid w:val="00965E19"/>
    <w:rsid w:val="0096662E"/>
    <w:rsid w:val="00966E76"/>
    <w:rsid w:val="009670EB"/>
    <w:rsid w:val="0096734C"/>
    <w:rsid w:val="00967729"/>
    <w:rsid w:val="0097011F"/>
    <w:rsid w:val="0097071F"/>
    <w:rsid w:val="00970D9D"/>
    <w:rsid w:val="00970ED1"/>
    <w:rsid w:val="00971298"/>
    <w:rsid w:val="009714CC"/>
    <w:rsid w:val="009715EF"/>
    <w:rsid w:val="00971636"/>
    <w:rsid w:val="009717AC"/>
    <w:rsid w:val="00971C24"/>
    <w:rsid w:val="00974FA5"/>
    <w:rsid w:val="009751C1"/>
    <w:rsid w:val="00975BE7"/>
    <w:rsid w:val="009763D5"/>
    <w:rsid w:val="00976C32"/>
    <w:rsid w:val="00976C8D"/>
    <w:rsid w:val="009770B5"/>
    <w:rsid w:val="00977A99"/>
    <w:rsid w:val="009806C6"/>
    <w:rsid w:val="00980C53"/>
    <w:rsid w:val="009811F1"/>
    <w:rsid w:val="009819D9"/>
    <w:rsid w:val="00981DB3"/>
    <w:rsid w:val="00982095"/>
    <w:rsid w:val="0098262F"/>
    <w:rsid w:val="00982C79"/>
    <w:rsid w:val="00982EE8"/>
    <w:rsid w:val="00983DB8"/>
    <w:rsid w:val="00983E57"/>
    <w:rsid w:val="00984369"/>
    <w:rsid w:val="00985DE2"/>
    <w:rsid w:val="00986627"/>
    <w:rsid w:val="0098675D"/>
    <w:rsid w:val="00986DB5"/>
    <w:rsid w:val="0098738F"/>
    <w:rsid w:val="00987BA4"/>
    <w:rsid w:val="00987D0A"/>
    <w:rsid w:val="00990094"/>
    <w:rsid w:val="0099048F"/>
    <w:rsid w:val="00991227"/>
    <w:rsid w:val="00991380"/>
    <w:rsid w:val="0099174A"/>
    <w:rsid w:val="009920FB"/>
    <w:rsid w:val="009926E0"/>
    <w:rsid w:val="0099330A"/>
    <w:rsid w:val="0099451E"/>
    <w:rsid w:val="00994E46"/>
    <w:rsid w:val="00995968"/>
    <w:rsid w:val="00995C77"/>
    <w:rsid w:val="00996509"/>
    <w:rsid w:val="00996B1A"/>
    <w:rsid w:val="0099701A"/>
    <w:rsid w:val="00997088"/>
    <w:rsid w:val="0099718B"/>
    <w:rsid w:val="00997AD6"/>
    <w:rsid w:val="009A0110"/>
    <w:rsid w:val="009A0A23"/>
    <w:rsid w:val="009A179C"/>
    <w:rsid w:val="009A18F6"/>
    <w:rsid w:val="009A1A3D"/>
    <w:rsid w:val="009A221C"/>
    <w:rsid w:val="009A2DCC"/>
    <w:rsid w:val="009A33C8"/>
    <w:rsid w:val="009A3404"/>
    <w:rsid w:val="009A392F"/>
    <w:rsid w:val="009A524D"/>
    <w:rsid w:val="009A5ABC"/>
    <w:rsid w:val="009A7AA3"/>
    <w:rsid w:val="009A7B96"/>
    <w:rsid w:val="009A7E7C"/>
    <w:rsid w:val="009A7F10"/>
    <w:rsid w:val="009B0039"/>
    <w:rsid w:val="009B0958"/>
    <w:rsid w:val="009B0BD2"/>
    <w:rsid w:val="009B2A08"/>
    <w:rsid w:val="009B340B"/>
    <w:rsid w:val="009B3E26"/>
    <w:rsid w:val="009B4704"/>
    <w:rsid w:val="009B499A"/>
    <w:rsid w:val="009B5D35"/>
    <w:rsid w:val="009B66A2"/>
    <w:rsid w:val="009B6B87"/>
    <w:rsid w:val="009B6BCD"/>
    <w:rsid w:val="009B6EBC"/>
    <w:rsid w:val="009C038C"/>
    <w:rsid w:val="009C07C1"/>
    <w:rsid w:val="009C0B78"/>
    <w:rsid w:val="009C0E0A"/>
    <w:rsid w:val="009C1271"/>
    <w:rsid w:val="009C2072"/>
    <w:rsid w:val="009C2D27"/>
    <w:rsid w:val="009C3706"/>
    <w:rsid w:val="009C3A3A"/>
    <w:rsid w:val="009C3D56"/>
    <w:rsid w:val="009C40A7"/>
    <w:rsid w:val="009C4177"/>
    <w:rsid w:val="009C426B"/>
    <w:rsid w:val="009C430D"/>
    <w:rsid w:val="009C4BF4"/>
    <w:rsid w:val="009C53C7"/>
    <w:rsid w:val="009C6CEA"/>
    <w:rsid w:val="009C7B85"/>
    <w:rsid w:val="009D0254"/>
    <w:rsid w:val="009D1527"/>
    <w:rsid w:val="009D1750"/>
    <w:rsid w:val="009D1A64"/>
    <w:rsid w:val="009D263E"/>
    <w:rsid w:val="009D33BE"/>
    <w:rsid w:val="009D4EF8"/>
    <w:rsid w:val="009D5B91"/>
    <w:rsid w:val="009D5BD3"/>
    <w:rsid w:val="009D60EA"/>
    <w:rsid w:val="009D61F0"/>
    <w:rsid w:val="009D6255"/>
    <w:rsid w:val="009D64CC"/>
    <w:rsid w:val="009D71E9"/>
    <w:rsid w:val="009D792E"/>
    <w:rsid w:val="009E0542"/>
    <w:rsid w:val="009E05E5"/>
    <w:rsid w:val="009E0B3B"/>
    <w:rsid w:val="009E0DFE"/>
    <w:rsid w:val="009E220E"/>
    <w:rsid w:val="009E2E10"/>
    <w:rsid w:val="009E2F9F"/>
    <w:rsid w:val="009E31F6"/>
    <w:rsid w:val="009E3AFA"/>
    <w:rsid w:val="009E3D56"/>
    <w:rsid w:val="009E42F6"/>
    <w:rsid w:val="009E4C05"/>
    <w:rsid w:val="009E4C07"/>
    <w:rsid w:val="009E52D8"/>
    <w:rsid w:val="009E5732"/>
    <w:rsid w:val="009E5852"/>
    <w:rsid w:val="009E6463"/>
    <w:rsid w:val="009E7670"/>
    <w:rsid w:val="009E777F"/>
    <w:rsid w:val="009F008B"/>
    <w:rsid w:val="009F0273"/>
    <w:rsid w:val="009F0D52"/>
    <w:rsid w:val="009F11DF"/>
    <w:rsid w:val="009F1429"/>
    <w:rsid w:val="009F1B03"/>
    <w:rsid w:val="009F1F86"/>
    <w:rsid w:val="009F2710"/>
    <w:rsid w:val="009F2E11"/>
    <w:rsid w:val="009F327D"/>
    <w:rsid w:val="009F3A5E"/>
    <w:rsid w:val="009F40AE"/>
    <w:rsid w:val="009F43F9"/>
    <w:rsid w:val="009F46EB"/>
    <w:rsid w:val="009F4AD4"/>
    <w:rsid w:val="009F4CD4"/>
    <w:rsid w:val="009F5108"/>
    <w:rsid w:val="009F6120"/>
    <w:rsid w:val="009F6B07"/>
    <w:rsid w:val="00A001E4"/>
    <w:rsid w:val="00A00A8F"/>
    <w:rsid w:val="00A00D76"/>
    <w:rsid w:val="00A01058"/>
    <w:rsid w:val="00A01184"/>
    <w:rsid w:val="00A01400"/>
    <w:rsid w:val="00A01449"/>
    <w:rsid w:val="00A0154D"/>
    <w:rsid w:val="00A01C2F"/>
    <w:rsid w:val="00A03263"/>
    <w:rsid w:val="00A032A9"/>
    <w:rsid w:val="00A037C2"/>
    <w:rsid w:val="00A03C29"/>
    <w:rsid w:val="00A03D43"/>
    <w:rsid w:val="00A04380"/>
    <w:rsid w:val="00A04786"/>
    <w:rsid w:val="00A05472"/>
    <w:rsid w:val="00A056D6"/>
    <w:rsid w:val="00A05C32"/>
    <w:rsid w:val="00A060BA"/>
    <w:rsid w:val="00A0653F"/>
    <w:rsid w:val="00A0732C"/>
    <w:rsid w:val="00A100E8"/>
    <w:rsid w:val="00A104A1"/>
    <w:rsid w:val="00A10942"/>
    <w:rsid w:val="00A110F0"/>
    <w:rsid w:val="00A113A9"/>
    <w:rsid w:val="00A11CD0"/>
    <w:rsid w:val="00A11EC5"/>
    <w:rsid w:val="00A1290E"/>
    <w:rsid w:val="00A12F50"/>
    <w:rsid w:val="00A13371"/>
    <w:rsid w:val="00A1354F"/>
    <w:rsid w:val="00A13948"/>
    <w:rsid w:val="00A13B2C"/>
    <w:rsid w:val="00A13DB3"/>
    <w:rsid w:val="00A13F57"/>
    <w:rsid w:val="00A14332"/>
    <w:rsid w:val="00A14FCF"/>
    <w:rsid w:val="00A15116"/>
    <w:rsid w:val="00A15306"/>
    <w:rsid w:val="00A1555B"/>
    <w:rsid w:val="00A155C5"/>
    <w:rsid w:val="00A15974"/>
    <w:rsid w:val="00A15CA1"/>
    <w:rsid w:val="00A169FF"/>
    <w:rsid w:val="00A16AD8"/>
    <w:rsid w:val="00A16CE5"/>
    <w:rsid w:val="00A16D3F"/>
    <w:rsid w:val="00A16D4B"/>
    <w:rsid w:val="00A17AA9"/>
    <w:rsid w:val="00A2021E"/>
    <w:rsid w:val="00A20237"/>
    <w:rsid w:val="00A212CB"/>
    <w:rsid w:val="00A21553"/>
    <w:rsid w:val="00A21C95"/>
    <w:rsid w:val="00A21CF3"/>
    <w:rsid w:val="00A21DC1"/>
    <w:rsid w:val="00A23C34"/>
    <w:rsid w:val="00A23F1B"/>
    <w:rsid w:val="00A24813"/>
    <w:rsid w:val="00A2496D"/>
    <w:rsid w:val="00A25C2F"/>
    <w:rsid w:val="00A2708A"/>
    <w:rsid w:val="00A27891"/>
    <w:rsid w:val="00A27A25"/>
    <w:rsid w:val="00A27A46"/>
    <w:rsid w:val="00A27AEC"/>
    <w:rsid w:val="00A30AF8"/>
    <w:rsid w:val="00A31451"/>
    <w:rsid w:val="00A31970"/>
    <w:rsid w:val="00A320DB"/>
    <w:rsid w:val="00A345B9"/>
    <w:rsid w:val="00A34A05"/>
    <w:rsid w:val="00A34A83"/>
    <w:rsid w:val="00A35A63"/>
    <w:rsid w:val="00A35D16"/>
    <w:rsid w:val="00A36760"/>
    <w:rsid w:val="00A36C75"/>
    <w:rsid w:val="00A36CA4"/>
    <w:rsid w:val="00A372A5"/>
    <w:rsid w:val="00A377DD"/>
    <w:rsid w:val="00A37BCD"/>
    <w:rsid w:val="00A40124"/>
    <w:rsid w:val="00A4033D"/>
    <w:rsid w:val="00A405A3"/>
    <w:rsid w:val="00A40B66"/>
    <w:rsid w:val="00A40BD9"/>
    <w:rsid w:val="00A41689"/>
    <w:rsid w:val="00A4205A"/>
    <w:rsid w:val="00A42592"/>
    <w:rsid w:val="00A42AE8"/>
    <w:rsid w:val="00A43C59"/>
    <w:rsid w:val="00A44251"/>
    <w:rsid w:val="00A44FBA"/>
    <w:rsid w:val="00A46813"/>
    <w:rsid w:val="00A46825"/>
    <w:rsid w:val="00A46E9A"/>
    <w:rsid w:val="00A46F4D"/>
    <w:rsid w:val="00A474BF"/>
    <w:rsid w:val="00A47743"/>
    <w:rsid w:val="00A477B6"/>
    <w:rsid w:val="00A479BF"/>
    <w:rsid w:val="00A47A73"/>
    <w:rsid w:val="00A47E5E"/>
    <w:rsid w:val="00A50872"/>
    <w:rsid w:val="00A50A13"/>
    <w:rsid w:val="00A50ECD"/>
    <w:rsid w:val="00A518F3"/>
    <w:rsid w:val="00A51BEA"/>
    <w:rsid w:val="00A521A8"/>
    <w:rsid w:val="00A526D1"/>
    <w:rsid w:val="00A52729"/>
    <w:rsid w:val="00A529C1"/>
    <w:rsid w:val="00A53476"/>
    <w:rsid w:val="00A53675"/>
    <w:rsid w:val="00A5443B"/>
    <w:rsid w:val="00A54850"/>
    <w:rsid w:val="00A555A1"/>
    <w:rsid w:val="00A55EAC"/>
    <w:rsid w:val="00A564D7"/>
    <w:rsid w:val="00A56532"/>
    <w:rsid w:val="00A56B6A"/>
    <w:rsid w:val="00A56C41"/>
    <w:rsid w:val="00A56DBC"/>
    <w:rsid w:val="00A578DC"/>
    <w:rsid w:val="00A60628"/>
    <w:rsid w:val="00A60695"/>
    <w:rsid w:val="00A606D7"/>
    <w:rsid w:val="00A6078D"/>
    <w:rsid w:val="00A608C9"/>
    <w:rsid w:val="00A60AC6"/>
    <w:rsid w:val="00A615B8"/>
    <w:rsid w:val="00A61E4A"/>
    <w:rsid w:val="00A63FB3"/>
    <w:rsid w:val="00A640E2"/>
    <w:rsid w:val="00A64D65"/>
    <w:rsid w:val="00A65184"/>
    <w:rsid w:val="00A6551A"/>
    <w:rsid w:val="00A65D68"/>
    <w:rsid w:val="00A6725B"/>
    <w:rsid w:val="00A67347"/>
    <w:rsid w:val="00A67931"/>
    <w:rsid w:val="00A67A33"/>
    <w:rsid w:val="00A67DC9"/>
    <w:rsid w:val="00A7001A"/>
    <w:rsid w:val="00A70605"/>
    <w:rsid w:val="00A70F2B"/>
    <w:rsid w:val="00A71570"/>
    <w:rsid w:val="00A72ADA"/>
    <w:rsid w:val="00A72B40"/>
    <w:rsid w:val="00A73134"/>
    <w:rsid w:val="00A7328E"/>
    <w:rsid w:val="00A7365A"/>
    <w:rsid w:val="00A7372B"/>
    <w:rsid w:val="00A73F42"/>
    <w:rsid w:val="00A74150"/>
    <w:rsid w:val="00A74D80"/>
    <w:rsid w:val="00A74F3E"/>
    <w:rsid w:val="00A75FFE"/>
    <w:rsid w:val="00A76001"/>
    <w:rsid w:val="00A760F8"/>
    <w:rsid w:val="00A76680"/>
    <w:rsid w:val="00A7675E"/>
    <w:rsid w:val="00A77212"/>
    <w:rsid w:val="00A777B2"/>
    <w:rsid w:val="00A77C06"/>
    <w:rsid w:val="00A806F4"/>
    <w:rsid w:val="00A825A7"/>
    <w:rsid w:val="00A825D4"/>
    <w:rsid w:val="00A828F6"/>
    <w:rsid w:val="00A82B73"/>
    <w:rsid w:val="00A831CB"/>
    <w:rsid w:val="00A834C2"/>
    <w:rsid w:val="00A83A26"/>
    <w:rsid w:val="00A84ED2"/>
    <w:rsid w:val="00A850DF"/>
    <w:rsid w:val="00A856C9"/>
    <w:rsid w:val="00A86E8B"/>
    <w:rsid w:val="00A87164"/>
    <w:rsid w:val="00A871A9"/>
    <w:rsid w:val="00A87559"/>
    <w:rsid w:val="00A875CF"/>
    <w:rsid w:val="00A87E58"/>
    <w:rsid w:val="00A909E9"/>
    <w:rsid w:val="00A91024"/>
    <w:rsid w:val="00A91B3C"/>
    <w:rsid w:val="00A91C18"/>
    <w:rsid w:val="00A93072"/>
    <w:rsid w:val="00A9380C"/>
    <w:rsid w:val="00A938BD"/>
    <w:rsid w:val="00A93953"/>
    <w:rsid w:val="00A93C3B"/>
    <w:rsid w:val="00A951F3"/>
    <w:rsid w:val="00A959D8"/>
    <w:rsid w:val="00A95CE8"/>
    <w:rsid w:val="00A95E6A"/>
    <w:rsid w:val="00A9731F"/>
    <w:rsid w:val="00AA0961"/>
    <w:rsid w:val="00AA113D"/>
    <w:rsid w:val="00AA12DF"/>
    <w:rsid w:val="00AA15CE"/>
    <w:rsid w:val="00AA15E6"/>
    <w:rsid w:val="00AA15EC"/>
    <w:rsid w:val="00AA1B31"/>
    <w:rsid w:val="00AA1DD9"/>
    <w:rsid w:val="00AA258E"/>
    <w:rsid w:val="00AA3B6E"/>
    <w:rsid w:val="00AA467B"/>
    <w:rsid w:val="00AA5BF4"/>
    <w:rsid w:val="00AA612E"/>
    <w:rsid w:val="00AA6BD5"/>
    <w:rsid w:val="00AA6BD8"/>
    <w:rsid w:val="00AA6C7D"/>
    <w:rsid w:val="00AA74BC"/>
    <w:rsid w:val="00AA7589"/>
    <w:rsid w:val="00AA7FD6"/>
    <w:rsid w:val="00AB042A"/>
    <w:rsid w:val="00AB05C7"/>
    <w:rsid w:val="00AB0627"/>
    <w:rsid w:val="00AB0C76"/>
    <w:rsid w:val="00AB1093"/>
    <w:rsid w:val="00AB11AD"/>
    <w:rsid w:val="00AB19EF"/>
    <w:rsid w:val="00AB2495"/>
    <w:rsid w:val="00AB2736"/>
    <w:rsid w:val="00AB298C"/>
    <w:rsid w:val="00AB2D34"/>
    <w:rsid w:val="00AB3430"/>
    <w:rsid w:val="00AB34CD"/>
    <w:rsid w:val="00AB37B9"/>
    <w:rsid w:val="00AB391E"/>
    <w:rsid w:val="00AB3C38"/>
    <w:rsid w:val="00AB3C9E"/>
    <w:rsid w:val="00AB48B3"/>
    <w:rsid w:val="00AB4AD1"/>
    <w:rsid w:val="00AB5E07"/>
    <w:rsid w:val="00AB5F15"/>
    <w:rsid w:val="00AB6847"/>
    <w:rsid w:val="00AB6AD3"/>
    <w:rsid w:val="00AB7013"/>
    <w:rsid w:val="00AB71B0"/>
    <w:rsid w:val="00AB795A"/>
    <w:rsid w:val="00AB7CFA"/>
    <w:rsid w:val="00AB7F8F"/>
    <w:rsid w:val="00AB7FA4"/>
    <w:rsid w:val="00AC04A5"/>
    <w:rsid w:val="00AC08D0"/>
    <w:rsid w:val="00AC28A1"/>
    <w:rsid w:val="00AC3690"/>
    <w:rsid w:val="00AC3D6F"/>
    <w:rsid w:val="00AC40FC"/>
    <w:rsid w:val="00AC45DB"/>
    <w:rsid w:val="00AC5B42"/>
    <w:rsid w:val="00AC5B48"/>
    <w:rsid w:val="00AC6DF2"/>
    <w:rsid w:val="00AC7656"/>
    <w:rsid w:val="00AC7E66"/>
    <w:rsid w:val="00AD07CC"/>
    <w:rsid w:val="00AD1450"/>
    <w:rsid w:val="00AD1571"/>
    <w:rsid w:val="00AD158F"/>
    <w:rsid w:val="00AD15E8"/>
    <w:rsid w:val="00AD17FA"/>
    <w:rsid w:val="00AD1D7F"/>
    <w:rsid w:val="00AD20C4"/>
    <w:rsid w:val="00AD272F"/>
    <w:rsid w:val="00AD27E9"/>
    <w:rsid w:val="00AD2B57"/>
    <w:rsid w:val="00AD3284"/>
    <w:rsid w:val="00AD356D"/>
    <w:rsid w:val="00AD384E"/>
    <w:rsid w:val="00AD559D"/>
    <w:rsid w:val="00AD633D"/>
    <w:rsid w:val="00AD63B2"/>
    <w:rsid w:val="00AD6502"/>
    <w:rsid w:val="00AD6834"/>
    <w:rsid w:val="00AE0695"/>
    <w:rsid w:val="00AE2155"/>
    <w:rsid w:val="00AE2364"/>
    <w:rsid w:val="00AE2759"/>
    <w:rsid w:val="00AE2F93"/>
    <w:rsid w:val="00AE31FF"/>
    <w:rsid w:val="00AE3784"/>
    <w:rsid w:val="00AE3E7E"/>
    <w:rsid w:val="00AE4FFF"/>
    <w:rsid w:val="00AE5D06"/>
    <w:rsid w:val="00AE604C"/>
    <w:rsid w:val="00AE64C0"/>
    <w:rsid w:val="00AE6D57"/>
    <w:rsid w:val="00AE71B0"/>
    <w:rsid w:val="00AE7CF0"/>
    <w:rsid w:val="00AE7DAE"/>
    <w:rsid w:val="00AE7E53"/>
    <w:rsid w:val="00AE7EE1"/>
    <w:rsid w:val="00AE7FCB"/>
    <w:rsid w:val="00AF08A8"/>
    <w:rsid w:val="00AF1315"/>
    <w:rsid w:val="00AF19BF"/>
    <w:rsid w:val="00AF2DC3"/>
    <w:rsid w:val="00AF36EC"/>
    <w:rsid w:val="00AF3BDC"/>
    <w:rsid w:val="00AF4151"/>
    <w:rsid w:val="00AF47B0"/>
    <w:rsid w:val="00AF56B4"/>
    <w:rsid w:val="00AF65D1"/>
    <w:rsid w:val="00AF671E"/>
    <w:rsid w:val="00AF6B17"/>
    <w:rsid w:val="00AF6CAC"/>
    <w:rsid w:val="00AF7466"/>
    <w:rsid w:val="00AF74F2"/>
    <w:rsid w:val="00AF7F6E"/>
    <w:rsid w:val="00B012CE"/>
    <w:rsid w:val="00B01618"/>
    <w:rsid w:val="00B033E5"/>
    <w:rsid w:val="00B03A63"/>
    <w:rsid w:val="00B03A8B"/>
    <w:rsid w:val="00B03BF6"/>
    <w:rsid w:val="00B0429F"/>
    <w:rsid w:val="00B04A57"/>
    <w:rsid w:val="00B05566"/>
    <w:rsid w:val="00B056DD"/>
    <w:rsid w:val="00B057FA"/>
    <w:rsid w:val="00B059DD"/>
    <w:rsid w:val="00B060DA"/>
    <w:rsid w:val="00B07351"/>
    <w:rsid w:val="00B077DA"/>
    <w:rsid w:val="00B07D82"/>
    <w:rsid w:val="00B07F2D"/>
    <w:rsid w:val="00B103B3"/>
    <w:rsid w:val="00B10E33"/>
    <w:rsid w:val="00B11ADD"/>
    <w:rsid w:val="00B11D65"/>
    <w:rsid w:val="00B11FA5"/>
    <w:rsid w:val="00B129A4"/>
    <w:rsid w:val="00B13889"/>
    <w:rsid w:val="00B13C29"/>
    <w:rsid w:val="00B143BB"/>
    <w:rsid w:val="00B14FAC"/>
    <w:rsid w:val="00B150CE"/>
    <w:rsid w:val="00B15541"/>
    <w:rsid w:val="00B15F25"/>
    <w:rsid w:val="00B160DA"/>
    <w:rsid w:val="00B161A1"/>
    <w:rsid w:val="00B166BC"/>
    <w:rsid w:val="00B16BC6"/>
    <w:rsid w:val="00B172F8"/>
    <w:rsid w:val="00B201A4"/>
    <w:rsid w:val="00B201D1"/>
    <w:rsid w:val="00B20A91"/>
    <w:rsid w:val="00B211D3"/>
    <w:rsid w:val="00B213A6"/>
    <w:rsid w:val="00B21B8B"/>
    <w:rsid w:val="00B21BAF"/>
    <w:rsid w:val="00B22173"/>
    <w:rsid w:val="00B222AC"/>
    <w:rsid w:val="00B22490"/>
    <w:rsid w:val="00B22771"/>
    <w:rsid w:val="00B2332B"/>
    <w:rsid w:val="00B235B0"/>
    <w:rsid w:val="00B24869"/>
    <w:rsid w:val="00B24AB7"/>
    <w:rsid w:val="00B24B88"/>
    <w:rsid w:val="00B24DF6"/>
    <w:rsid w:val="00B25020"/>
    <w:rsid w:val="00B253BE"/>
    <w:rsid w:val="00B25ACA"/>
    <w:rsid w:val="00B25CDD"/>
    <w:rsid w:val="00B25F8A"/>
    <w:rsid w:val="00B27A61"/>
    <w:rsid w:val="00B31484"/>
    <w:rsid w:val="00B31672"/>
    <w:rsid w:val="00B32053"/>
    <w:rsid w:val="00B3236D"/>
    <w:rsid w:val="00B32EFF"/>
    <w:rsid w:val="00B34DB4"/>
    <w:rsid w:val="00B34FE2"/>
    <w:rsid w:val="00B35166"/>
    <w:rsid w:val="00B35467"/>
    <w:rsid w:val="00B357D8"/>
    <w:rsid w:val="00B35CBF"/>
    <w:rsid w:val="00B360F4"/>
    <w:rsid w:val="00B365BC"/>
    <w:rsid w:val="00B36644"/>
    <w:rsid w:val="00B36A00"/>
    <w:rsid w:val="00B3722A"/>
    <w:rsid w:val="00B3792B"/>
    <w:rsid w:val="00B37BFC"/>
    <w:rsid w:val="00B37DFF"/>
    <w:rsid w:val="00B40358"/>
    <w:rsid w:val="00B40F59"/>
    <w:rsid w:val="00B41614"/>
    <w:rsid w:val="00B41C15"/>
    <w:rsid w:val="00B42084"/>
    <w:rsid w:val="00B4251F"/>
    <w:rsid w:val="00B4259A"/>
    <w:rsid w:val="00B42851"/>
    <w:rsid w:val="00B42A40"/>
    <w:rsid w:val="00B42F80"/>
    <w:rsid w:val="00B430F4"/>
    <w:rsid w:val="00B433A3"/>
    <w:rsid w:val="00B435CB"/>
    <w:rsid w:val="00B437F3"/>
    <w:rsid w:val="00B4394F"/>
    <w:rsid w:val="00B447B3"/>
    <w:rsid w:val="00B44C84"/>
    <w:rsid w:val="00B44F34"/>
    <w:rsid w:val="00B460E1"/>
    <w:rsid w:val="00B4619E"/>
    <w:rsid w:val="00B4629F"/>
    <w:rsid w:val="00B465EC"/>
    <w:rsid w:val="00B467DA"/>
    <w:rsid w:val="00B46A87"/>
    <w:rsid w:val="00B46F90"/>
    <w:rsid w:val="00B47421"/>
    <w:rsid w:val="00B47B2F"/>
    <w:rsid w:val="00B501A4"/>
    <w:rsid w:val="00B505C8"/>
    <w:rsid w:val="00B50C33"/>
    <w:rsid w:val="00B50DB8"/>
    <w:rsid w:val="00B51243"/>
    <w:rsid w:val="00B51309"/>
    <w:rsid w:val="00B51668"/>
    <w:rsid w:val="00B53120"/>
    <w:rsid w:val="00B53654"/>
    <w:rsid w:val="00B53905"/>
    <w:rsid w:val="00B53A67"/>
    <w:rsid w:val="00B53C91"/>
    <w:rsid w:val="00B53F35"/>
    <w:rsid w:val="00B53FC9"/>
    <w:rsid w:val="00B54163"/>
    <w:rsid w:val="00B546DB"/>
    <w:rsid w:val="00B54B08"/>
    <w:rsid w:val="00B54B5B"/>
    <w:rsid w:val="00B55064"/>
    <w:rsid w:val="00B55188"/>
    <w:rsid w:val="00B5560F"/>
    <w:rsid w:val="00B5562E"/>
    <w:rsid w:val="00B55862"/>
    <w:rsid w:val="00B55D65"/>
    <w:rsid w:val="00B55DD5"/>
    <w:rsid w:val="00B56305"/>
    <w:rsid w:val="00B56E8E"/>
    <w:rsid w:val="00B57000"/>
    <w:rsid w:val="00B57351"/>
    <w:rsid w:val="00B604D1"/>
    <w:rsid w:val="00B60748"/>
    <w:rsid w:val="00B60939"/>
    <w:rsid w:val="00B60AFD"/>
    <w:rsid w:val="00B60B11"/>
    <w:rsid w:val="00B617C4"/>
    <w:rsid w:val="00B61EDD"/>
    <w:rsid w:val="00B623B8"/>
    <w:rsid w:val="00B62715"/>
    <w:rsid w:val="00B631B4"/>
    <w:rsid w:val="00B633B7"/>
    <w:rsid w:val="00B63493"/>
    <w:rsid w:val="00B63906"/>
    <w:rsid w:val="00B63F7A"/>
    <w:rsid w:val="00B64151"/>
    <w:rsid w:val="00B64272"/>
    <w:rsid w:val="00B65611"/>
    <w:rsid w:val="00B65809"/>
    <w:rsid w:val="00B66091"/>
    <w:rsid w:val="00B665C5"/>
    <w:rsid w:val="00B67E87"/>
    <w:rsid w:val="00B70E8E"/>
    <w:rsid w:val="00B7143C"/>
    <w:rsid w:val="00B718BD"/>
    <w:rsid w:val="00B71AFD"/>
    <w:rsid w:val="00B73201"/>
    <w:rsid w:val="00B73BE0"/>
    <w:rsid w:val="00B74255"/>
    <w:rsid w:val="00B752A7"/>
    <w:rsid w:val="00B754B2"/>
    <w:rsid w:val="00B7556B"/>
    <w:rsid w:val="00B75A9B"/>
    <w:rsid w:val="00B75E09"/>
    <w:rsid w:val="00B7627A"/>
    <w:rsid w:val="00B76C92"/>
    <w:rsid w:val="00B76EDE"/>
    <w:rsid w:val="00B7705B"/>
    <w:rsid w:val="00B772DE"/>
    <w:rsid w:val="00B77407"/>
    <w:rsid w:val="00B803CC"/>
    <w:rsid w:val="00B806DB"/>
    <w:rsid w:val="00B80EFD"/>
    <w:rsid w:val="00B81432"/>
    <w:rsid w:val="00B814E2"/>
    <w:rsid w:val="00B818A4"/>
    <w:rsid w:val="00B81A89"/>
    <w:rsid w:val="00B81CAA"/>
    <w:rsid w:val="00B8232A"/>
    <w:rsid w:val="00B82943"/>
    <w:rsid w:val="00B83739"/>
    <w:rsid w:val="00B83A74"/>
    <w:rsid w:val="00B83A90"/>
    <w:rsid w:val="00B83E83"/>
    <w:rsid w:val="00B83FD0"/>
    <w:rsid w:val="00B84083"/>
    <w:rsid w:val="00B84117"/>
    <w:rsid w:val="00B84879"/>
    <w:rsid w:val="00B84FF6"/>
    <w:rsid w:val="00B858F0"/>
    <w:rsid w:val="00B85AA2"/>
    <w:rsid w:val="00B85CF3"/>
    <w:rsid w:val="00B85D13"/>
    <w:rsid w:val="00B8649C"/>
    <w:rsid w:val="00B8695D"/>
    <w:rsid w:val="00B876B4"/>
    <w:rsid w:val="00B877E8"/>
    <w:rsid w:val="00B87CD8"/>
    <w:rsid w:val="00B87F0A"/>
    <w:rsid w:val="00B903C1"/>
    <w:rsid w:val="00B90834"/>
    <w:rsid w:val="00B90A77"/>
    <w:rsid w:val="00B90B5F"/>
    <w:rsid w:val="00B90F3A"/>
    <w:rsid w:val="00B91AE0"/>
    <w:rsid w:val="00B91DDE"/>
    <w:rsid w:val="00B92040"/>
    <w:rsid w:val="00B921BD"/>
    <w:rsid w:val="00B92998"/>
    <w:rsid w:val="00B92D0B"/>
    <w:rsid w:val="00B940E4"/>
    <w:rsid w:val="00B94105"/>
    <w:rsid w:val="00B94945"/>
    <w:rsid w:val="00B94965"/>
    <w:rsid w:val="00B94DD6"/>
    <w:rsid w:val="00B95367"/>
    <w:rsid w:val="00B9679F"/>
    <w:rsid w:val="00B96D2D"/>
    <w:rsid w:val="00B97987"/>
    <w:rsid w:val="00BA0CCD"/>
    <w:rsid w:val="00BA0EDC"/>
    <w:rsid w:val="00BA16B8"/>
    <w:rsid w:val="00BA2B8D"/>
    <w:rsid w:val="00BA2E98"/>
    <w:rsid w:val="00BA322D"/>
    <w:rsid w:val="00BA3E15"/>
    <w:rsid w:val="00BA439C"/>
    <w:rsid w:val="00BA4C87"/>
    <w:rsid w:val="00BA4F0D"/>
    <w:rsid w:val="00BA51B4"/>
    <w:rsid w:val="00BA5A8A"/>
    <w:rsid w:val="00BA5BB6"/>
    <w:rsid w:val="00BA5F5F"/>
    <w:rsid w:val="00BA5F77"/>
    <w:rsid w:val="00BA63FA"/>
    <w:rsid w:val="00BA6940"/>
    <w:rsid w:val="00BA71D7"/>
    <w:rsid w:val="00BA7364"/>
    <w:rsid w:val="00BA7833"/>
    <w:rsid w:val="00BB00B3"/>
    <w:rsid w:val="00BB029E"/>
    <w:rsid w:val="00BB0386"/>
    <w:rsid w:val="00BB0A47"/>
    <w:rsid w:val="00BB0BDD"/>
    <w:rsid w:val="00BB176C"/>
    <w:rsid w:val="00BB2A73"/>
    <w:rsid w:val="00BB3056"/>
    <w:rsid w:val="00BB3A45"/>
    <w:rsid w:val="00BB41B1"/>
    <w:rsid w:val="00BB489A"/>
    <w:rsid w:val="00BB4998"/>
    <w:rsid w:val="00BB4ACC"/>
    <w:rsid w:val="00BB5FD7"/>
    <w:rsid w:val="00BB6D50"/>
    <w:rsid w:val="00BB703E"/>
    <w:rsid w:val="00BB732D"/>
    <w:rsid w:val="00BB7405"/>
    <w:rsid w:val="00BB7694"/>
    <w:rsid w:val="00BB7C5C"/>
    <w:rsid w:val="00BC070E"/>
    <w:rsid w:val="00BC120B"/>
    <w:rsid w:val="00BC158B"/>
    <w:rsid w:val="00BC1A0C"/>
    <w:rsid w:val="00BC1ED0"/>
    <w:rsid w:val="00BC250C"/>
    <w:rsid w:val="00BC2B51"/>
    <w:rsid w:val="00BC2C30"/>
    <w:rsid w:val="00BC3631"/>
    <w:rsid w:val="00BC3875"/>
    <w:rsid w:val="00BC3C3C"/>
    <w:rsid w:val="00BC3CCC"/>
    <w:rsid w:val="00BC46A3"/>
    <w:rsid w:val="00BC4C7C"/>
    <w:rsid w:val="00BC5061"/>
    <w:rsid w:val="00BC522B"/>
    <w:rsid w:val="00BC591F"/>
    <w:rsid w:val="00BC5BB9"/>
    <w:rsid w:val="00BC5BFC"/>
    <w:rsid w:val="00BC5C83"/>
    <w:rsid w:val="00BC5D52"/>
    <w:rsid w:val="00BC6106"/>
    <w:rsid w:val="00BC653B"/>
    <w:rsid w:val="00BC6B20"/>
    <w:rsid w:val="00BC6BF8"/>
    <w:rsid w:val="00BC6F0A"/>
    <w:rsid w:val="00BC74EC"/>
    <w:rsid w:val="00BC78CC"/>
    <w:rsid w:val="00BC7C19"/>
    <w:rsid w:val="00BC7D6D"/>
    <w:rsid w:val="00BC7F68"/>
    <w:rsid w:val="00BD0821"/>
    <w:rsid w:val="00BD0E89"/>
    <w:rsid w:val="00BD13F3"/>
    <w:rsid w:val="00BD178D"/>
    <w:rsid w:val="00BD2108"/>
    <w:rsid w:val="00BD247C"/>
    <w:rsid w:val="00BD2FAB"/>
    <w:rsid w:val="00BD3483"/>
    <w:rsid w:val="00BD3B12"/>
    <w:rsid w:val="00BD45AD"/>
    <w:rsid w:val="00BD68A3"/>
    <w:rsid w:val="00BD6938"/>
    <w:rsid w:val="00BD6CF3"/>
    <w:rsid w:val="00BD706D"/>
    <w:rsid w:val="00BD7F72"/>
    <w:rsid w:val="00BE0167"/>
    <w:rsid w:val="00BE0751"/>
    <w:rsid w:val="00BE0966"/>
    <w:rsid w:val="00BE0D59"/>
    <w:rsid w:val="00BE0ECA"/>
    <w:rsid w:val="00BE197A"/>
    <w:rsid w:val="00BE1CE1"/>
    <w:rsid w:val="00BE20A7"/>
    <w:rsid w:val="00BE20AB"/>
    <w:rsid w:val="00BE2180"/>
    <w:rsid w:val="00BE21F2"/>
    <w:rsid w:val="00BE22D9"/>
    <w:rsid w:val="00BE26C2"/>
    <w:rsid w:val="00BE40E7"/>
    <w:rsid w:val="00BE4275"/>
    <w:rsid w:val="00BE5581"/>
    <w:rsid w:val="00BE58ED"/>
    <w:rsid w:val="00BE5F60"/>
    <w:rsid w:val="00BE6AF0"/>
    <w:rsid w:val="00BE7784"/>
    <w:rsid w:val="00BE7B6C"/>
    <w:rsid w:val="00BF0133"/>
    <w:rsid w:val="00BF06AE"/>
    <w:rsid w:val="00BF0AE6"/>
    <w:rsid w:val="00BF0EAE"/>
    <w:rsid w:val="00BF0F95"/>
    <w:rsid w:val="00BF2045"/>
    <w:rsid w:val="00BF2433"/>
    <w:rsid w:val="00BF2618"/>
    <w:rsid w:val="00BF2E6E"/>
    <w:rsid w:val="00BF3BAD"/>
    <w:rsid w:val="00BF3BED"/>
    <w:rsid w:val="00BF463B"/>
    <w:rsid w:val="00BF5B20"/>
    <w:rsid w:val="00BF5C68"/>
    <w:rsid w:val="00BF5D3C"/>
    <w:rsid w:val="00BF61C9"/>
    <w:rsid w:val="00BF6224"/>
    <w:rsid w:val="00BF6C94"/>
    <w:rsid w:val="00BF77E4"/>
    <w:rsid w:val="00BF7F5F"/>
    <w:rsid w:val="00C00424"/>
    <w:rsid w:val="00C0065F"/>
    <w:rsid w:val="00C00BB0"/>
    <w:rsid w:val="00C0262F"/>
    <w:rsid w:val="00C02970"/>
    <w:rsid w:val="00C0306D"/>
    <w:rsid w:val="00C03076"/>
    <w:rsid w:val="00C03509"/>
    <w:rsid w:val="00C0400C"/>
    <w:rsid w:val="00C04B02"/>
    <w:rsid w:val="00C058E3"/>
    <w:rsid w:val="00C05A8D"/>
    <w:rsid w:val="00C065A0"/>
    <w:rsid w:val="00C066FF"/>
    <w:rsid w:val="00C06EE2"/>
    <w:rsid w:val="00C076B0"/>
    <w:rsid w:val="00C07B0B"/>
    <w:rsid w:val="00C1079D"/>
    <w:rsid w:val="00C10FF6"/>
    <w:rsid w:val="00C1135E"/>
    <w:rsid w:val="00C11433"/>
    <w:rsid w:val="00C115EB"/>
    <w:rsid w:val="00C1179F"/>
    <w:rsid w:val="00C11EDB"/>
    <w:rsid w:val="00C127B9"/>
    <w:rsid w:val="00C128FA"/>
    <w:rsid w:val="00C12C14"/>
    <w:rsid w:val="00C12E02"/>
    <w:rsid w:val="00C131A5"/>
    <w:rsid w:val="00C133C9"/>
    <w:rsid w:val="00C1358B"/>
    <w:rsid w:val="00C139DB"/>
    <w:rsid w:val="00C158C3"/>
    <w:rsid w:val="00C15EAF"/>
    <w:rsid w:val="00C15F04"/>
    <w:rsid w:val="00C17520"/>
    <w:rsid w:val="00C1765E"/>
    <w:rsid w:val="00C1797E"/>
    <w:rsid w:val="00C179B3"/>
    <w:rsid w:val="00C17B4F"/>
    <w:rsid w:val="00C17B72"/>
    <w:rsid w:val="00C17E3F"/>
    <w:rsid w:val="00C200AA"/>
    <w:rsid w:val="00C2062A"/>
    <w:rsid w:val="00C21D35"/>
    <w:rsid w:val="00C23727"/>
    <w:rsid w:val="00C237ED"/>
    <w:rsid w:val="00C24632"/>
    <w:rsid w:val="00C24A50"/>
    <w:rsid w:val="00C25418"/>
    <w:rsid w:val="00C25B79"/>
    <w:rsid w:val="00C25D9C"/>
    <w:rsid w:val="00C25E7B"/>
    <w:rsid w:val="00C26A18"/>
    <w:rsid w:val="00C2747F"/>
    <w:rsid w:val="00C2778B"/>
    <w:rsid w:val="00C27812"/>
    <w:rsid w:val="00C27A6C"/>
    <w:rsid w:val="00C300B2"/>
    <w:rsid w:val="00C304F0"/>
    <w:rsid w:val="00C30C3C"/>
    <w:rsid w:val="00C30CD0"/>
    <w:rsid w:val="00C30E32"/>
    <w:rsid w:val="00C30E90"/>
    <w:rsid w:val="00C30F49"/>
    <w:rsid w:val="00C31128"/>
    <w:rsid w:val="00C3144C"/>
    <w:rsid w:val="00C31612"/>
    <w:rsid w:val="00C31649"/>
    <w:rsid w:val="00C31B30"/>
    <w:rsid w:val="00C32661"/>
    <w:rsid w:val="00C33CF8"/>
    <w:rsid w:val="00C33D9A"/>
    <w:rsid w:val="00C33DAE"/>
    <w:rsid w:val="00C3434C"/>
    <w:rsid w:val="00C360E3"/>
    <w:rsid w:val="00C377DA"/>
    <w:rsid w:val="00C37C5C"/>
    <w:rsid w:val="00C402D3"/>
    <w:rsid w:val="00C40385"/>
    <w:rsid w:val="00C4055A"/>
    <w:rsid w:val="00C40670"/>
    <w:rsid w:val="00C41768"/>
    <w:rsid w:val="00C430E3"/>
    <w:rsid w:val="00C434FA"/>
    <w:rsid w:val="00C43F7D"/>
    <w:rsid w:val="00C440EF"/>
    <w:rsid w:val="00C45AF8"/>
    <w:rsid w:val="00C45E96"/>
    <w:rsid w:val="00C46F75"/>
    <w:rsid w:val="00C47266"/>
    <w:rsid w:val="00C475AA"/>
    <w:rsid w:val="00C47A2C"/>
    <w:rsid w:val="00C50580"/>
    <w:rsid w:val="00C50676"/>
    <w:rsid w:val="00C50772"/>
    <w:rsid w:val="00C50F3C"/>
    <w:rsid w:val="00C5146C"/>
    <w:rsid w:val="00C51A67"/>
    <w:rsid w:val="00C51BDE"/>
    <w:rsid w:val="00C51C71"/>
    <w:rsid w:val="00C527C7"/>
    <w:rsid w:val="00C52C34"/>
    <w:rsid w:val="00C530CF"/>
    <w:rsid w:val="00C535EA"/>
    <w:rsid w:val="00C53C98"/>
    <w:rsid w:val="00C53FC6"/>
    <w:rsid w:val="00C54320"/>
    <w:rsid w:val="00C5462E"/>
    <w:rsid w:val="00C547EE"/>
    <w:rsid w:val="00C54AD4"/>
    <w:rsid w:val="00C54D4F"/>
    <w:rsid w:val="00C5576C"/>
    <w:rsid w:val="00C55825"/>
    <w:rsid w:val="00C55D81"/>
    <w:rsid w:val="00C56FCF"/>
    <w:rsid w:val="00C572F6"/>
    <w:rsid w:val="00C57AC5"/>
    <w:rsid w:val="00C57AE4"/>
    <w:rsid w:val="00C57B6C"/>
    <w:rsid w:val="00C57BCE"/>
    <w:rsid w:val="00C60242"/>
    <w:rsid w:val="00C602A6"/>
    <w:rsid w:val="00C616AF"/>
    <w:rsid w:val="00C619B8"/>
    <w:rsid w:val="00C61A59"/>
    <w:rsid w:val="00C61E78"/>
    <w:rsid w:val="00C62079"/>
    <w:rsid w:val="00C628A6"/>
    <w:rsid w:val="00C62B18"/>
    <w:rsid w:val="00C62BF4"/>
    <w:rsid w:val="00C6332B"/>
    <w:rsid w:val="00C635B7"/>
    <w:rsid w:val="00C64344"/>
    <w:rsid w:val="00C64918"/>
    <w:rsid w:val="00C64E75"/>
    <w:rsid w:val="00C65108"/>
    <w:rsid w:val="00C65287"/>
    <w:rsid w:val="00C6542F"/>
    <w:rsid w:val="00C65576"/>
    <w:rsid w:val="00C65833"/>
    <w:rsid w:val="00C66165"/>
    <w:rsid w:val="00C661A4"/>
    <w:rsid w:val="00C67075"/>
    <w:rsid w:val="00C7060A"/>
    <w:rsid w:val="00C711BE"/>
    <w:rsid w:val="00C7151A"/>
    <w:rsid w:val="00C717E3"/>
    <w:rsid w:val="00C71F60"/>
    <w:rsid w:val="00C72241"/>
    <w:rsid w:val="00C72E42"/>
    <w:rsid w:val="00C74575"/>
    <w:rsid w:val="00C75097"/>
    <w:rsid w:val="00C750C8"/>
    <w:rsid w:val="00C7546D"/>
    <w:rsid w:val="00C755C4"/>
    <w:rsid w:val="00C7560F"/>
    <w:rsid w:val="00C765F8"/>
    <w:rsid w:val="00C76A92"/>
    <w:rsid w:val="00C770CD"/>
    <w:rsid w:val="00C775CC"/>
    <w:rsid w:val="00C80155"/>
    <w:rsid w:val="00C801C8"/>
    <w:rsid w:val="00C80A0E"/>
    <w:rsid w:val="00C80AE6"/>
    <w:rsid w:val="00C80C79"/>
    <w:rsid w:val="00C80D56"/>
    <w:rsid w:val="00C81B6B"/>
    <w:rsid w:val="00C81C29"/>
    <w:rsid w:val="00C81E41"/>
    <w:rsid w:val="00C8213F"/>
    <w:rsid w:val="00C82D17"/>
    <w:rsid w:val="00C8303F"/>
    <w:rsid w:val="00C83F8B"/>
    <w:rsid w:val="00C85154"/>
    <w:rsid w:val="00C85724"/>
    <w:rsid w:val="00C85A70"/>
    <w:rsid w:val="00C870D6"/>
    <w:rsid w:val="00C872F2"/>
    <w:rsid w:val="00C8749D"/>
    <w:rsid w:val="00C8797A"/>
    <w:rsid w:val="00C87B16"/>
    <w:rsid w:val="00C900B8"/>
    <w:rsid w:val="00C90197"/>
    <w:rsid w:val="00C90BD3"/>
    <w:rsid w:val="00C90C71"/>
    <w:rsid w:val="00C90D7A"/>
    <w:rsid w:val="00C910B1"/>
    <w:rsid w:val="00C91338"/>
    <w:rsid w:val="00C91FD1"/>
    <w:rsid w:val="00C92D3B"/>
    <w:rsid w:val="00C931CF"/>
    <w:rsid w:val="00C938CF"/>
    <w:rsid w:val="00C94053"/>
    <w:rsid w:val="00C940F0"/>
    <w:rsid w:val="00C94E74"/>
    <w:rsid w:val="00C9624D"/>
    <w:rsid w:val="00C969DA"/>
    <w:rsid w:val="00C97DAA"/>
    <w:rsid w:val="00CA06D8"/>
    <w:rsid w:val="00CA0893"/>
    <w:rsid w:val="00CA10EE"/>
    <w:rsid w:val="00CA1426"/>
    <w:rsid w:val="00CA1A92"/>
    <w:rsid w:val="00CA1EAA"/>
    <w:rsid w:val="00CA28AE"/>
    <w:rsid w:val="00CA2C77"/>
    <w:rsid w:val="00CA30AA"/>
    <w:rsid w:val="00CA3E3D"/>
    <w:rsid w:val="00CA4294"/>
    <w:rsid w:val="00CA444F"/>
    <w:rsid w:val="00CA5245"/>
    <w:rsid w:val="00CA5D61"/>
    <w:rsid w:val="00CA69A1"/>
    <w:rsid w:val="00CA71F4"/>
    <w:rsid w:val="00CA7381"/>
    <w:rsid w:val="00CA73D4"/>
    <w:rsid w:val="00CA7B09"/>
    <w:rsid w:val="00CB0391"/>
    <w:rsid w:val="00CB12A5"/>
    <w:rsid w:val="00CB1A84"/>
    <w:rsid w:val="00CB1CAC"/>
    <w:rsid w:val="00CB2954"/>
    <w:rsid w:val="00CB2F2A"/>
    <w:rsid w:val="00CB3175"/>
    <w:rsid w:val="00CB43CF"/>
    <w:rsid w:val="00CB4FB4"/>
    <w:rsid w:val="00CB589E"/>
    <w:rsid w:val="00CB5B1A"/>
    <w:rsid w:val="00CB61B6"/>
    <w:rsid w:val="00CB6ACB"/>
    <w:rsid w:val="00CB6B22"/>
    <w:rsid w:val="00CB6BCC"/>
    <w:rsid w:val="00CB6F8B"/>
    <w:rsid w:val="00CB734A"/>
    <w:rsid w:val="00CB7471"/>
    <w:rsid w:val="00CB7490"/>
    <w:rsid w:val="00CB74B7"/>
    <w:rsid w:val="00CB784E"/>
    <w:rsid w:val="00CB7F52"/>
    <w:rsid w:val="00CB7F5F"/>
    <w:rsid w:val="00CC0E61"/>
    <w:rsid w:val="00CC11AA"/>
    <w:rsid w:val="00CC1B39"/>
    <w:rsid w:val="00CC1BFA"/>
    <w:rsid w:val="00CC2281"/>
    <w:rsid w:val="00CC27B7"/>
    <w:rsid w:val="00CC2E9F"/>
    <w:rsid w:val="00CC35EA"/>
    <w:rsid w:val="00CC3815"/>
    <w:rsid w:val="00CC3848"/>
    <w:rsid w:val="00CC45F9"/>
    <w:rsid w:val="00CC690E"/>
    <w:rsid w:val="00CC6D5E"/>
    <w:rsid w:val="00CC6DFD"/>
    <w:rsid w:val="00CC6F1F"/>
    <w:rsid w:val="00CC7DE2"/>
    <w:rsid w:val="00CC7FAF"/>
    <w:rsid w:val="00CD0200"/>
    <w:rsid w:val="00CD13F1"/>
    <w:rsid w:val="00CD2B6C"/>
    <w:rsid w:val="00CD3802"/>
    <w:rsid w:val="00CD3A36"/>
    <w:rsid w:val="00CD3D48"/>
    <w:rsid w:val="00CD3F77"/>
    <w:rsid w:val="00CD4A91"/>
    <w:rsid w:val="00CD55A2"/>
    <w:rsid w:val="00CD579C"/>
    <w:rsid w:val="00CD5F27"/>
    <w:rsid w:val="00CD60F5"/>
    <w:rsid w:val="00CD6ADC"/>
    <w:rsid w:val="00CD7193"/>
    <w:rsid w:val="00CD76DA"/>
    <w:rsid w:val="00CE0210"/>
    <w:rsid w:val="00CE048B"/>
    <w:rsid w:val="00CE1690"/>
    <w:rsid w:val="00CE1D0A"/>
    <w:rsid w:val="00CE24F5"/>
    <w:rsid w:val="00CE3014"/>
    <w:rsid w:val="00CE34E4"/>
    <w:rsid w:val="00CE3558"/>
    <w:rsid w:val="00CE36C1"/>
    <w:rsid w:val="00CE36D6"/>
    <w:rsid w:val="00CE38C8"/>
    <w:rsid w:val="00CE39E5"/>
    <w:rsid w:val="00CE40B9"/>
    <w:rsid w:val="00CE5048"/>
    <w:rsid w:val="00CE524F"/>
    <w:rsid w:val="00CE564F"/>
    <w:rsid w:val="00CE56E2"/>
    <w:rsid w:val="00CE58CC"/>
    <w:rsid w:val="00CE6274"/>
    <w:rsid w:val="00CE672B"/>
    <w:rsid w:val="00CE77B6"/>
    <w:rsid w:val="00CE7957"/>
    <w:rsid w:val="00CE7E83"/>
    <w:rsid w:val="00CF130A"/>
    <w:rsid w:val="00CF209F"/>
    <w:rsid w:val="00CF23CC"/>
    <w:rsid w:val="00CF2B8D"/>
    <w:rsid w:val="00CF2FE6"/>
    <w:rsid w:val="00CF3A1B"/>
    <w:rsid w:val="00CF3AAB"/>
    <w:rsid w:val="00CF456B"/>
    <w:rsid w:val="00CF5A22"/>
    <w:rsid w:val="00CF6655"/>
    <w:rsid w:val="00CF7DF5"/>
    <w:rsid w:val="00D00896"/>
    <w:rsid w:val="00D0147E"/>
    <w:rsid w:val="00D0213A"/>
    <w:rsid w:val="00D0262E"/>
    <w:rsid w:val="00D0305F"/>
    <w:rsid w:val="00D03199"/>
    <w:rsid w:val="00D03679"/>
    <w:rsid w:val="00D046E8"/>
    <w:rsid w:val="00D04843"/>
    <w:rsid w:val="00D05DB5"/>
    <w:rsid w:val="00D05E0B"/>
    <w:rsid w:val="00D05E3D"/>
    <w:rsid w:val="00D060C9"/>
    <w:rsid w:val="00D06139"/>
    <w:rsid w:val="00D07018"/>
    <w:rsid w:val="00D1025B"/>
    <w:rsid w:val="00D10923"/>
    <w:rsid w:val="00D10E2C"/>
    <w:rsid w:val="00D110BD"/>
    <w:rsid w:val="00D116BF"/>
    <w:rsid w:val="00D1180A"/>
    <w:rsid w:val="00D11FBF"/>
    <w:rsid w:val="00D1212D"/>
    <w:rsid w:val="00D12551"/>
    <w:rsid w:val="00D12739"/>
    <w:rsid w:val="00D12D49"/>
    <w:rsid w:val="00D135A4"/>
    <w:rsid w:val="00D13675"/>
    <w:rsid w:val="00D141E1"/>
    <w:rsid w:val="00D14835"/>
    <w:rsid w:val="00D14A06"/>
    <w:rsid w:val="00D150F5"/>
    <w:rsid w:val="00D15314"/>
    <w:rsid w:val="00D15B48"/>
    <w:rsid w:val="00D161CB"/>
    <w:rsid w:val="00D16B09"/>
    <w:rsid w:val="00D16DCB"/>
    <w:rsid w:val="00D17D6C"/>
    <w:rsid w:val="00D17EFE"/>
    <w:rsid w:val="00D2004B"/>
    <w:rsid w:val="00D2040D"/>
    <w:rsid w:val="00D20631"/>
    <w:rsid w:val="00D21266"/>
    <w:rsid w:val="00D21482"/>
    <w:rsid w:val="00D2155B"/>
    <w:rsid w:val="00D21865"/>
    <w:rsid w:val="00D21EFF"/>
    <w:rsid w:val="00D2357B"/>
    <w:rsid w:val="00D23D11"/>
    <w:rsid w:val="00D244B6"/>
    <w:rsid w:val="00D24B8C"/>
    <w:rsid w:val="00D2666F"/>
    <w:rsid w:val="00D26A2F"/>
    <w:rsid w:val="00D27079"/>
    <w:rsid w:val="00D2710E"/>
    <w:rsid w:val="00D27512"/>
    <w:rsid w:val="00D2754D"/>
    <w:rsid w:val="00D27AE5"/>
    <w:rsid w:val="00D27B27"/>
    <w:rsid w:val="00D30D5B"/>
    <w:rsid w:val="00D3113C"/>
    <w:rsid w:val="00D319D0"/>
    <w:rsid w:val="00D31BF9"/>
    <w:rsid w:val="00D32010"/>
    <w:rsid w:val="00D321A4"/>
    <w:rsid w:val="00D33B2C"/>
    <w:rsid w:val="00D33BE9"/>
    <w:rsid w:val="00D33D1D"/>
    <w:rsid w:val="00D33F93"/>
    <w:rsid w:val="00D357FF"/>
    <w:rsid w:val="00D35BEA"/>
    <w:rsid w:val="00D36083"/>
    <w:rsid w:val="00D360B5"/>
    <w:rsid w:val="00D368D6"/>
    <w:rsid w:val="00D40054"/>
    <w:rsid w:val="00D40277"/>
    <w:rsid w:val="00D40BCF"/>
    <w:rsid w:val="00D414EE"/>
    <w:rsid w:val="00D424C7"/>
    <w:rsid w:val="00D42F38"/>
    <w:rsid w:val="00D43146"/>
    <w:rsid w:val="00D43B2A"/>
    <w:rsid w:val="00D43CF1"/>
    <w:rsid w:val="00D43D83"/>
    <w:rsid w:val="00D4428E"/>
    <w:rsid w:val="00D44482"/>
    <w:rsid w:val="00D4461B"/>
    <w:rsid w:val="00D459B7"/>
    <w:rsid w:val="00D45D98"/>
    <w:rsid w:val="00D46582"/>
    <w:rsid w:val="00D47575"/>
    <w:rsid w:val="00D4792B"/>
    <w:rsid w:val="00D47D6E"/>
    <w:rsid w:val="00D47EEC"/>
    <w:rsid w:val="00D5068C"/>
    <w:rsid w:val="00D5152D"/>
    <w:rsid w:val="00D5225B"/>
    <w:rsid w:val="00D5243B"/>
    <w:rsid w:val="00D52612"/>
    <w:rsid w:val="00D5287C"/>
    <w:rsid w:val="00D52898"/>
    <w:rsid w:val="00D52BF1"/>
    <w:rsid w:val="00D533EC"/>
    <w:rsid w:val="00D54A3F"/>
    <w:rsid w:val="00D5539B"/>
    <w:rsid w:val="00D55BA4"/>
    <w:rsid w:val="00D5617C"/>
    <w:rsid w:val="00D5698B"/>
    <w:rsid w:val="00D56A95"/>
    <w:rsid w:val="00D56B9B"/>
    <w:rsid w:val="00D5746E"/>
    <w:rsid w:val="00D57480"/>
    <w:rsid w:val="00D578AA"/>
    <w:rsid w:val="00D57956"/>
    <w:rsid w:val="00D6039B"/>
    <w:rsid w:val="00D6076E"/>
    <w:rsid w:val="00D60DDE"/>
    <w:rsid w:val="00D61062"/>
    <w:rsid w:val="00D61479"/>
    <w:rsid w:val="00D616B9"/>
    <w:rsid w:val="00D61909"/>
    <w:rsid w:val="00D61D5B"/>
    <w:rsid w:val="00D61E4E"/>
    <w:rsid w:val="00D6211C"/>
    <w:rsid w:val="00D622C4"/>
    <w:rsid w:val="00D625C4"/>
    <w:rsid w:val="00D636FC"/>
    <w:rsid w:val="00D63EEF"/>
    <w:rsid w:val="00D641D3"/>
    <w:rsid w:val="00D64306"/>
    <w:rsid w:val="00D647F8"/>
    <w:rsid w:val="00D65405"/>
    <w:rsid w:val="00D6568C"/>
    <w:rsid w:val="00D65769"/>
    <w:rsid w:val="00D65846"/>
    <w:rsid w:val="00D66567"/>
    <w:rsid w:val="00D668CE"/>
    <w:rsid w:val="00D67AFB"/>
    <w:rsid w:val="00D7014E"/>
    <w:rsid w:val="00D704F3"/>
    <w:rsid w:val="00D705D5"/>
    <w:rsid w:val="00D70F16"/>
    <w:rsid w:val="00D70FA9"/>
    <w:rsid w:val="00D710EC"/>
    <w:rsid w:val="00D711A2"/>
    <w:rsid w:val="00D714C6"/>
    <w:rsid w:val="00D719A2"/>
    <w:rsid w:val="00D72617"/>
    <w:rsid w:val="00D72A77"/>
    <w:rsid w:val="00D72F57"/>
    <w:rsid w:val="00D731B1"/>
    <w:rsid w:val="00D7448D"/>
    <w:rsid w:val="00D74A4C"/>
    <w:rsid w:val="00D75410"/>
    <w:rsid w:val="00D75B18"/>
    <w:rsid w:val="00D76A44"/>
    <w:rsid w:val="00D7704E"/>
    <w:rsid w:val="00D809BA"/>
    <w:rsid w:val="00D80B1E"/>
    <w:rsid w:val="00D80D11"/>
    <w:rsid w:val="00D81130"/>
    <w:rsid w:val="00D815EF"/>
    <w:rsid w:val="00D817B3"/>
    <w:rsid w:val="00D818DD"/>
    <w:rsid w:val="00D81949"/>
    <w:rsid w:val="00D81A13"/>
    <w:rsid w:val="00D81B23"/>
    <w:rsid w:val="00D81F26"/>
    <w:rsid w:val="00D822E2"/>
    <w:rsid w:val="00D823B6"/>
    <w:rsid w:val="00D82859"/>
    <w:rsid w:val="00D833F0"/>
    <w:rsid w:val="00D83D7C"/>
    <w:rsid w:val="00D83DA4"/>
    <w:rsid w:val="00D83DEB"/>
    <w:rsid w:val="00D842AD"/>
    <w:rsid w:val="00D843F2"/>
    <w:rsid w:val="00D858D1"/>
    <w:rsid w:val="00D86231"/>
    <w:rsid w:val="00D864E8"/>
    <w:rsid w:val="00D86853"/>
    <w:rsid w:val="00D87FD8"/>
    <w:rsid w:val="00D903C5"/>
    <w:rsid w:val="00D903F5"/>
    <w:rsid w:val="00D90C4B"/>
    <w:rsid w:val="00D912AB"/>
    <w:rsid w:val="00D9168D"/>
    <w:rsid w:val="00D91923"/>
    <w:rsid w:val="00D91B0C"/>
    <w:rsid w:val="00D923F7"/>
    <w:rsid w:val="00D92CBB"/>
    <w:rsid w:val="00D92D9D"/>
    <w:rsid w:val="00D9300B"/>
    <w:rsid w:val="00D93753"/>
    <w:rsid w:val="00D93CA5"/>
    <w:rsid w:val="00D93EB2"/>
    <w:rsid w:val="00D94083"/>
    <w:rsid w:val="00D940CB"/>
    <w:rsid w:val="00D941E1"/>
    <w:rsid w:val="00D9521F"/>
    <w:rsid w:val="00D95E2D"/>
    <w:rsid w:val="00D95F8A"/>
    <w:rsid w:val="00D960D4"/>
    <w:rsid w:val="00D96E7A"/>
    <w:rsid w:val="00D973A9"/>
    <w:rsid w:val="00D97AAC"/>
    <w:rsid w:val="00D97D65"/>
    <w:rsid w:val="00DA0BC1"/>
    <w:rsid w:val="00DA1736"/>
    <w:rsid w:val="00DA1EB4"/>
    <w:rsid w:val="00DA2304"/>
    <w:rsid w:val="00DA2E95"/>
    <w:rsid w:val="00DA3167"/>
    <w:rsid w:val="00DA33C9"/>
    <w:rsid w:val="00DA3473"/>
    <w:rsid w:val="00DA4DC3"/>
    <w:rsid w:val="00DA4F37"/>
    <w:rsid w:val="00DA61EA"/>
    <w:rsid w:val="00DA62C9"/>
    <w:rsid w:val="00DA6376"/>
    <w:rsid w:val="00DA65B3"/>
    <w:rsid w:val="00DA73E3"/>
    <w:rsid w:val="00DA77A5"/>
    <w:rsid w:val="00DA79ED"/>
    <w:rsid w:val="00DA7A81"/>
    <w:rsid w:val="00DA7D1F"/>
    <w:rsid w:val="00DB0E36"/>
    <w:rsid w:val="00DB13EF"/>
    <w:rsid w:val="00DB151F"/>
    <w:rsid w:val="00DB1A71"/>
    <w:rsid w:val="00DB2659"/>
    <w:rsid w:val="00DB2723"/>
    <w:rsid w:val="00DB2E73"/>
    <w:rsid w:val="00DB3401"/>
    <w:rsid w:val="00DB340B"/>
    <w:rsid w:val="00DB3B93"/>
    <w:rsid w:val="00DB3DBF"/>
    <w:rsid w:val="00DB3F2F"/>
    <w:rsid w:val="00DB443F"/>
    <w:rsid w:val="00DB484F"/>
    <w:rsid w:val="00DB49D2"/>
    <w:rsid w:val="00DB4D49"/>
    <w:rsid w:val="00DB5163"/>
    <w:rsid w:val="00DB5352"/>
    <w:rsid w:val="00DB5853"/>
    <w:rsid w:val="00DB59B0"/>
    <w:rsid w:val="00DB5CEE"/>
    <w:rsid w:val="00DB5E0E"/>
    <w:rsid w:val="00DB5E16"/>
    <w:rsid w:val="00DB60CD"/>
    <w:rsid w:val="00DB6601"/>
    <w:rsid w:val="00DB7492"/>
    <w:rsid w:val="00DB7E85"/>
    <w:rsid w:val="00DC04F6"/>
    <w:rsid w:val="00DC0690"/>
    <w:rsid w:val="00DC0D2D"/>
    <w:rsid w:val="00DC0D92"/>
    <w:rsid w:val="00DC1D65"/>
    <w:rsid w:val="00DC23A9"/>
    <w:rsid w:val="00DC3553"/>
    <w:rsid w:val="00DC3C57"/>
    <w:rsid w:val="00DC3C71"/>
    <w:rsid w:val="00DC4AC6"/>
    <w:rsid w:val="00DC4C02"/>
    <w:rsid w:val="00DC4C29"/>
    <w:rsid w:val="00DC5501"/>
    <w:rsid w:val="00DC5DE4"/>
    <w:rsid w:val="00DC6744"/>
    <w:rsid w:val="00DC6DEA"/>
    <w:rsid w:val="00DC6F7D"/>
    <w:rsid w:val="00DC7154"/>
    <w:rsid w:val="00DC77B7"/>
    <w:rsid w:val="00DC7C5E"/>
    <w:rsid w:val="00DC7E8A"/>
    <w:rsid w:val="00DD0ACE"/>
    <w:rsid w:val="00DD0BD6"/>
    <w:rsid w:val="00DD0F78"/>
    <w:rsid w:val="00DD197C"/>
    <w:rsid w:val="00DD1B2E"/>
    <w:rsid w:val="00DD273C"/>
    <w:rsid w:val="00DD273D"/>
    <w:rsid w:val="00DD303F"/>
    <w:rsid w:val="00DD30EE"/>
    <w:rsid w:val="00DD37F5"/>
    <w:rsid w:val="00DD3933"/>
    <w:rsid w:val="00DD3B17"/>
    <w:rsid w:val="00DD3F28"/>
    <w:rsid w:val="00DD4446"/>
    <w:rsid w:val="00DD4537"/>
    <w:rsid w:val="00DD4580"/>
    <w:rsid w:val="00DD4E15"/>
    <w:rsid w:val="00DD6317"/>
    <w:rsid w:val="00DD6411"/>
    <w:rsid w:val="00DD6ACF"/>
    <w:rsid w:val="00DD6FB9"/>
    <w:rsid w:val="00DD783C"/>
    <w:rsid w:val="00DD7EAE"/>
    <w:rsid w:val="00DE0605"/>
    <w:rsid w:val="00DE0F41"/>
    <w:rsid w:val="00DE11E7"/>
    <w:rsid w:val="00DE131B"/>
    <w:rsid w:val="00DE1FED"/>
    <w:rsid w:val="00DE2304"/>
    <w:rsid w:val="00DE2564"/>
    <w:rsid w:val="00DE3138"/>
    <w:rsid w:val="00DE3591"/>
    <w:rsid w:val="00DE37F8"/>
    <w:rsid w:val="00DE4273"/>
    <w:rsid w:val="00DE4697"/>
    <w:rsid w:val="00DE47D7"/>
    <w:rsid w:val="00DE48EC"/>
    <w:rsid w:val="00DE4FCB"/>
    <w:rsid w:val="00DE50E5"/>
    <w:rsid w:val="00DE55ED"/>
    <w:rsid w:val="00DE5A53"/>
    <w:rsid w:val="00DE5AAA"/>
    <w:rsid w:val="00DE5D07"/>
    <w:rsid w:val="00DE621B"/>
    <w:rsid w:val="00DE65B8"/>
    <w:rsid w:val="00DE6828"/>
    <w:rsid w:val="00DE7275"/>
    <w:rsid w:val="00DE72A7"/>
    <w:rsid w:val="00DE761A"/>
    <w:rsid w:val="00DE7832"/>
    <w:rsid w:val="00DF0A0F"/>
    <w:rsid w:val="00DF0AAE"/>
    <w:rsid w:val="00DF0F39"/>
    <w:rsid w:val="00DF0F62"/>
    <w:rsid w:val="00DF100E"/>
    <w:rsid w:val="00DF14F6"/>
    <w:rsid w:val="00DF16DA"/>
    <w:rsid w:val="00DF18FC"/>
    <w:rsid w:val="00DF1ECF"/>
    <w:rsid w:val="00DF26DC"/>
    <w:rsid w:val="00DF278C"/>
    <w:rsid w:val="00DF3238"/>
    <w:rsid w:val="00DF357C"/>
    <w:rsid w:val="00DF35E2"/>
    <w:rsid w:val="00DF463C"/>
    <w:rsid w:val="00DF4D53"/>
    <w:rsid w:val="00DF4E18"/>
    <w:rsid w:val="00DF4EBE"/>
    <w:rsid w:val="00DF5D2B"/>
    <w:rsid w:val="00DF632B"/>
    <w:rsid w:val="00DF6341"/>
    <w:rsid w:val="00DF64AD"/>
    <w:rsid w:val="00DF6D80"/>
    <w:rsid w:val="00DF6E44"/>
    <w:rsid w:val="00DF6E7E"/>
    <w:rsid w:val="00DF715D"/>
    <w:rsid w:val="00DF7211"/>
    <w:rsid w:val="00E00442"/>
    <w:rsid w:val="00E006D9"/>
    <w:rsid w:val="00E00E8E"/>
    <w:rsid w:val="00E01A03"/>
    <w:rsid w:val="00E01CA6"/>
    <w:rsid w:val="00E02209"/>
    <w:rsid w:val="00E03391"/>
    <w:rsid w:val="00E047F9"/>
    <w:rsid w:val="00E04A0B"/>
    <w:rsid w:val="00E04AFF"/>
    <w:rsid w:val="00E04B88"/>
    <w:rsid w:val="00E05630"/>
    <w:rsid w:val="00E058C4"/>
    <w:rsid w:val="00E06DBB"/>
    <w:rsid w:val="00E07A2B"/>
    <w:rsid w:val="00E10149"/>
    <w:rsid w:val="00E10763"/>
    <w:rsid w:val="00E11235"/>
    <w:rsid w:val="00E11340"/>
    <w:rsid w:val="00E11C78"/>
    <w:rsid w:val="00E122A1"/>
    <w:rsid w:val="00E1266C"/>
    <w:rsid w:val="00E1280D"/>
    <w:rsid w:val="00E12841"/>
    <w:rsid w:val="00E12E50"/>
    <w:rsid w:val="00E130E4"/>
    <w:rsid w:val="00E1346C"/>
    <w:rsid w:val="00E14498"/>
    <w:rsid w:val="00E14AC3"/>
    <w:rsid w:val="00E154AC"/>
    <w:rsid w:val="00E1599F"/>
    <w:rsid w:val="00E15B61"/>
    <w:rsid w:val="00E16372"/>
    <w:rsid w:val="00E16AD8"/>
    <w:rsid w:val="00E17770"/>
    <w:rsid w:val="00E17DB2"/>
    <w:rsid w:val="00E17FFA"/>
    <w:rsid w:val="00E20A51"/>
    <w:rsid w:val="00E20E4D"/>
    <w:rsid w:val="00E20ED6"/>
    <w:rsid w:val="00E21358"/>
    <w:rsid w:val="00E217B5"/>
    <w:rsid w:val="00E22259"/>
    <w:rsid w:val="00E2249B"/>
    <w:rsid w:val="00E22A0D"/>
    <w:rsid w:val="00E22B3D"/>
    <w:rsid w:val="00E22E98"/>
    <w:rsid w:val="00E23258"/>
    <w:rsid w:val="00E2329B"/>
    <w:rsid w:val="00E23FC4"/>
    <w:rsid w:val="00E244F6"/>
    <w:rsid w:val="00E256D8"/>
    <w:rsid w:val="00E258DB"/>
    <w:rsid w:val="00E25DC5"/>
    <w:rsid w:val="00E26483"/>
    <w:rsid w:val="00E27154"/>
    <w:rsid w:val="00E2771E"/>
    <w:rsid w:val="00E27B8A"/>
    <w:rsid w:val="00E30993"/>
    <w:rsid w:val="00E30E81"/>
    <w:rsid w:val="00E30FE9"/>
    <w:rsid w:val="00E311EF"/>
    <w:rsid w:val="00E31DA5"/>
    <w:rsid w:val="00E32180"/>
    <w:rsid w:val="00E32F24"/>
    <w:rsid w:val="00E34948"/>
    <w:rsid w:val="00E35370"/>
    <w:rsid w:val="00E35862"/>
    <w:rsid w:val="00E35FA1"/>
    <w:rsid w:val="00E3679D"/>
    <w:rsid w:val="00E36F10"/>
    <w:rsid w:val="00E37131"/>
    <w:rsid w:val="00E37569"/>
    <w:rsid w:val="00E37812"/>
    <w:rsid w:val="00E379B4"/>
    <w:rsid w:val="00E37E65"/>
    <w:rsid w:val="00E401B2"/>
    <w:rsid w:val="00E4126E"/>
    <w:rsid w:val="00E4161D"/>
    <w:rsid w:val="00E4163E"/>
    <w:rsid w:val="00E41A02"/>
    <w:rsid w:val="00E41E30"/>
    <w:rsid w:val="00E42626"/>
    <w:rsid w:val="00E42CD8"/>
    <w:rsid w:val="00E42CEF"/>
    <w:rsid w:val="00E42F73"/>
    <w:rsid w:val="00E43630"/>
    <w:rsid w:val="00E437D5"/>
    <w:rsid w:val="00E43D70"/>
    <w:rsid w:val="00E44E43"/>
    <w:rsid w:val="00E44EB2"/>
    <w:rsid w:val="00E45B95"/>
    <w:rsid w:val="00E466F3"/>
    <w:rsid w:val="00E46A1B"/>
    <w:rsid w:val="00E46F70"/>
    <w:rsid w:val="00E47B2C"/>
    <w:rsid w:val="00E47FAC"/>
    <w:rsid w:val="00E50712"/>
    <w:rsid w:val="00E51560"/>
    <w:rsid w:val="00E51821"/>
    <w:rsid w:val="00E51996"/>
    <w:rsid w:val="00E52937"/>
    <w:rsid w:val="00E530A7"/>
    <w:rsid w:val="00E531A0"/>
    <w:rsid w:val="00E53601"/>
    <w:rsid w:val="00E53FC8"/>
    <w:rsid w:val="00E54347"/>
    <w:rsid w:val="00E54490"/>
    <w:rsid w:val="00E549A1"/>
    <w:rsid w:val="00E54BAD"/>
    <w:rsid w:val="00E55424"/>
    <w:rsid w:val="00E55915"/>
    <w:rsid w:val="00E55BB5"/>
    <w:rsid w:val="00E55C2E"/>
    <w:rsid w:val="00E55C5C"/>
    <w:rsid w:val="00E566F3"/>
    <w:rsid w:val="00E57FBD"/>
    <w:rsid w:val="00E60671"/>
    <w:rsid w:val="00E60ABC"/>
    <w:rsid w:val="00E611DF"/>
    <w:rsid w:val="00E613F6"/>
    <w:rsid w:val="00E6162E"/>
    <w:rsid w:val="00E619C8"/>
    <w:rsid w:val="00E61A71"/>
    <w:rsid w:val="00E620B2"/>
    <w:rsid w:val="00E627C1"/>
    <w:rsid w:val="00E62858"/>
    <w:rsid w:val="00E63B61"/>
    <w:rsid w:val="00E64143"/>
    <w:rsid w:val="00E64C7A"/>
    <w:rsid w:val="00E6508A"/>
    <w:rsid w:val="00E6568F"/>
    <w:rsid w:val="00E656C2"/>
    <w:rsid w:val="00E65BFB"/>
    <w:rsid w:val="00E65E79"/>
    <w:rsid w:val="00E6633B"/>
    <w:rsid w:val="00E66BA2"/>
    <w:rsid w:val="00E66EC0"/>
    <w:rsid w:val="00E67416"/>
    <w:rsid w:val="00E67F5B"/>
    <w:rsid w:val="00E701BA"/>
    <w:rsid w:val="00E702B2"/>
    <w:rsid w:val="00E716E8"/>
    <w:rsid w:val="00E718B6"/>
    <w:rsid w:val="00E71AA5"/>
    <w:rsid w:val="00E723BA"/>
    <w:rsid w:val="00E7268B"/>
    <w:rsid w:val="00E73581"/>
    <w:rsid w:val="00E737E9"/>
    <w:rsid w:val="00E73843"/>
    <w:rsid w:val="00E73C8B"/>
    <w:rsid w:val="00E755E2"/>
    <w:rsid w:val="00E75988"/>
    <w:rsid w:val="00E7682C"/>
    <w:rsid w:val="00E7732C"/>
    <w:rsid w:val="00E77388"/>
    <w:rsid w:val="00E80171"/>
    <w:rsid w:val="00E81DBB"/>
    <w:rsid w:val="00E821A1"/>
    <w:rsid w:val="00E822C3"/>
    <w:rsid w:val="00E828BC"/>
    <w:rsid w:val="00E833F7"/>
    <w:rsid w:val="00E836AC"/>
    <w:rsid w:val="00E83BDF"/>
    <w:rsid w:val="00E84A7F"/>
    <w:rsid w:val="00E84E4B"/>
    <w:rsid w:val="00E854D0"/>
    <w:rsid w:val="00E85E66"/>
    <w:rsid w:val="00E86532"/>
    <w:rsid w:val="00E86685"/>
    <w:rsid w:val="00E86816"/>
    <w:rsid w:val="00E86F20"/>
    <w:rsid w:val="00E86FCC"/>
    <w:rsid w:val="00E87053"/>
    <w:rsid w:val="00E870C8"/>
    <w:rsid w:val="00E87A1D"/>
    <w:rsid w:val="00E87B20"/>
    <w:rsid w:val="00E87C3B"/>
    <w:rsid w:val="00E906D6"/>
    <w:rsid w:val="00E9094A"/>
    <w:rsid w:val="00E90C14"/>
    <w:rsid w:val="00E91B05"/>
    <w:rsid w:val="00E91D35"/>
    <w:rsid w:val="00E926A5"/>
    <w:rsid w:val="00E93AF6"/>
    <w:rsid w:val="00E9409D"/>
    <w:rsid w:val="00E94682"/>
    <w:rsid w:val="00E946F6"/>
    <w:rsid w:val="00E95B87"/>
    <w:rsid w:val="00E962CC"/>
    <w:rsid w:val="00E96D78"/>
    <w:rsid w:val="00E971E3"/>
    <w:rsid w:val="00E97246"/>
    <w:rsid w:val="00E973C8"/>
    <w:rsid w:val="00E97717"/>
    <w:rsid w:val="00EA147F"/>
    <w:rsid w:val="00EA17C3"/>
    <w:rsid w:val="00EA1D11"/>
    <w:rsid w:val="00EA203D"/>
    <w:rsid w:val="00EA2947"/>
    <w:rsid w:val="00EA2CAA"/>
    <w:rsid w:val="00EA3864"/>
    <w:rsid w:val="00EA448A"/>
    <w:rsid w:val="00EA4F55"/>
    <w:rsid w:val="00EA56F1"/>
    <w:rsid w:val="00EA5B76"/>
    <w:rsid w:val="00EA714D"/>
    <w:rsid w:val="00EA729F"/>
    <w:rsid w:val="00EA7330"/>
    <w:rsid w:val="00EA7A34"/>
    <w:rsid w:val="00EA7F1C"/>
    <w:rsid w:val="00EB007E"/>
    <w:rsid w:val="00EB06D1"/>
    <w:rsid w:val="00EB15B6"/>
    <w:rsid w:val="00EB2558"/>
    <w:rsid w:val="00EB265B"/>
    <w:rsid w:val="00EB2A89"/>
    <w:rsid w:val="00EB2D11"/>
    <w:rsid w:val="00EB37BB"/>
    <w:rsid w:val="00EB3A53"/>
    <w:rsid w:val="00EB3D06"/>
    <w:rsid w:val="00EB3FF8"/>
    <w:rsid w:val="00EB405C"/>
    <w:rsid w:val="00EB433F"/>
    <w:rsid w:val="00EB48A8"/>
    <w:rsid w:val="00EB4916"/>
    <w:rsid w:val="00EB50E6"/>
    <w:rsid w:val="00EB51D6"/>
    <w:rsid w:val="00EB57B6"/>
    <w:rsid w:val="00EB5F99"/>
    <w:rsid w:val="00EB6A52"/>
    <w:rsid w:val="00EB7D75"/>
    <w:rsid w:val="00EC00C9"/>
    <w:rsid w:val="00EC0DD9"/>
    <w:rsid w:val="00EC11AD"/>
    <w:rsid w:val="00EC12BF"/>
    <w:rsid w:val="00EC168F"/>
    <w:rsid w:val="00EC2179"/>
    <w:rsid w:val="00EC22C8"/>
    <w:rsid w:val="00EC25CD"/>
    <w:rsid w:val="00EC2649"/>
    <w:rsid w:val="00EC31ED"/>
    <w:rsid w:val="00EC3538"/>
    <w:rsid w:val="00EC3BEC"/>
    <w:rsid w:val="00EC3F9C"/>
    <w:rsid w:val="00EC4347"/>
    <w:rsid w:val="00EC437B"/>
    <w:rsid w:val="00EC4550"/>
    <w:rsid w:val="00EC526B"/>
    <w:rsid w:val="00EC53B3"/>
    <w:rsid w:val="00EC5836"/>
    <w:rsid w:val="00EC583E"/>
    <w:rsid w:val="00EC5B04"/>
    <w:rsid w:val="00EC625F"/>
    <w:rsid w:val="00EC688C"/>
    <w:rsid w:val="00EC6AD7"/>
    <w:rsid w:val="00EC7775"/>
    <w:rsid w:val="00ED01C9"/>
    <w:rsid w:val="00ED0CBB"/>
    <w:rsid w:val="00ED0E54"/>
    <w:rsid w:val="00ED118A"/>
    <w:rsid w:val="00ED12E3"/>
    <w:rsid w:val="00ED1585"/>
    <w:rsid w:val="00ED1CA4"/>
    <w:rsid w:val="00ED2949"/>
    <w:rsid w:val="00ED33A2"/>
    <w:rsid w:val="00ED35B9"/>
    <w:rsid w:val="00ED3938"/>
    <w:rsid w:val="00ED3BF8"/>
    <w:rsid w:val="00ED4302"/>
    <w:rsid w:val="00ED4B04"/>
    <w:rsid w:val="00ED4CA9"/>
    <w:rsid w:val="00ED57EA"/>
    <w:rsid w:val="00ED5B0A"/>
    <w:rsid w:val="00ED5BD4"/>
    <w:rsid w:val="00ED5BE7"/>
    <w:rsid w:val="00ED601B"/>
    <w:rsid w:val="00ED62FD"/>
    <w:rsid w:val="00ED632C"/>
    <w:rsid w:val="00ED693C"/>
    <w:rsid w:val="00ED7743"/>
    <w:rsid w:val="00EE00A9"/>
    <w:rsid w:val="00EE07D3"/>
    <w:rsid w:val="00EE0882"/>
    <w:rsid w:val="00EE15F0"/>
    <w:rsid w:val="00EE18B6"/>
    <w:rsid w:val="00EE191C"/>
    <w:rsid w:val="00EE1996"/>
    <w:rsid w:val="00EE19A9"/>
    <w:rsid w:val="00EE19F6"/>
    <w:rsid w:val="00EE1C01"/>
    <w:rsid w:val="00EE219B"/>
    <w:rsid w:val="00EE22AF"/>
    <w:rsid w:val="00EE326B"/>
    <w:rsid w:val="00EE3617"/>
    <w:rsid w:val="00EE4051"/>
    <w:rsid w:val="00EE53B8"/>
    <w:rsid w:val="00EE568A"/>
    <w:rsid w:val="00EE6D00"/>
    <w:rsid w:val="00EE7434"/>
    <w:rsid w:val="00EE7CC5"/>
    <w:rsid w:val="00EF0171"/>
    <w:rsid w:val="00EF1221"/>
    <w:rsid w:val="00EF16F2"/>
    <w:rsid w:val="00EF1989"/>
    <w:rsid w:val="00EF1B25"/>
    <w:rsid w:val="00EF1DA0"/>
    <w:rsid w:val="00EF1FD7"/>
    <w:rsid w:val="00EF2017"/>
    <w:rsid w:val="00EF29AD"/>
    <w:rsid w:val="00EF2BB7"/>
    <w:rsid w:val="00EF3556"/>
    <w:rsid w:val="00EF38CC"/>
    <w:rsid w:val="00EF3FAF"/>
    <w:rsid w:val="00EF407A"/>
    <w:rsid w:val="00EF4151"/>
    <w:rsid w:val="00EF4644"/>
    <w:rsid w:val="00EF4747"/>
    <w:rsid w:val="00EF4BF8"/>
    <w:rsid w:val="00EF5A6B"/>
    <w:rsid w:val="00EF70B9"/>
    <w:rsid w:val="00EF7E4E"/>
    <w:rsid w:val="00F00717"/>
    <w:rsid w:val="00F01239"/>
    <w:rsid w:val="00F0198B"/>
    <w:rsid w:val="00F01DF9"/>
    <w:rsid w:val="00F02253"/>
    <w:rsid w:val="00F03566"/>
    <w:rsid w:val="00F03828"/>
    <w:rsid w:val="00F03C2E"/>
    <w:rsid w:val="00F047E3"/>
    <w:rsid w:val="00F048BB"/>
    <w:rsid w:val="00F04A66"/>
    <w:rsid w:val="00F04B4B"/>
    <w:rsid w:val="00F0516C"/>
    <w:rsid w:val="00F067A2"/>
    <w:rsid w:val="00F0703D"/>
    <w:rsid w:val="00F07B9E"/>
    <w:rsid w:val="00F1007E"/>
    <w:rsid w:val="00F10E0C"/>
    <w:rsid w:val="00F1116F"/>
    <w:rsid w:val="00F11253"/>
    <w:rsid w:val="00F112A7"/>
    <w:rsid w:val="00F1173E"/>
    <w:rsid w:val="00F11879"/>
    <w:rsid w:val="00F11C7F"/>
    <w:rsid w:val="00F11DAC"/>
    <w:rsid w:val="00F11F62"/>
    <w:rsid w:val="00F121F2"/>
    <w:rsid w:val="00F1263A"/>
    <w:rsid w:val="00F129B5"/>
    <w:rsid w:val="00F130D9"/>
    <w:rsid w:val="00F139C5"/>
    <w:rsid w:val="00F13A4B"/>
    <w:rsid w:val="00F145F9"/>
    <w:rsid w:val="00F14FF3"/>
    <w:rsid w:val="00F15127"/>
    <w:rsid w:val="00F15615"/>
    <w:rsid w:val="00F15A2E"/>
    <w:rsid w:val="00F15B77"/>
    <w:rsid w:val="00F15C60"/>
    <w:rsid w:val="00F15CF5"/>
    <w:rsid w:val="00F16A31"/>
    <w:rsid w:val="00F1709A"/>
    <w:rsid w:val="00F177DB"/>
    <w:rsid w:val="00F208CB"/>
    <w:rsid w:val="00F20FB6"/>
    <w:rsid w:val="00F21215"/>
    <w:rsid w:val="00F21236"/>
    <w:rsid w:val="00F21B36"/>
    <w:rsid w:val="00F21E72"/>
    <w:rsid w:val="00F221E2"/>
    <w:rsid w:val="00F22461"/>
    <w:rsid w:val="00F22CF0"/>
    <w:rsid w:val="00F22D6C"/>
    <w:rsid w:val="00F23228"/>
    <w:rsid w:val="00F239DF"/>
    <w:rsid w:val="00F23E26"/>
    <w:rsid w:val="00F2419C"/>
    <w:rsid w:val="00F24837"/>
    <w:rsid w:val="00F24AF4"/>
    <w:rsid w:val="00F24C6D"/>
    <w:rsid w:val="00F24C9A"/>
    <w:rsid w:val="00F24E63"/>
    <w:rsid w:val="00F24F13"/>
    <w:rsid w:val="00F2575F"/>
    <w:rsid w:val="00F2581B"/>
    <w:rsid w:val="00F25D03"/>
    <w:rsid w:val="00F261EE"/>
    <w:rsid w:val="00F26B96"/>
    <w:rsid w:val="00F26F22"/>
    <w:rsid w:val="00F27565"/>
    <w:rsid w:val="00F30E10"/>
    <w:rsid w:val="00F30F20"/>
    <w:rsid w:val="00F310D4"/>
    <w:rsid w:val="00F31229"/>
    <w:rsid w:val="00F318C5"/>
    <w:rsid w:val="00F31D5A"/>
    <w:rsid w:val="00F323F1"/>
    <w:rsid w:val="00F32E5F"/>
    <w:rsid w:val="00F3327B"/>
    <w:rsid w:val="00F3345E"/>
    <w:rsid w:val="00F337D4"/>
    <w:rsid w:val="00F33975"/>
    <w:rsid w:val="00F33DE9"/>
    <w:rsid w:val="00F349E2"/>
    <w:rsid w:val="00F35E6D"/>
    <w:rsid w:val="00F3619A"/>
    <w:rsid w:val="00F36956"/>
    <w:rsid w:val="00F372DE"/>
    <w:rsid w:val="00F37A6A"/>
    <w:rsid w:val="00F40AAA"/>
    <w:rsid w:val="00F40BA7"/>
    <w:rsid w:val="00F40F9D"/>
    <w:rsid w:val="00F4123C"/>
    <w:rsid w:val="00F41ACD"/>
    <w:rsid w:val="00F41B4E"/>
    <w:rsid w:val="00F41B67"/>
    <w:rsid w:val="00F41EB2"/>
    <w:rsid w:val="00F42443"/>
    <w:rsid w:val="00F42706"/>
    <w:rsid w:val="00F427A3"/>
    <w:rsid w:val="00F42F9A"/>
    <w:rsid w:val="00F4377A"/>
    <w:rsid w:val="00F45A25"/>
    <w:rsid w:val="00F46408"/>
    <w:rsid w:val="00F464BC"/>
    <w:rsid w:val="00F46CB6"/>
    <w:rsid w:val="00F473DE"/>
    <w:rsid w:val="00F4756D"/>
    <w:rsid w:val="00F47778"/>
    <w:rsid w:val="00F47DE8"/>
    <w:rsid w:val="00F47FA6"/>
    <w:rsid w:val="00F47FCD"/>
    <w:rsid w:val="00F512AB"/>
    <w:rsid w:val="00F512E7"/>
    <w:rsid w:val="00F51372"/>
    <w:rsid w:val="00F5137A"/>
    <w:rsid w:val="00F51697"/>
    <w:rsid w:val="00F518AB"/>
    <w:rsid w:val="00F51D47"/>
    <w:rsid w:val="00F52738"/>
    <w:rsid w:val="00F531C4"/>
    <w:rsid w:val="00F54284"/>
    <w:rsid w:val="00F542C1"/>
    <w:rsid w:val="00F550E3"/>
    <w:rsid w:val="00F55BDD"/>
    <w:rsid w:val="00F55E73"/>
    <w:rsid w:val="00F55EDA"/>
    <w:rsid w:val="00F56030"/>
    <w:rsid w:val="00F56C80"/>
    <w:rsid w:val="00F56E95"/>
    <w:rsid w:val="00F56EF3"/>
    <w:rsid w:val="00F56FCB"/>
    <w:rsid w:val="00F5758A"/>
    <w:rsid w:val="00F60092"/>
    <w:rsid w:val="00F607EB"/>
    <w:rsid w:val="00F6089B"/>
    <w:rsid w:val="00F60D92"/>
    <w:rsid w:val="00F61AB3"/>
    <w:rsid w:val="00F61C18"/>
    <w:rsid w:val="00F62A35"/>
    <w:rsid w:val="00F62D03"/>
    <w:rsid w:val="00F631AD"/>
    <w:rsid w:val="00F6322C"/>
    <w:rsid w:val="00F636A8"/>
    <w:rsid w:val="00F65088"/>
    <w:rsid w:val="00F65461"/>
    <w:rsid w:val="00F65660"/>
    <w:rsid w:val="00F6595A"/>
    <w:rsid w:val="00F65F4B"/>
    <w:rsid w:val="00F660BF"/>
    <w:rsid w:val="00F67A69"/>
    <w:rsid w:val="00F67AC1"/>
    <w:rsid w:val="00F67E65"/>
    <w:rsid w:val="00F70BFF"/>
    <w:rsid w:val="00F70C9D"/>
    <w:rsid w:val="00F7150F"/>
    <w:rsid w:val="00F717EB"/>
    <w:rsid w:val="00F71B6D"/>
    <w:rsid w:val="00F73CB2"/>
    <w:rsid w:val="00F73E08"/>
    <w:rsid w:val="00F7426A"/>
    <w:rsid w:val="00F74519"/>
    <w:rsid w:val="00F7465B"/>
    <w:rsid w:val="00F74CD9"/>
    <w:rsid w:val="00F74EAE"/>
    <w:rsid w:val="00F75228"/>
    <w:rsid w:val="00F76BA7"/>
    <w:rsid w:val="00F777D2"/>
    <w:rsid w:val="00F808DB"/>
    <w:rsid w:val="00F80A7B"/>
    <w:rsid w:val="00F80B2E"/>
    <w:rsid w:val="00F80CC3"/>
    <w:rsid w:val="00F80E5D"/>
    <w:rsid w:val="00F81257"/>
    <w:rsid w:val="00F81650"/>
    <w:rsid w:val="00F81E78"/>
    <w:rsid w:val="00F82BAC"/>
    <w:rsid w:val="00F82F39"/>
    <w:rsid w:val="00F82FF1"/>
    <w:rsid w:val="00F836E1"/>
    <w:rsid w:val="00F83916"/>
    <w:rsid w:val="00F84783"/>
    <w:rsid w:val="00F8513C"/>
    <w:rsid w:val="00F851CE"/>
    <w:rsid w:val="00F86B18"/>
    <w:rsid w:val="00F8702E"/>
    <w:rsid w:val="00F8717E"/>
    <w:rsid w:val="00F87498"/>
    <w:rsid w:val="00F876BC"/>
    <w:rsid w:val="00F87A31"/>
    <w:rsid w:val="00F87F62"/>
    <w:rsid w:val="00F90333"/>
    <w:rsid w:val="00F91219"/>
    <w:rsid w:val="00F91346"/>
    <w:rsid w:val="00F91768"/>
    <w:rsid w:val="00F923F2"/>
    <w:rsid w:val="00F92444"/>
    <w:rsid w:val="00F92DE9"/>
    <w:rsid w:val="00F9360E"/>
    <w:rsid w:val="00F9393E"/>
    <w:rsid w:val="00F9420F"/>
    <w:rsid w:val="00F943EA"/>
    <w:rsid w:val="00F94835"/>
    <w:rsid w:val="00F94C8C"/>
    <w:rsid w:val="00F95044"/>
    <w:rsid w:val="00F9644A"/>
    <w:rsid w:val="00F96FD0"/>
    <w:rsid w:val="00F97A36"/>
    <w:rsid w:val="00F97A78"/>
    <w:rsid w:val="00F97C59"/>
    <w:rsid w:val="00F97D57"/>
    <w:rsid w:val="00FA03DC"/>
    <w:rsid w:val="00FA0B20"/>
    <w:rsid w:val="00FA0FC0"/>
    <w:rsid w:val="00FA143D"/>
    <w:rsid w:val="00FA14AE"/>
    <w:rsid w:val="00FA1A73"/>
    <w:rsid w:val="00FA1FB9"/>
    <w:rsid w:val="00FA2457"/>
    <w:rsid w:val="00FA24E7"/>
    <w:rsid w:val="00FA287E"/>
    <w:rsid w:val="00FA2E07"/>
    <w:rsid w:val="00FA3EE7"/>
    <w:rsid w:val="00FA5901"/>
    <w:rsid w:val="00FA5EE6"/>
    <w:rsid w:val="00FA60BF"/>
    <w:rsid w:val="00FA6C5A"/>
    <w:rsid w:val="00FA77E5"/>
    <w:rsid w:val="00FA77EC"/>
    <w:rsid w:val="00FA7956"/>
    <w:rsid w:val="00FB0824"/>
    <w:rsid w:val="00FB0A0D"/>
    <w:rsid w:val="00FB0D6F"/>
    <w:rsid w:val="00FB0ED2"/>
    <w:rsid w:val="00FB1BD5"/>
    <w:rsid w:val="00FB1C15"/>
    <w:rsid w:val="00FB2FCB"/>
    <w:rsid w:val="00FB34D3"/>
    <w:rsid w:val="00FB38FD"/>
    <w:rsid w:val="00FB3BB2"/>
    <w:rsid w:val="00FB3BE9"/>
    <w:rsid w:val="00FB3C3F"/>
    <w:rsid w:val="00FB4C9C"/>
    <w:rsid w:val="00FB525F"/>
    <w:rsid w:val="00FB5D86"/>
    <w:rsid w:val="00FB6044"/>
    <w:rsid w:val="00FB6FAA"/>
    <w:rsid w:val="00FB76F2"/>
    <w:rsid w:val="00FB777E"/>
    <w:rsid w:val="00FB78F9"/>
    <w:rsid w:val="00FB7C55"/>
    <w:rsid w:val="00FC1074"/>
    <w:rsid w:val="00FC12A3"/>
    <w:rsid w:val="00FC1884"/>
    <w:rsid w:val="00FC1A23"/>
    <w:rsid w:val="00FC2A8C"/>
    <w:rsid w:val="00FC33D3"/>
    <w:rsid w:val="00FC33E9"/>
    <w:rsid w:val="00FC371D"/>
    <w:rsid w:val="00FC3EA5"/>
    <w:rsid w:val="00FC4004"/>
    <w:rsid w:val="00FC4A7F"/>
    <w:rsid w:val="00FC4F1C"/>
    <w:rsid w:val="00FC52FB"/>
    <w:rsid w:val="00FC5CA9"/>
    <w:rsid w:val="00FC5F0B"/>
    <w:rsid w:val="00FC63C4"/>
    <w:rsid w:val="00FC6684"/>
    <w:rsid w:val="00FC66E0"/>
    <w:rsid w:val="00FC6CFB"/>
    <w:rsid w:val="00FC70FE"/>
    <w:rsid w:val="00FD08C1"/>
    <w:rsid w:val="00FD18AC"/>
    <w:rsid w:val="00FD1DFA"/>
    <w:rsid w:val="00FD1EC5"/>
    <w:rsid w:val="00FD2100"/>
    <w:rsid w:val="00FD25B7"/>
    <w:rsid w:val="00FD265F"/>
    <w:rsid w:val="00FD2AC9"/>
    <w:rsid w:val="00FD35D6"/>
    <w:rsid w:val="00FD422E"/>
    <w:rsid w:val="00FD436C"/>
    <w:rsid w:val="00FD43AA"/>
    <w:rsid w:val="00FD446D"/>
    <w:rsid w:val="00FD4A46"/>
    <w:rsid w:val="00FD4C13"/>
    <w:rsid w:val="00FD4EC7"/>
    <w:rsid w:val="00FD4F2C"/>
    <w:rsid w:val="00FD5251"/>
    <w:rsid w:val="00FD554A"/>
    <w:rsid w:val="00FD6394"/>
    <w:rsid w:val="00FD6F84"/>
    <w:rsid w:val="00FD7846"/>
    <w:rsid w:val="00FE0E3A"/>
    <w:rsid w:val="00FE0E6C"/>
    <w:rsid w:val="00FE1CDC"/>
    <w:rsid w:val="00FE2CCF"/>
    <w:rsid w:val="00FE2D80"/>
    <w:rsid w:val="00FE320C"/>
    <w:rsid w:val="00FE34F0"/>
    <w:rsid w:val="00FE3A04"/>
    <w:rsid w:val="00FE4A22"/>
    <w:rsid w:val="00FE4D62"/>
    <w:rsid w:val="00FE4FF9"/>
    <w:rsid w:val="00FE6E56"/>
    <w:rsid w:val="00FE70C3"/>
    <w:rsid w:val="00FF0776"/>
    <w:rsid w:val="00FF0BC5"/>
    <w:rsid w:val="00FF1977"/>
    <w:rsid w:val="00FF1A8B"/>
    <w:rsid w:val="00FF21C3"/>
    <w:rsid w:val="00FF2AD9"/>
    <w:rsid w:val="00FF2B8B"/>
    <w:rsid w:val="00FF359F"/>
    <w:rsid w:val="00FF3DCF"/>
    <w:rsid w:val="00FF3F40"/>
    <w:rsid w:val="00FF4377"/>
    <w:rsid w:val="00FF4795"/>
    <w:rsid w:val="00FF47A1"/>
    <w:rsid w:val="00FF492C"/>
    <w:rsid w:val="00FF4A21"/>
    <w:rsid w:val="00FF528B"/>
    <w:rsid w:val="00FF5999"/>
    <w:rsid w:val="00FF5AA3"/>
    <w:rsid w:val="00FF5AD8"/>
    <w:rsid w:val="00FF5ADF"/>
    <w:rsid w:val="00FF628F"/>
    <w:rsid w:val="00FF63EB"/>
    <w:rsid w:val="00FF6915"/>
    <w:rsid w:val="00FF6F4E"/>
    <w:rsid w:val="00FF73F1"/>
    <w:rsid w:val="0C2A5F78"/>
    <w:rsid w:val="1247A463"/>
    <w:rsid w:val="14A9B33F"/>
    <w:rsid w:val="2C034813"/>
    <w:rsid w:val="31837553"/>
    <w:rsid w:val="361F7071"/>
    <w:rsid w:val="36E44557"/>
    <w:rsid w:val="3A3544A5"/>
    <w:rsid w:val="3D03CEC9"/>
    <w:rsid w:val="3F61861E"/>
    <w:rsid w:val="420C3841"/>
    <w:rsid w:val="4BCCBECB"/>
    <w:rsid w:val="4C45AD06"/>
    <w:rsid w:val="5894CFC6"/>
    <w:rsid w:val="5C7F9725"/>
    <w:rsid w:val="5F8CE2E2"/>
    <w:rsid w:val="5FD39F81"/>
    <w:rsid w:val="64ABFDA6"/>
    <w:rsid w:val="691CCF1D"/>
    <w:rsid w:val="6D6B3B43"/>
    <w:rsid w:val="6EC0A299"/>
    <w:rsid w:val="734FF76D"/>
    <w:rsid w:val="78F7648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Caption Char1 Char,Caption Char Char Char,Caption Char1 Char Char Char,Caption Char Char Char Char Char,Caption Char Char1 Char,Caption Char1 Char1,Caption Char Char Char1,Caption Char1,Caption Char Char,Bayer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Table and Figure Name Char,Caption Char1 Char Char,Caption Char Char Char Char,Caption Char1 Char Char Char Char,Caption Char Char Char Char Char Char,Caption Char Char1 Char Char,Caption Char1 Char1 Char,Caption Char Char Char1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RTI AMCP Table,Source table_,NICE instructions,PHE Table Grid,Lash Style Table,HTAtableplain,Section 3- footnote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H19,Comment Text Char2,Comment Text Char Char1,Comment Text Char2 Char Char,Comment Text Char Char1 Char Char,Comment Text Char2 Char Char Char Char"/>
    <w:basedOn w:val="Normal"/>
    <w:link w:val="CommentTextChar"/>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Comment Text Char2 Char,Comment Text Char Char1 Char,Comment Text Char2 Char Char Char,Comment Text Char Char1 Char Char Char"/>
    <w:basedOn w:val="DefaultParagraphFont"/>
    <w:link w:val="CommentText"/>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6"/>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E46F70"/>
    <w:pPr>
      <w:keepLines/>
      <w:spacing w:after="120"/>
      <w:contextualSpacing/>
      <w:jc w:val="left"/>
    </w:pPr>
    <w:rPr>
      <w:rFonts w:ascii="Arial Narrow" w:hAnsi="Arial Narrow"/>
      <w:bCs/>
      <w:snapToGrid w:val="0"/>
      <w:sz w:val="18"/>
      <w:szCs w:val="18"/>
    </w:rPr>
  </w:style>
  <w:style w:type="character" w:customStyle="1" w:styleId="TableFigureFooterChar">
    <w:name w:val="Table/Figure Footer Char"/>
    <w:link w:val="TableFigureFooter"/>
    <w:rsid w:val="00E46F70"/>
    <w:rPr>
      <w:rFonts w:ascii="Arial Narrow" w:hAnsi="Arial Narrow" w:cs="Arial"/>
      <w:bCs/>
      <w:snapToGrid w:val="0"/>
      <w:sz w:val="18"/>
      <w:szCs w:val="18"/>
    </w:rPr>
  </w:style>
  <w:style w:type="table" w:customStyle="1" w:styleId="PBACtable">
    <w:name w:val="PBAC_table"/>
    <w:basedOn w:val="TableNormal"/>
    <w:uiPriority w:val="99"/>
    <w:rsid w:val="009B0958"/>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table" w:customStyle="1" w:styleId="PBAClayout">
    <w:name w:val="PBAC_layout"/>
    <w:basedOn w:val="TableNormal"/>
    <w:uiPriority w:val="99"/>
    <w:rsid w:val="00A01058"/>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character" w:customStyle="1" w:styleId="Heading1Char">
    <w:name w:val="Heading 1 Char"/>
    <w:basedOn w:val="DefaultParagraphFont"/>
    <w:link w:val="Heading1"/>
    <w:uiPriority w:val="1"/>
    <w:rsid w:val="000F0A13"/>
    <w:rPr>
      <w:rFonts w:ascii="Calibri" w:hAnsi="Calibri" w:cs="Arial"/>
      <w:b/>
      <w:caps/>
      <w:sz w:val="32"/>
      <w:szCs w:val="24"/>
    </w:rPr>
  </w:style>
  <w:style w:type="character" w:customStyle="1" w:styleId="Heading3Char">
    <w:name w:val="Heading 3 Char"/>
    <w:basedOn w:val="DefaultParagraphFont"/>
    <w:link w:val="Heading3"/>
    <w:rsid w:val="000F0A13"/>
    <w:rPr>
      <w:rFonts w:ascii="Calibri" w:hAnsi="Calibri" w:cs="Arial"/>
      <w:sz w:val="24"/>
      <w:szCs w:val="24"/>
      <w:u w:val="single"/>
    </w:rPr>
  </w:style>
  <w:style w:type="character" w:customStyle="1" w:styleId="Heading4Char">
    <w:name w:val="Heading 4 Char"/>
    <w:basedOn w:val="DefaultParagraphFont"/>
    <w:link w:val="Heading4"/>
    <w:rsid w:val="000F0A13"/>
    <w:rPr>
      <w:rFonts w:ascii="Calibri" w:hAnsi="Calibri" w:cs="Arial"/>
      <w:b/>
      <w:bCs/>
      <w:i/>
      <w:sz w:val="26"/>
      <w:szCs w:val="28"/>
    </w:rPr>
  </w:style>
  <w:style w:type="character" w:customStyle="1" w:styleId="Heading5Char">
    <w:name w:val="Heading 5 Char"/>
    <w:basedOn w:val="DefaultParagraphFont"/>
    <w:link w:val="Heading5"/>
    <w:rsid w:val="000F0A13"/>
    <w:rPr>
      <w:rFonts w:ascii="Calibri" w:hAnsi="Calibri" w:cs="Arial"/>
      <w:b/>
      <w:bCs/>
      <w:iCs/>
      <w:sz w:val="26"/>
      <w:szCs w:val="26"/>
    </w:rPr>
  </w:style>
  <w:style w:type="character" w:customStyle="1" w:styleId="Heading6Char">
    <w:name w:val="Heading 6 Char"/>
    <w:basedOn w:val="DefaultParagraphFont"/>
    <w:link w:val="Heading6"/>
    <w:rsid w:val="000F0A13"/>
    <w:rPr>
      <w:rFonts w:ascii="Calibri" w:hAnsi="Calibri" w:cs="Arial"/>
      <w:b/>
      <w:bCs/>
      <w:i/>
      <w:sz w:val="24"/>
      <w:szCs w:val="24"/>
    </w:rPr>
  </w:style>
  <w:style w:type="paragraph" w:customStyle="1" w:styleId="COMH1-numbered">
    <w:name w:val="COM H1 - numbered"/>
    <w:next w:val="Normal"/>
    <w:qFormat/>
    <w:rsid w:val="000F0A13"/>
    <w:pPr>
      <w:keepNext/>
      <w:spacing w:before="240" w:after="120"/>
      <w:ind w:left="720" w:hanging="720"/>
      <w:outlineLvl w:val="0"/>
    </w:pPr>
    <w:rPr>
      <w:rFonts w:asciiTheme="minorHAnsi" w:hAnsiTheme="minorHAnsi" w:cs="Arial"/>
      <w:b/>
      <w:snapToGrid w:val="0"/>
      <w:sz w:val="32"/>
      <w:szCs w:val="32"/>
    </w:rPr>
  </w:style>
  <w:style w:type="paragraph" w:customStyle="1" w:styleId="Tablebullet">
    <w:name w:val="Table bullet"/>
    <w:basedOn w:val="Normal"/>
    <w:link w:val="TablebulletChar"/>
    <w:uiPriority w:val="2"/>
    <w:qFormat/>
    <w:rsid w:val="000F0A13"/>
    <w:pPr>
      <w:keepLines/>
      <w:numPr>
        <w:numId w:val="7"/>
      </w:numPr>
      <w:spacing w:before="40" w:after="40"/>
      <w:ind w:left="284" w:hanging="227"/>
      <w:jc w:val="left"/>
    </w:pPr>
    <w:rPr>
      <w:rFonts w:ascii="Montserrat" w:hAnsi="Montserrat" w:cs="Calibri"/>
      <w:bCs/>
      <w:sz w:val="16"/>
      <w:szCs w:val="26"/>
      <w:lang w:eastAsia="en-US"/>
    </w:rPr>
  </w:style>
  <w:style w:type="table" w:customStyle="1" w:styleId="HTAtablecentred">
    <w:name w:val="HTA table centred"/>
    <w:basedOn w:val="TableNormal"/>
    <w:uiPriority w:val="99"/>
    <w:rsid w:val="000F0A13"/>
    <w:rPr>
      <w:rFonts w:ascii="Montserrat" w:eastAsia="Calibri" w:hAnsi="Montserrat" w:cstheme="minorBidi"/>
      <w:sz w:val="18"/>
      <w:szCs w:val="22"/>
      <w:lang w:val="de-DE" w:eastAsia="en-US"/>
    </w:rP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ablebulletChar">
    <w:name w:val="Table bullet Char"/>
    <w:basedOn w:val="DefaultParagraphFont"/>
    <w:link w:val="Tablebullet"/>
    <w:uiPriority w:val="2"/>
    <w:rsid w:val="000F0A13"/>
    <w:rPr>
      <w:rFonts w:ascii="Montserrat" w:hAnsi="Montserrat" w:cs="Calibri"/>
      <w:bCs/>
      <w:sz w:val="16"/>
      <w:szCs w:val="26"/>
      <w:lang w:eastAsia="en-US"/>
    </w:rPr>
  </w:style>
  <w:style w:type="table" w:styleId="TableGridLight">
    <w:name w:val="Grid Table Light"/>
    <w:basedOn w:val="TableNormal"/>
    <w:uiPriority w:val="40"/>
    <w:rsid w:val="000F0A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aliases w:val="Footnote Text Char1,Footnote Text Char Char,Footnote Text Char2,Footnote Text Char Char1"/>
    <w:basedOn w:val="Normal"/>
    <w:link w:val="FootnoteTextChar"/>
    <w:uiPriority w:val="99"/>
    <w:unhideWhenUsed/>
    <w:qFormat/>
    <w:rsid w:val="000F0A13"/>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uiPriority w:val="99"/>
    <w:rsid w:val="000F0A13"/>
    <w:rPr>
      <w:rFonts w:ascii="Calibri" w:hAnsi="Calibri" w:cs="Arial"/>
    </w:rPr>
  </w:style>
  <w:style w:type="character" w:styleId="FootnoteReference">
    <w:name w:val="footnote reference"/>
    <w:basedOn w:val="DefaultParagraphFont"/>
    <w:unhideWhenUsed/>
    <w:rsid w:val="000F0A13"/>
    <w:rPr>
      <w:vertAlign w:val="superscript"/>
    </w:rPr>
  </w:style>
  <w:style w:type="character" w:styleId="UnresolvedMention">
    <w:name w:val="Unresolved Mention"/>
    <w:basedOn w:val="DefaultParagraphFont"/>
    <w:uiPriority w:val="99"/>
    <w:semiHidden/>
    <w:unhideWhenUsed/>
    <w:rsid w:val="000F0A13"/>
    <w:rPr>
      <w:color w:val="605E5C"/>
      <w:shd w:val="clear" w:color="auto" w:fill="E1DFDD"/>
    </w:rPr>
  </w:style>
  <w:style w:type="character" w:styleId="Strong">
    <w:name w:val="Strong"/>
    <w:qFormat/>
    <w:rsid w:val="000F0A13"/>
    <w:rPr>
      <w:b/>
    </w:rPr>
  </w:style>
  <w:style w:type="paragraph" w:customStyle="1" w:styleId="Tabletext8ptCentered">
    <w:name w:val="Table text 8pt + Centered"/>
    <w:basedOn w:val="Normal"/>
    <w:qFormat/>
    <w:rsid w:val="00F41EB2"/>
    <w:pPr>
      <w:keepLines/>
      <w:spacing w:before="40" w:after="40" w:line="259" w:lineRule="auto"/>
      <w:jc w:val="left"/>
    </w:pPr>
    <w:rPr>
      <w:rFonts w:ascii="Montserrat" w:eastAsia="Calibri" w:hAnsi="Montserrat" w:cs="Calibri"/>
      <w:sz w:val="16"/>
      <w:szCs w:val="16"/>
      <w:lang w:eastAsia="en-US"/>
    </w:rPr>
  </w:style>
  <w:style w:type="paragraph" w:customStyle="1" w:styleId="Tabledash">
    <w:name w:val="Table dash"/>
    <w:basedOn w:val="BodyText"/>
    <w:link w:val="TabledashChar"/>
    <w:uiPriority w:val="4"/>
    <w:qFormat/>
    <w:rsid w:val="00F41EB2"/>
    <w:pPr>
      <w:keepNext/>
      <w:keepLines/>
      <w:numPr>
        <w:numId w:val="8"/>
      </w:numPr>
      <w:tabs>
        <w:tab w:val="left" w:pos="993"/>
      </w:tabs>
      <w:spacing w:before="20" w:after="20"/>
      <w:ind w:left="284" w:hanging="227"/>
    </w:pPr>
    <w:rPr>
      <w:rFonts w:ascii="Montserrat" w:hAnsi="Montserrat" w:cs="Calibri"/>
      <w:bCs/>
      <w:sz w:val="16"/>
      <w:szCs w:val="26"/>
      <w:lang w:eastAsia="en-US"/>
    </w:rPr>
  </w:style>
  <w:style w:type="paragraph" w:customStyle="1" w:styleId="TableFigNotes18">
    <w:name w:val="TableFigNotes+18"/>
    <w:basedOn w:val="Normal"/>
    <w:next w:val="BodyText"/>
    <w:link w:val="TableFigNotes18Char"/>
    <w:uiPriority w:val="2"/>
    <w:qFormat/>
    <w:rsid w:val="00F41EB2"/>
    <w:pPr>
      <w:spacing w:before="60" w:after="360" w:line="276" w:lineRule="auto"/>
      <w:contextualSpacing/>
      <w:jc w:val="left"/>
    </w:pPr>
    <w:rPr>
      <w:rFonts w:ascii="Montserrat" w:eastAsia="Calibri" w:hAnsi="Montserrat" w:cs="Calibri"/>
      <w:sz w:val="14"/>
      <w:szCs w:val="20"/>
      <w:lang w:eastAsia="en-US"/>
    </w:rPr>
  </w:style>
  <w:style w:type="character" w:customStyle="1" w:styleId="TableFigNotes18Char">
    <w:name w:val="TableFigNotes+18 Char"/>
    <w:basedOn w:val="DefaultParagraphFont"/>
    <w:link w:val="TableFigNotes18"/>
    <w:uiPriority w:val="2"/>
    <w:locked/>
    <w:rsid w:val="00F41EB2"/>
    <w:rPr>
      <w:rFonts w:ascii="Montserrat" w:eastAsia="Calibri" w:hAnsi="Montserrat" w:cs="Calibri"/>
      <w:sz w:val="14"/>
      <w:lang w:eastAsia="en-US"/>
    </w:rPr>
  </w:style>
  <w:style w:type="paragraph" w:customStyle="1" w:styleId="Tabletext8pt">
    <w:name w:val="Table text 8pt"/>
    <w:basedOn w:val="Normal"/>
    <w:link w:val="Tabletext8ptChar"/>
    <w:qFormat/>
    <w:rsid w:val="00F41EB2"/>
    <w:pPr>
      <w:keepLines/>
      <w:spacing w:before="40" w:after="40" w:line="259" w:lineRule="auto"/>
      <w:jc w:val="left"/>
    </w:pPr>
    <w:rPr>
      <w:rFonts w:ascii="Montserrat" w:eastAsia="Calibri" w:hAnsi="Montserrat" w:cs="Calibri"/>
      <w:sz w:val="16"/>
      <w:szCs w:val="16"/>
      <w:lang w:eastAsia="en-US"/>
    </w:rPr>
  </w:style>
  <w:style w:type="character" w:customStyle="1" w:styleId="Tabletext8ptChar">
    <w:name w:val="Table text 8pt Char"/>
    <w:basedOn w:val="DefaultParagraphFont"/>
    <w:link w:val="Tabletext8pt"/>
    <w:rsid w:val="00F41EB2"/>
    <w:rPr>
      <w:rFonts w:ascii="Montserrat" w:eastAsia="Calibri" w:hAnsi="Montserrat" w:cs="Calibri"/>
      <w:sz w:val="16"/>
      <w:szCs w:val="16"/>
      <w:lang w:eastAsia="en-US"/>
    </w:rPr>
  </w:style>
  <w:style w:type="character" w:customStyle="1" w:styleId="TabledashChar">
    <w:name w:val="Table dash Char"/>
    <w:basedOn w:val="BodyTextChar"/>
    <w:link w:val="Tabledash"/>
    <w:uiPriority w:val="4"/>
    <w:rsid w:val="00F41EB2"/>
    <w:rPr>
      <w:rFonts w:ascii="Montserrat" w:hAnsi="Montserrat" w:cs="Calibri"/>
      <w:bCs/>
      <w:snapToGrid/>
      <w:sz w:val="16"/>
      <w:szCs w:val="26"/>
      <w:lang w:eastAsia="en-US"/>
    </w:rPr>
  </w:style>
  <w:style w:type="table" w:customStyle="1" w:styleId="HTAtablecentred1">
    <w:name w:val="HTA table centred1"/>
    <w:basedOn w:val="TableNormal"/>
    <w:uiPriority w:val="99"/>
    <w:rsid w:val="00F41EB2"/>
    <w:rPr>
      <w:rFonts w:ascii="Montserrat" w:eastAsia="Calibri" w:hAnsi="Montserrat"/>
      <w:sz w:val="18"/>
      <w:szCs w:val="22"/>
      <w:lang w:val="de-DE" w:eastAsia="en-US"/>
    </w:rPr>
    <w:tblPr>
      <w:tblStyleRowBandSize w:val="1"/>
      <w:tblStyleColBandSize w:val="1"/>
    </w:tblPr>
    <w:tcPr>
      <w:vAlign w:val="center"/>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mall">
    <w:name w:val="small"/>
    <w:basedOn w:val="Normal"/>
    <w:rsid w:val="00F41EB2"/>
    <w:pPr>
      <w:spacing w:before="100" w:beforeAutospacing="1" w:after="100" w:afterAutospacing="1"/>
      <w:jc w:val="left"/>
    </w:pPr>
    <w:rPr>
      <w:rFonts w:ascii="Times New Roman" w:hAnsi="Times New Roman" w:cs="Times New Roman"/>
    </w:rPr>
  </w:style>
  <w:style w:type="paragraph" w:customStyle="1" w:styleId="TableH28ptCentered">
    <w:name w:val="Table H2 8pt + Centered"/>
    <w:basedOn w:val="Normal"/>
    <w:qFormat/>
    <w:rsid w:val="00F41EB2"/>
    <w:pPr>
      <w:keepNext/>
      <w:keepLines/>
      <w:spacing w:before="20" w:after="20"/>
      <w:contextualSpacing/>
      <w:jc w:val="center"/>
    </w:pPr>
    <w:rPr>
      <w:rFonts w:ascii="Montserrat" w:eastAsia="Calibri" w:hAnsi="Montserrat" w:cs="Calibri"/>
      <w:b/>
      <w:sz w:val="16"/>
      <w:szCs w:val="20"/>
      <w:lang w:eastAsia="en-US"/>
    </w:rPr>
  </w:style>
  <w:style w:type="paragraph" w:customStyle="1" w:styleId="TableHeadingleft">
    <w:name w:val="Table Heading left"/>
    <w:basedOn w:val="Normal"/>
    <w:next w:val="Normal"/>
    <w:qFormat/>
    <w:rsid w:val="00F41EB2"/>
    <w:pPr>
      <w:spacing w:before="40" w:after="40"/>
      <w:jc w:val="left"/>
    </w:pPr>
    <w:rPr>
      <w:rFonts w:ascii="Montserrat" w:eastAsiaTheme="minorHAnsi" w:hAnsi="Montserrat" w:cs="Tahoma"/>
      <w:b/>
      <w:sz w:val="16"/>
      <w:szCs w:val="18"/>
      <w:lang w:val="de-DE" w:eastAsia="en-US"/>
    </w:rPr>
  </w:style>
  <w:style w:type="paragraph" w:customStyle="1" w:styleId="Tabletext8ptindent">
    <w:name w:val="Table text 8 pt indent"/>
    <w:basedOn w:val="Tabletext8pt"/>
    <w:qFormat/>
    <w:rsid w:val="00F41EB2"/>
    <w:pPr>
      <w:ind w:left="170"/>
    </w:pPr>
  </w:style>
  <w:style w:type="table" w:customStyle="1" w:styleId="HTAtablestandard">
    <w:name w:val="HTA table standard"/>
    <w:basedOn w:val="PlainTable2"/>
    <w:uiPriority w:val="99"/>
    <w:rsid w:val="00F41EB2"/>
    <w:rPr>
      <w:rFonts w:ascii="Montserrat" w:eastAsia="Calibri" w:hAnsi="Montserrat" w:cstheme="minorBidi"/>
      <w:sz w:val="18"/>
      <w:szCs w:val="22"/>
      <w:lang w:val="de-DE" w:eastAsia="en-US"/>
    </w:rP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F41EB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2no">
    <w:name w:val="H2 no#"/>
    <w:basedOn w:val="Heading2"/>
    <w:uiPriority w:val="3"/>
    <w:rsid w:val="00F41EB2"/>
    <w:pPr>
      <w:keepNext/>
      <w:keepLines/>
      <w:spacing w:before="240" w:after="120" w:line="288" w:lineRule="auto"/>
      <w:jc w:val="left"/>
    </w:pPr>
    <w:rPr>
      <w:rFonts w:ascii="Montserrat" w:hAnsi="Montserrat" w:cs="Calibri"/>
      <w:b w:val="0"/>
      <w:i w:val="0"/>
      <w:color w:val="C0504D" w:themeColor="accent2"/>
      <w:szCs w:val="26"/>
      <w:lang w:eastAsia="en-US"/>
    </w:rPr>
  </w:style>
  <w:style w:type="paragraph" w:customStyle="1" w:styleId="Sourcetabletext">
    <w:name w:val="Source table text"/>
    <w:basedOn w:val="Normal"/>
    <w:link w:val="SourcetabletextChar"/>
    <w:qFormat/>
    <w:rsid w:val="00F41EB2"/>
    <w:pPr>
      <w:spacing w:before="60" w:after="60"/>
      <w:jc w:val="center"/>
    </w:pPr>
    <w:rPr>
      <w:rFonts w:eastAsiaTheme="minorHAnsi" w:cs="Calibri"/>
      <w:sz w:val="20"/>
      <w:szCs w:val="22"/>
      <w:lang w:val="en-GB" w:eastAsia="en-US"/>
    </w:rPr>
  </w:style>
  <w:style w:type="character" w:customStyle="1" w:styleId="SourcetabletextChar">
    <w:name w:val="Source table text Char"/>
    <w:basedOn w:val="DefaultParagraphFont"/>
    <w:link w:val="Sourcetabletext"/>
    <w:rsid w:val="00F41EB2"/>
    <w:rPr>
      <w:rFonts w:ascii="Calibri" w:eastAsiaTheme="minorHAnsi" w:hAnsi="Calibri" w:cs="Calibri"/>
      <w:szCs w:val="22"/>
      <w:lang w:val="en-GB" w:eastAsia="en-US"/>
    </w:rPr>
  </w:style>
  <w:style w:type="paragraph" w:customStyle="1" w:styleId="COMBody">
    <w:name w:val="COM Body"/>
    <w:basedOn w:val="Normal"/>
    <w:link w:val="COMBodyChar"/>
    <w:qFormat/>
    <w:rsid w:val="005D646C"/>
  </w:style>
  <w:style w:type="character" w:customStyle="1" w:styleId="COMBodyChar">
    <w:name w:val="COM Body Char"/>
    <w:basedOn w:val="DefaultParagraphFont"/>
    <w:link w:val="COMBody"/>
    <w:rsid w:val="005D646C"/>
    <w:rPr>
      <w:rFonts w:ascii="Calibri" w:hAnsi="Calibri" w:cs="Arial"/>
      <w:sz w:val="24"/>
      <w:szCs w:val="24"/>
    </w:rPr>
  </w:style>
  <w:style w:type="paragraph" w:customStyle="1" w:styleId="COMTableheadingrow">
    <w:name w:val="COM Table heading row"/>
    <w:qFormat/>
    <w:rsid w:val="005D646C"/>
    <w:pPr>
      <w:keepNext/>
    </w:pPr>
    <w:rPr>
      <w:rFonts w:ascii="Arial Narrow" w:eastAsiaTheme="majorEastAsia" w:hAnsi="Arial Narrow"/>
      <w:b/>
      <w:szCs w:val="24"/>
      <w:lang w:val="en-US"/>
    </w:rPr>
  </w:style>
  <w:style w:type="paragraph" w:customStyle="1" w:styleId="COMTabletext">
    <w:name w:val="COM Table text"/>
    <w:link w:val="COMTabletextChar"/>
    <w:qFormat/>
    <w:rsid w:val="005D646C"/>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5D646C"/>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5D646C"/>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D646C"/>
    <w:rPr>
      <w:rFonts w:ascii="Arial Narrow" w:eastAsiaTheme="majorEastAsia" w:hAnsi="Arial Narrow" w:cstheme="majorBidi"/>
      <w:b/>
      <w:bCs/>
      <w:szCs w:val="24"/>
    </w:rPr>
  </w:style>
  <w:style w:type="paragraph" w:customStyle="1" w:styleId="COMH3">
    <w:name w:val="COM H3"/>
    <w:basedOn w:val="Normal"/>
    <w:next w:val="Normal"/>
    <w:link w:val="COMH3Char"/>
    <w:qFormat/>
    <w:rsid w:val="005D646C"/>
    <w:pPr>
      <w:keepNext/>
      <w:spacing w:after="120"/>
    </w:pPr>
    <w:rPr>
      <w:b/>
      <w:iCs/>
      <w:sz w:val="28"/>
    </w:rPr>
  </w:style>
  <w:style w:type="character" w:customStyle="1" w:styleId="COMH3Char">
    <w:name w:val="COM H3 Char"/>
    <w:basedOn w:val="DefaultParagraphFont"/>
    <w:link w:val="COMH3"/>
    <w:rsid w:val="005D646C"/>
    <w:rPr>
      <w:rFonts w:ascii="Calibri" w:hAnsi="Calibri" w:cs="Arial"/>
      <w:b/>
      <w:iCs/>
      <w:sz w:val="28"/>
      <w:szCs w:val="24"/>
    </w:rPr>
  </w:style>
  <w:style w:type="paragraph" w:customStyle="1" w:styleId="COMTablefooter">
    <w:name w:val="COM Table footer"/>
    <w:basedOn w:val="Normal"/>
    <w:next w:val="Normal"/>
    <w:link w:val="COMTablefooterChar"/>
    <w:qFormat/>
    <w:rsid w:val="00FC52F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FC52FB"/>
    <w:rPr>
      <w:rFonts w:ascii="Arial Narrow" w:hAnsi="Arial Narrow" w:cs="Arial"/>
      <w:snapToGrid w:val="0"/>
      <w:sz w:val="18"/>
      <w:szCs w:val="22"/>
    </w:rPr>
  </w:style>
  <w:style w:type="paragraph" w:customStyle="1" w:styleId="TableText1">
    <w:name w:val="Table Text 1"/>
    <w:basedOn w:val="Normal"/>
    <w:qFormat/>
    <w:rsid w:val="002C3788"/>
    <w:pPr>
      <w:spacing w:after="240"/>
      <w:jc w:val="left"/>
    </w:pPr>
    <w:rPr>
      <w:rFonts w:ascii="Arial Narrow" w:eastAsiaTheme="minorHAnsi" w:hAnsi="Arial Narrow" w:cstheme="minorBidi"/>
      <w:sz w:val="20"/>
      <w:szCs w:val="20"/>
      <w:lang w:eastAsia="en-US"/>
    </w:rPr>
  </w:style>
  <w:style w:type="table" w:customStyle="1" w:styleId="ASDTable2">
    <w:name w:val="ASD Table2"/>
    <w:basedOn w:val="TableNormal"/>
    <w:uiPriority w:val="39"/>
    <w:rsid w:val="002C3788"/>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32351E"/>
    <w:rPr>
      <w:color w:val="2B579A"/>
      <w:shd w:val="clear" w:color="auto" w:fill="E1DFDD"/>
    </w:rPr>
  </w:style>
  <w:style w:type="paragraph" w:customStyle="1" w:styleId="3-SubsectionHeading">
    <w:name w:val="3-Subsection Heading"/>
    <w:basedOn w:val="Heading2"/>
    <w:next w:val="Normal"/>
    <w:link w:val="3-SubsectionHeadingChar"/>
    <w:qFormat/>
    <w:rsid w:val="004C75A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C75A4"/>
    <w:rPr>
      <w:rFonts w:asciiTheme="minorHAnsi" w:eastAsiaTheme="majorEastAsia" w:hAnsiTheme="minorHAnsi" w:cstheme="majorBidi"/>
      <w:b/>
      <w:i/>
      <w:snapToGrid/>
      <w:spacing w:val="5"/>
      <w:kern w:val="28"/>
      <w:sz w:val="28"/>
      <w:szCs w:val="36"/>
      <w:lang w:eastAsia="en-US"/>
    </w:rPr>
  </w:style>
  <w:style w:type="paragraph" w:customStyle="1" w:styleId="MinorOVRHeader">
    <w:name w:val="Minor OVR Header"/>
    <w:basedOn w:val="Header"/>
    <w:link w:val="MinorOVRHeaderChar"/>
    <w:rsid w:val="00CB43CF"/>
    <w:pPr>
      <w:jc w:val="right"/>
    </w:pPr>
    <w:rPr>
      <w:rFonts w:asciiTheme="minorHAnsi" w:hAnsiTheme="minorHAnsi"/>
    </w:rPr>
  </w:style>
  <w:style w:type="character" w:customStyle="1" w:styleId="MinorOVRHeaderChar">
    <w:name w:val="Minor OVR Header Char"/>
    <w:basedOn w:val="DefaultParagraphFont"/>
    <w:link w:val="MinorOVRHeader"/>
    <w:rsid w:val="00CB43CF"/>
    <w:rPr>
      <w:rFonts w:asciiTheme="minorHAnsi" w:hAnsiTheme="minorHAnsi" w:cs="Arial"/>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e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2.jpe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microsoft.com/office/2007/relationships/hdphoto" Target="media/hdphoto1.wdp"/><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aihw.gov.au/reports/cancer/cancer-data-in-australia/data" TargetMode="External"/><Relationship Id="rId2" Type="http://schemas.openxmlformats.org/officeDocument/2006/relationships/hyperlink" Target="https://www.pbs.gov.au/industry/listing/elements/pbac-meetings/psd/2022-11/files/polatuzumab-vedotin-psd-11-2022.pdf" TargetMode="External"/><Relationship Id="rId1" Type="http://schemas.openxmlformats.org/officeDocument/2006/relationships/hyperlink" Target="https://www.nice.org.uk/guidance/ta954/evidence/final-guidance-committee-papers-pdf-13314642590" TargetMode="External"/><Relationship Id="rId4" Type="http://schemas.openxmlformats.org/officeDocument/2006/relationships/hyperlink" Target="https://www.aihw.gov.au/reports/cancer/cancer-data-in-australia/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D404C-2238-43B4-9E03-1001417368B3}">
  <ds:schemaRefs>
    <ds:schemaRef ds:uri="http://schemas.microsoft.com/sharepoint/v3/contenttype/forms"/>
  </ds:schemaRefs>
</ds:datastoreItem>
</file>

<file path=customXml/itemProps2.xml><?xml version="1.0" encoding="utf-8"?>
<ds:datastoreItem xmlns:ds="http://schemas.openxmlformats.org/officeDocument/2006/customXml" ds:itemID="{5BBDD501-8B96-459D-A177-7E238550C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C2520A-9B1C-41AA-BD78-9F1AD292074E}">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54</Pages>
  <Words>22252</Words>
  <Characters>126171</Characters>
  <Application>Microsoft Office Word</Application>
  <DocSecurity>0</DocSecurity>
  <Lines>3604</Lines>
  <Paragraphs>2182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146241</CharactersWithSpaces>
  <SharedDoc>false</SharedDoc>
  <HLinks>
    <vt:vector size="24" baseType="variant">
      <vt:variant>
        <vt:i4>983113</vt:i4>
      </vt:variant>
      <vt:variant>
        <vt:i4>9</vt:i4>
      </vt:variant>
      <vt:variant>
        <vt:i4>0</vt:i4>
      </vt:variant>
      <vt:variant>
        <vt:i4>5</vt:i4>
      </vt:variant>
      <vt:variant>
        <vt:lpwstr>https://www.aihw.gov.au/reports/cancer/cancer-data-in-australia/data</vt:lpwstr>
      </vt:variant>
      <vt:variant>
        <vt:lpwstr/>
      </vt:variant>
      <vt:variant>
        <vt:i4>983113</vt:i4>
      </vt:variant>
      <vt:variant>
        <vt:i4>6</vt:i4>
      </vt:variant>
      <vt:variant>
        <vt:i4>0</vt:i4>
      </vt:variant>
      <vt:variant>
        <vt:i4>5</vt:i4>
      </vt:variant>
      <vt:variant>
        <vt:lpwstr>https://www.aihw.gov.au/reports/cancer/cancer-data-in-australia/data</vt:lpwstr>
      </vt:variant>
      <vt:variant>
        <vt:lpwstr/>
      </vt:variant>
      <vt:variant>
        <vt:i4>1769543</vt:i4>
      </vt:variant>
      <vt:variant>
        <vt:i4>3</vt:i4>
      </vt:variant>
      <vt:variant>
        <vt:i4>0</vt:i4>
      </vt:variant>
      <vt:variant>
        <vt:i4>5</vt:i4>
      </vt:variant>
      <vt:variant>
        <vt:lpwstr>https://www.pbs.gov.au/industry/listing/elements/pbac-meetings/psd/2022-11/files/polatuzumab-vedotin-psd-11-2022.pdf</vt:lpwstr>
      </vt:variant>
      <vt:variant>
        <vt:lpwstr/>
      </vt:variant>
      <vt:variant>
        <vt:i4>3145784</vt:i4>
      </vt:variant>
      <vt:variant>
        <vt:i4>0</vt:i4>
      </vt:variant>
      <vt:variant>
        <vt:i4>0</vt:i4>
      </vt:variant>
      <vt:variant>
        <vt:i4>5</vt:i4>
      </vt:variant>
      <vt:variant>
        <vt:lpwstr>https://www.nice.org.uk/guidance/ta954/evidence/final-guidance-committee-papers-pdf-13314642590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2026-07-03T03:20:00Z</dcterms:created>
  <dcterms:modified xsi:type="dcterms:W3CDTF">2026-07-03T03:20:00Z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4bccf4de,4662d070,530ff53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64f8c064,3b54abce,294e59b8</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2026-04-17T01:46:47Z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c7e70758-d351-4223-b802-0c76b67d101d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0f488380-630a-4f55-a077-a19445e3f360_ActionId">
    <vt:lpwstr>0ed98c70-cfae-4900-96e2-917225bcfbb0</vt:lpwstr>
  </property>
  <property fmtid="{D5CDD505-2E9C-101B-9397-08002B2CF9AE}" pid="17" name="MSIP_Label_0f488380-630a-4f55-a077-a19445e3f360_ContentBits">
    <vt:lpwstr>0</vt:lpwstr>
  </property>
  <property fmtid="{D5CDD505-2E9C-101B-9397-08002B2CF9AE}" pid="18" name="MediaServiceImageTags">
    <vt:lpwstr/>
  </property>
  <property fmtid="{D5CDD505-2E9C-101B-9397-08002B2CF9AE}" pid="19" name="MSIP_Label_0f488380-630a-4f55-a077-a19445e3f360_SiteId">
    <vt:lpwstr>b6e377cf-9db3-46cb-91a2-fad9605bb15c</vt:lpwstr>
  </property>
  <property fmtid="{D5CDD505-2E9C-101B-9397-08002B2CF9AE}" pid="20" name="ContentTypeId">
    <vt:lpwstr>0x0101007FED174C5281F747A8037A05221D6DBD</vt:lpwstr>
  </property>
  <property fmtid="{D5CDD505-2E9C-101B-9397-08002B2CF9AE}" pid="21" name="MSIP_Label_0f488380-630a-4f55-a077-a19445e3f360_Method">
    <vt:lpwstr>Standard</vt:lpwstr>
  </property>
  <property fmtid="{D5CDD505-2E9C-101B-9397-08002B2CF9AE}" pid="22" name="MSIP_Label_0f488380-630a-4f55-a077-a19445e3f360_Name">
    <vt:lpwstr>OFFICIAL - INTERNAL</vt:lpwstr>
  </property>
  <property fmtid="{D5CDD505-2E9C-101B-9397-08002B2CF9AE}" pid="23" name="MSIP_Label_0f488380-630a-4f55-a077-a19445e3f360_Tag">
    <vt:lpwstr>10, 3, 0, 1</vt:lpwstr>
  </property>
  <property fmtid="{D5CDD505-2E9C-101B-9397-08002B2CF9AE}" pid="24" name="docLang">
    <vt:lpwstr>en</vt:lpwstr>
  </property>
  <property fmtid="{D5CDD505-2E9C-101B-9397-08002B2CF9AE}" pid="25" name="MSIP_Label_0f488380-630a-4f55-a077-a19445e3f360_Enabled">
    <vt:lpwstr>true</vt:lpwstr>
  </property>
  <property fmtid="{D5CDD505-2E9C-101B-9397-08002B2CF9AE}" pid="26" name="MSIP_Label_0f488380-630a-4f55-a077-a19445e3f360_SetDate">
    <vt:lpwstr>2026-02-16T11:45:08Z</vt:lpwstr>
  </property>
  <property fmtid="{D5CDD505-2E9C-101B-9397-08002B2CF9AE}" pid="27" name="Franchise">
    <vt:lpwstr>3;#N/A|1ef16579-4c18-4c73-b2ad-85016834b037</vt:lpwstr>
  </property>
  <property fmtid="{D5CDD505-2E9C-101B-9397-08002B2CF9AE}" pid="28" name="Organisationtype">
    <vt:lpwstr>1;#Department|1a44dff5-6dad-48ee-a3ca-7a2eca55a50c</vt:lpwstr>
  </property>
  <property fmtid="{D5CDD505-2E9C-101B-9397-08002B2CF9AE}" pid="29" name="Product">
    <vt:lpwstr>4;#No Product|648e1d64-3853-4d3b-b3bc-1c141b443de5</vt:lpwstr>
  </property>
  <property fmtid="{D5CDD505-2E9C-101B-9397-08002B2CF9AE}" pid="30" name="Function">
    <vt:lpwstr>2;#Medical Affairs|348ca8d2-b8d9-4d27-afe1-896d3d6b1be8</vt:lpwstr>
  </property>
  <property fmtid="{D5CDD505-2E9C-101B-9397-08002B2CF9AE}" pid="31" name="Order">
    <vt:r8>59896900</vt:r8>
  </property>
  <property fmtid="{D5CDD505-2E9C-101B-9397-08002B2CF9AE}" pid="32" name="xd_Signature">
    <vt:bool>false</vt:bool>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ies>
</file>