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33DA3089" w:rsidR="00B60939" w:rsidRPr="0098262F" w:rsidRDefault="00DC78C2" w:rsidP="004A6040">
      <w:pPr>
        <w:pStyle w:val="1-MainHeading"/>
      </w:pPr>
      <w:bookmarkStart w:id="0" w:name="_Toc208926769"/>
      <w:r>
        <w:t>5</w:t>
      </w:r>
      <w:r w:rsidR="00433044" w:rsidRPr="0098262F">
        <w:t>.</w:t>
      </w:r>
      <w:r>
        <w:t>14</w:t>
      </w:r>
      <w:r w:rsidR="00163F66" w:rsidRPr="0098262F">
        <w:tab/>
      </w:r>
      <w:r w:rsidR="00FF4897">
        <w:t>TESTOSTERON</w:t>
      </w:r>
      <w:r w:rsidR="00A54008">
        <w:t>E</w:t>
      </w:r>
      <w:r w:rsidR="00163F66" w:rsidRPr="0098262F">
        <w:br/>
      </w:r>
      <w:r w:rsidR="0080670A" w:rsidRPr="0080670A">
        <w:t xml:space="preserve">Transdermal cream 10 mg per mL, 50 </w:t>
      </w:r>
      <w:r w:rsidR="00280012">
        <w:t>mL</w:t>
      </w:r>
      <w:r w:rsidR="00163F66" w:rsidRPr="0098262F">
        <w:t>,</w:t>
      </w:r>
      <w:r w:rsidR="00163F66" w:rsidRPr="0098262F">
        <w:br/>
      </w:r>
      <w:proofErr w:type="spellStart"/>
      <w:r w:rsidR="004B731E">
        <w:t>AndroFeme</w:t>
      </w:r>
      <w:proofErr w:type="spellEnd"/>
      <w:r w:rsidR="004B731E">
        <w:t xml:space="preserve"> 1</w:t>
      </w:r>
      <w:r w:rsidR="00B60939" w:rsidRPr="0098262F">
        <w:rPr>
          <w:vertAlign w:val="superscript"/>
        </w:rPr>
        <w:t>®</w:t>
      </w:r>
      <w:r w:rsidR="004A6040" w:rsidRPr="0098262F">
        <w:t>,</w:t>
      </w:r>
      <w:r w:rsidR="004A6040" w:rsidRPr="0098262F">
        <w:br/>
      </w:r>
      <w:r w:rsidR="004B731E">
        <w:t>Lawley Pharmaceuticals Pty Ltd</w:t>
      </w:r>
      <w:r w:rsidR="00B60939" w:rsidRPr="0098262F">
        <w:t>.</w:t>
      </w:r>
      <w:bookmarkEnd w:id="0"/>
      <w:r w:rsidR="00F73E08" w:rsidRPr="0098262F">
        <w:t xml:space="preserve"> </w:t>
      </w:r>
    </w:p>
    <w:p w14:paraId="11C00795" w14:textId="3DFB6D23" w:rsidR="00B50DB8" w:rsidRPr="0098262F" w:rsidRDefault="00B50DB8" w:rsidP="004A6040">
      <w:pPr>
        <w:pStyle w:val="2-SectionHeading"/>
      </w:pPr>
      <w:bookmarkStart w:id="1" w:name="_Toc208926771"/>
      <w:r w:rsidRPr="0098262F">
        <w:t xml:space="preserve">Purpose of </w:t>
      </w:r>
      <w:r w:rsidR="00CD7193" w:rsidRPr="0098262F">
        <w:t>s</w:t>
      </w:r>
      <w:r w:rsidR="00BB3A45" w:rsidRPr="0098262F">
        <w:t>ubmission</w:t>
      </w:r>
      <w:bookmarkEnd w:id="1"/>
    </w:p>
    <w:p w14:paraId="19414AA1" w14:textId="37137979" w:rsidR="002C2775" w:rsidRPr="0098262F" w:rsidRDefault="007170DA" w:rsidP="004E18E9">
      <w:pPr>
        <w:pStyle w:val="3-BodyText"/>
      </w:pPr>
      <w:r w:rsidRPr="0098262F">
        <w:t xml:space="preserve">The </w:t>
      </w:r>
      <w:r w:rsidR="00F73E08" w:rsidRPr="0098262F">
        <w:t xml:space="preserve">Category </w:t>
      </w:r>
      <w:r w:rsidR="00545599">
        <w:t>1</w:t>
      </w:r>
      <w:r w:rsidR="00F73E08" w:rsidRPr="0098262F">
        <w:t xml:space="preserve"> </w:t>
      </w:r>
      <w:r w:rsidRPr="0098262F">
        <w:t xml:space="preserve">submission requested </w:t>
      </w:r>
      <w:r w:rsidR="008B1757" w:rsidRPr="0098262F">
        <w:t xml:space="preserve">Restricted Benefit listing for </w:t>
      </w:r>
      <w:r w:rsidR="00545599">
        <w:t>testosterone 1% cream</w:t>
      </w:r>
      <w:r w:rsidR="008B1757" w:rsidRPr="0098262F">
        <w:t xml:space="preserve"> for </w:t>
      </w:r>
      <w:r w:rsidR="0050174E" w:rsidRPr="0098262F">
        <w:t xml:space="preserve">the </w:t>
      </w:r>
      <w:r w:rsidR="008B1757" w:rsidRPr="0098262F">
        <w:t>treatment of</w:t>
      </w:r>
      <w:r w:rsidR="00545599">
        <w:t xml:space="preserve"> </w:t>
      </w:r>
      <w:r w:rsidR="00545599" w:rsidRPr="00545599">
        <w:t>hypoactive sexual desire dysfunction (HSDD) in postmenopausal women</w:t>
      </w:r>
      <w:r w:rsidR="00545599">
        <w:t>.</w:t>
      </w:r>
    </w:p>
    <w:p w14:paraId="4E9FBCB5" w14:textId="26A77DFF" w:rsidR="00C2778B" w:rsidRPr="0098262F" w:rsidRDefault="005750C5" w:rsidP="004E18E9">
      <w:pPr>
        <w:pStyle w:val="3-BodyText"/>
      </w:pPr>
      <w:r w:rsidRPr="0098262F">
        <w:t xml:space="preserve">Listing was requested </w:t>
      </w:r>
      <w:proofErr w:type="gramStart"/>
      <w:r w:rsidRPr="0098262F">
        <w:t>on the basis of</w:t>
      </w:r>
      <w:proofErr w:type="gramEnd"/>
      <w:r w:rsidRPr="0098262F">
        <w:t xml:space="preserve"> a cost</w:t>
      </w:r>
      <w:r w:rsidR="009B041A">
        <w:t xml:space="preserve"> comparison with the currently PBS listed topical testosterone product</w:t>
      </w:r>
      <w:r w:rsidR="002B318B">
        <w:t xml:space="preserve"> </w:t>
      </w:r>
      <w:r w:rsidR="009B041A">
        <w:t>(</w:t>
      </w:r>
      <w:proofErr w:type="spellStart"/>
      <w:r w:rsidR="009B041A">
        <w:t>AndroForte</w:t>
      </w:r>
      <w:proofErr w:type="spellEnd"/>
      <w:r w:rsidR="003B6419">
        <w:t xml:space="preserve"> </w:t>
      </w:r>
      <w:r w:rsidR="009B041A">
        <w:t>5</w:t>
      </w:r>
      <w:r w:rsidR="00B0678D">
        <w:t>,</w:t>
      </w:r>
      <w:r w:rsidR="00DC6D09">
        <w:t xml:space="preserve"> 50</w:t>
      </w:r>
      <w:r w:rsidR="003A07F0">
        <w:t xml:space="preserve"> </w:t>
      </w:r>
      <w:r w:rsidR="00DC6D09">
        <w:t>mL tube)</w:t>
      </w:r>
      <w:r w:rsidR="00757658">
        <w:t xml:space="preserve"> (</w:t>
      </w:r>
      <w:r w:rsidR="00AC3E18">
        <w:fldChar w:fldCharType="begin"/>
      </w:r>
      <w:r w:rsidR="00AC3E18">
        <w:instrText xml:space="preserve"> REF _Ref208921796 \h </w:instrText>
      </w:r>
      <w:r w:rsidR="00AC3E18">
        <w:fldChar w:fldCharType="separate"/>
      </w:r>
      <w:r w:rsidR="00374A89" w:rsidRPr="0098262F">
        <w:t xml:space="preserve">Table </w:t>
      </w:r>
      <w:r w:rsidR="00374A89">
        <w:rPr>
          <w:noProof/>
        </w:rPr>
        <w:t>1</w:t>
      </w:r>
      <w:r w:rsidR="00AC3E18">
        <w:fldChar w:fldCharType="end"/>
      </w:r>
      <w:r w:rsidR="00757658">
        <w:t>)</w:t>
      </w:r>
      <w:r w:rsidR="00545599">
        <w:t xml:space="preserve">. </w:t>
      </w:r>
      <w:r w:rsidR="009B041A" w:rsidRPr="00320580">
        <w:rPr>
          <w:iCs/>
        </w:rPr>
        <w:t xml:space="preserve"> </w:t>
      </w:r>
      <w:r w:rsidR="00545599">
        <w:t xml:space="preserve">The clinical comparison presented </w:t>
      </w:r>
      <w:r w:rsidR="00545599" w:rsidRPr="00751E87">
        <w:t>was versus placebo.</w:t>
      </w:r>
      <w:r w:rsidRPr="00751E87">
        <w:t xml:space="preserve"> </w:t>
      </w:r>
      <w:r w:rsidR="0098262F" w:rsidRPr="00751E87">
        <w:rPr>
          <w:color w:val="0066FF"/>
        </w:rPr>
        <w:t xml:space="preserve"> </w:t>
      </w:r>
    </w:p>
    <w:p w14:paraId="3718DE61" w14:textId="79C8237F" w:rsidR="008B1757" w:rsidRPr="0098262F" w:rsidRDefault="00696EF9" w:rsidP="004A6040">
      <w:pPr>
        <w:pStyle w:val="TableFigureHeading"/>
        <w:rPr>
          <w:rStyle w:val="CommentReference"/>
          <w:b/>
          <w:szCs w:val="24"/>
        </w:rPr>
      </w:pPr>
      <w:bookmarkStart w:id="2" w:name="_Ref208921796"/>
      <w:r w:rsidRPr="0098262F">
        <w:t xml:space="preserve">Table </w:t>
      </w:r>
      <w:r w:rsidR="00F03188">
        <w:fldChar w:fldCharType="begin"/>
      </w:r>
      <w:r w:rsidR="00F03188">
        <w:instrText xml:space="preserve"> SEQ Table \* ARABIC </w:instrText>
      </w:r>
      <w:r w:rsidR="00F03188">
        <w:fldChar w:fldCharType="separate"/>
      </w:r>
      <w:r w:rsidR="00374A89">
        <w:rPr>
          <w:noProof/>
        </w:rPr>
        <w:t>1</w:t>
      </w:r>
      <w:r w:rsidR="00F03188">
        <w:rPr>
          <w:noProof/>
        </w:rPr>
        <w:fldChar w:fldCharType="end"/>
      </w:r>
      <w:bookmarkEnd w:id="2"/>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8B1757" w:rsidRPr="0098262F" w14:paraId="569F5103" w14:textId="77777777" w:rsidTr="002A2ADE">
        <w:trPr>
          <w:cantSplit/>
          <w:tblHeader/>
        </w:trPr>
        <w:tc>
          <w:tcPr>
            <w:tcW w:w="924" w:type="pct"/>
          </w:tcPr>
          <w:p w14:paraId="501803FB" w14:textId="77777777" w:rsidR="008B1757" w:rsidRPr="0098262F" w:rsidRDefault="008B1757" w:rsidP="004A6040">
            <w:pPr>
              <w:pStyle w:val="In-tableHeading"/>
              <w:rPr>
                <w:szCs w:val="20"/>
                <w:lang w:val="en-AU"/>
              </w:rPr>
            </w:pPr>
            <w:r w:rsidRPr="0098262F">
              <w:rPr>
                <w:lang w:val="en-AU"/>
              </w:rPr>
              <w:t>Component</w:t>
            </w:r>
          </w:p>
        </w:tc>
        <w:tc>
          <w:tcPr>
            <w:tcW w:w="4076" w:type="pct"/>
          </w:tcPr>
          <w:p w14:paraId="445D9EBB" w14:textId="77777777" w:rsidR="008B1757" w:rsidRPr="0098262F" w:rsidRDefault="008B1757" w:rsidP="004A6040">
            <w:pPr>
              <w:pStyle w:val="In-tableHeading"/>
              <w:rPr>
                <w:lang w:val="en-AU"/>
              </w:rPr>
            </w:pPr>
            <w:r w:rsidRPr="0098262F">
              <w:rPr>
                <w:lang w:val="en-AU"/>
              </w:rPr>
              <w:t>Description</w:t>
            </w:r>
          </w:p>
        </w:tc>
      </w:tr>
      <w:tr w:rsidR="008B1757" w:rsidRPr="0098262F" w14:paraId="2EB546E2" w14:textId="77777777" w:rsidTr="002A2ADE">
        <w:trPr>
          <w:cantSplit/>
        </w:trPr>
        <w:tc>
          <w:tcPr>
            <w:tcW w:w="924" w:type="pct"/>
          </w:tcPr>
          <w:p w14:paraId="38F3BB34" w14:textId="77777777" w:rsidR="008B1757" w:rsidRPr="0098262F" w:rsidRDefault="008B1757" w:rsidP="00A10875">
            <w:pPr>
              <w:pStyle w:val="TableText0"/>
            </w:pPr>
            <w:r w:rsidRPr="0098262F">
              <w:t>Population</w:t>
            </w:r>
          </w:p>
        </w:tc>
        <w:tc>
          <w:tcPr>
            <w:tcW w:w="4076" w:type="pct"/>
          </w:tcPr>
          <w:p w14:paraId="79618EEE" w14:textId="5DCEFEFB" w:rsidR="00233C01" w:rsidRPr="0098262F" w:rsidRDefault="00545599" w:rsidP="00A10875">
            <w:pPr>
              <w:pStyle w:val="TableText0"/>
            </w:pPr>
            <w:r w:rsidRPr="00545599">
              <w:t>Female patients that are postmenopausal (either naturally or surgically) with hypoactive sexual desire dysfunction (HSDD) that has failed to be treated by appropriate education and correction of modifiable biopsychosocial factors (which may include neuroendocrine imbalance, physical ill health or disease, interpersonal difficulties, psychological distress or specific cultural or religious beliefs), according to the International Society for the Study of Women’s Sexual Health (ISSWSH) process of care (Clayton, Goldstein et al. 2018).</w:t>
            </w:r>
          </w:p>
        </w:tc>
      </w:tr>
      <w:tr w:rsidR="008B1757" w:rsidRPr="0098262F" w14:paraId="0CA523AF" w14:textId="77777777" w:rsidTr="002A2ADE">
        <w:trPr>
          <w:cantSplit/>
        </w:trPr>
        <w:tc>
          <w:tcPr>
            <w:tcW w:w="924" w:type="pct"/>
          </w:tcPr>
          <w:p w14:paraId="7B6D20D8" w14:textId="77777777" w:rsidR="008B1757" w:rsidRPr="0098262F" w:rsidRDefault="008B1757" w:rsidP="00A10875">
            <w:pPr>
              <w:pStyle w:val="TableText0"/>
            </w:pPr>
            <w:r w:rsidRPr="0098262F">
              <w:t>Intervention</w:t>
            </w:r>
          </w:p>
        </w:tc>
        <w:tc>
          <w:tcPr>
            <w:tcW w:w="4076" w:type="pct"/>
          </w:tcPr>
          <w:p w14:paraId="2491E905" w14:textId="1D93ABD6" w:rsidR="00233C01" w:rsidRPr="0098262F" w:rsidRDefault="00545599" w:rsidP="00A10875">
            <w:pPr>
              <w:pStyle w:val="TableText0"/>
            </w:pPr>
            <w:r w:rsidRPr="00545599">
              <w:t>Testosterone</w:t>
            </w:r>
            <w:r>
              <w:t xml:space="preserve"> cream</w:t>
            </w:r>
            <w:r w:rsidRPr="00545599">
              <w:t xml:space="preserve"> 1% w/v (10 mg/mL), 50</w:t>
            </w:r>
            <w:r w:rsidR="002E6941">
              <w:t xml:space="preserve"> </w:t>
            </w:r>
            <w:r w:rsidRPr="00545599">
              <w:t>mL cream tube</w:t>
            </w:r>
            <w:r w:rsidR="001C01CF">
              <w:t xml:space="preserve">. </w:t>
            </w:r>
            <w:r w:rsidR="001C01CF" w:rsidRPr="00320580">
              <w:rPr>
                <w:iCs/>
              </w:rPr>
              <w:t xml:space="preserve">The recommended starting dose is 5mg once daily </w:t>
            </w:r>
            <w:r w:rsidR="000E5A0C" w:rsidRPr="00320580">
              <w:rPr>
                <w:iCs/>
              </w:rPr>
              <w:t>applied to the</w:t>
            </w:r>
            <w:r w:rsidR="001C01CF" w:rsidRPr="00320580">
              <w:rPr>
                <w:iCs/>
              </w:rPr>
              <w:t xml:space="preserve"> upper outer thigh or buttock.</w:t>
            </w:r>
          </w:p>
        </w:tc>
      </w:tr>
      <w:tr w:rsidR="008B1757" w:rsidRPr="0098262F" w14:paraId="0F81EBE4" w14:textId="77777777" w:rsidTr="002A2ADE">
        <w:trPr>
          <w:cantSplit/>
        </w:trPr>
        <w:tc>
          <w:tcPr>
            <w:tcW w:w="924" w:type="pct"/>
          </w:tcPr>
          <w:p w14:paraId="3656B343" w14:textId="77777777" w:rsidR="008B1757" w:rsidRPr="0098262F" w:rsidRDefault="008B1757" w:rsidP="00A10875">
            <w:pPr>
              <w:pStyle w:val="TableText0"/>
            </w:pPr>
            <w:r w:rsidRPr="0098262F">
              <w:t>Comparator</w:t>
            </w:r>
          </w:p>
        </w:tc>
        <w:tc>
          <w:tcPr>
            <w:tcW w:w="4076" w:type="pct"/>
          </w:tcPr>
          <w:p w14:paraId="3727DE24" w14:textId="0B50DDA6" w:rsidR="00233C01" w:rsidRPr="0098262F" w:rsidRDefault="00545599" w:rsidP="00A10875">
            <w:pPr>
              <w:pStyle w:val="TableText0"/>
            </w:pPr>
            <w:r>
              <w:t>Placebo</w:t>
            </w:r>
          </w:p>
        </w:tc>
      </w:tr>
      <w:tr w:rsidR="008B1757" w:rsidRPr="0098262F" w14:paraId="02F86F0D" w14:textId="77777777" w:rsidTr="002A2ADE">
        <w:trPr>
          <w:cantSplit/>
        </w:trPr>
        <w:tc>
          <w:tcPr>
            <w:tcW w:w="924" w:type="pct"/>
          </w:tcPr>
          <w:p w14:paraId="06433105" w14:textId="77777777" w:rsidR="008B1757" w:rsidRPr="0098262F" w:rsidRDefault="008B1757" w:rsidP="00A10875">
            <w:pPr>
              <w:pStyle w:val="TableText0"/>
            </w:pPr>
            <w:r w:rsidRPr="0098262F">
              <w:t>Outcomes</w:t>
            </w:r>
          </w:p>
        </w:tc>
        <w:tc>
          <w:tcPr>
            <w:tcW w:w="4076" w:type="pct"/>
          </w:tcPr>
          <w:p w14:paraId="5ABC4037" w14:textId="34DEB7F5" w:rsidR="00233C01" w:rsidRPr="0098262F" w:rsidRDefault="00545599" w:rsidP="00A10875">
            <w:pPr>
              <w:pStyle w:val="TableText0"/>
              <w:rPr>
                <w:bCs/>
                <w:color w:val="0066FF"/>
              </w:rPr>
            </w:pPr>
            <w:r w:rsidRPr="00545599">
              <w:t>Outcomes include change in Brief Index of Sexual Function</w:t>
            </w:r>
            <w:r w:rsidR="00F13A2A">
              <w:t>ing</w:t>
            </w:r>
            <w:r w:rsidRPr="00545599">
              <w:t xml:space="preserve"> for Women (BISF-W) score, change in the Depression, Anxiety and Stress Scale (DASS) score, change in Profile of Mood States (POMS), change in Total Sexual Function Score and safety</w:t>
            </w:r>
            <w:r w:rsidR="00FA16B3">
              <w:t>.</w:t>
            </w:r>
          </w:p>
        </w:tc>
      </w:tr>
      <w:tr w:rsidR="008B1757" w:rsidRPr="0098262F" w14:paraId="22223890" w14:textId="77777777" w:rsidTr="002A2ADE">
        <w:trPr>
          <w:cantSplit/>
        </w:trPr>
        <w:tc>
          <w:tcPr>
            <w:tcW w:w="924" w:type="pct"/>
          </w:tcPr>
          <w:p w14:paraId="0FC8FCE0" w14:textId="77777777" w:rsidR="008B1757" w:rsidRPr="0098262F" w:rsidRDefault="008B1757" w:rsidP="00A10875">
            <w:pPr>
              <w:pStyle w:val="TableText0"/>
            </w:pPr>
            <w:r w:rsidRPr="0098262F">
              <w:t>Clinical claim</w:t>
            </w:r>
          </w:p>
        </w:tc>
        <w:tc>
          <w:tcPr>
            <w:tcW w:w="4076" w:type="pct"/>
          </w:tcPr>
          <w:p w14:paraId="2C99C4DE" w14:textId="2889B03C" w:rsidR="00233C01" w:rsidRPr="0098262F" w:rsidRDefault="00545599" w:rsidP="00A10875">
            <w:pPr>
              <w:pStyle w:val="TableText0"/>
            </w:pPr>
            <w:r w:rsidRPr="00545599">
              <w:t>In the treatment of postmenopausal women with HSDD, 1% testosterone cream is superior to placebo in terms of efficacy, and non-inferior in terms of safety.</w:t>
            </w:r>
          </w:p>
        </w:tc>
      </w:tr>
    </w:tbl>
    <w:p w14:paraId="527CA7F0" w14:textId="7CECA9AB" w:rsidR="004E43B2" w:rsidRPr="0098262F" w:rsidRDefault="008B1757" w:rsidP="004A6040">
      <w:pPr>
        <w:pStyle w:val="FooterTableFigure"/>
        <w:rPr>
          <w:sz w:val="20"/>
        </w:rPr>
      </w:pPr>
      <w:r w:rsidRPr="0098262F">
        <w:t>Source: Table</w:t>
      </w:r>
      <w:r w:rsidR="00545599">
        <w:t xml:space="preserve"> 1.1, p12 </w:t>
      </w:r>
      <w:r w:rsidRPr="0098262F">
        <w:t>of the submission.</w:t>
      </w:r>
    </w:p>
    <w:p w14:paraId="6B4AB6C2" w14:textId="7F01D731" w:rsidR="005C25FF" w:rsidRPr="0098262F" w:rsidRDefault="005C25FF" w:rsidP="004A6040">
      <w:pPr>
        <w:pStyle w:val="2-SectionHeading"/>
      </w:pPr>
      <w:bookmarkStart w:id="3" w:name="_Toc208926772"/>
      <w:r w:rsidRPr="0098262F">
        <w:t>Background</w:t>
      </w:r>
      <w:bookmarkEnd w:id="3"/>
    </w:p>
    <w:p w14:paraId="2C521D6D" w14:textId="78CF03EE" w:rsidR="005C25FF" w:rsidRPr="0098262F" w:rsidRDefault="005C25FF" w:rsidP="004A6040">
      <w:pPr>
        <w:pStyle w:val="4-SubsectionHeading"/>
      </w:pPr>
      <w:bookmarkStart w:id="4" w:name="_Toc22897638"/>
      <w:bookmarkStart w:id="5" w:name="_Toc208926773"/>
      <w:r w:rsidRPr="0098262F">
        <w:t>Registration status</w:t>
      </w:r>
      <w:bookmarkEnd w:id="4"/>
      <w:bookmarkEnd w:id="5"/>
    </w:p>
    <w:p w14:paraId="17176AAC" w14:textId="7F6B730D" w:rsidR="006F1A2F" w:rsidRDefault="00545599" w:rsidP="00545599">
      <w:pPr>
        <w:pStyle w:val="3-BodyText"/>
      </w:pPr>
      <w:r>
        <w:t xml:space="preserve">Testosterone 1% cream </w:t>
      </w:r>
      <w:r w:rsidR="005C25FF" w:rsidRPr="0098262F">
        <w:t xml:space="preserve">was TGA registered on </w:t>
      </w:r>
      <w:r>
        <w:t xml:space="preserve">23 November 2020 </w:t>
      </w:r>
      <w:r w:rsidR="005C25FF" w:rsidRPr="0098262F">
        <w:t xml:space="preserve">for </w:t>
      </w:r>
      <w:r w:rsidRPr="00545599">
        <w:t xml:space="preserve">the treatment of hypoactive sexual desire dysfunction (HSDD) in postmenopausal women. </w:t>
      </w:r>
    </w:p>
    <w:p w14:paraId="5374AD55" w14:textId="13751B72" w:rsidR="005C25FF" w:rsidRPr="0098262F" w:rsidRDefault="00343394" w:rsidP="00545599">
      <w:pPr>
        <w:pStyle w:val="3-BodyText"/>
      </w:pPr>
      <w:r w:rsidRPr="00320580">
        <w:rPr>
          <w:iCs/>
        </w:rPr>
        <w:t>T</w:t>
      </w:r>
      <w:r w:rsidR="00AF1F20" w:rsidRPr="00320580">
        <w:rPr>
          <w:iCs/>
        </w:rPr>
        <w:t xml:space="preserve">he sponsor has </w:t>
      </w:r>
      <w:r w:rsidR="0036509A" w:rsidRPr="00320580">
        <w:rPr>
          <w:iCs/>
        </w:rPr>
        <w:t>manufactured</w:t>
      </w:r>
      <w:r w:rsidR="00AF1F20" w:rsidRPr="00320580">
        <w:rPr>
          <w:iCs/>
        </w:rPr>
        <w:t xml:space="preserve"> t</w:t>
      </w:r>
      <w:r w:rsidR="006F1A2F" w:rsidRPr="00320580">
        <w:rPr>
          <w:iCs/>
        </w:rPr>
        <w:t>estosterone</w:t>
      </w:r>
      <w:r w:rsidR="001A76D7" w:rsidRPr="00320580">
        <w:rPr>
          <w:iCs/>
        </w:rPr>
        <w:t xml:space="preserve"> as a</w:t>
      </w:r>
      <w:r w:rsidR="006A5DC9" w:rsidRPr="00320580">
        <w:rPr>
          <w:iCs/>
        </w:rPr>
        <w:t xml:space="preserve"> </w:t>
      </w:r>
      <w:r w:rsidR="006F1A2F" w:rsidRPr="00320580">
        <w:rPr>
          <w:iCs/>
        </w:rPr>
        <w:t xml:space="preserve">1% cream </w:t>
      </w:r>
      <w:r w:rsidR="009248DA" w:rsidRPr="00320580">
        <w:rPr>
          <w:iCs/>
        </w:rPr>
        <w:t>since 1999</w:t>
      </w:r>
      <w:r w:rsidR="00502F7C" w:rsidRPr="00320580">
        <w:rPr>
          <w:iCs/>
        </w:rPr>
        <w:t xml:space="preserve"> and </w:t>
      </w:r>
      <w:r w:rsidR="0045675E" w:rsidRPr="00320580">
        <w:rPr>
          <w:iCs/>
        </w:rPr>
        <w:t xml:space="preserve">supplied </w:t>
      </w:r>
      <w:r w:rsidR="00971CD7" w:rsidRPr="00320580">
        <w:rPr>
          <w:iCs/>
        </w:rPr>
        <w:t xml:space="preserve">the cream </w:t>
      </w:r>
      <w:r w:rsidR="0045675E" w:rsidRPr="00320580">
        <w:rPr>
          <w:iCs/>
        </w:rPr>
        <w:t>via mail order</w:t>
      </w:r>
      <w:r w:rsidR="005F22A5" w:rsidRPr="00320580">
        <w:rPr>
          <w:rStyle w:val="FootnoteReference"/>
          <w:iCs/>
        </w:rPr>
        <w:footnoteReference w:id="1"/>
      </w:r>
      <w:r w:rsidR="0045675E" w:rsidRPr="00320580">
        <w:rPr>
          <w:iCs/>
        </w:rPr>
        <w:t xml:space="preserve"> </w:t>
      </w:r>
      <w:r w:rsidR="005F22A5" w:rsidRPr="00320580">
        <w:rPr>
          <w:iCs/>
        </w:rPr>
        <w:t xml:space="preserve">under Section 6 of the Therapeutic Goods Act 1989 </w:t>
      </w:r>
      <w:r w:rsidR="0045675E" w:rsidRPr="00320580">
        <w:rPr>
          <w:iCs/>
        </w:rPr>
        <w:t xml:space="preserve">from pharmacies </w:t>
      </w:r>
      <w:r w:rsidRPr="00320580">
        <w:rPr>
          <w:iCs/>
        </w:rPr>
        <w:t>in Western Australia</w:t>
      </w:r>
      <w:r w:rsidR="005F22A5" w:rsidRPr="00320580">
        <w:rPr>
          <w:iCs/>
        </w:rPr>
        <w:t xml:space="preserve"> until the time of registration. The sponsor estimated </w:t>
      </w:r>
      <w:r w:rsidR="005F22A5" w:rsidRPr="00320580">
        <w:rPr>
          <w:iCs/>
        </w:rPr>
        <w:lastRenderedPageBreak/>
        <w:t>that this has resulted</w:t>
      </w:r>
      <w:r w:rsidR="008B4F30" w:rsidRPr="00320580">
        <w:rPr>
          <w:iCs/>
        </w:rPr>
        <w:t xml:space="preserve"> in an estimated 95,037 patient</w:t>
      </w:r>
      <w:r w:rsidR="001D0551" w:rsidRPr="00320580">
        <w:rPr>
          <w:iCs/>
        </w:rPr>
        <w:t>-</w:t>
      </w:r>
      <w:r w:rsidR="008B4F30" w:rsidRPr="00320580">
        <w:rPr>
          <w:iCs/>
        </w:rPr>
        <w:t>years of exposure</w:t>
      </w:r>
      <w:r w:rsidR="005F22A5" w:rsidRPr="00320580">
        <w:rPr>
          <w:iCs/>
        </w:rPr>
        <w:t xml:space="preserve"> and that this demonstrated clinician familiarity and genuine clinical need</w:t>
      </w:r>
      <w:r w:rsidR="008B4F30" w:rsidRPr="00320580">
        <w:rPr>
          <w:iCs/>
        </w:rPr>
        <w:t xml:space="preserve">. </w:t>
      </w:r>
    </w:p>
    <w:p w14:paraId="3E2A6EAB" w14:textId="469C8C0C" w:rsidR="005C25FF" w:rsidRPr="0098262F" w:rsidRDefault="005C25FF" w:rsidP="004E18E9">
      <w:pPr>
        <w:pStyle w:val="4-SubsectionHeading"/>
      </w:pPr>
      <w:bookmarkStart w:id="6" w:name="_Toc22897639"/>
      <w:bookmarkStart w:id="7" w:name="_Toc208926774"/>
      <w:r w:rsidRPr="0098262F">
        <w:t>Previous PBAC consideration</w:t>
      </w:r>
      <w:bookmarkEnd w:id="6"/>
      <w:bookmarkEnd w:id="7"/>
    </w:p>
    <w:p w14:paraId="3AC4C76E" w14:textId="79BEADD3" w:rsidR="005C25FF" w:rsidRDefault="00545599" w:rsidP="00545599">
      <w:pPr>
        <w:pStyle w:val="3-BodyText"/>
      </w:pPr>
      <w:r>
        <w:t xml:space="preserve">There has been no previous PBAC consideration of </w:t>
      </w:r>
      <w:r w:rsidR="00236A80">
        <w:t>testosterone 1% cream</w:t>
      </w:r>
      <w:r w:rsidR="003D2C16">
        <w:t xml:space="preserve"> for </w:t>
      </w:r>
      <w:r w:rsidR="003D2C16" w:rsidRPr="00545599">
        <w:t>HSDD in postmenopausal women</w:t>
      </w:r>
      <w:r>
        <w:t xml:space="preserve"> and no other products are </w:t>
      </w:r>
      <w:r w:rsidR="0059263D">
        <w:t>PBS-</w:t>
      </w:r>
      <w:r>
        <w:t xml:space="preserve">listed for this indication. </w:t>
      </w:r>
    </w:p>
    <w:p w14:paraId="36D9E7EF" w14:textId="52228986" w:rsidR="00BA7F7F" w:rsidRDefault="00BA7F7F" w:rsidP="00FB3DB6">
      <w:pPr>
        <w:pStyle w:val="3-BodyText"/>
        <w:numPr>
          <w:ilvl w:val="0"/>
          <w:numId w:val="0"/>
        </w:numPr>
        <w:ind w:left="720"/>
      </w:pPr>
      <w:r w:rsidRPr="00BA7F7F">
        <w:rPr>
          <w:i/>
          <w:iCs/>
        </w:rPr>
        <w:t>For more detail on PBAC’s view, see section 7 PBAC outcome.</w:t>
      </w:r>
    </w:p>
    <w:p w14:paraId="76E4EF3C" w14:textId="13040F70" w:rsidR="00B60939" w:rsidRDefault="00B50DB8" w:rsidP="004E18E9">
      <w:pPr>
        <w:pStyle w:val="2-SectionHeading"/>
      </w:pPr>
      <w:bookmarkStart w:id="8" w:name="_Toc208239172"/>
      <w:bookmarkStart w:id="9" w:name="_Toc208239173"/>
      <w:bookmarkStart w:id="10" w:name="_Toc208239174"/>
      <w:bookmarkStart w:id="11" w:name="_Toc208239175"/>
      <w:bookmarkStart w:id="12" w:name="_Toc208239176"/>
      <w:bookmarkStart w:id="13" w:name="_Toc208239177"/>
      <w:bookmarkStart w:id="14" w:name="_Toc208239178"/>
      <w:bookmarkStart w:id="15" w:name="_Toc208239179"/>
      <w:bookmarkStart w:id="16" w:name="_Toc208239180"/>
      <w:bookmarkStart w:id="17" w:name="_Toc208239181"/>
      <w:bookmarkStart w:id="18" w:name="_Toc208239182"/>
      <w:bookmarkStart w:id="19" w:name="_Toc107902078"/>
      <w:bookmarkStart w:id="20" w:name="_Toc208926775"/>
      <w:bookmarkEnd w:id="8"/>
      <w:bookmarkEnd w:id="9"/>
      <w:bookmarkEnd w:id="10"/>
      <w:bookmarkEnd w:id="11"/>
      <w:bookmarkEnd w:id="12"/>
      <w:bookmarkEnd w:id="13"/>
      <w:bookmarkEnd w:id="14"/>
      <w:bookmarkEnd w:id="15"/>
      <w:bookmarkEnd w:id="16"/>
      <w:bookmarkEnd w:id="17"/>
      <w:bookmarkEnd w:id="18"/>
      <w:bookmarkEnd w:id="19"/>
      <w:r w:rsidRPr="0098262F">
        <w:t>Requested listing</w:t>
      </w:r>
      <w:bookmarkEnd w:id="20"/>
    </w:p>
    <w:p w14:paraId="36D2EB98" w14:textId="5C100B90" w:rsidR="00093815" w:rsidRPr="00093815" w:rsidRDefault="00CB2680" w:rsidP="00093815">
      <w:pPr>
        <w:pStyle w:val="3-BodyText"/>
      </w:pPr>
      <w:r>
        <w:rPr>
          <w:rFonts w:cs="Calibri"/>
          <w:bCs/>
          <w:iCs/>
        </w:rPr>
        <w:t xml:space="preserve">The requested listing is presented below. </w:t>
      </w:r>
      <w:r w:rsidRPr="00911028">
        <w:t>Suggestions and additions proposed by the Secretariat are added in italics and suggested deletions are crossed out with strikethrough.</w:t>
      </w:r>
    </w:p>
    <w:p w14:paraId="0D6C5573" w14:textId="77777777" w:rsidR="00093815" w:rsidRPr="00E00B15" w:rsidRDefault="00093815" w:rsidP="00CB2680">
      <w:pPr>
        <w:pStyle w:val="3-BodyText"/>
        <w:numPr>
          <w:ilvl w:val="0"/>
          <w:numId w:val="0"/>
        </w:numPr>
        <w:rPr>
          <w:b/>
          <w:bCs/>
        </w:rPr>
      </w:pPr>
      <w:r w:rsidRPr="00E00B15">
        <w:rPr>
          <w:b/>
          <w:bCs/>
        </w:rPr>
        <w:t>30-day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30-day listing"/>
      </w:tblPr>
      <w:tblGrid>
        <w:gridCol w:w="1411"/>
        <w:gridCol w:w="2651"/>
        <w:gridCol w:w="806"/>
        <w:gridCol w:w="806"/>
        <w:gridCol w:w="806"/>
        <w:gridCol w:w="806"/>
        <w:gridCol w:w="1731"/>
      </w:tblGrid>
      <w:tr w:rsidR="00093815" w:rsidRPr="00E00B15" w14:paraId="555FF01F" w14:textId="77777777" w:rsidTr="00C17515">
        <w:trPr>
          <w:cantSplit/>
          <w:trHeight w:val="20"/>
        </w:trPr>
        <w:tc>
          <w:tcPr>
            <w:tcW w:w="2252" w:type="pct"/>
            <w:gridSpan w:val="2"/>
            <w:vAlign w:val="center"/>
          </w:tcPr>
          <w:p w14:paraId="1016CDB5" w14:textId="77777777" w:rsidR="00093815" w:rsidRPr="00E00B15" w:rsidRDefault="00093815">
            <w:pPr>
              <w:keepNext/>
              <w:keepLines/>
              <w:rPr>
                <w:rFonts w:ascii="Arial Narrow" w:hAnsi="Arial Narrow" w:cs="Calibri"/>
                <w:b/>
                <w:bCs/>
                <w:sz w:val="20"/>
                <w:szCs w:val="20"/>
              </w:rPr>
            </w:pPr>
            <w:r w:rsidRPr="00E00B15">
              <w:rPr>
                <w:rFonts w:ascii="Arial Narrow" w:hAnsi="Arial Narrow" w:cs="Calibri"/>
                <w:b/>
                <w:bCs/>
                <w:sz w:val="20"/>
                <w:szCs w:val="20"/>
              </w:rPr>
              <w:t>MEDICINAL PRODUCT</w:t>
            </w:r>
          </w:p>
          <w:p w14:paraId="55DE63AE" w14:textId="77777777" w:rsidR="00093815" w:rsidRPr="00E00B15" w:rsidRDefault="00093815">
            <w:pPr>
              <w:keepNext/>
              <w:keepLines/>
              <w:rPr>
                <w:rFonts w:ascii="Arial Narrow" w:hAnsi="Arial Narrow" w:cs="Calibri"/>
                <w:b/>
                <w:sz w:val="20"/>
                <w:szCs w:val="20"/>
              </w:rPr>
            </w:pPr>
            <w:r w:rsidRPr="00E00B15">
              <w:rPr>
                <w:rFonts w:ascii="Arial Narrow" w:hAnsi="Arial Narrow" w:cs="Calibri"/>
                <w:b/>
                <w:bCs/>
                <w:sz w:val="20"/>
                <w:szCs w:val="20"/>
              </w:rPr>
              <w:t>medicinal product pack</w:t>
            </w:r>
          </w:p>
        </w:tc>
        <w:tc>
          <w:tcPr>
            <w:tcW w:w="447" w:type="pct"/>
            <w:vAlign w:val="center"/>
          </w:tcPr>
          <w:p w14:paraId="4FA2FCA0" w14:textId="77777777" w:rsidR="00093815" w:rsidRPr="00E00B15" w:rsidRDefault="00093815">
            <w:pPr>
              <w:keepNext/>
              <w:keepLines/>
              <w:jc w:val="center"/>
              <w:rPr>
                <w:rFonts w:ascii="Arial Narrow" w:hAnsi="Arial Narrow" w:cs="Calibri"/>
                <w:b/>
                <w:sz w:val="20"/>
                <w:szCs w:val="20"/>
              </w:rPr>
            </w:pPr>
            <w:r w:rsidRPr="00E00B15">
              <w:rPr>
                <w:rFonts w:ascii="Arial Narrow" w:hAnsi="Arial Narrow" w:cs="Calibri"/>
                <w:b/>
                <w:sz w:val="20"/>
                <w:szCs w:val="20"/>
              </w:rPr>
              <w:t>PBS item code</w:t>
            </w:r>
          </w:p>
        </w:tc>
        <w:tc>
          <w:tcPr>
            <w:tcW w:w="447" w:type="pct"/>
            <w:vAlign w:val="center"/>
          </w:tcPr>
          <w:p w14:paraId="3AC26DFA" w14:textId="77777777" w:rsidR="00093815" w:rsidRPr="00E00B15" w:rsidRDefault="00093815">
            <w:pPr>
              <w:keepNext/>
              <w:keepLines/>
              <w:jc w:val="center"/>
              <w:rPr>
                <w:rFonts w:ascii="Arial Narrow" w:hAnsi="Arial Narrow" w:cs="Calibri"/>
                <w:b/>
                <w:sz w:val="20"/>
                <w:szCs w:val="20"/>
              </w:rPr>
            </w:pPr>
            <w:r w:rsidRPr="00E00B15">
              <w:rPr>
                <w:rFonts w:ascii="Arial Narrow" w:hAnsi="Arial Narrow" w:cs="Calibri"/>
                <w:b/>
                <w:sz w:val="20"/>
                <w:szCs w:val="20"/>
              </w:rPr>
              <w:t>Max. qty packs</w:t>
            </w:r>
          </w:p>
        </w:tc>
        <w:tc>
          <w:tcPr>
            <w:tcW w:w="447" w:type="pct"/>
            <w:vAlign w:val="center"/>
          </w:tcPr>
          <w:p w14:paraId="5001E038" w14:textId="77777777" w:rsidR="00093815" w:rsidRPr="00E00B15" w:rsidRDefault="00093815">
            <w:pPr>
              <w:keepNext/>
              <w:keepLines/>
              <w:jc w:val="center"/>
              <w:rPr>
                <w:rFonts w:ascii="Arial Narrow" w:hAnsi="Arial Narrow" w:cs="Calibri"/>
                <w:sz w:val="20"/>
                <w:szCs w:val="20"/>
              </w:rPr>
            </w:pPr>
            <w:r w:rsidRPr="00E00B15">
              <w:rPr>
                <w:rFonts w:ascii="Arial Narrow" w:hAnsi="Arial Narrow" w:cs="Calibri"/>
                <w:b/>
                <w:sz w:val="20"/>
                <w:szCs w:val="20"/>
              </w:rPr>
              <w:t>Max. qty units</w:t>
            </w:r>
          </w:p>
        </w:tc>
        <w:tc>
          <w:tcPr>
            <w:tcW w:w="447" w:type="pct"/>
            <w:vAlign w:val="center"/>
          </w:tcPr>
          <w:p w14:paraId="73039A5C" w14:textId="77777777" w:rsidR="00093815" w:rsidRPr="00E00B15" w:rsidRDefault="00093815">
            <w:pPr>
              <w:keepNext/>
              <w:keepLines/>
              <w:jc w:val="center"/>
              <w:rPr>
                <w:rFonts w:ascii="Arial Narrow" w:hAnsi="Arial Narrow" w:cs="Calibri"/>
                <w:b/>
                <w:sz w:val="20"/>
                <w:szCs w:val="20"/>
              </w:rPr>
            </w:pPr>
            <w:r w:rsidRPr="00E00B15">
              <w:rPr>
                <w:rFonts w:ascii="Arial Narrow" w:hAnsi="Arial Narrow" w:cs="Calibri"/>
                <w:b/>
                <w:sz w:val="20"/>
                <w:szCs w:val="20"/>
              </w:rPr>
              <w:t>№.of</w:t>
            </w:r>
          </w:p>
          <w:p w14:paraId="6C45A957" w14:textId="77777777" w:rsidR="00093815" w:rsidRPr="00E00B15" w:rsidRDefault="00093815">
            <w:pPr>
              <w:keepNext/>
              <w:keepLines/>
              <w:jc w:val="center"/>
              <w:rPr>
                <w:rFonts w:ascii="Arial Narrow" w:hAnsi="Arial Narrow" w:cs="Calibri"/>
                <w:b/>
                <w:sz w:val="20"/>
                <w:szCs w:val="20"/>
              </w:rPr>
            </w:pPr>
            <w:proofErr w:type="spellStart"/>
            <w:r w:rsidRPr="00E00B15">
              <w:rPr>
                <w:rFonts w:ascii="Arial Narrow" w:hAnsi="Arial Narrow" w:cs="Calibri"/>
                <w:b/>
                <w:sz w:val="20"/>
                <w:szCs w:val="20"/>
              </w:rPr>
              <w:t>Rpts</w:t>
            </w:r>
            <w:proofErr w:type="spellEnd"/>
          </w:p>
        </w:tc>
        <w:tc>
          <w:tcPr>
            <w:tcW w:w="960" w:type="pct"/>
            <w:vAlign w:val="center"/>
          </w:tcPr>
          <w:p w14:paraId="477E5A6D" w14:textId="77777777" w:rsidR="00093815" w:rsidRPr="00E00B15" w:rsidRDefault="00093815">
            <w:pPr>
              <w:keepNext/>
              <w:keepLines/>
              <w:rPr>
                <w:rFonts w:ascii="Arial Narrow" w:hAnsi="Arial Narrow" w:cs="Calibri"/>
                <w:b/>
                <w:sz w:val="20"/>
                <w:szCs w:val="20"/>
                <w:lang w:val="fr-FR"/>
              </w:rPr>
            </w:pPr>
            <w:r w:rsidRPr="00E00B15">
              <w:rPr>
                <w:rFonts w:ascii="Arial Narrow" w:hAnsi="Arial Narrow" w:cs="Calibri"/>
                <w:b/>
                <w:sz w:val="20"/>
                <w:szCs w:val="20"/>
              </w:rPr>
              <w:t>Available brands</w:t>
            </w:r>
          </w:p>
        </w:tc>
      </w:tr>
      <w:tr w:rsidR="00093815" w:rsidRPr="00E00B15" w14:paraId="78055061" w14:textId="77777777" w:rsidTr="00E00B15">
        <w:trPr>
          <w:cantSplit/>
          <w:trHeight w:val="20"/>
        </w:trPr>
        <w:tc>
          <w:tcPr>
            <w:tcW w:w="5000" w:type="pct"/>
            <w:gridSpan w:val="7"/>
            <w:vAlign w:val="center"/>
          </w:tcPr>
          <w:p w14:paraId="5C8BBE03" w14:textId="77777777" w:rsidR="00093815" w:rsidRPr="00E00B15" w:rsidRDefault="00093815">
            <w:pPr>
              <w:keepNext/>
              <w:keepLines/>
              <w:rPr>
                <w:rFonts w:ascii="Arial Narrow" w:hAnsi="Arial Narrow" w:cs="Calibri"/>
                <w:sz w:val="20"/>
                <w:szCs w:val="20"/>
              </w:rPr>
            </w:pPr>
            <w:r w:rsidRPr="00E00B15">
              <w:rPr>
                <w:rFonts w:ascii="Arial Narrow" w:hAnsi="Arial Narrow" w:cs="Calibri"/>
                <w:sz w:val="20"/>
                <w:szCs w:val="20"/>
              </w:rPr>
              <w:t>TESTOSTERONE</w:t>
            </w:r>
          </w:p>
        </w:tc>
      </w:tr>
      <w:tr w:rsidR="00093815" w:rsidRPr="00E00B15" w14:paraId="6A92BB06" w14:textId="77777777" w:rsidTr="00C17515">
        <w:trPr>
          <w:cantSplit/>
          <w:trHeight w:val="20"/>
        </w:trPr>
        <w:tc>
          <w:tcPr>
            <w:tcW w:w="2252" w:type="pct"/>
            <w:gridSpan w:val="2"/>
            <w:vAlign w:val="center"/>
          </w:tcPr>
          <w:p w14:paraId="7EE98A87" w14:textId="77777777" w:rsidR="00093815" w:rsidRPr="00E00B15" w:rsidRDefault="00093815">
            <w:pPr>
              <w:keepNext/>
              <w:keepLines/>
              <w:rPr>
                <w:rFonts w:ascii="Arial Narrow" w:hAnsi="Arial Narrow" w:cs="Calibri"/>
                <w:strike/>
                <w:sz w:val="20"/>
                <w:szCs w:val="20"/>
              </w:rPr>
            </w:pPr>
            <w:r w:rsidRPr="00E00B15">
              <w:rPr>
                <w:rFonts w:ascii="Arial Narrow" w:hAnsi="Arial Narrow" w:cs="Calibri"/>
                <w:strike/>
                <w:sz w:val="20"/>
                <w:szCs w:val="20"/>
              </w:rPr>
              <w:t>testosterone 1.0% w/v cream (10mg/ml), 50Ml</w:t>
            </w:r>
          </w:p>
          <w:p w14:paraId="60744F75" w14:textId="77777777" w:rsidR="00093815" w:rsidRPr="00E00B15" w:rsidRDefault="00093815">
            <w:pPr>
              <w:keepNext/>
              <w:keepLines/>
              <w:rPr>
                <w:rFonts w:ascii="Arial Narrow" w:hAnsi="Arial Narrow" w:cs="Calibri"/>
                <w:sz w:val="20"/>
                <w:szCs w:val="20"/>
              </w:rPr>
            </w:pPr>
            <w:r w:rsidRPr="00E00B15">
              <w:rPr>
                <w:rFonts w:ascii="Arial Narrow" w:hAnsi="Arial Narrow" w:cs="Calibri"/>
                <w:sz w:val="20"/>
                <w:szCs w:val="20"/>
              </w:rPr>
              <w:t>testosterone 1% (10 mg/mL) cream, 50 mL</w:t>
            </w:r>
          </w:p>
        </w:tc>
        <w:tc>
          <w:tcPr>
            <w:tcW w:w="447" w:type="pct"/>
            <w:vAlign w:val="center"/>
          </w:tcPr>
          <w:p w14:paraId="6919236D" w14:textId="77777777" w:rsidR="00093815" w:rsidRPr="00E00B15" w:rsidRDefault="00093815">
            <w:pPr>
              <w:keepNext/>
              <w:keepLines/>
              <w:jc w:val="center"/>
              <w:rPr>
                <w:rFonts w:ascii="Arial Narrow" w:hAnsi="Arial Narrow" w:cs="Calibri"/>
                <w:sz w:val="20"/>
                <w:szCs w:val="20"/>
              </w:rPr>
            </w:pPr>
            <w:r w:rsidRPr="00E00B15">
              <w:rPr>
                <w:rFonts w:ascii="Arial Narrow" w:hAnsi="Arial Narrow" w:cs="Calibri"/>
                <w:sz w:val="20"/>
                <w:szCs w:val="20"/>
              </w:rPr>
              <w:t>NEW</w:t>
            </w:r>
          </w:p>
          <w:p w14:paraId="04710A55" w14:textId="77777777" w:rsidR="00093815" w:rsidRPr="00E00B15" w:rsidRDefault="00093815">
            <w:pPr>
              <w:keepNext/>
              <w:keepLines/>
              <w:jc w:val="center"/>
              <w:rPr>
                <w:rFonts w:ascii="Arial Narrow" w:hAnsi="Arial Narrow" w:cs="Calibri"/>
                <w:sz w:val="20"/>
                <w:szCs w:val="20"/>
                <w:vertAlign w:val="subscript"/>
              </w:rPr>
            </w:pPr>
            <w:r w:rsidRPr="00E00B15">
              <w:rPr>
                <w:rFonts w:ascii="Arial Narrow" w:hAnsi="Arial Narrow" w:cs="Calibri"/>
                <w:sz w:val="20"/>
                <w:szCs w:val="20"/>
                <w:vertAlign w:val="subscript"/>
              </w:rPr>
              <w:t>MP NP</w:t>
            </w:r>
          </w:p>
        </w:tc>
        <w:tc>
          <w:tcPr>
            <w:tcW w:w="447" w:type="pct"/>
            <w:vAlign w:val="center"/>
          </w:tcPr>
          <w:p w14:paraId="7FA60A69" w14:textId="77777777" w:rsidR="00093815" w:rsidRPr="00E00B15" w:rsidRDefault="00093815">
            <w:pPr>
              <w:keepNext/>
              <w:keepLines/>
              <w:jc w:val="center"/>
              <w:rPr>
                <w:rFonts w:ascii="Arial Narrow" w:hAnsi="Arial Narrow" w:cs="Calibri"/>
                <w:sz w:val="20"/>
                <w:szCs w:val="20"/>
              </w:rPr>
            </w:pPr>
            <w:r w:rsidRPr="00E00B15">
              <w:rPr>
                <w:rFonts w:ascii="Arial Narrow" w:hAnsi="Arial Narrow" w:cs="Calibri"/>
                <w:sz w:val="20"/>
                <w:szCs w:val="20"/>
              </w:rPr>
              <w:t>1</w:t>
            </w:r>
          </w:p>
        </w:tc>
        <w:tc>
          <w:tcPr>
            <w:tcW w:w="447" w:type="pct"/>
            <w:vAlign w:val="center"/>
          </w:tcPr>
          <w:p w14:paraId="1FEA4C71" w14:textId="77777777" w:rsidR="00093815" w:rsidRPr="00E00B15" w:rsidRDefault="00093815">
            <w:pPr>
              <w:keepNext/>
              <w:keepLines/>
              <w:jc w:val="center"/>
              <w:rPr>
                <w:rFonts w:ascii="Arial Narrow" w:hAnsi="Arial Narrow" w:cs="Calibri"/>
                <w:sz w:val="20"/>
                <w:szCs w:val="20"/>
              </w:rPr>
            </w:pPr>
            <w:r w:rsidRPr="00E00B15">
              <w:rPr>
                <w:rFonts w:ascii="Arial Narrow" w:hAnsi="Arial Narrow" w:cs="Calibri"/>
                <w:sz w:val="20"/>
                <w:szCs w:val="20"/>
              </w:rPr>
              <w:t>1</w:t>
            </w:r>
          </w:p>
        </w:tc>
        <w:tc>
          <w:tcPr>
            <w:tcW w:w="447" w:type="pct"/>
            <w:vAlign w:val="center"/>
          </w:tcPr>
          <w:p w14:paraId="7A834CE9" w14:textId="77777777" w:rsidR="00093815" w:rsidRPr="00E00B15" w:rsidRDefault="00093815">
            <w:pPr>
              <w:keepNext/>
              <w:keepLines/>
              <w:jc w:val="center"/>
              <w:rPr>
                <w:rFonts w:ascii="Arial Narrow" w:hAnsi="Arial Narrow" w:cs="Calibri"/>
                <w:sz w:val="20"/>
                <w:szCs w:val="20"/>
              </w:rPr>
            </w:pPr>
            <w:r w:rsidRPr="00E00B15">
              <w:rPr>
                <w:rFonts w:ascii="Arial Narrow" w:hAnsi="Arial Narrow" w:cs="Calibri"/>
                <w:sz w:val="20"/>
                <w:szCs w:val="20"/>
              </w:rPr>
              <w:t>1</w:t>
            </w:r>
          </w:p>
        </w:tc>
        <w:tc>
          <w:tcPr>
            <w:tcW w:w="960" w:type="pct"/>
            <w:vAlign w:val="center"/>
          </w:tcPr>
          <w:p w14:paraId="1A2A79E3" w14:textId="77777777" w:rsidR="00093815" w:rsidRPr="00E00B15" w:rsidRDefault="00093815">
            <w:pPr>
              <w:keepNext/>
              <w:keepLines/>
              <w:rPr>
                <w:rFonts w:ascii="Arial Narrow" w:hAnsi="Arial Narrow" w:cs="Calibri"/>
                <w:sz w:val="20"/>
                <w:szCs w:val="20"/>
              </w:rPr>
            </w:pPr>
            <w:proofErr w:type="spellStart"/>
            <w:r w:rsidRPr="00E00B15">
              <w:rPr>
                <w:rFonts w:ascii="Arial Narrow" w:hAnsi="Arial Narrow" w:cs="Calibri"/>
                <w:sz w:val="20"/>
                <w:szCs w:val="20"/>
              </w:rPr>
              <w:t>AndroFeme</w:t>
            </w:r>
            <w:proofErr w:type="spellEnd"/>
            <w:r w:rsidRPr="00E00B15">
              <w:rPr>
                <w:rFonts w:ascii="Arial Narrow" w:hAnsi="Arial Narrow" w:cs="Calibri"/>
                <w:sz w:val="20"/>
                <w:szCs w:val="20"/>
              </w:rPr>
              <w:t xml:space="preserve"> 1</w:t>
            </w:r>
          </w:p>
        </w:tc>
      </w:tr>
      <w:tr w:rsidR="00093815" w:rsidRPr="00E00B15" w14:paraId="0531068C" w14:textId="77777777" w:rsidTr="00E00B15">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1A1DD2E9" w14:textId="77777777" w:rsidR="00093815" w:rsidRPr="00E00B15" w:rsidRDefault="00093815">
            <w:pPr>
              <w:keepNext/>
              <w:keepLines/>
              <w:rPr>
                <w:rFonts w:ascii="Arial Narrow" w:hAnsi="Arial Narrow" w:cs="Calibri"/>
                <w:sz w:val="20"/>
                <w:szCs w:val="20"/>
              </w:rPr>
            </w:pPr>
          </w:p>
        </w:tc>
      </w:tr>
      <w:tr w:rsidR="00093815" w:rsidRPr="00E00B15" w14:paraId="091BD8D3" w14:textId="77777777" w:rsidTr="00E00B15">
        <w:tblPrEx>
          <w:tblCellMar>
            <w:top w:w="15" w:type="dxa"/>
            <w:bottom w:w="15" w:type="dxa"/>
          </w:tblCellMar>
          <w:tblLook w:val="04A0" w:firstRow="1" w:lastRow="0" w:firstColumn="1" w:lastColumn="0" w:noHBand="0" w:noVBand="1"/>
        </w:tblPrEx>
        <w:trPr>
          <w:trHeight w:val="20"/>
        </w:trPr>
        <w:tc>
          <w:tcPr>
            <w:tcW w:w="782" w:type="pct"/>
            <w:vMerge w:val="restart"/>
            <w:tcBorders>
              <w:top w:val="single" w:sz="4" w:space="0" w:color="auto"/>
              <w:left w:val="single" w:sz="4" w:space="0" w:color="auto"/>
              <w:right w:val="single" w:sz="4" w:space="0" w:color="auto"/>
            </w:tcBorders>
          </w:tcPr>
          <w:p w14:paraId="44D4CA6D" w14:textId="77777777" w:rsidR="00093815" w:rsidRPr="00E00B15" w:rsidRDefault="00093815">
            <w:pPr>
              <w:jc w:val="center"/>
              <w:rPr>
                <w:rFonts w:ascii="Arial Narrow" w:hAnsi="Arial Narrow" w:cs="Calibri"/>
                <w:b/>
                <w:sz w:val="20"/>
                <w:szCs w:val="20"/>
              </w:rPr>
            </w:pPr>
            <w:r w:rsidRPr="00E00B15">
              <w:rPr>
                <w:rFonts w:ascii="Arial Narrow" w:hAnsi="Arial Narrow" w:cs="Calibri"/>
                <w:b/>
                <w:sz w:val="20"/>
                <w:szCs w:val="20"/>
              </w:rPr>
              <w:t>Concept ID</w:t>
            </w:r>
          </w:p>
          <w:p w14:paraId="32669FD3" w14:textId="77777777" w:rsidR="00093815" w:rsidRPr="00E00B15" w:rsidRDefault="00093815">
            <w:pPr>
              <w:jc w:val="center"/>
              <w:rPr>
                <w:rFonts w:ascii="Arial Narrow" w:hAnsi="Arial Narrow" w:cs="Calibri"/>
                <w:b/>
                <w:sz w:val="20"/>
                <w:szCs w:val="20"/>
              </w:rPr>
            </w:pPr>
            <w:r w:rsidRPr="00E00B15">
              <w:rPr>
                <w:rFonts w:ascii="Arial Narrow" w:hAnsi="Arial Narrow"/>
                <w:sz w:val="20"/>
                <w:szCs w:val="20"/>
              </w:rPr>
              <w:t>(for internal Dept. use)</w:t>
            </w:r>
          </w:p>
        </w:tc>
        <w:tc>
          <w:tcPr>
            <w:tcW w:w="4218" w:type="pct"/>
            <w:gridSpan w:val="6"/>
            <w:tcBorders>
              <w:top w:val="single" w:sz="4" w:space="0" w:color="auto"/>
              <w:left w:val="single" w:sz="4" w:space="0" w:color="auto"/>
              <w:bottom w:val="single" w:sz="4" w:space="0" w:color="auto"/>
              <w:right w:val="single" w:sz="4" w:space="0" w:color="auto"/>
            </w:tcBorders>
            <w:vAlign w:val="center"/>
          </w:tcPr>
          <w:p w14:paraId="260E2E88" w14:textId="77777777" w:rsidR="00093815" w:rsidRPr="00E00B15" w:rsidRDefault="00093815">
            <w:pPr>
              <w:keepLines/>
              <w:rPr>
                <w:rFonts w:ascii="Arial Narrow" w:hAnsi="Arial Narrow" w:cs="Calibri"/>
                <w:sz w:val="20"/>
                <w:szCs w:val="20"/>
              </w:rPr>
            </w:pPr>
            <w:r w:rsidRPr="00E00B15">
              <w:rPr>
                <w:rFonts w:ascii="Arial Narrow" w:hAnsi="Arial Narrow" w:cs="Calibri"/>
                <w:b/>
                <w:sz w:val="20"/>
                <w:szCs w:val="20"/>
              </w:rPr>
              <w:t>Category / Program:</w:t>
            </w:r>
            <w:r w:rsidRPr="00E00B15">
              <w:rPr>
                <w:rFonts w:ascii="Arial Narrow" w:hAnsi="Arial Narrow" w:cs="Calibri"/>
                <w:sz w:val="20"/>
                <w:szCs w:val="20"/>
              </w:rPr>
              <w:t xml:space="preserve"> </w:t>
            </w:r>
            <w:r w:rsidRPr="00E00B15">
              <w:rPr>
                <w:rFonts w:ascii="Arial Narrow" w:eastAsia="Calibri" w:hAnsi="Arial Narrow" w:cs="Calibri"/>
                <w:sz w:val="20"/>
                <w:szCs w:val="20"/>
              </w:rPr>
              <w:fldChar w:fldCharType="begin">
                <w:ffData>
                  <w:name w:val="Check1"/>
                  <w:enabled/>
                  <w:calcOnExit w:val="0"/>
                  <w:checkBox>
                    <w:sizeAuto/>
                    <w:default w:val="1"/>
                  </w:checkBox>
                </w:ffData>
              </w:fldChar>
            </w:r>
            <w:r w:rsidRPr="00E00B15">
              <w:rPr>
                <w:rFonts w:ascii="Arial Narrow" w:eastAsia="Calibri" w:hAnsi="Arial Narrow" w:cs="Calibri"/>
                <w:sz w:val="20"/>
                <w:szCs w:val="20"/>
              </w:rPr>
              <w:instrText xml:space="preserve"> FORMCHECKBOX </w:instrText>
            </w:r>
            <w:r w:rsidRPr="00E00B15">
              <w:rPr>
                <w:rFonts w:ascii="Arial Narrow" w:eastAsia="Calibri" w:hAnsi="Arial Narrow" w:cs="Calibri"/>
                <w:sz w:val="20"/>
                <w:szCs w:val="20"/>
              </w:rPr>
            </w:r>
            <w:r w:rsidRPr="00E00B15">
              <w:rPr>
                <w:rFonts w:ascii="Arial Narrow" w:eastAsia="Calibri" w:hAnsi="Arial Narrow" w:cs="Calibri"/>
                <w:sz w:val="20"/>
                <w:szCs w:val="20"/>
              </w:rPr>
              <w:fldChar w:fldCharType="separate"/>
            </w:r>
            <w:r w:rsidRPr="00E00B15">
              <w:rPr>
                <w:rFonts w:ascii="Arial Narrow" w:eastAsia="Calibri" w:hAnsi="Arial Narrow" w:cs="Calibri"/>
                <w:sz w:val="20"/>
                <w:szCs w:val="20"/>
              </w:rPr>
              <w:fldChar w:fldCharType="end"/>
            </w:r>
            <w:r w:rsidRPr="00E00B15">
              <w:rPr>
                <w:rFonts w:ascii="Arial Narrow" w:eastAsia="Calibri" w:hAnsi="Arial Narrow" w:cs="Calibri"/>
                <w:sz w:val="20"/>
                <w:szCs w:val="20"/>
              </w:rPr>
              <w:t xml:space="preserve"> GENERAL - General Schedule (Code GE) </w:t>
            </w:r>
          </w:p>
        </w:tc>
      </w:tr>
      <w:tr w:rsidR="00093815" w:rsidRPr="00E00B15" w14:paraId="6FF107BA" w14:textId="77777777" w:rsidTr="00E00B15">
        <w:tblPrEx>
          <w:tblCellMar>
            <w:top w:w="15" w:type="dxa"/>
            <w:bottom w:w="15" w:type="dxa"/>
          </w:tblCellMar>
          <w:tblLook w:val="04A0" w:firstRow="1" w:lastRow="0" w:firstColumn="1" w:lastColumn="0" w:noHBand="0" w:noVBand="1"/>
        </w:tblPrEx>
        <w:trPr>
          <w:trHeight w:val="20"/>
        </w:trPr>
        <w:tc>
          <w:tcPr>
            <w:tcW w:w="782" w:type="pct"/>
            <w:vMerge/>
          </w:tcPr>
          <w:p w14:paraId="0C59B9B9" w14:textId="77777777" w:rsidR="00093815" w:rsidRPr="00E00B15" w:rsidRDefault="00093815">
            <w:pPr>
              <w:jc w:val="center"/>
              <w:rPr>
                <w:rFonts w:ascii="Arial Narrow" w:hAnsi="Arial Narrow" w:cs="Calibri"/>
                <w:sz w:val="20"/>
                <w:szCs w:val="20"/>
              </w:rPr>
            </w:pPr>
          </w:p>
        </w:tc>
        <w:tc>
          <w:tcPr>
            <w:tcW w:w="4218" w:type="pct"/>
            <w:gridSpan w:val="6"/>
            <w:tcBorders>
              <w:top w:val="single" w:sz="4" w:space="0" w:color="auto"/>
              <w:left w:val="single" w:sz="4" w:space="0" w:color="auto"/>
              <w:bottom w:val="single" w:sz="4" w:space="0" w:color="auto"/>
              <w:right w:val="single" w:sz="4" w:space="0" w:color="auto"/>
            </w:tcBorders>
            <w:vAlign w:val="center"/>
          </w:tcPr>
          <w:p w14:paraId="6936A1FB" w14:textId="77777777" w:rsidR="00093815" w:rsidRPr="00E00B15" w:rsidRDefault="00093815">
            <w:pPr>
              <w:keepLines/>
              <w:rPr>
                <w:rFonts w:ascii="Arial Narrow" w:hAnsi="Arial Narrow" w:cs="Calibri"/>
                <w:b/>
                <w:bCs/>
                <w:sz w:val="20"/>
                <w:szCs w:val="20"/>
              </w:rPr>
            </w:pPr>
            <w:r w:rsidRPr="00E00B15">
              <w:rPr>
                <w:rFonts w:ascii="Arial Narrow" w:hAnsi="Arial Narrow" w:cs="Calibri"/>
                <w:b/>
                <w:bCs/>
                <w:sz w:val="20"/>
                <w:szCs w:val="20"/>
              </w:rPr>
              <w:t xml:space="preserve">Prescriber type: </w:t>
            </w:r>
            <w:r w:rsidRPr="00E00B15">
              <w:rPr>
                <w:rFonts w:ascii="Arial Narrow" w:hAnsi="Arial Narrow"/>
                <w:sz w:val="20"/>
                <w:szCs w:val="20"/>
              </w:rPr>
              <w:fldChar w:fldCharType="begin">
                <w:ffData>
                  <w:name w:val=""/>
                  <w:enabled/>
                  <w:calcOnExit w:val="0"/>
                  <w:checkBox>
                    <w:sizeAuto/>
                    <w:default w:val="1"/>
                  </w:checkBox>
                </w:ffData>
              </w:fldChar>
            </w:r>
            <w:r w:rsidRPr="00E00B15">
              <w:rPr>
                <w:rFonts w:ascii="Arial Narrow" w:hAnsi="Arial Narrow"/>
                <w:sz w:val="20"/>
                <w:szCs w:val="20"/>
              </w:rPr>
              <w:instrText xml:space="preserve"> FORMCHECKBOX </w:instrText>
            </w:r>
            <w:r w:rsidRPr="00E00B15">
              <w:rPr>
                <w:rFonts w:ascii="Arial Narrow" w:hAnsi="Arial Narrow"/>
                <w:sz w:val="20"/>
                <w:szCs w:val="20"/>
              </w:rPr>
            </w:r>
            <w:r w:rsidRPr="00E00B15">
              <w:rPr>
                <w:rFonts w:ascii="Arial Narrow" w:hAnsi="Arial Narrow"/>
                <w:sz w:val="20"/>
                <w:szCs w:val="20"/>
              </w:rPr>
              <w:fldChar w:fldCharType="separate"/>
            </w:r>
            <w:r w:rsidRPr="00E00B15">
              <w:rPr>
                <w:rFonts w:ascii="Arial Narrow" w:hAnsi="Arial Narrow"/>
                <w:sz w:val="20"/>
                <w:szCs w:val="20"/>
              </w:rPr>
              <w:fldChar w:fldCharType="end"/>
            </w:r>
            <w:r w:rsidRPr="00E00B15">
              <w:rPr>
                <w:rFonts w:ascii="Arial Narrow" w:eastAsia="Arial Narrow" w:hAnsi="Arial Narrow" w:cs="Arial Narrow"/>
                <w:sz w:val="20"/>
                <w:szCs w:val="20"/>
              </w:rPr>
              <w:t xml:space="preserve">Medical Practitioners </w:t>
            </w:r>
            <w:r w:rsidRPr="00E00B15">
              <w:rPr>
                <w:rFonts w:ascii="Arial Narrow" w:hAnsi="Arial Narrow"/>
                <w:sz w:val="20"/>
                <w:szCs w:val="20"/>
              </w:rPr>
              <w:fldChar w:fldCharType="begin">
                <w:ffData>
                  <w:name w:val=""/>
                  <w:enabled/>
                  <w:calcOnExit w:val="0"/>
                  <w:checkBox>
                    <w:sizeAuto/>
                    <w:default w:val="1"/>
                  </w:checkBox>
                </w:ffData>
              </w:fldChar>
            </w:r>
            <w:r w:rsidRPr="00E00B15">
              <w:rPr>
                <w:rFonts w:ascii="Arial Narrow" w:hAnsi="Arial Narrow"/>
                <w:sz w:val="20"/>
                <w:szCs w:val="20"/>
              </w:rPr>
              <w:instrText xml:space="preserve"> FORMCHECKBOX </w:instrText>
            </w:r>
            <w:r w:rsidRPr="00E00B15">
              <w:rPr>
                <w:rFonts w:ascii="Arial Narrow" w:hAnsi="Arial Narrow"/>
                <w:sz w:val="20"/>
                <w:szCs w:val="20"/>
              </w:rPr>
            </w:r>
            <w:r w:rsidRPr="00E00B15">
              <w:rPr>
                <w:rFonts w:ascii="Arial Narrow" w:hAnsi="Arial Narrow"/>
                <w:sz w:val="20"/>
                <w:szCs w:val="20"/>
              </w:rPr>
              <w:fldChar w:fldCharType="separate"/>
            </w:r>
            <w:r w:rsidRPr="00E00B15">
              <w:rPr>
                <w:rFonts w:ascii="Arial Narrow" w:hAnsi="Arial Narrow"/>
                <w:sz w:val="20"/>
                <w:szCs w:val="20"/>
              </w:rPr>
              <w:fldChar w:fldCharType="end"/>
            </w:r>
            <w:r w:rsidRPr="00E00B15">
              <w:rPr>
                <w:rFonts w:ascii="Arial Narrow" w:eastAsia="Arial Narrow" w:hAnsi="Arial Narrow" w:cs="Arial Narrow"/>
                <w:sz w:val="20"/>
                <w:szCs w:val="20"/>
              </w:rPr>
              <w:t>Nurse practitioners</w:t>
            </w:r>
          </w:p>
        </w:tc>
      </w:tr>
      <w:tr w:rsidR="00093815" w:rsidRPr="00E00B15" w14:paraId="10E1F4EB" w14:textId="77777777" w:rsidTr="00E00B15">
        <w:tblPrEx>
          <w:tblCellMar>
            <w:top w:w="15" w:type="dxa"/>
            <w:bottom w:w="15" w:type="dxa"/>
          </w:tblCellMar>
        </w:tblPrEx>
        <w:trPr>
          <w:trHeight w:val="220"/>
        </w:trPr>
        <w:tc>
          <w:tcPr>
            <w:tcW w:w="782" w:type="pct"/>
            <w:vMerge/>
          </w:tcPr>
          <w:p w14:paraId="0CC259D8" w14:textId="77777777" w:rsidR="00093815" w:rsidRPr="00E00B15" w:rsidRDefault="00093815">
            <w:pPr>
              <w:jc w:val="center"/>
              <w:rPr>
                <w:rFonts w:ascii="Arial Narrow" w:hAnsi="Arial Narrow" w:cs="Calibri"/>
                <w:sz w:val="20"/>
                <w:szCs w:val="20"/>
              </w:rPr>
            </w:pPr>
          </w:p>
        </w:tc>
        <w:tc>
          <w:tcPr>
            <w:tcW w:w="4218" w:type="pct"/>
            <w:gridSpan w:val="6"/>
            <w:tcBorders>
              <w:top w:val="single" w:sz="4" w:space="0" w:color="auto"/>
              <w:left w:val="single" w:sz="4" w:space="0" w:color="auto"/>
              <w:bottom w:val="single" w:sz="4" w:space="0" w:color="auto"/>
              <w:right w:val="single" w:sz="4" w:space="0" w:color="auto"/>
            </w:tcBorders>
            <w:vAlign w:val="center"/>
          </w:tcPr>
          <w:p w14:paraId="16FD5CE8" w14:textId="77777777" w:rsidR="00093815" w:rsidRPr="00E00B15" w:rsidRDefault="00093815">
            <w:pPr>
              <w:keepLines/>
              <w:rPr>
                <w:rFonts w:ascii="Arial Narrow" w:hAnsi="Arial Narrow" w:cs="Calibri"/>
                <w:sz w:val="20"/>
                <w:szCs w:val="20"/>
              </w:rPr>
            </w:pPr>
            <w:r w:rsidRPr="00E00B15">
              <w:rPr>
                <w:rFonts w:ascii="Arial Narrow" w:hAnsi="Arial Narrow" w:cs="Calibri"/>
                <w:b/>
                <w:bCs/>
                <w:sz w:val="20"/>
                <w:szCs w:val="20"/>
              </w:rPr>
              <w:t xml:space="preserve">Restriction type: </w:t>
            </w:r>
            <w:r w:rsidRPr="00E00B15">
              <w:rPr>
                <w:rFonts w:ascii="Arial Narrow" w:eastAsia="Calibri" w:hAnsi="Arial Narrow" w:cs="Calibri"/>
                <w:sz w:val="20"/>
                <w:szCs w:val="20"/>
              </w:rPr>
              <w:fldChar w:fldCharType="begin">
                <w:ffData>
                  <w:name w:val=""/>
                  <w:enabled/>
                  <w:calcOnExit w:val="0"/>
                  <w:checkBox>
                    <w:sizeAuto/>
                    <w:default w:val="1"/>
                  </w:checkBox>
                </w:ffData>
              </w:fldChar>
            </w:r>
            <w:r w:rsidRPr="00E00B15">
              <w:rPr>
                <w:rFonts w:ascii="Arial Narrow" w:eastAsia="Calibri" w:hAnsi="Arial Narrow" w:cs="Calibri"/>
                <w:sz w:val="20"/>
                <w:szCs w:val="20"/>
              </w:rPr>
              <w:instrText xml:space="preserve"> FORMCHECKBOX </w:instrText>
            </w:r>
            <w:r w:rsidRPr="00E00B15">
              <w:rPr>
                <w:rFonts w:ascii="Arial Narrow" w:eastAsia="Calibri" w:hAnsi="Arial Narrow" w:cs="Calibri"/>
                <w:sz w:val="20"/>
                <w:szCs w:val="20"/>
              </w:rPr>
            </w:r>
            <w:r w:rsidRPr="00E00B15">
              <w:rPr>
                <w:rFonts w:ascii="Arial Narrow" w:eastAsia="Calibri" w:hAnsi="Arial Narrow" w:cs="Calibri"/>
                <w:sz w:val="20"/>
                <w:szCs w:val="20"/>
              </w:rPr>
              <w:fldChar w:fldCharType="separate"/>
            </w:r>
            <w:r w:rsidRPr="00E00B15">
              <w:rPr>
                <w:rFonts w:ascii="Arial Narrow" w:eastAsia="Calibri" w:hAnsi="Arial Narrow" w:cs="Calibri"/>
                <w:sz w:val="20"/>
                <w:szCs w:val="20"/>
              </w:rPr>
              <w:fldChar w:fldCharType="end"/>
            </w:r>
            <w:r w:rsidRPr="00E00B15">
              <w:rPr>
                <w:rFonts w:ascii="Arial Narrow" w:eastAsia="Calibri" w:hAnsi="Arial Narrow" w:cs="Calibri"/>
                <w:sz w:val="20"/>
                <w:szCs w:val="20"/>
              </w:rPr>
              <w:t xml:space="preserve"> Restricted benefit </w:t>
            </w:r>
          </w:p>
        </w:tc>
      </w:tr>
      <w:tr w:rsidR="00E00B15" w:rsidRPr="00E00B15" w14:paraId="3514212F"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4282F595" w14:textId="77777777" w:rsidR="00E00B15" w:rsidRPr="00E00B15" w:rsidRDefault="00E00B15">
            <w:pPr>
              <w:rPr>
                <w:rFonts w:ascii="Arial Narrow" w:hAnsi="Arial Narrow"/>
                <w:b/>
                <w:bCs/>
                <w:i/>
                <w:iCs/>
                <w:color w:val="333333"/>
                <w:sz w:val="20"/>
                <w:szCs w:val="20"/>
              </w:rPr>
            </w:pPr>
            <w:r w:rsidRPr="00E00B15">
              <w:rPr>
                <w:rStyle w:val="normaltextrun"/>
                <w:rFonts w:ascii="Arial Narrow" w:eastAsiaTheme="majorEastAsia" w:hAnsi="Arial Narrow" w:cs="Segoe UI"/>
                <w:b/>
                <w:bCs/>
                <w:i/>
                <w:iCs/>
                <w:sz w:val="20"/>
                <w:szCs w:val="20"/>
              </w:rPr>
              <w:t>Prescribing rule level: </w:t>
            </w:r>
            <w:r w:rsidRPr="00E00B15">
              <w:rPr>
                <w:rStyle w:val="eop"/>
                <w:rFonts w:ascii="Arial Narrow" w:eastAsiaTheme="majorEastAsia" w:hAnsi="Arial Narrow" w:cs="Segoe UI"/>
                <w:i/>
                <w:iCs/>
                <w:sz w:val="20"/>
                <w:szCs w:val="20"/>
              </w:rPr>
              <w:t> </w:t>
            </w:r>
          </w:p>
        </w:tc>
      </w:tr>
      <w:tr w:rsidR="00E00B15" w:rsidRPr="00E00B15" w14:paraId="6C19A345"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09C669B7" w14:textId="77777777" w:rsidR="00E00B15" w:rsidRPr="00E00B15" w:rsidRDefault="00E00B15">
            <w:pPr>
              <w:pStyle w:val="paragraph"/>
              <w:spacing w:before="0" w:beforeAutospacing="0" w:after="0" w:afterAutospacing="0"/>
              <w:jc w:val="both"/>
              <w:textAlignment w:val="baseline"/>
              <w:rPr>
                <w:rFonts w:ascii="Segoe UI" w:hAnsi="Segoe UI" w:cs="Segoe UI"/>
                <w:i/>
                <w:iCs/>
                <w:sz w:val="18"/>
                <w:szCs w:val="18"/>
              </w:rPr>
            </w:pPr>
            <w:r w:rsidRPr="00E00B15">
              <w:rPr>
                <w:rStyle w:val="normaltextrun"/>
                <w:rFonts w:ascii="Arial Narrow" w:eastAsiaTheme="majorEastAsia" w:hAnsi="Arial Narrow" w:cs="Segoe UI"/>
                <w:b/>
                <w:bCs/>
                <w:i/>
                <w:iCs/>
                <w:sz w:val="20"/>
                <w:szCs w:val="20"/>
              </w:rPr>
              <w:t>Administrative advice:</w:t>
            </w:r>
            <w:r w:rsidRPr="00E00B15">
              <w:rPr>
                <w:rStyle w:val="eop"/>
                <w:rFonts w:ascii="Arial Narrow" w:eastAsiaTheme="majorEastAsia" w:hAnsi="Arial Narrow" w:cs="Segoe UI"/>
                <w:i/>
                <w:iCs/>
                <w:sz w:val="20"/>
                <w:szCs w:val="20"/>
              </w:rPr>
              <w:t> </w:t>
            </w:r>
          </w:p>
          <w:p w14:paraId="1BD24123" w14:textId="77777777" w:rsidR="00E00B15" w:rsidRPr="00E00B15" w:rsidRDefault="00E00B15">
            <w:pPr>
              <w:rPr>
                <w:rFonts w:ascii="Arial Narrow" w:hAnsi="Arial Narrow"/>
                <w:b/>
                <w:bCs/>
                <w:i/>
                <w:iCs/>
                <w:color w:val="333333"/>
                <w:sz w:val="20"/>
                <w:szCs w:val="20"/>
              </w:rPr>
            </w:pPr>
            <w:r w:rsidRPr="00E00B15">
              <w:rPr>
                <w:rStyle w:val="normaltextrun"/>
                <w:rFonts w:ascii="Arial Narrow" w:eastAsiaTheme="majorEastAsia" w:hAnsi="Arial Narrow" w:cs="Segoe UI"/>
                <w:i/>
                <w:iCs/>
                <w:sz w:val="20"/>
                <w:szCs w:val="20"/>
              </w:rPr>
              <w:t>No increase in the maximum number of repeats may be authorised.</w:t>
            </w:r>
            <w:r w:rsidRPr="00E00B15">
              <w:rPr>
                <w:rStyle w:val="eop"/>
                <w:rFonts w:ascii="Arial Narrow" w:eastAsiaTheme="majorEastAsia" w:hAnsi="Arial Narrow" w:cs="Segoe UI"/>
                <w:i/>
                <w:iCs/>
                <w:sz w:val="20"/>
                <w:szCs w:val="20"/>
              </w:rPr>
              <w:t> </w:t>
            </w:r>
          </w:p>
        </w:tc>
      </w:tr>
      <w:tr w:rsidR="00E00B15" w:rsidRPr="00E00B15" w14:paraId="50E30231"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tcPr>
          <w:p w14:paraId="2E9979D1" w14:textId="25092C84" w:rsidR="00E00B15" w:rsidRPr="00E00B15" w:rsidRDefault="00E00B15">
            <w:pPr>
              <w:pStyle w:val="paragraph"/>
              <w:textAlignment w:val="baseline"/>
              <w:rPr>
                <w:rStyle w:val="normaltextrun"/>
                <w:rFonts w:ascii="Arial Narrow" w:eastAsiaTheme="majorEastAsia" w:hAnsi="Arial Narrow" w:cs="Segoe UI"/>
                <w:b/>
                <w:bCs/>
                <w:sz w:val="20"/>
                <w:szCs w:val="20"/>
              </w:rPr>
            </w:pPr>
            <w:r w:rsidRPr="00E00B15">
              <w:rPr>
                <w:rStyle w:val="normaltextrun"/>
                <w:rFonts w:ascii="Arial Narrow" w:eastAsiaTheme="majorEastAsia" w:hAnsi="Arial Narrow" w:cs="Segoe UI"/>
                <w:b/>
                <w:bCs/>
                <w:sz w:val="20"/>
                <w:szCs w:val="20"/>
              </w:rPr>
              <w:t>Restriction Summary [new1] / Treatment of Concept: [new1A]</w:t>
            </w:r>
          </w:p>
        </w:tc>
      </w:tr>
      <w:tr w:rsidR="00E00B15" w:rsidRPr="00E00B15" w14:paraId="4C222CB3"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0D5D3761" w14:textId="77777777" w:rsidR="00E00B15" w:rsidRPr="00E00B15" w:rsidRDefault="00E00B15">
            <w:pPr>
              <w:rPr>
                <w:rFonts w:ascii="Arial Narrow" w:hAnsi="Arial Narrow"/>
                <w:color w:val="333333"/>
                <w:sz w:val="20"/>
                <w:szCs w:val="20"/>
              </w:rPr>
            </w:pPr>
            <w:r w:rsidRPr="00E00B15">
              <w:rPr>
                <w:rFonts w:ascii="Arial Narrow" w:hAnsi="Arial Narrow"/>
                <w:b/>
                <w:bCs/>
                <w:color w:val="333333"/>
                <w:sz w:val="20"/>
                <w:szCs w:val="20"/>
              </w:rPr>
              <w:t>Indication:</w:t>
            </w:r>
            <w:r w:rsidRPr="00E00B15">
              <w:rPr>
                <w:rFonts w:ascii="Arial Narrow" w:hAnsi="Arial Narrow"/>
                <w:color w:val="333333"/>
                <w:sz w:val="20"/>
                <w:szCs w:val="20"/>
              </w:rPr>
              <w:t xml:space="preserve"> </w:t>
            </w:r>
            <w:r w:rsidRPr="00E00B15">
              <w:rPr>
                <w:rFonts w:ascii="Arial Narrow" w:hAnsi="Arial Narrow"/>
                <w:sz w:val="20"/>
                <w:szCs w:val="20"/>
              </w:rPr>
              <w:t xml:space="preserve">Hypoactive Sexual Desire Dysfunction (HSDD) </w:t>
            </w:r>
            <w:r w:rsidRPr="00E00B15">
              <w:rPr>
                <w:rFonts w:ascii="Arial Narrow" w:hAnsi="Arial Narrow"/>
                <w:i/>
                <w:iCs/>
                <w:sz w:val="20"/>
                <w:szCs w:val="20"/>
              </w:rPr>
              <w:t>in postmenopausal women</w:t>
            </w:r>
            <w:r w:rsidRPr="00E00B15">
              <w:rPr>
                <w:rFonts w:ascii="Arial Narrow" w:hAnsi="Arial Narrow"/>
                <w:sz w:val="20"/>
                <w:szCs w:val="20"/>
              </w:rPr>
              <w:t xml:space="preserve"> </w:t>
            </w:r>
          </w:p>
        </w:tc>
      </w:tr>
      <w:tr w:rsidR="00E00B15" w:rsidRPr="00E00B15" w14:paraId="29623C5F"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31EE98A2" w14:textId="77777777" w:rsidR="00E00B15" w:rsidRPr="00E00B15" w:rsidRDefault="00E00B15">
            <w:pPr>
              <w:rPr>
                <w:rFonts w:ascii="Arial Narrow" w:hAnsi="Arial Narrow"/>
                <w:b/>
                <w:bCs/>
                <w:color w:val="333333"/>
                <w:sz w:val="20"/>
                <w:szCs w:val="20"/>
              </w:rPr>
            </w:pPr>
          </w:p>
        </w:tc>
      </w:tr>
      <w:tr w:rsidR="00E00B15" w:rsidRPr="00E00B15" w14:paraId="0197D26A"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3C9D822D" w14:textId="77777777" w:rsidR="00E00B15" w:rsidRPr="00E00B15" w:rsidRDefault="00E00B15">
            <w:pPr>
              <w:rPr>
                <w:rFonts w:ascii="Arial Narrow" w:hAnsi="Arial Narrow"/>
                <w:strike/>
                <w:color w:val="333333"/>
                <w:sz w:val="20"/>
                <w:szCs w:val="20"/>
              </w:rPr>
            </w:pPr>
            <w:r w:rsidRPr="00E00B15">
              <w:rPr>
                <w:rFonts w:ascii="Arial Narrow" w:hAnsi="Arial Narrow"/>
                <w:b/>
                <w:bCs/>
                <w:strike/>
                <w:color w:val="333333"/>
                <w:sz w:val="20"/>
                <w:szCs w:val="20"/>
              </w:rPr>
              <w:t>Treatment Phase:</w:t>
            </w:r>
            <w:r w:rsidRPr="00E00B15">
              <w:rPr>
                <w:rFonts w:ascii="Arial Narrow" w:hAnsi="Arial Narrow"/>
                <w:strike/>
                <w:color w:val="333333"/>
                <w:sz w:val="20"/>
                <w:szCs w:val="20"/>
              </w:rPr>
              <w:t xml:space="preserve"> All</w:t>
            </w:r>
          </w:p>
        </w:tc>
      </w:tr>
      <w:tr w:rsidR="00E00B15" w:rsidRPr="00E00B15" w14:paraId="01CED29D"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38D9423C" w14:textId="77777777" w:rsidR="00E00B15" w:rsidRPr="00E00B15" w:rsidRDefault="00E00B15">
            <w:pPr>
              <w:rPr>
                <w:rFonts w:ascii="Arial Narrow" w:hAnsi="Arial Narrow"/>
                <w:b/>
                <w:bCs/>
                <w:color w:val="333333"/>
                <w:sz w:val="20"/>
                <w:szCs w:val="20"/>
              </w:rPr>
            </w:pPr>
          </w:p>
        </w:tc>
      </w:tr>
      <w:tr w:rsidR="00E00B15" w:rsidRPr="00E00B15" w14:paraId="0B37D580"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232CDD70" w14:textId="77777777" w:rsidR="00E00B15" w:rsidRPr="00E00B15" w:rsidRDefault="00E00B15">
            <w:pPr>
              <w:rPr>
                <w:rFonts w:ascii="Arial Narrow" w:hAnsi="Arial Narrow"/>
                <w:color w:val="333333"/>
                <w:sz w:val="20"/>
                <w:szCs w:val="20"/>
              </w:rPr>
            </w:pPr>
            <w:bookmarkStart w:id="21" w:name="_Hlk206074992"/>
            <w:r w:rsidRPr="00E00B15">
              <w:rPr>
                <w:rFonts w:ascii="Arial Narrow" w:hAnsi="Arial Narrow"/>
                <w:b/>
                <w:bCs/>
                <w:color w:val="333333"/>
                <w:sz w:val="20"/>
                <w:szCs w:val="20"/>
              </w:rPr>
              <w:t>Clinical criteria:</w:t>
            </w:r>
          </w:p>
        </w:tc>
      </w:tr>
      <w:tr w:rsidR="00E00B15" w:rsidRPr="00E00B15" w14:paraId="086A724D"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257A8904" w14:textId="77777777" w:rsidR="00E00B15" w:rsidRPr="00E00B15" w:rsidRDefault="00E00B15">
            <w:pPr>
              <w:rPr>
                <w:rFonts w:ascii="Arial Narrow" w:hAnsi="Arial Narrow"/>
                <w:strike/>
                <w:color w:val="333333"/>
                <w:sz w:val="20"/>
                <w:szCs w:val="20"/>
              </w:rPr>
            </w:pPr>
            <w:r w:rsidRPr="00E00B15">
              <w:rPr>
                <w:rFonts w:ascii="Arial Narrow" w:hAnsi="Arial Narrow"/>
                <w:strike/>
                <w:color w:val="333333"/>
                <w:sz w:val="20"/>
                <w:szCs w:val="20"/>
              </w:rPr>
              <w:t xml:space="preserve">Patients must have </w:t>
            </w:r>
            <w:bookmarkStart w:id="22" w:name="_Hlk202521389"/>
            <w:r w:rsidRPr="00E00B15">
              <w:rPr>
                <w:rFonts w:ascii="Arial Narrow" w:hAnsi="Arial Narrow"/>
                <w:strike/>
                <w:color w:val="333333"/>
                <w:sz w:val="20"/>
                <w:szCs w:val="20"/>
              </w:rPr>
              <w:t xml:space="preserve">failed to be treated by appropriate education and correction of modifiable biopsychosocial </w:t>
            </w:r>
            <w:bookmarkEnd w:id="22"/>
            <w:r w:rsidRPr="00E00B15">
              <w:rPr>
                <w:rFonts w:ascii="Arial Narrow" w:hAnsi="Arial Narrow"/>
                <w:strike/>
                <w:color w:val="333333"/>
                <w:sz w:val="20"/>
                <w:szCs w:val="20"/>
              </w:rPr>
              <w:t>factors (which may include neuroendocrine imbalance, physical ill health or disease, interpersonal difficulties, psychological distress or specific cultural or religious beliefs), according to the International Society for the Study of Women’s Sexual Health (ISSWSH) process of care.</w:t>
            </w:r>
          </w:p>
          <w:p w14:paraId="68E731B2" w14:textId="77777777" w:rsidR="00E00B15" w:rsidRPr="00E00B15" w:rsidRDefault="00E00B15">
            <w:pPr>
              <w:rPr>
                <w:rFonts w:ascii="Arial Narrow" w:hAnsi="Arial Narrow"/>
                <w:i/>
                <w:iCs/>
                <w:color w:val="333333"/>
                <w:sz w:val="20"/>
                <w:szCs w:val="20"/>
              </w:rPr>
            </w:pPr>
            <w:r w:rsidRPr="00E00B15">
              <w:rPr>
                <w:rFonts w:ascii="Arial Narrow" w:hAnsi="Arial Narrow"/>
                <w:i/>
                <w:iCs/>
                <w:color w:val="333333"/>
                <w:sz w:val="20"/>
                <w:szCs w:val="20"/>
              </w:rPr>
              <w:t>The condition must have failed to be treated by either (</w:t>
            </w:r>
            <w:proofErr w:type="spellStart"/>
            <w:r w:rsidRPr="00E00B15">
              <w:rPr>
                <w:rFonts w:ascii="Arial Narrow" w:hAnsi="Arial Narrow"/>
                <w:i/>
                <w:iCs/>
                <w:color w:val="333333"/>
                <w:sz w:val="20"/>
                <w:szCs w:val="20"/>
              </w:rPr>
              <w:t>i</w:t>
            </w:r>
            <w:proofErr w:type="spellEnd"/>
            <w:r w:rsidRPr="00E00B15">
              <w:rPr>
                <w:rFonts w:ascii="Arial Narrow" w:hAnsi="Arial Narrow"/>
                <w:i/>
                <w:iCs/>
                <w:color w:val="333333"/>
                <w:sz w:val="20"/>
                <w:szCs w:val="20"/>
              </w:rPr>
              <w:t>) appropriate education; (ii) correction of modifiable biopsychosocial factors according to the International Society for the Study of Women’s Sexual Health (ISSWSH) process of care.</w:t>
            </w:r>
          </w:p>
        </w:tc>
      </w:tr>
      <w:tr w:rsidR="00E00B15" w:rsidRPr="00E00B15" w14:paraId="3C556875"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4E415B39" w14:textId="77777777" w:rsidR="00E00B15" w:rsidRPr="00E00B15" w:rsidRDefault="00E00B15">
            <w:pPr>
              <w:rPr>
                <w:rFonts w:ascii="Arial Narrow" w:hAnsi="Arial Narrow"/>
                <w:b/>
                <w:bCs/>
                <w:color w:val="333333"/>
                <w:sz w:val="20"/>
                <w:szCs w:val="20"/>
              </w:rPr>
            </w:pPr>
            <w:r w:rsidRPr="00E00B15">
              <w:rPr>
                <w:rFonts w:ascii="Arial Narrow" w:hAnsi="Arial Narrow"/>
                <w:b/>
                <w:bCs/>
                <w:color w:val="333333"/>
                <w:sz w:val="20"/>
                <w:szCs w:val="20"/>
              </w:rPr>
              <w:t>AND</w:t>
            </w:r>
          </w:p>
        </w:tc>
      </w:tr>
      <w:tr w:rsidR="00E00B15" w:rsidRPr="00E00B15" w14:paraId="2A637F54"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7BF969F9" w14:textId="77777777" w:rsidR="00E00B15" w:rsidRPr="00E00B15" w:rsidRDefault="00E00B15">
            <w:pPr>
              <w:rPr>
                <w:rFonts w:ascii="Arial Narrow" w:hAnsi="Arial Narrow"/>
                <w:color w:val="333333"/>
                <w:sz w:val="20"/>
                <w:szCs w:val="20"/>
              </w:rPr>
            </w:pPr>
            <w:r w:rsidRPr="00E00B15">
              <w:rPr>
                <w:rFonts w:ascii="Arial Narrow" w:hAnsi="Arial Narrow"/>
                <w:b/>
                <w:bCs/>
                <w:color w:val="333333"/>
                <w:sz w:val="20"/>
                <w:szCs w:val="20"/>
              </w:rPr>
              <w:t>Clinical criteria:</w:t>
            </w:r>
          </w:p>
        </w:tc>
      </w:tr>
      <w:tr w:rsidR="00E00B15" w:rsidRPr="00E00B15" w14:paraId="6DC9FA0E"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335C0F76" w14:textId="77777777" w:rsidR="00E00B15" w:rsidRPr="00E00B15" w:rsidRDefault="00E00B15">
            <w:pPr>
              <w:rPr>
                <w:rFonts w:ascii="Arial Narrow" w:hAnsi="Arial Narrow"/>
                <w:color w:val="333333"/>
                <w:sz w:val="20"/>
                <w:szCs w:val="20"/>
              </w:rPr>
            </w:pPr>
            <w:r w:rsidRPr="00E00B15">
              <w:rPr>
                <w:rFonts w:ascii="Arial Narrow" w:hAnsi="Arial Narrow"/>
                <w:color w:val="333333"/>
                <w:sz w:val="20"/>
                <w:szCs w:val="20"/>
              </w:rPr>
              <w:t xml:space="preserve">Patient must not be contraindicated to testosterone therapy. </w:t>
            </w:r>
            <w:r w:rsidRPr="00E00B15">
              <w:rPr>
                <w:rFonts w:ascii="Arial Narrow" w:hAnsi="Arial Narrow"/>
                <w:strike/>
                <w:color w:val="333333"/>
                <w:sz w:val="20"/>
                <w:szCs w:val="20"/>
              </w:rPr>
              <w:t>(e.g. serum testosterone high, history of breast cancer, high risk of CVD, high risk of VTE, significant liver disease, professional singer)</w:t>
            </w:r>
          </w:p>
        </w:tc>
      </w:tr>
      <w:tr w:rsidR="00E00B15" w:rsidRPr="00E00B15" w14:paraId="7164A9BF"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033DB566" w14:textId="77777777" w:rsidR="00E00B15" w:rsidRPr="00E00B15" w:rsidRDefault="00E00B15">
            <w:pPr>
              <w:rPr>
                <w:rFonts w:ascii="Arial Narrow" w:hAnsi="Arial Narrow"/>
                <w:color w:val="333333"/>
                <w:sz w:val="20"/>
                <w:szCs w:val="20"/>
              </w:rPr>
            </w:pPr>
          </w:p>
        </w:tc>
      </w:tr>
      <w:tr w:rsidR="00E00B15" w:rsidRPr="00E00B15" w14:paraId="7511D1E4"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15B5A89A" w14:textId="77777777" w:rsidR="00E00B15" w:rsidRPr="00E00B15" w:rsidRDefault="00E00B15">
            <w:pPr>
              <w:rPr>
                <w:rFonts w:ascii="Arial Narrow" w:hAnsi="Arial Narrow"/>
                <w:strike/>
                <w:color w:val="333333"/>
                <w:sz w:val="20"/>
                <w:szCs w:val="20"/>
              </w:rPr>
            </w:pPr>
            <w:r w:rsidRPr="00E00B15">
              <w:rPr>
                <w:rFonts w:ascii="Arial Narrow" w:hAnsi="Arial Narrow"/>
                <w:b/>
                <w:bCs/>
                <w:strike/>
                <w:color w:val="333333"/>
                <w:sz w:val="20"/>
                <w:szCs w:val="20"/>
              </w:rPr>
              <w:t>Treatment criteria:</w:t>
            </w:r>
          </w:p>
        </w:tc>
      </w:tr>
      <w:tr w:rsidR="00E00B15" w:rsidRPr="00E00B15" w14:paraId="7C6FDF45"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7B9ACB22" w14:textId="77777777" w:rsidR="00E00B15" w:rsidRPr="00E00B15" w:rsidRDefault="00E00B15">
            <w:pPr>
              <w:autoSpaceDE w:val="0"/>
              <w:autoSpaceDN w:val="0"/>
              <w:adjustRightInd w:val="0"/>
              <w:rPr>
                <w:rFonts w:ascii="Arial Narrow" w:hAnsi="Arial Narrow" w:cs="Arial Narrow"/>
                <w:strike/>
                <w:sz w:val="20"/>
                <w:szCs w:val="20"/>
              </w:rPr>
            </w:pPr>
            <w:r w:rsidRPr="00E00B15">
              <w:rPr>
                <w:rFonts w:ascii="Arial Narrow" w:hAnsi="Arial Narrow" w:cs="Calibri"/>
                <w:iCs/>
                <w:strike/>
                <w:sz w:val="20"/>
                <w:szCs w:val="20"/>
              </w:rPr>
              <w:t>Must be treated by a medical practitioner;</w:t>
            </w:r>
          </w:p>
        </w:tc>
      </w:tr>
      <w:tr w:rsidR="00E00B15" w:rsidRPr="00E00B15" w14:paraId="271159FD"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1314FBEC" w14:textId="77777777" w:rsidR="00E00B15" w:rsidRPr="00E00B15" w:rsidRDefault="00E00B15">
            <w:pPr>
              <w:autoSpaceDE w:val="0"/>
              <w:autoSpaceDN w:val="0"/>
              <w:adjustRightInd w:val="0"/>
              <w:rPr>
                <w:rFonts w:ascii="Arial Narrow" w:hAnsi="Arial Narrow" w:cs="Arial Narrow"/>
                <w:strike/>
                <w:sz w:val="20"/>
                <w:szCs w:val="20"/>
              </w:rPr>
            </w:pPr>
            <w:r w:rsidRPr="00E00B15">
              <w:rPr>
                <w:rFonts w:ascii="Arial Narrow" w:hAnsi="Arial Narrow" w:cs="Calibri"/>
                <w:iCs/>
                <w:strike/>
                <w:sz w:val="20"/>
                <w:szCs w:val="20"/>
              </w:rPr>
              <w:t>OR</w:t>
            </w:r>
          </w:p>
        </w:tc>
      </w:tr>
      <w:tr w:rsidR="00E00B15" w:rsidRPr="00E00B15" w14:paraId="76BB7267" w14:textId="77777777" w:rsidTr="00E00B15">
        <w:tblPrEx>
          <w:tblCellMar>
            <w:top w:w="15" w:type="dxa"/>
            <w:left w:w="15" w:type="dxa"/>
            <w:bottom w:w="15" w:type="dxa"/>
            <w:right w:w="15" w:type="dxa"/>
          </w:tblCellMar>
          <w:tblLook w:val="04A0" w:firstRow="1" w:lastRow="0" w:firstColumn="1" w:lastColumn="0" w:noHBand="0" w:noVBand="1"/>
        </w:tblPrEx>
        <w:trPr>
          <w:trHeight w:val="110"/>
        </w:trPr>
        <w:tc>
          <w:tcPr>
            <w:tcW w:w="5000" w:type="pct"/>
            <w:gridSpan w:val="7"/>
            <w:vAlign w:val="center"/>
          </w:tcPr>
          <w:p w14:paraId="63B01FA9" w14:textId="77777777" w:rsidR="00E00B15" w:rsidRPr="00E00B15" w:rsidRDefault="00E00B15">
            <w:pPr>
              <w:autoSpaceDE w:val="0"/>
              <w:autoSpaceDN w:val="0"/>
              <w:adjustRightInd w:val="0"/>
              <w:rPr>
                <w:rFonts w:ascii="Arial Narrow" w:hAnsi="Arial Narrow" w:cs="Arial Narrow"/>
                <w:strike/>
                <w:sz w:val="20"/>
                <w:szCs w:val="20"/>
              </w:rPr>
            </w:pPr>
            <w:r w:rsidRPr="00E00B15">
              <w:rPr>
                <w:rFonts w:ascii="Arial Narrow" w:hAnsi="Arial Narrow" w:cs="Calibri"/>
                <w:strike/>
                <w:sz w:val="20"/>
                <w:szCs w:val="20"/>
              </w:rPr>
              <w:t>Must be treated by a nurse practitioner</w:t>
            </w:r>
          </w:p>
        </w:tc>
      </w:tr>
      <w:tr w:rsidR="00E00B15" w:rsidRPr="00E00B15" w14:paraId="48A14286"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5799F6E3" w14:textId="77777777" w:rsidR="00E00B15" w:rsidRPr="00E00B15" w:rsidRDefault="00E00B15">
            <w:pPr>
              <w:autoSpaceDE w:val="0"/>
              <w:autoSpaceDN w:val="0"/>
              <w:adjustRightInd w:val="0"/>
              <w:rPr>
                <w:rFonts w:ascii="Arial Narrow" w:hAnsi="Arial Narrow" w:cs="Arial Narrow"/>
                <w:i/>
                <w:iCs/>
                <w:sz w:val="20"/>
                <w:szCs w:val="20"/>
              </w:rPr>
            </w:pPr>
          </w:p>
        </w:tc>
      </w:tr>
      <w:tr w:rsidR="00E00B15" w:rsidRPr="00E00B15" w14:paraId="267859F4"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2AF8D10B" w14:textId="77777777" w:rsidR="00E00B15" w:rsidRPr="00E00B15" w:rsidRDefault="00E00B15">
            <w:pPr>
              <w:rPr>
                <w:rFonts w:ascii="Arial Narrow" w:hAnsi="Arial Narrow"/>
                <w:color w:val="333333"/>
                <w:sz w:val="20"/>
                <w:szCs w:val="20"/>
              </w:rPr>
            </w:pPr>
            <w:r w:rsidRPr="00E00B15">
              <w:rPr>
                <w:rFonts w:ascii="Arial Narrow" w:hAnsi="Arial Narrow"/>
                <w:b/>
                <w:bCs/>
                <w:color w:val="333333"/>
                <w:sz w:val="20"/>
                <w:szCs w:val="20"/>
              </w:rPr>
              <w:t>Population criteria:</w:t>
            </w:r>
          </w:p>
        </w:tc>
      </w:tr>
      <w:tr w:rsidR="00E00B15" w:rsidRPr="00E00B15" w14:paraId="0BDE224C"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4715C273" w14:textId="77777777" w:rsidR="00E00B15" w:rsidRPr="00E00B15" w:rsidRDefault="00E00B15">
            <w:pPr>
              <w:rPr>
                <w:rFonts w:ascii="Arial Narrow" w:hAnsi="Arial Narrow"/>
                <w:strike/>
                <w:color w:val="333333"/>
                <w:sz w:val="20"/>
                <w:szCs w:val="20"/>
              </w:rPr>
            </w:pPr>
            <w:r w:rsidRPr="00E00B15">
              <w:rPr>
                <w:rFonts w:ascii="Arial Narrow" w:hAnsi="Arial Narrow"/>
                <w:strike/>
                <w:color w:val="333333"/>
                <w:sz w:val="20"/>
                <w:szCs w:val="20"/>
              </w:rPr>
              <w:t xml:space="preserve">Patient must be aged 18 years or </w:t>
            </w:r>
            <w:proofErr w:type="gramStart"/>
            <w:r w:rsidRPr="00E00B15">
              <w:rPr>
                <w:rFonts w:ascii="Arial Narrow" w:hAnsi="Arial Narrow"/>
                <w:strike/>
                <w:color w:val="333333"/>
                <w:sz w:val="20"/>
                <w:szCs w:val="20"/>
              </w:rPr>
              <w:t>older;</w:t>
            </w:r>
            <w:proofErr w:type="gramEnd"/>
          </w:p>
          <w:p w14:paraId="28D198C2" w14:textId="77777777" w:rsidR="00E00B15" w:rsidRPr="00E00B15" w:rsidRDefault="00E00B15">
            <w:pPr>
              <w:rPr>
                <w:rFonts w:ascii="Arial Narrow" w:hAnsi="Arial Narrow"/>
                <w:i/>
                <w:iCs/>
                <w:color w:val="333333"/>
                <w:sz w:val="20"/>
                <w:szCs w:val="20"/>
              </w:rPr>
            </w:pPr>
            <w:r w:rsidRPr="00E00B15">
              <w:rPr>
                <w:rFonts w:ascii="Arial Narrow" w:hAnsi="Arial Narrow"/>
                <w:i/>
                <w:iCs/>
                <w:color w:val="333333"/>
                <w:sz w:val="20"/>
                <w:szCs w:val="20"/>
              </w:rPr>
              <w:t>Patient must be at least 18 years of age</w:t>
            </w:r>
          </w:p>
        </w:tc>
      </w:tr>
      <w:tr w:rsidR="00E00B15" w:rsidRPr="00E00B15" w14:paraId="7F99C3B4"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3410B26D" w14:textId="77777777" w:rsidR="00E00B15" w:rsidRPr="00E00B15" w:rsidRDefault="00E00B15">
            <w:pPr>
              <w:rPr>
                <w:rFonts w:ascii="Arial Narrow" w:hAnsi="Arial Narrow"/>
                <w:b/>
                <w:bCs/>
                <w:color w:val="333333"/>
                <w:sz w:val="20"/>
                <w:szCs w:val="20"/>
              </w:rPr>
            </w:pPr>
            <w:r w:rsidRPr="00E00B15">
              <w:rPr>
                <w:rFonts w:ascii="Arial Narrow" w:hAnsi="Arial Narrow"/>
                <w:b/>
                <w:bCs/>
                <w:color w:val="333333"/>
                <w:sz w:val="20"/>
                <w:szCs w:val="20"/>
              </w:rPr>
              <w:t>AND</w:t>
            </w:r>
          </w:p>
        </w:tc>
      </w:tr>
      <w:tr w:rsidR="00E00B15" w:rsidRPr="00E00B15" w14:paraId="40EB1FFC"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19F40186" w14:textId="77777777" w:rsidR="00E00B15" w:rsidRPr="00E00B15" w:rsidRDefault="00E00B15">
            <w:pPr>
              <w:rPr>
                <w:rFonts w:ascii="Arial Narrow" w:hAnsi="Arial Narrow"/>
                <w:b/>
                <w:bCs/>
                <w:color w:val="333333"/>
                <w:sz w:val="20"/>
                <w:szCs w:val="20"/>
              </w:rPr>
            </w:pPr>
            <w:r w:rsidRPr="00E00B15">
              <w:rPr>
                <w:rFonts w:ascii="Arial Narrow" w:hAnsi="Arial Narrow"/>
                <w:b/>
                <w:bCs/>
                <w:color w:val="333333"/>
                <w:sz w:val="20"/>
                <w:szCs w:val="20"/>
              </w:rPr>
              <w:t>Population criteria:</w:t>
            </w:r>
          </w:p>
        </w:tc>
      </w:tr>
      <w:tr w:rsidR="00E00B15" w:rsidRPr="00E00B15" w14:paraId="6C329763"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30C0B6D3" w14:textId="77777777" w:rsidR="00E00B15" w:rsidRPr="00E00B15" w:rsidRDefault="00E00B15">
            <w:pPr>
              <w:rPr>
                <w:rFonts w:ascii="Arial Narrow" w:hAnsi="Arial Narrow"/>
                <w:strike/>
                <w:color w:val="333333"/>
                <w:sz w:val="20"/>
                <w:szCs w:val="20"/>
              </w:rPr>
            </w:pPr>
            <w:r w:rsidRPr="00E00B15">
              <w:rPr>
                <w:rFonts w:ascii="Arial Narrow" w:hAnsi="Arial Narrow"/>
                <w:strike/>
                <w:color w:val="333333"/>
                <w:sz w:val="20"/>
                <w:szCs w:val="20"/>
              </w:rPr>
              <w:t>Patient must be considered</w:t>
            </w:r>
            <w:r w:rsidRPr="00E00B15">
              <w:rPr>
                <w:rFonts w:ascii="Arial Narrow" w:hAnsi="Arial Narrow"/>
                <w:i/>
                <w:iCs/>
                <w:strike/>
                <w:color w:val="333333"/>
                <w:sz w:val="20"/>
                <w:szCs w:val="20"/>
              </w:rPr>
              <w:t xml:space="preserve"> </w:t>
            </w:r>
            <w:r w:rsidRPr="00E00B15">
              <w:rPr>
                <w:rFonts w:ascii="Arial Narrow" w:hAnsi="Arial Narrow"/>
                <w:strike/>
                <w:color w:val="333333"/>
                <w:sz w:val="20"/>
                <w:szCs w:val="20"/>
              </w:rPr>
              <w:t>naturally postmenopausal;</w:t>
            </w:r>
          </w:p>
        </w:tc>
      </w:tr>
      <w:tr w:rsidR="00E00B15" w:rsidRPr="00E00B15" w14:paraId="12301E50"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0BF6B2A5" w14:textId="77777777" w:rsidR="00E00B15" w:rsidRPr="00E00B15" w:rsidRDefault="00E00B15">
            <w:pPr>
              <w:rPr>
                <w:rFonts w:ascii="Arial Narrow" w:hAnsi="Arial Narrow"/>
                <w:strike/>
                <w:color w:val="333333"/>
                <w:sz w:val="20"/>
                <w:szCs w:val="20"/>
              </w:rPr>
            </w:pPr>
            <w:r w:rsidRPr="00E00B15">
              <w:rPr>
                <w:rFonts w:ascii="Arial Narrow" w:hAnsi="Arial Narrow"/>
                <w:strike/>
                <w:color w:val="333333"/>
                <w:sz w:val="20"/>
                <w:szCs w:val="20"/>
              </w:rPr>
              <w:t>OR</w:t>
            </w:r>
          </w:p>
        </w:tc>
      </w:tr>
      <w:tr w:rsidR="00E00B15" w:rsidRPr="00E00B15" w14:paraId="44071B58"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5003FCD3" w14:textId="77777777" w:rsidR="00E00B15" w:rsidRPr="00E00B15" w:rsidRDefault="00E00B15">
            <w:pPr>
              <w:rPr>
                <w:rFonts w:ascii="Arial Narrow" w:hAnsi="Arial Narrow"/>
                <w:strike/>
                <w:color w:val="333333"/>
                <w:sz w:val="20"/>
                <w:szCs w:val="20"/>
              </w:rPr>
            </w:pPr>
            <w:r w:rsidRPr="00E00B15">
              <w:rPr>
                <w:rFonts w:ascii="Arial Narrow" w:hAnsi="Arial Narrow"/>
                <w:strike/>
                <w:color w:val="333333"/>
                <w:sz w:val="20"/>
                <w:szCs w:val="20"/>
              </w:rPr>
              <w:t>Patient must be considered surgically postmenopausal.</w:t>
            </w:r>
          </w:p>
        </w:tc>
      </w:tr>
      <w:tr w:rsidR="00E00B15" w:rsidRPr="00E00B15" w14:paraId="2F984FE8"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1F8E4275" w14:textId="77777777" w:rsidR="00E00B15" w:rsidRPr="00E00B15" w:rsidRDefault="00E00B15">
            <w:pPr>
              <w:rPr>
                <w:rFonts w:ascii="Arial Narrow" w:hAnsi="Arial Narrow"/>
                <w:i/>
                <w:iCs/>
                <w:color w:val="333333"/>
                <w:sz w:val="20"/>
                <w:szCs w:val="20"/>
              </w:rPr>
            </w:pPr>
            <w:r w:rsidRPr="00E00B15">
              <w:rPr>
                <w:rFonts w:ascii="Arial Narrow" w:hAnsi="Arial Narrow"/>
                <w:i/>
                <w:iCs/>
                <w:color w:val="333333"/>
                <w:sz w:val="20"/>
                <w:szCs w:val="20"/>
              </w:rPr>
              <w:t>Patient must be postmenopausal either (</w:t>
            </w:r>
            <w:proofErr w:type="spellStart"/>
            <w:r w:rsidRPr="00E00B15">
              <w:rPr>
                <w:rFonts w:ascii="Arial Narrow" w:hAnsi="Arial Narrow"/>
                <w:i/>
                <w:iCs/>
                <w:color w:val="333333"/>
                <w:sz w:val="20"/>
                <w:szCs w:val="20"/>
              </w:rPr>
              <w:t>i</w:t>
            </w:r>
            <w:proofErr w:type="spellEnd"/>
            <w:r w:rsidRPr="00E00B15">
              <w:rPr>
                <w:rFonts w:ascii="Arial Narrow" w:hAnsi="Arial Narrow"/>
                <w:i/>
                <w:iCs/>
                <w:color w:val="333333"/>
                <w:sz w:val="20"/>
                <w:szCs w:val="20"/>
              </w:rPr>
              <w:t>) naturally, (ii) surgically</w:t>
            </w:r>
          </w:p>
        </w:tc>
      </w:tr>
      <w:tr w:rsidR="00E00B15" w:rsidRPr="00E00B15" w14:paraId="6557C7A9"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4CA15C1E" w14:textId="77777777" w:rsidR="00E00B15" w:rsidRPr="00E00B15" w:rsidRDefault="00E00B15">
            <w:pPr>
              <w:rPr>
                <w:rFonts w:ascii="Arial Narrow" w:hAnsi="Arial Narrow"/>
                <w:color w:val="333333"/>
                <w:sz w:val="20"/>
                <w:szCs w:val="20"/>
              </w:rPr>
            </w:pPr>
          </w:p>
        </w:tc>
      </w:tr>
      <w:tr w:rsidR="00E00B15" w:rsidRPr="00E00B15" w14:paraId="5663965B"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7C727C37" w14:textId="77777777" w:rsidR="00E00B15" w:rsidRPr="00E00B15" w:rsidRDefault="00E00B15">
            <w:pPr>
              <w:rPr>
                <w:rFonts w:ascii="Arial Narrow" w:hAnsi="Arial Narrow"/>
                <w:b/>
                <w:bCs/>
                <w:i/>
                <w:iCs/>
                <w:color w:val="333333"/>
                <w:sz w:val="20"/>
                <w:szCs w:val="20"/>
              </w:rPr>
            </w:pPr>
            <w:r w:rsidRPr="00E00B15">
              <w:rPr>
                <w:rFonts w:ascii="Arial Narrow" w:hAnsi="Arial Narrow"/>
                <w:b/>
                <w:bCs/>
                <w:i/>
                <w:iCs/>
                <w:color w:val="333333"/>
                <w:sz w:val="20"/>
                <w:szCs w:val="20"/>
              </w:rPr>
              <w:t>Prescribing Instructions:</w:t>
            </w:r>
          </w:p>
          <w:p w14:paraId="4F143C8C" w14:textId="77777777" w:rsidR="00E00B15" w:rsidRPr="00E00B15" w:rsidRDefault="00E00B15">
            <w:pPr>
              <w:rPr>
                <w:rFonts w:ascii="Arial Narrow" w:hAnsi="Arial Narrow"/>
                <w:i/>
                <w:iCs/>
                <w:color w:val="333333"/>
                <w:sz w:val="20"/>
                <w:szCs w:val="20"/>
              </w:rPr>
            </w:pPr>
            <w:r w:rsidRPr="00E00B15">
              <w:rPr>
                <w:rFonts w:ascii="Arial Narrow" w:hAnsi="Arial Narrow"/>
                <w:i/>
                <w:iCs/>
                <w:color w:val="333333"/>
                <w:sz w:val="20"/>
                <w:szCs w:val="20"/>
              </w:rPr>
              <w:t>Correction of modifiable biopsychosocial factors may include but not limited to neuroendocrine imbalance, physical ill health or disease, interpersonal difficulties, psychological distress or specific cultural or religious beliefs.</w:t>
            </w:r>
          </w:p>
        </w:tc>
      </w:tr>
      <w:tr w:rsidR="00E00B15" w:rsidRPr="00E00B15" w14:paraId="2B06CB98" w14:textId="77777777" w:rsidTr="00E00B15">
        <w:tblPrEx>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14:paraId="2A49CB82" w14:textId="77777777" w:rsidR="00E00B15" w:rsidRPr="00E00B15" w:rsidRDefault="00E00B15">
            <w:pPr>
              <w:rPr>
                <w:rFonts w:ascii="Arial Narrow" w:hAnsi="Arial Narrow"/>
                <w:color w:val="333333"/>
                <w:sz w:val="20"/>
                <w:szCs w:val="20"/>
              </w:rPr>
            </w:pPr>
            <w:r w:rsidRPr="00E00B15">
              <w:rPr>
                <w:rFonts w:ascii="Arial Narrow" w:hAnsi="Arial Narrow"/>
                <w:b/>
                <w:bCs/>
                <w:color w:val="333333"/>
                <w:sz w:val="20"/>
                <w:szCs w:val="20"/>
              </w:rPr>
              <w:t>Prescribing Instructions:</w:t>
            </w:r>
            <w:r w:rsidRPr="00E00B15">
              <w:rPr>
                <w:rFonts w:ascii="Arial Narrow" w:hAnsi="Arial Narrow"/>
                <w:color w:val="333333"/>
                <w:sz w:val="20"/>
                <w:szCs w:val="20"/>
              </w:rPr>
              <w:t xml:space="preserve"> </w:t>
            </w:r>
          </w:p>
          <w:p w14:paraId="6C10FB1D" w14:textId="77777777" w:rsidR="00E00B15" w:rsidRPr="00E00B15" w:rsidRDefault="00E00B15">
            <w:pPr>
              <w:rPr>
                <w:rFonts w:ascii="Arial Narrow" w:hAnsi="Arial Narrow"/>
                <w:i/>
                <w:iCs/>
                <w:color w:val="333333"/>
                <w:sz w:val="20"/>
                <w:szCs w:val="20"/>
              </w:rPr>
            </w:pPr>
            <w:r w:rsidRPr="00E00B15">
              <w:rPr>
                <w:rFonts w:ascii="Arial Narrow" w:hAnsi="Arial Narrow"/>
                <w:i/>
                <w:iCs/>
                <w:color w:val="333333"/>
                <w:sz w:val="20"/>
                <w:szCs w:val="20"/>
              </w:rPr>
              <w:t xml:space="preserve">Prescribers must ensure that the serum concentration of total testosterone of their patient is maintained within the approximate physiological range for premenopausal women. Prescribers must follow the dosing regimen and monitoring requirements as per the Therapeutic Goods Administration (TGA) approved Product information. </w:t>
            </w:r>
          </w:p>
          <w:p w14:paraId="627E6CE9" w14:textId="77777777" w:rsidR="00E00B15" w:rsidRPr="00E00B15" w:rsidRDefault="00E00B15">
            <w:pPr>
              <w:rPr>
                <w:rFonts w:ascii="Arial Narrow" w:hAnsi="Arial Narrow"/>
                <w:strike/>
                <w:color w:val="333333"/>
                <w:sz w:val="20"/>
                <w:szCs w:val="20"/>
              </w:rPr>
            </w:pPr>
            <w:r w:rsidRPr="00E00B15">
              <w:rPr>
                <w:rFonts w:ascii="Arial Narrow" w:hAnsi="Arial Narrow"/>
                <w:strike/>
                <w:color w:val="333333"/>
                <w:sz w:val="20"/>
                <w:szCs w:val="20"/>
              </w:rPr>
              <w:t>patient should have a follow-up blood test taken three to six weeks after initiating treatment.  Optimally, the serum concentration of total testosterone should be maintained within the approximate physiological range for premenopausal women.</w:t>
            </w:r>
          </w:p>
          <w:p w14:paraId="27251DB5" w14:textId="77777777" w:rsidR="00E00B15" w:rsidRPr="00E00B15" w:rsidRDefault="00E00B15">
            <w:pPr>
              <w:rPr>
                <w:rFonts w:ascii="Arial Narrow" w:hAnsi="Arial Narrow"/>
                <w:strike/>
                <w:color w:val="333333"/>
                <w:sz w:val="20"/>
                <w:szCs w:val="20"/>
              </w:rPr>
            </w:pPr>
          </w:p>
          <w:p w14:paraId="55F17448" w14:textId="77777777" w:rsidR="00E00B15" w:rsidRPr="00E00B15" w:rsidRDefault="00E00B15">
            <w:pPr>
              <w:rPr>
                <w:rFonts w:ascii="Arial Narrow" w:hAnsi="Arial Narrow"/>
                <w:color w:val="333333"/>
                <w:sz w:val="20"/>
                <w:szCs w:val="20"/>
              </w:rPr>
            </w:pPr>
            <w:r w:rsidRPr="00E00B15">
              <w:rPr>
                <w:rFonts w:ascii="Arial Narrow" w:hAnsi="Arial Narrow"/>
                <w:strike/>
                <w:color w:val="333333"/>
                <w:sz w:val="20"/>
                <w:szCs w:val="20"/>
              </w:rPr>
              <w:t>If no improvement in symptoms is seen within 3 months and if the testosterone concentration is within the premenopausal reference range a dose increase up to 10 mg testosterone (1.0 mL) daily can be used with follow up clinical and biochemical monitoring. This dose should only rarely be exceeded. If there is no improvement in symptoms after 6 months of continuous therapy, treatment should be discontinued and alternative options be considered.</w:t>
            </w:r>
          </w:p>
        </w:tc>
      </w:tr>
      <w:bookmarkEnd w:id="21"/>
    </w:tbl>
    <w:p w14:paraId="6A361FE9" w14:textId="77777777" w:rsidR="00787F21" w:rsidRPr="00E00B15" w:rsidRDefault="00787F21" w:rsidP="00CB2680">
      <w:pPr>
        <w:pStyle w:val="3-BodyText"/>
        <w:numPr>
          <w:ilvl w:val="0"/>
          <w:numId w:val="0"/>
        </w:numPr>
        <w:ind w:left="720" w:hanging="720"/>
      </w:pPr>
    </w:p>
    <w:p w14:paraId="7F43B1D6" w14:textId="6E2DB2ED" w:rsidR="00093815" w:rsidRPr="00E00B15" w:rsidRDefault="00093815" w:rsidP="00CB2680">
      <w:pPr>
        <w:pStyle w:val="3-BodyText"/>
        <w:numPr>
          <w:ilvl w:val="0"/>
          <w:numId w:val="0"/>
        </w:numPr>
        <w:ind w:left="720" w:hanging="720"/>
        <w:rPr>
          <w:b/>
          <w:bCs/>
        </w:rPr>
      </w:pPr>
      <w:r w:rsidRPr="00E00B15">
        <w:rPr>
          <w:b/>
          <w:bCs/>
        </w:rPr>
        <w:t>60-day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60-day listing"/>
      </w:tblPr>
      <w:tblGrid>
        <w:gridCol w:w="4060"/>
        <w:gridCol w:w="806"/>
        <w:gridCol w:w="806"/>
        <w:gridCol w:w="806"/>
        <w:gridCol w:w="806"/>
        <w:gridCol w:w="1733"/>
      </w:tblGrid>
      <w:tr w:rsidR="00093815" w:rsidRPr="00E00B15" w14:paraId="6547CECD" w14:textId="77777777" w:rsidTr="002357AD">
        <w:trPr>
          <w:cantSplit/>
          <w:trHeight w:val="20"/>
        </w:trPr>
        <w:tc>
          <w:tcPr>
            <w:tcW w:w="2251" w:type="pct"/>
            <w:vAlign w:val="center"/>
          </w:tcPr>
          <w:p w14:paraId="630A6550" w14:textId="77777777" w:rsidR="00093815" w:rsidRPr="00E00B15" w:rsidRDefault="00093815">
            <w:pPr>
              <w:keepLines/>
              <w:rPr>
                <w:rFonts w:ascii="Arial Narrow" w:hAnsi="Arial Narrow" w:cs="Calibri"/>
                <w:b/>
                <w:bCs/>
                <w:sz w:val="20"/>
                <w:szCs w:val="20"/>
              </w:rPr>
            </w:pPr>
            <w:r w:rsidRPr="00E00B15">
              <w:rPr>
                <w:rFonts w:ascii="Arial Narrow" w:hAnsi="Arial Narrow" w:cs="Calibri"/>
                <w:b/>
                <w:bCs/>
                <w:sz w:val="20"/>
                <w:szCs w:val="20"/>
              </w:rPr>
              <w:t>MEDICINAL PRODUCT</w:t>
            </w:r>
          </w:p>
          <w:p w14:paraId="20DD9098" w14:textId="77777777" w:rsidR="00093815" w:rsidRPr="00E00B15" w:rsidRDefault="00093815">
            <w:pPr>
              <w:keepLines/>
              <w:rPr>
                <w:rFonts w:ascii="Arial Narrow" w:hAnsi="Arial Narrow" w:cs="Calibri"/>
                <w:b/>
                <w:sz w:val="20"/>
                <w:szCs w:val="20"/>
              </w:rPr>
            </w:pPr>
            <w:r w:rsidRPr="00E00B15">
              <w:rPr>
                <w:rFonts w:ascii="Arial Narrow" w:hAnsi="Arial Narrow" w:cs="Calibri"/>
                <w:b/>
                <w:bCs/>
                <w:sz w:val="20"/>
                <w:szCs w:val="20"/>
              </w:rPr>
              <w:t>medicinal product pack</w:t>
            </w:r>
          </w:p>
        </w:tc>
        <w:tc>
          <w:tcPr>
            <w:tcW w:w="447" w:type="pct"/>
            <w:vAlign w:val="center"/>
          </w:tcPr>
          <w:p w14:paraId="6F00EB96" w14:textId="77777777" w:rsidR="00093815" w:rsidRPr="00E00B15" w:rsidRDefault="00093815">
            <w:pPr>
              <w:keepLines/>
              <w:jc w:val="center"/>
              <w:rPr>
                <w:rFonts w:ascii="Arial Narrow" w:hAnsi="Arial Narrow" w:cs="Calibri"/>
                <w:b/>
                <w:sz w:val="20"/>
                <w:szCs w:val="20"/>
              </w:rPr>
            </w:pPr>
            <w:r w:rsidRPr="00E00B15">
              <w:rPr>
                <w:rFonts w:ascii="Arial Narrow" w:hAnsi="Arial Narrow" w:cs="Calibri"/>
                <w:b/>
                <w:sz w:val="20"/>
                <w:szCs w:val="20"/>
              </w:rPr>
              <w:t>PBS item code</w:t>
            </w:r>
          </w:p>
        </w:tc>
        <w:tc>
          <w:tcPr>
            <w:tcW w:w="447" w:type="pct"/>
            <w:vAlign w:val="center"/>
          </w:tcPr>
          <w:p w14:paraId="115AC791" w14:textId="77777777" w:rsidR="00093815" w:rsidRPr="00E00B15" w:rsidRDefault="00093815">
            <w:pPr>
              <w:keepLines/>
              <w:jc w:val="center"/>
              <w:rPr>
                <w:rFonts w:ascii="Arial Narrow" w:hAnsi="Arial Narrow" w:cs="Calibri"/>
                <w:b/>
                <w:sz w:val="20"/>
                <w:szCs w:val="20"/>
              </w:rPr>
            </w:pPr>
            <w:r w:rsidRPr="00E00B15">
              <w:rPr>
                <w:rFonts w:ascii="Arial Narrow" w:hAnsi="Arial Narrow" w:cs="Calibri"/>
                <w:b/>
                <w:sz w:val="20"/>
                <w:szCs w:val="20"/>
              </w:rPr>
              <w:t>Max. qty packs</w:t>
            </w:r>
          </w:p>
        </w:tc>
        <w:tc>
          <w:tcPr>
            <w:tcW w:w="447" w:type="pct"/>
            <w:vAlign w:val="center"/>
          </w:tcPr>
          <w:p w14:paraId="62A6B2B5" w14:textId="77777777" w:rsidR="00093815" w:rsidRPr="00E00B15" w:rsidRDefault="00093815">
            <w:pPr>
              <w:keepLines/>
              <w:jc w:val="center"/>
              <w:rPr>
                <w:rFonts w:ascii="Arial Narrow" w:hAnsi="Arial Narrow" w:cs="Calibri"/>
                <w:sz w:val="20"/>
                <w:szCs w:val="20"/>
              </w:rPr>
            </w:pPr>
            <w:r w:rsidRPr="00E00B15">
              <w:rPr>
                <w:rFonts w:ascii="Arial Narrow" w:hAnsi="Arial Narrow" w:cs="Calibri"/>
                <w:b/>
                <w:sz w:val="20"/>
                <w:szCs w:val="20"/>
              </w:rPr>
              <w:t>Max. qty units</w:t>
            </w:r>
          </w:p>
        </w:tc>
        <w:tc>
          <w:tcPr>
            <w:tcW w:w="447" w:type="pct"/>
            <w:vAlign w:val="center"/>
          </w:tcPr>
          <w:p w14:paraId="3022A9F7" w14:textId="77777777" w:rsidR="00093815" w:rsidRPr="00E00B15" w:rsidRDefault="00093815">
            <w:pPr>
              <w:keepLines/>
              <w:jc w:val="center"/>
              <w:rPr>
                <w:rFonts w:ascii="Arial Narrow" w:hAnsi="Arial Narrow" w:cs="Calibri"/>
                <w:b/>
                <w:sz w:val="20"/>
                <w:szCs w:val="20"/>
              </w:rPr>
            </w:pPr>
            <w:r w:rsidRPr="00E00B15">
              <w:rPr>
                <w:rFonts w:ascii="Arial Narrow" w:hAnsi="Arial Narrow" w:cs="Calibri"/>
                <w:b/>
                <w:sz w:val="20"/>
                <w:szCs w:val="20"/>
              </w:rPr>
              <w:t>№.of</w:t>
            </w:r>
          </w:p>
          <w:p w14:paraId="3CDF24E6" w14:textId="77777777" w:rsidR="00093815" w:rsidRPr="00E00B15" w:rsidRDefault="00093815">
            <w:pPr>
              <w:keepLines/>
              <w:jc w:val="center"/>
              <w:rPr>
                <w:rFonts w:ascii="Arial Narrow" w:hAnsi="Arial Narrow" w:cs="Calibri"/>
                <w:b/>
                <w:sz w:val="20"/>
                <w:szCs w:val="20"/>
              </w:rPr>
            </w:pPr>
            <w:proofErr w:type="spellStart"/>
            <w:r w:rsidRPr="00E00B15">
              <w:rPr>
                <w:rFonts w:ascii="Arial Narrow" w:hAnsi="Arial Narrow" w:cs="Calibri"/>
                <w:b/>
                <w:sz w:val="20"/>
                <w:szCs w:val="20"/>
              </w:rPr>
              <w:t>Rpts</w:t>
            </w:r>
            <w:proofErr w:type="spellEnd"/>
          </w:p>
        </w:tc>
        <w:tc>
          <w:tcPr>
            <w:tcW w:w="961" w:type="pct"/>
            <w:vAlign w:val="center"/>
          </w:tcPr>
          <w:p w14:paraId="57975FEC" w14:textId="77777777" w:rsidR="00093815" w:rsidRPr="00E00B15" w:rsidRDefault="00093815">
            <w:pPr>
              <w:keepLines/>
              <w:rPr>
                <w:rFonts w:ascii="Arial Narrow" w:hAnsi="Arial Narrow" w:cs="Calibri"/>
                <w:b/>
                <w:sz w:val="20"/>
                <w:szCs w:val="20"/>
                <w:lang w:val="fr-FR"/>
              </w:rPr>
            </w:pPr>
            <w:r w:rsidRPr="00E00B15">
              <w:rPr>
                <w:rFonts w:ascii="Arial Narrow" w:hAnsi="Arial Narrow" w:cs="Calibri"/>
                <w:b/>
                <w:sz w:val="20"/>
                <w:szCs w:val="20"/>
              </w:rPr>
              <w:t>Available brands</w:t>
            </w:r>
          </w:p>
        </w:tc>
      </w:tr>
      <w:tr w:rsidR="00093815" w:rsidRPr="00E00B15" w14:paraId="30D53FC6" w14:textId="77777777" w:rsidTr="002117DC">
        <w:trPr>
          <w:cantSplit/>
          <w:trHeight w:val="20"/>
        </w:trPr>
        <w:tc>
          <w:tcPr>
            <w:tcW w:w="5000" w:type="pct"/>
            <w:gridSpan w:val="6"/>
            <w:vAlign w:val="center"/>
          </w:tcPr>
          <w:p w14:paraId="0ED58829" w14:textId="77777777" w:rsidR="00093815" w:rsidRPr="00E00B15" w:rsidRDefault="00093815">
            <w:pPr>
              <w:keepLines/>
              <w:rPr>
                <w:rFonts w:ascii="Arial Narrow" w:hAnsi="Arial Narrow" w:cs="Calibri"/>
                <w:sz w:val="20"/>
                <w:szCs w:val="20"/>
              </w:rPr>
            </w:pPr>
            <w:r w:rsidRPr="00E00B15">
              <w:rPr>
                <w:rFonts w:ascii="Arial Narrow" w:hAnsi="Arial Narrow" w:cs="Calibri"/>
                <w:sz w:val="20"/>
                <w:szCs w:val="20"/>
              </w:rPr>
              <w:t>TESTOSTERONE</w:t>
            </w:r>
          </w:p>
        </w:tc>
      </w:tr>
      <w:tr w:rsidR="00093815" w:rsidRPr="00E00B15" w14:paraId="3302876A" w14:textId="77777777" w:rsidTr="002357AD">
        <w:trPr>
          <w:cantSplit/>
          <w:trHeight w:val="20"/>
        </w:trPr>
        <w:tc>
          <w:tcPr>
            <w:tcW w:w="2251" w:type="pct"/>
            <w:vAlign w:val="center"/>
          </w:tcPr>
          <w:p w14:paraId="7FFC4F37" w14:textId="77777777" w:rsidR="00093815" w:rsidRPr="00E00B15" w:rsidRDefault="00093815">
            <w:pPr>
              <w:keepLines/>
              <w:rPr>
                <w:rFonts w:ascii="Arial Narrow" w:hAnsi="Arial Narrow" w:cs="Calibri"/>
                <w:strike/>
                <w:sz w:val="20"/>
                <w:szCs w:val="20"/>
              </w:rPr>
            </w:pPr>
            <w:r w:rsidRPr="00E00B15">
              <w:rPr>
                <w:rFonts w:ascii="Arial Narrow" w:hAnsi="Arial Narrow" w:cs="Calibri"/>
                <w:strike/>
                <w:sz w:val="20"/>
                <w:szCs w:val="20"/>
              </w:rPr>
              <w:t>testosterone 1.0% w/v cream (10mg/ml), 50Ml</w:t>
            </w:r>
          </w:p>
          <w:p w14:paraId="0D77EB57" w14:textId="77777777" w:rsidR="00093815" w:rsidRPr="00E00B15" w:rsidRDefault="00093815">
            <w:pPr>
              <w:keepLines/>
              <w:rPr>
                <w:rFonts w:ascii="Arial Narrow" w:hAnsi="Arial Narrow" w:cs="Calibri"/>
                <w:sz w:val="20"/>
                <w:szCs w:val="20"/>
              </w:rPr>
            </w:pPr>
            <w:r w:rsidRPr="00E00B15">
              <w:rPr>
                <w:rFonts w:ascii="Arial Narrow" w:hAnsi="Arial Narrow" w:cs="Calibri"/>
                <w:sz w:val="20"/>
                <w:szCs w:val="20"/>
              </w:rPr>
              <w:t>testosterone 1% (10 mg/mL) cream, 50 mL</w:t>
            </w:r>
          </w:p>
        </w:tc>
        <w:tc>
          <w:tcPr>
            <w:tcW w:w="447" w:type="pct"/>
            <w:vAlign w:val="center"/>
          </w:tcPr>
          <w:p w14:paraId="4C8C33E8" w14:textId="77777777" w:rsidR="00093815" w:rsidRPr="00E00B15" w:rsidRDefault="00093815">
            <w:pPr>
              <w:keepLines/>
              <w:jc w:val="center"/>
              <w:rPr>
                <w:rFonts w:ascii="Arial Narrow" w:hAnsi="Arial Narrow" w:cs="Calibri"/>
                <w:sz w:val="20"/>
                <w:szCs w:val="20"/>
              </w:rPr>
            </w:pPr>
            <w:r w:rsidRPr="00E00B15">
              <w:rPr>
                <w:rFonts w:ascii="Arial Narrow" w:hAnsi="Arial Narrow" w:cs="Calibri"/>
                <w:sz w:val="20"/>
                <w:szCs w:val="20"/>
              </w:rPr>
              <w:t>NEW</w:t>
            </w:r>
          </w:p>
          <w:p w14:paraId="39B03A2D" w14:textId="77777777" w:rsidR="00093815" w:rsidRPr="00E00B15" w:rsidRDefault="00093815">
            <w:pPr>
              <w:keepLines/>
              <w:jc w:val="center"/>
              <w:rPr>
                <w:rFonts w:ascii="Arial Narrow" w:hAnsi="Arial Narrow" w:cs="Calibri"/>
                <w:sz w:val="20"/>
                <w:szCs w:val="20"/>
                <w:vertAlign w:val="subscript"/>
              </w:rPr>
            </w:pPr>
            <w:r w:rsidRPr="00E00B15">
              <w:rPr>
                <w:rFonts w:ascii="Arial Narrow" w:hAnsi="Arial Narrow" w:cs="Calibri"/>
                <w:sz w:val="20"/>
                <w:szCs w:val="20"/>
                <w:vertAlign w:val="subscript"/>
              </w:rPr>
              <w:t>MP NP</w:t>
            </w:r>
          </w:p>
        </w:tc>
        <w:tc>
          <w:tcPr>
            <w:tcW w:w="447" w:type="pct"/>
            <w:vAlign w:val="center"/>
          </w:tcPr>
          <w:p w14:paraId="38B4A398" w14:textId="77777777" w:rsidR="00093815" w:rsidRPr="00E00B15" w:rsidRDefault="00093815">
            <w:pPr>
              <w:keepLines/>
              <w:jc w:val="center"/>
              <w:rPr>
                <w:rFonts w:ascii="Arial Narrow" w:hAnsi="Arial Narrow" w:cs="Calibri"/>
                <w:sz w:val="20"/>
                <w:szCs w:val="20"/>
              </w:rPr>
            </w:pPr>
            <w:r w:rsidRPr="00E00B15">
              <w:rPr>
                <w:rFonts w:ascii="Arial Narrow" w:hAnsi="Arial Narrow" w:cs="Calibri"/>
                <w:sz w:val="20"/>
                <w:szCs w:val="20"/>
              </w:rPr>
              <w:t>2</w:t>
            </w:r>
          </w:p>
        </w:tc>
        <w:tc>
          <w:tcPr>
            <w:tcW w:w="447" w:type="pct"/>
            <w:vAlign w:val="center"/>
          </w:tcPr>
          <w:p w14:paraId="04F4D07E" w14:textId="77777777" w:rsidR="00093815" w:rsidRPr="00E00B15" w:rsidRDefault="00093815">
            <w:pPr>
              <w:keepLines/>
              <w:jc w:val="center"/>
              <w:rPr>
                <w:rFonts w:ascii="Arial Narrow" w:hAnsi="Arial Narrow" w:cs="Calibri"/>
                <w:sz w:val="20"/>
                <w:szCs w:val="20"/>
              </w:rPr>
            </w:pPr>
            <w:r w:rsidRPr="00E00B15">
              <w:rPr>
                <w:rFonts w:ascii="Arial Narrow" w:hAnsi="Arial Narrow" w:cs="Calibri"/>
                <w:sz w:val="20"/>
                <w:szCs w:val="20"/>
              </w:rPr>
              <w:t>2</w:t>
            </w:r>
          </w:p>
        </w:tc>
        <w:tc>
          <w:tcPr>
            <w:tcW w:w="447" w:type="pct"/>
            <w:vAlign w:val="center"/>
          </w:tcPr>
          <w:p w14:paraId="3EEF362F" w14:textId="77777777" w:rsidR="00093815" w:rsidRPr="00E00B15" w:rsidRDefault="00093815">
            <w:pPr>
              <w:keepLines/>
              <w:jc w:val="center"/>
              <w:rPr>
                <w:rFonts w:ascii="Arial Narrow" w:hAnsi="Arial Narrow" w:cs="Calibri"/>
                <w:sz w:val="20"/>
                <w:szCs w:val="20"/>
              </w:rPr>
            </w:pPr>
            <w:r w:rsidRPr="00E00B15">
              <w:rPr>
                <w:rFonts w:ascii="Arial Narrow" w:hAnsi="Arial Narrow" w:cs="Calibri"/>
                <w:sz w:val="20"/>
                <w:szCs w:val="20"/>
              </w:rPr>
              <w:t>1</w:t>
            </w:r>
          </w:p>
        </w:tc>
        <w:tc>
          <w:tcPr>
            <w:tcW w:w="961" w:type="pct"/>
            <w:vAlign w:val="center"/>
          </w:tcPr>
          <w:p w14:paraId="79FE7CB1" w14:textId="77777777" w:rsidR="00093815" w:rsidRPr="00E00B15" w:rsidRDefault="00093815">
            <w:pPr>
              <w:keepLines/>
              <w:rPr>
                <w:rFonts w:ascii="Arial Narrow" w:hAnsi="Arial Narrow" w:cs="Calibri"/>
                <w:sz w:val="20"/>
                <w:szCs w:val="20"/>
              </w:rPr>
            </w:pPr>
            <w:proofErr w:type="spellStart"/>
            <w:r w:rsidRPr="00E00B15">
              <w:rPr>
                <w:rFonts w:ascii="Arial Narrow" w:hAnsi="Arial Narrow" w:cs="Calibri"/>
                <w:sz w:val="20"/>
                <w:szCs w:val="20"/>
              </w:rPr>
              <w:t>AndroFeme</w:t>
            </w:r>
            <w:proofErr w:type="spellEnd"/>
            <w:r w:rsidRPr="00E00B15">
              <w:rPr>
                <w:rFonts w:ascii="Arial Narrow" w:hAnsi="Arial Narrow" w:cs="Calibri"/>
                <w:sz w:val="20"/>
                <w:szCs w:val="20"/>
              </w:rPr>
              <w:t xml:space="preserve"> 1</w:t>
            </w:r>
          </w:p>
        </w:tc>
      </w:tr>
      <w:tr w:rsidR="002117DC" w:rsidRPr="00E00B15" w14:paraId="05F94F54" w14:textId="77777777" w:rsidTr="002117DC">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DF6F3F1" w14:textId="77777777" w:rsidR="002117DC" w:rsidRPr="00E00B15" w:rsidRDefault="002117DC" w:rsidP="002357AD">
            <w:pPr>
              <w:keepNext/>
              <w:keepLines/>
              <w:rPr>
                <w:rFonts w:ascii="Arial Narrow" w:hAnsi="Arial Narrow" w:cs="Calibri"/>
                <w:sz w:val="20"/>
                <w:szCs w:val="20"/>
              </w:rPr>
            </w:pPr>
            <w:r w:rsidRPr="00E00B15">
              <w:rPr>
                <w:rFonts w:ascii="Arial Narrow" w:hAnsi="Arial Narrow" w:cs="Calibri"/>
                <w:b/>
                <w:sz w:val="20"/>
                <w:szCs w:val="20"/>
              </w:rPr>
              <w:t>Category / Program:</w:t>
            </w:r>
            <w:r w:rsidRPr="00E00B15">
              <w:rPr>
                <w:rFonts w:ascii="Arial Narrow" w:hAnsi="Arial Narrow" w:cs="Calibri"/>
                <w:sz w:val="20"/>
                <w:szCs w:val="20"/>
              </w:rPr>
              <w:t xml:space="preserve"> </w:t>
            </w:r>
            <w:r w:rsidRPr="00E00B15">
              <w:rPr>
                <w:rFonts w:ascii="Arial Narrow" w:eastAsia="Calibri" w:hAnsi="Arial Narrow" w:cs="Calibri"/>
                <w:sz w:val="20"/>
                <w:szCs w:val="20"/>
              </w:rPr>
              <w:fldChar w:fldCharType="begin">
                <w:ffData>
                  <w:name w:val="Check1"/>
                  <w:enabled/>
                  <w:calcOnExit w:val="0"/>
                  <w:checkBox>
                    <w:sizeAuto/>
                    <w:default w:val="1"/>
                  </w:checkBox>
                </w:ffData>
              </w:fldChar>
            </w:r>
            <w:r w:rsidRPr="00E00B15">
              <w:rPr>
                <w:rFonts w:ascii="Arial Narrow" w:eastAsia="Calibri" w:hAnsi="Arial Narrow" w:cs="Calibri"/>
                <w:sz w:val="20"/>
                <w:szCs w:val="20"/>
              </w:rPr>
              <w:instrText xml:space="preserve"> FORMCHECKBOX </w:instrText>
            </w:r>
            <w:r w:rsidRPr="00E00B15">
              <w:rPr>
                <w:rFonts w:ascii="Arial Narrow" w:eastAsia="Calibri" w:hAnsi="Arial Narrow" w:cs="Calibri"/>
                <w:sz w:val="20"/>
                <w:szCs w:val="20"/>
              </w:rPr>
            </w:r>
            <w:r w:rsidRPr="00E00B15">
              <w:rPr>
                <w:rFonts w:ascii="Arial Narrow" w:eastAsia="Calibri" w:hAnsi="Arial Narrow" w:cs="Calibri"/>
                <w:sz w:val="20"/>
                <w:szCs w:val="20"/>
              </w:rPr>
              <w:fldChar w:fldCharType="separate"/>
            </w:r>
            <w:r w:rsidRPr="00E00B15">
              <w:rPr>
                <w:rFonts w:ascii="Arial Narrow" w:eastAsia="Calibri" w:hAnsi="Arial Narrow" w:cs="Calibri"/>
                <w:sz w:val="20"/>
                <w:szCs w:val="20"/>
              </w:rPr>
              <w:fldChar w:fldCharType="end"/>
            </w:r>
            <w:r w:rsidRPr="00E00B15">
              <w:rPr>
                <w:rFonts w:ascii="Arial Narrow" w:eastAsia="Calibri" w:hAnsi="Arial Narrow" w:cs="Calibri"/>
                <w:sz w:val="20"/>
                <w:szCs w:val="20"/>
              </w:rPr>
              <w:t xml:space="preserve"> GENERAL - General Schedule (Code GE) </w:t>
            </w:r>
          </w:p>
        </w:tc>
      </w:tr>
      <w:tr w:rsidR="002117DC" w:rsidRPr="00E00B15" w14:paraId="20DACB45" w14:textId="77777777" w:rsidTr="002117DC">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45EB88C" w14:textId="77777777" w:rsidR="002117DC" w:rsidRPr="00E00B15" w:rsidRDefault="002117DC" w:rsidP="002357AD">
            <w:pPr>
              <w:keepNext/>
              <w:keepLines/>
              <w:rPr>
                <w:rFonts w:ascii="Arial Narrow" w:hAnsi="Arial Narrow" w:cs="Calibri"/>
                <w:b/>
                <w:bCs/>
                <w:sz w:val="20"/>
                <w:szCs w:val="20"/>
              </w:rPr>
            </w:pPr>
            <w:r w:rsidRPr="00E00B15">
              <w:rPr>
                <w:rFonts w:ascii="Arial Narrow" w:hAnsi="Arial Narrow" w:cs="Calibri"/>
                <w:b/>
                <w:bCs/>
                <w:sz w:val="20"/>
                <w:szCs w:val="20"/>
              </w:rPr>
              <w:t xml:space="preserve">Prescriber type: </w:t>
            </w:r>
            <w:r w:rsidRPr="00E00B15">
              <w:rPr>
                <w:rFonts w:ascii="Arial Narrow" w:hAnsi="Arial Narrow"/>
                <w:sz w:val="20"/>
                <w:szCs w:val="20"/>
              </w:rPr>
              <w:fldChar w:fldCharType="begin">
                <w:ffData>
                  <w:name w:val=""/>
                  <w:enabled/>
                  <w:calcOnExit w:val="0"/>
                  <w:checkBox>
                    <w:sizeAuto/>
                    <w:default w:val="1"/>
                  </w:checkBox>
                </w:ffData>
              </w:fldChar>
            </w:r>
            <w:r w:rsidRPr="00E00B15">
              <w:rPr>
                <w:rFonts w:ascii="Arial Narrow" w:hAnsi="Arial Narrow"/>
                <w:sz w:val="20"/>
                <w:szCs w:val="20"/>
              </w:rPr>
              <w:instrText xml:space="preserve"> FORMCHECKBOX </w:instrText>
            </w:r>
            <w:r w:rsidRPr="00E00B15">
              <w:rPr>
                <w:rFonts w:ascii="Arial Narrow" w:hAnsi="Arial Narrow"/>
                <w:sz w:val="20"/>
                <w:szCs w:val="20"/>
              </w:rPr>
            </w:r>
            <w:r w:rsidRPr="00E00B15">
              <w:rPr>
                <w:rFonts w:ascii="Arial Narrow" w:hAnsi="Arial Narrow"/>
                <w:sz w:val="20"/>
                <w:szCs w:val="20"/>
              </w:rPr>
              <w:fldChar w:fldCharType="separate"/>
            </w:r>
            <w:r w:rsidRPr="00E00B15">
              <w:rPr>
                <w:rFonts w:ascii="Arial Narrow" w:hAnsi="Arial Narrow"/>
                <w:sz w:val="20"/>
                <w:szCs w:val="20"/>
              </w:rPr>
              <w:fldChar w:fldCharType="end"/>
            </w:r>
            <w:r w:rsidRPr="00E00B15">
              <w:rPr>
                <w:rFonts w:ascii="Arial Narrow" w:eastAsia="Arial Narrow" w:hAnsi="Arial Narrow" w:cs="Arial Narrow"/>
                <w:sz w:val="20"/>
                <w:szCs w:val="20"/>
              </w:rPr>
              <w:t xml:space="preserve">Medical Practitioners </w:t>
            </w:r>
            <w:r w:rsidRPr="00E00B15">
              <w:rPr>
                <w:rFonts w:ascii="Arial Narrow" w:hAnsi="Arial Narrow"/>
                <w:sz w:val="20"/>
                <w:szCs w:val="20"/>
              </w:rPr>
              <w:fldChar w:fldCharType="begin">
                <w:ffData>
                  <w:name w:val=""/>
                  <w:enabled/>
                  <w:calcOnExit w:val="0"/>
                  <w:checkBox>
                    <w:sizeAuto/>
                    <w:default w:val="1"/>
                  </w:checkBox>
                </w:ffData>
              </w:fldChar>
            </w:r>
            <w:r w:rsidRPr="00E00B15">
              <w:rPr>
                <w:rFonts w:ascii="Arial Narrow" w:hAnsi="Arial Narrow"/>
                <w:sz w:val="20"/>
                <w:szCs w:val="20"/>
              </w:rPr>
              <w:instrText xml:space="preserve"> FORMCHECKBOX </w:instrText>
            </w:r>
            <w:r w:rsidRPr="00E00B15">
              <w:rPr>
                <w:rFonts w:ascii="Arial Narrow" w:hAnsi="Arial Narrow"/>
                <w:sz w:val="20"/>
                <w:szCs w:val="20"/>
              </w:rPr>
            </w:r>
            <w:r w:rsidRPr="00E00B15">
              <w:rPr>
                <w:rFonts w:ascii="Arial Narrow" w:hAnsi="Arial Narrow"/>
                <w:sz w:val="20"/>
                <w:szCs w:val="20"/>
              </w:rPr>
              <w:fldChar w:fldCharType="separate"/>
            </w:r>
            <w:r w:rsidRPr="00E00B15">
              <w:rPr>
                <w:rFonts w:ascii="Arial Narrow" w:hAnsi="Arial Narrow"/>
                <w:sz w:val="20"/>
                <w:szCs w:val="20"/>
              </w:rPr>
              <w:fldChar w:fldCharType="end"/>
            </w:r>
            <w:r w:rsidRPr="00E00B15">
              <w:rPr>
                <w:rFonts w:ascii="Arial Narrow" w:eastAsia="Arial Narrow" w:hAnsi="Arial Narrow" w:cs="Arial Narrow"/>
                <w:sz w:val="20"/>
                <w:szCs w:val="20"/>
              </w:rPr>
              <w:t>Nurse practitioners</w:t>
            </w:r>
          </w:p>
        </w:tc>
      </w:tr>
      <w:tr w:rsidR="002117DC" w:rsidRPr="00E00B15" w14:paraId="4E8745D3" w14:textId="77777777" w:rsidTr="002117DC">
        <w:tblPrEx>
          <w:tblCellMar>
            <w:top w:w="15" w:type="dxa"/>
            <w:bottom w:w="15" w:type="dxa"/>
          </w:tblCellMar>
        </w:tblPrEx>
        <w:trPr>
          <w:trHeight w:val="2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BCC0FCF" w14:textId="77777777" w:rsidR="002117DC" w:rsidRPr="00E00B15" w:rsidRDefault="002117DC" w:rsidP="002357AD">
            <w:pPr>
              <w:keepNext/>
              <w:keepLines/>
              <w:rPr>
                <w:rFonts w:ascii="Arial Narrow" w:hAnsi="Arial Narrow" w:cs="Calibri"/>
                <w:sz w:val="20"/>
                <w:szCs w:val="20"/>
              </w:rPr>
            </w:pPr>
            <w:r w:rsidRPr="00E00B15">
              <w:rPr>
                <w:rFonts w:ascii="Arial Narrow" w:hAnsi="Arial Narrow" w:cs="Calibri"/>
                <w:b/>
                <w:bCs/>
                <w:sz w:val="20"/>
                <w:szCs w:val="20"/>
              </w:rPr>
              <w:t xml:space="preserve">Restriction type: </w:t>
            </w:r>
            <w:r w:rsidRPr="00E00B15">
              <w:rPr>
                <w:rFonts w:ascii="Arial Narrow" w:eastAsia="Calibri" w:hAnsi="Arial Narrow" w:cs="Calibri"/>
                <w:sz w:val="20"/>
                <w:szCs w:val="20"/>
              </w:rPr>
              <w:fldChar w:fldCharType="begin">
                <w:ffData>
                  <w:name w:val=""/>
                  <w:enabled/>
                  <w:calcOnExit w:val="0"/>
                  <w:checkBox>
                    <w:sizeAuto/>
                    <w:default w:val="1"/>
                  </w:checkBox>
                </w:ffData>
              </w:fldChar>
            </w:r>
            <w:r w:rsidRPr="00E00B15">
              <w:rPr>
                <w:rFonts w:ascii="Arial Narrow" w:eastAsia="Calibri" w:hAnsi="Arial Narrow" w:cs="Calibri"/>
                <w:sz w:val="20"/>
                <w:szCs w:val="20"/>
              </w:rPr>
              <w:instrText xml:space="preserve"> FORMCHECKBOX </w:instrText>
            </w:r>
            <w:r w:rsidRPr="00E00B15">
              <w:rPr>
                <w:rFonts w:ascii="Arial Narrow" w:eastAsia="Calibri" w:hAnsi="Arial Narrow" w:cs="Calibri"/>
                <w:sz w:val="20"/>
                <w:szCs w:val="20"/>
              </w:rPr>
            </w:r>
            <w:r w:rsidRPr="00E00B15">
              <w:rPr>
                <w:rFonts w:ascii="Arial Narrow" w:eastAsia="Calibri" w:hAnsi="Arial Narrow" w:cs="Calibri"/>
                <w:sz w:val="20"/>
                <w:szCs w:val="20"/>
              </w:rPr>
              <w:fldChar w:fldCharType="separate"/>
            </w:r>
            <w:r w:rsidRPr="00E00B15">
              <w:rPr>
                <w:rFonts w:ascii="Arial Narrow" w:eastAsia="Calibri" w:hAnsi="Arial Narrow" w:cs="Calibri"/>
                <w:sz w:val="20"/>
                <w:szCs w:val="20"/>
              </w:rPr>
              <w:fldChar w:fldCharType="end"/>
            </w:r>
            <w:r w:rsidRPr="00E00B15">
              <w:rPr>
                <w:rFonts w:ascii="Arial Narrow" w:eastAsia="Calibri" w:hAnsi="Arial Narrow" w:cs="Calibri"/>
                <w:sz w:val="20"/>
                <w:szCs w:val="20"/>
              </w:rPr>
              <w:t xml:space="preserve"> Restricted benefit</w:t>
            </w:r>
          </w:p>
        </w:tc>
      </w:tr>
      <w:tr w:rsidR="002117DC" w:rsidRPr="00E00B15" w14:paraId="139094BF" w14:textId="77777777" w:rsidTr="002117DC">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645EC8D" w14:textId="77777777" w:rsidR="002117DC" w:rsidRPr="00E00B15" w:rsidRDefault="002117DC" w:rsidP="002357AD">
            <w:pPr>
              <w:keepNext/>
              <w:keepLines/>
              <w:rPr>
                <w:rFonts w:ascii="Arial Narrow" w:hAnsi="Arial Narrow"/>
                <w:b/>
                <w:bCs/>
                <w:i/>
                <w:iCs/>
                <w:sz w:val="20"/>
                <w:szCs w:val="20"/>
              </w:rPr>
            </w:pPr>
            <w:r w:rsidRPr="00E00B15">
              <w:rPr>
                <w:rStyle w:val="normaltextrun"/>
                <w:rFonts w:ascii="Arial Narrow" w:eastAsiaTheme="majorEastAsia" w:hAnsi="Arial Narrow" w:cs="Segoe UI"/>
                <w:b/>
                <w:bCs/>
                <w:i/>
                <w:iCs/>
                <w:sz w:val="20"/>
                <w:szCs w:val="20"/>
              </w:rPr>
              <w:t>Prescribing rule level: </w:t>
            </w:r>
            <w:r w:rsidRPr="00E00B15">
              <w:rPr>
                <w:rStyle w:val="eop"/>
                <w:rFonts w:ascii="Arial Narrow" w:eastAsiaTheme="majorEastAsia" w:hAnsi="Arial Narrow" w:cs="Segoe UI"/>
                <w:i/>
                <w:iCs/>
                <w:sz w:val="20"/>
                <w:szCs w:val="20"/>
              </w:rPr>
              <w:t> </w:t>
            </w:r>
          </w:p>
        </w:tc>
      </w:tr>
      <w:tr w:rsidR="002117DC" w:rsidRPr="00E00B15" w14:paraId="615FE3C2" w14:textId="77777777" w:rsidTr="002117DC">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491A684" w14:textId="77777777" w:rsidR="002117DC" w:rsidRPr="00E00B15" w:rsidRDefault="002117DC">
            <w:pPr>
              <w:pStyle w:val="paragraph"/>
              <w:spacing w:before="0" w:beforeAutospacing="0" w:after="0" w:afterAutospacing="0"/>
              <w:jc w:val="both"/>
              <w:textAlignment w:val="baseline"/>
              <w:rPr>
                <w:rFonts w:ascii="Segoe UI" w:hAnsi="Segoe UI" w:cs="Segoe UI"/>
                <w:i/>
                <w:iCs/>
                <w:sz w:val="18"/>
                <w:szCs w:val="18"/>
              </w:rPr>
            </w:pPr>
            <w:r w:rsidRPr="00E00B15">
              <w:rPr>
                <w:rStyle w:val="normaltextrun"/>
                <w:rFonts w:ascii="Arial Narrow" w:eastAsiaTheme="majorEastAsia" w:hAnsi="Arial Narrow" w:cs="Segoe UI"/>
                <w:b/>
                <w:bCs/>
                <w:i/>
                <w:iCs/>
                <w:sz w:val="20"/>
                <w:szCs w:val="20"/>
              </w:rPr>
              <w:t>Administrative advice:</w:t>
            </w:r>
            <w:r w:rsidRPr="00E00B15">
              <w:rPr>
                <w:rStyle w:val="eop"/>
                <w:rFonts w:ascii="Arial Narrow" w:eastAsiaTheme="majorEastAsia" w:hAnsi="Arial Narrow" w:cs="Segoe UI"/>
                <w:i/>
                <w:iCs/>
                <w:sz w:val="20"/>
                <w:szCs w:val="20"/>
              </w:rPr>
              <w:t> </w:t>
            </w:r>
          </w:p>
          <w:p w14:paraId="02ADD20D" w14:textId="77777777" w:rsidR="002117DC" w:rsidRPr="00E00B15" w:rsidRDefault="002117DC">
            <w:pPr>
              <w:rPr>
                <w:rFonts w:ascii="Arial Narrow" w:hAnsi="Arial Narrow"/>
                <w:b/>
                <w:bCs/>
                <w:i/>
                <w:iCs/>
                <w:sz w:val="20"/>
                <w:szCs w:val="20"/>
              </w:rPr>
            </w:pPr>
            <w:r w:rsidRPr="00E00B15">
              <w:rPr>
                <w:rStyle w:val="normaltextrun"/>
                <w:rFonts w:ascii="Arial Narrow" w:eastAsiaTheme="majorEastAsia" w:hAnsi="Arial Narrow" w:cs="Segoe UI"/>
                <w:i/>
                <w:iCs/>
                <w:sz w:val="20"/>
                <w:szCs w:val="20"/>
              </w:rPr>
              <w:t>No increase in the maximum number of repeats may be authorised.</w:t>
            </w:r>
            <w:r w:rsidRPr="00E00B15">
              <w:rPr>
                <w:rStyle w:val="eop"/>
                <w:rFonts w:ascii="Arial Narrow" w:eastAsiaTheme="majorEastAsia" w:hAnsi="Arial Narrow" w:cs="Segoe UI"/>
                <w:i/>
                <w:iCs/>
                <w:sz w:val="20"/>
                <w:szCs w:val="20"/>
              </w:rPr>
              <w:t> </w:t>
            </w:r>
          </w:p>
        </w:tc>
      </w:tr>
      <w:tr w:rsidR="002117DC" w:rsidRPr="00E00B15" w14:paraId="51E23912" w14:textId="77777777" w:rsidTr="002117DC">
        <w:tblPrEx>
          <w:tblCellMar>
            <w:top w:w="15" w:type="dxa"/>
            <w:bottom w:w="15" w:type="dxa"/>
          </w:tblCellMar>
          <w:tblLook w:val="04A0" w:firstRow="1" w:lastRow="0" w:firstColumn="1" w:lastColumn="0" w:noHBand="0" w:noVBand="1"/>
        </w:tblPrEx>
        <w:trPr>
          <w:trHeight w:val="20"/>
        </w:trPr>
        <w:tc>
          <w:tcPr>
            <w:tcW w:w="5000" w:type="pct"/>
            <w:gridSpan w:val="6"/>
            <w:tcBorders>
              <w:right w:val="single" w:sz="4" w:space="0" w:color="auto"/>
            </w:tcBorders>
          </w:tcPr>
          <w:p w14:paraId="36B17BAC" w14:textId="3FB0F3CC" w:rsidR="002117DC" w:rsidRPr="00E00B15" w:rsidRDefault="002117DC">
            <w:pPr>
              <w:rPr>
                <w:rFonts w:ascii="Arial Narrow" w:hAnsi="Arial Narrow"/>
                <w:b/>
                <w:bCs/>
                <w:i/>
                <w:iCs/>
                <w:sz w:val="20"/>
                <w:szCs w:val="20"/>
              </w:rPr>
            </w:pPr>
            <w:r w:rsidRPr="00E00B15">
              <w:rPr>
                <w:rStyle w:val="normaltextrun"/>
                <w:rFonts w:ascii="Arial Narrow" w:eastAsiaTheme="majorEastAsia" w:hAnsi="Arial Narrow" w:cs="Segoe UI"/>
                <w:b/>
                <w:bCs/>
                <w:sz w:val="20"/>
                <w:szCs w:val="20"/>
              </w:rPr>
              <w:t>Restriction Summary [new2] / Treatment of Concept: [new2A]</w:t>
            </w:r>
          </w:p>
        </w:tc>
      </w:tr>
      <w:tr w:rsidR="002117DC" w:rsidRPr="00E00B15" w14:paraId="2F719400" w14:textId="77777777" w:rsidTr="002117DC">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13514285" w14:textId="77777777" w:rsidR="002117DC" w:rsidRPr="00E00B15" w:rsidRDefault="002117DC">
            <w:pPr>
              <w:rPr>
                <w:rFonts w:ascii="Arial Narrow" w:hAnsi="Arial Narrow"/>
                <w:b/>
                <w:bCs/>
                <w:sz w:val="20"/>
                <w:szCs w:val="20"/>
              </w:rPr>
            </w:pPr>
            <w:r w:rsidRPr="00E00B15">
              <w:rPr>
                <w:rFonts w:ascii="Arial Narrow" w:hAnsi="Arial Narrow"/>
                <w:b/>
                <w:bCs/>
                <w:sz w:val="20"/>
                <w:szCs w:val="20"/>
              </w:rPr>
              <w:t>Indication:</w:t>
            </w:r>
            <w:r w:rsidRPr="00E00B15">
              <w:rPr>
                <w:rFonts w:ascii="Arial Narrow" w:hAnsi="Arial Narrow"/>
                <w:sz w:val="20"/>
                <w:szCs w:val="20"/>
              </w:rPr>
              <w:t xml:space="preserve"> Hypoactive Sexual Desire Dysfunction (HSDD) </w:t>
            </w:r>
            <w:r w:rsidRPr="00E00B15">
              <w:rPr>
                <w:rFonts w:ascii="Arial Narrow" w:hAnsi="Arial Narrow"/>
                <w:i/>
                <w:iCs/>
                <w:sz w:val="20"/>
                <w:szCs w:val="20"/>
              </w:rPr>
              <w:t>in postmenopausal women</w:t>
            </w:r>
          </w:p>
        </w:tc>
      </w:tr>
      <w:tr w:rsidR="002117DC" w:rsidRPr="00E00B15" w14:paraId="1A6C497B" w14:textId="77777777" w:rsidTr="002117DC">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5CE6B9A1" w14:textId="77777777" w:rsidR="002117DC" w:rsidRPr="00E00B15" w:rsidRDefault="002117DC">
            <w:pPr>
              <w:rPr>
                <w:rFonts w:ascii="Arial Narrow" w:hAnsi="Arial Narrow"/>
                <w:b/>
                <w:bCs/>
                <w:sz w:val="20"/>
                <w:szCs w:val="20"/>
              </w:rPr>
            </w:pPr>
          </w:p>
        </w:tc>
      </w:tr>
      <w:tr w:rsidR="002117DC" w:rsidRPr="00E00B15" w14:paraId="50891F01" w14:textId="77777777" w:rsidTr="002117DC">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3D6115AB" w14:textId="77777777" w:rsidR="002117DC" w:rsidRPr="00E00B15" w:rsidRDefault="002117DC">
            <w:pPr>
              <w:rPr>
                <w:rFonts w:ascii="Arial Narrow" w:hAnsi="Arial Narrow"/>
                <w:b/>
                <w:bCs/>
                <w:sz w:val="20"/>
                <w:szCs w:val="20"/>
              </w:rPr>
            </w:pPr>
            <w:r w:rsidRPr="00E00B15">
              <w:rPr>
                <w:rFonts w:ascii="Arial Narrow" w:hAnsi="Arial Narrow"/>
                <w:b/>
                <w:bCs/>
                <w:color w:val="333333"/>
                <w:sz w:val="20"/>
                <w:szCs w:val="20"/>
              </w:rPr>
              <w:t>Clinical criteria:</w:t>
            </w:r>
          </w:p>
        </w:tc>
      </w:tr>
      <w:tr w:rsidR="002117DC" w:rsidRPr="00E00B15" w14:paraId="78C5DD5A" w14:textId="77777777" w:rsidTr="002117DC">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78C6AC1D" w14:textId="77777777" w:rsidR="002117DC" w:rsidRPr="00E00B15" w:rsidRDefault="002117DC">
            <w:pPr>
              <w:rPr>
                <w:rFonts w:ascii="Arial Narrow" w:hAnsi="Arial Narrow"/>
                <w:b/>
                <w:bCs/>
                <w:sz w:val="20"/>
                <w:szCs w:val="20"/>
              </w:rPr>
            </w:pPr>
            <w:r w:rsidRPr="00E00B15">
              <w:rPr>
                <w:rFonts w:ascii="Arial Narrow" w:hAnsi="Arial Narrow"/>
                <w:sz w:val="20"/>
                <w:szCs w:val="20"/>
              </w:rPr>
              <w:t>The condition must be stable for the prescriber to consider the listed maximum quantity of this medicine suitable for this patient,</w:t>
            </w:r>
          </w:p>
        </w:tc>
      </w:tr>
      <w:tr w:rsidR="002117DC" w:rsidRPr="00E00B15" w14:paraId="4BDCC643" w14:textId="77777777" w:rsidTr="002117DC">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2AE26F83" w14:textId="77777777" w:rsidR="002117DC" w:rsidRPr="00E00B15" w:rsidRDefault="002117DC">
            <w:pPr>
              <w:rPr>
                <w:rFonts w:ascii="Arial Narrow" w:hAnsi="Arial Narrow"/>
                <w:b/>
                <w:bCs/>
                <w:sz w:val="20"/>
                <w:szCs w:val="20"/>
              </w:rPr>
            </w:pPr>
            <w:r w:rsidRPr="00E00B15">
              <w:rPr>
                <w:rFonts w:ascii="Arial Narrow" w:hAnsi="Arial Narrow"/>
                <w:b/>
                <w:bCs/>
                <w:color w:val="333333"/>
                <w:sz w:val="20"/>
                <w:szCs w:val="20"/>
              </w:rPr>
              <w:t>AND</w:t>
            </w:r>
          </w:p>
        </w:tc>
      </w:tr>
      <w:tr w:rsidR="002117DC" w:rsidRPr="00E00B15" w14:paraId="37EF0DA6"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20B0C129" w14:textId="77777777" w:rsidR="002117DC" w:rsidRPr="00E00B15" w:rsidRDefault="002117DC">
            <w:pPr>
              <w:rPr>
                <w:rFonts w:ascii="Arial Narrow" w:hAnsi="Arial Narrow"/>
                <w:color w:val="333333"/>
                <w:sz w:val="20"/>
                <w:szCs w:val="20"/>
              </w:rPr>
            </w:pPr>
            <w:r w:rsidRPr="00E00B15">
              <w:rPr>
                <w:rFonts w:ascii="Arial Narrow" w:hAnsi="Arial Narrow"/>
                <w:b/>
                <w:bCs/>
                <w:color w:val="333333"/>
                <w:sz w:val="20"/>
                <w:szCs w:val="20"/>
              </w:rPr>
              <w:t>Clinical criteria:</w:t>
            </w:r>
          </w:p>
        </w:tc>
      </w:tr>
      <w:tr w:rsidR="002117DC" w:rsidRPr="00E00B15" w14:paraId="16146DD0"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29995C0A" w14:textId="77777777" w:rsidR="002117DC" w:rsidRPr="00E00B15" w:rsidRDefault="002117DC">
            <w:pPr>
              <w:rPr>
                <w:rFonts w:ascii="Arial Narrow" w:hAnsi="Arial Narrow"/>
                <w:strike/>
                <w:color w:val="333333"/>
                <w:sz w:val="20"/>
                <w:szCs w:val="20"/>
              </w:rPr>
            </w:pPr>
            <w:r w:rsidRPr="00E00B15">
              <w:rPr>
                <w:rFonts w:ascii="Arial Narrow" w:hAnsi="Arial Narrow"/>
                <w:strike/>
                <w:color w:val="333333"/>
                <w:sz w:val="20"/>
                <w:szCs w:val="20"/>
              </w:rPr>
              <w:lastRenderedPageBreak/>
              <w:t>Patients must have failed to be treated by appropriate education and correction of modifiable biopsychosocial factors (which may include neuroendocrine imbalance, physical ill health or disease, interpersonal difficulties, psychological distress or specific cultural or religious beliefs), according to the International Society for the Study of Women’s Sexual Health (ISSWSH) process of care.</w:t>
            </w:r>
          </w:p>
          <w:p w14:paraId="7B6CC026" w14:textId="77777777" w:rsidR="002117DC" w:rsidRPr="00E00B15" w:rsidRDefault="002117DC">
            <w:pPr>
              <w:rPr>
                <w:rFonts w:ascii="Arial Narrow" w:hAnsi="Arial Narrow"/>
                <w:i/>
                <w:iCs/>
                <w:color w:val="333333"/>
                <w:sz w:val="20"/>
                <w:szCs w:val="20"/>
              </w:rPr>
            </w:pPr>
            <w:r w:rsidRPr="00E00B15">
              <w:rPr>
                <w:rFonts w:ascii="Arial Narrow" w:hAnsi="Arial Narrow"/>
                <w:i/>
                <w:iCs/>
                <w:color w:val="333333"/>
                <w:sz w:val="20"/>
                <w:szCs w:val="20"/>
              </w:rPr>
              <w:t>The condition must have failed to be treated by either (</w:t>
            </w:r>
            <w:proofErr w:type="spellStart"/>
            <w:r w:rsidRPr="00E00B15">
              <w:rPr>
                <w:rFonts w:ascii="Arial Narrow" w:hAnsi="Arial Narrow"/>
                <w:i/>
                <w:iCs/>
                <w:color w:val="333333"/>
                <w:sz w:val="20"/>
                <w:szCs w:val="20"/>
              </w:rPr>
              <w:t>i</w:t>
            </w:r>
            <w:proofErr w:type="spellEnd"/>
            <w:r w:rsidRPr="00E00B15">
              <w:rPr>
                <w:rFonts w:ascii="Arial Narrow" w:hAnsi="Arial Narrow"/>
                <w:i/>
                <w:iCs/>
                <w:color w:val="333333"/>
                <w:sz w:val="20"/>
                <w:szCs w:val="20"/>
              </w:rPr>
              <w:t>) appropriate education; (ii) correction of modifiable biopsychosocial factors according to the International Society for the Study of Women’s Sexual Health (ISSWSH) process of care.</w:t>
            </w:r>
          </w:p>
        </w:tc>
      </w:tr>
      <w:tr w:rsidR="002117DC" w:rsidRPr="00E00B15" w14:paraId="02DFE42E"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E274070" w14:textId="77777777" w:rsidR="002117DC" w:rsidRPr="00E00B15" w:rsidRDefault="002117DC">
            <w:pPr>
              <w:rPr>
                <w:rFonts w:ascii="Arial Narrow" w:hAnsi="Arial Narrow"/>
                <w:b/>
                <w:bCs/>
                <w:color w:val="333333"/>
                <w:sz w:val="20"/>
                <w:szCs w:val="20"/>
              </w:rPr>
            </w:pPr>
            <w:r w:rsidRPr="00E00B15">
              <w:rPr>
                <w:rFonts w:ascii="Arial Narrow" w:hAnsi="Arial Narrow"/>
                <w:b/>
                <w:bCs/>
                <w:color w:val="333333"/>
                <w:sz w:val="20"/>
                <w:szCs w:val="20"/>
              </w:rPr>
              <w:t>AND</w:t>
            </w:r>
          </w:p>
        </w:tc>
      </w:tr>
      <w:tr w:rsidR="002117DC" w:rsidRPr="00E00B15" w14:paraId="1F5A1BB4"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1A12D79" w14:textId="77777777" w:rsidR="002117DC" w:rsidRPr="00E00B15" w:rsidRDefault="002117DC">
            <w:pPr>
              <w:rPr>
                <w:rFonts w:ascii="Arial Narrow" w:hAnsi="Arial Narrow"/>
                <w:color w:val="333333"/>
                <w:sz w:val="20"/>
                <w:szCs w:val="20"/>
              </w:rPr>
            </w:pPr>
            <w:r w:rsidRPr="00E00B15">
              <w:rPr>
                <w:rFonts w:ascii="Arial Narrow" w:hAnsi="Arial Narrow"/>
                <w:b/>
                <w:bCs/>
                <w:color w:val="333333"/>
                <w:sz w:val="20"/>
                <w:szCs w:val="20"/>
              </w:rPr>
              <w:t>Clinical criteria:</w:t>
            </w:r>
          </w:p>
        </w:tc>
      </w:tr>
      <w:tr w:rsidR="002117DC" w:rsidRPr="00E00B15" w14:paraId="29E6C544"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6F897DD" w14:textId="77777777" w:rsidR="002117DC" w:rsidRPr="00E00B15" w:rsidRDefault="002117DC">
            <w:pPr>
              <w:rPr>
                <w:rFonts w:ascii="Arial Narrow" w:hAnsi="Arial Narrow"/>
                <w:color w:val="333333"/>
                <w:sz w:val="20"/>
                <w:szCs w:val="20"/>
              </w:rPr>
            </w:pPr>
            <w:r w:rsidRPr="00E00B15">
              <w:rPr>
                <w:rFonts w:ascii="Arial Narrow" w:hAnsi="Arial Narrow"/>
                <w:color w:val="333333"/>
                <w:sz w:val="20"/>
                <w:szCs w:val="20"/>
              </w:rPr>
              <w:t xml:space="preserve">Patient must not be contraindicated to testosterone therapy. </w:t>
            </w:r>
            <w:r w:rsidRPr="00E00B15">
              <w:rPr>
                <w:rFonts w:ascii="Arial Narrow" w:hAnsi="Arial Narrow"/>
                <w:strike/>
                <w:color w:val="333333"/>
                <w:sz w:val="20"/>
                <w:szCs w:val="20"/>
              </w:rPr>
              <w:t>(e.g. serum testosterone high, history of breast cancer, high risk of CVD, high risk of VTE, significant liver disease, professional singer)</w:t>
            </w:r>
          </w:p>
        </w:tc>
      </w:tr>
      <w:tr w:rsidR="002117DC" w:rsidRPr="00E00B15" w14:paraId="1DDA65B7"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19EC6B3B" w14:textId="77777777" w:rsidR="002117DC" w:rsidRPr="00E00B15" w:rsidRDefault="002117DC">
            <w:pPr>
              <w:rPr>
                <w:rFonts w:ascii="Arial Narrow" w:hAnsi="Arial Narrow"/>
                <w:color w:val="333333"/>
                <w:sz w:val="20"/>
                <w:szCs w:val="20"/>
              </w:rPr>
            </w:pPr>
          </w:p>
        </w:tc>
      </w:tr>
      <w:tr w:rsidR="002117DC" w:rsidRPr="00E00B15" w14:paraId="0C88C9CD"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78F28FEF" w14:textId="77777777" w:rsidR="002117DC" w:rsidRPr="00E00B15" w:rsidRDefault="002117DC">
            <w:pPr>
              <w:rPr>
                <w:rFonts w:ascii="Arial Narrow" w:hAnsi="Arial Narrow"/>
                <w:strike/>
                <w:color w:val="333333"/>
                <w:sz w:val="20"/>
                <w:szCs w:val="20"/>
              </w:rPr>
            </w:pPr>
            <w:r w:rsidRPr="00E00B15">
              <w:rPr>
                <w:rFonts w:ascii="Arial Narrow" w:hAnsi="Arial Narrow"/>
                <w:b/>
                <w:bCs/>
                <w:strike/>
                <w:color w:val="333333"/>
                <w:sz w:val="20"/>
                <w:szCs w:val="20"/>
              </w:rPr>
              <w:t>Treatment criteria:</w:t>
            </w:r>
          </w:p>
        </w:tc>
      </w:tr>
      <w:tr w:rsidR="002117DC" w:rsidRPr="00E00B15" w14:paraId="51B7A780"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35567AF4" w14:textId="77777777" w:rsidR="002117DC" w:rsidRPr="00E00B15" w:rsidRDefault="002117DC">
            <w:pPr>
              <w:autoSpaceDE w:val="0"/>
              <w:autoSpaceDN w:val="0"/>
              <w:adjustRightInd w:val="0"/>
              <w:rPr>
                <w:rFonts w:ascii="Arial Narrow" w:hAnsi="Arial Narrow" w:cs="Arial Narrow"/>
                <w:strike/>
                <w:sz w:val="20"/>
                <w:szCs w:val="20"/>
              </w:rPr>
            </w:pPr>
            <w:r w:rsidRPr="00E00B15">
              <w:rPr>
                <w:rFonts w:ascii="Arial Narrow" w:hAnsi="Arial Narrow" w:cs="Calibri"/>
                <w:iCs/>
                <w:strike/>
                <w:sz w:val="20"/>
                <w:szCs w:val="20"/>
              </w:rPr>
              <w:t>Must be treated by a medical practitioner;</w:t>
            </w:r>
          </w:p>
        </w:tc>
      </w:tr>
      <w:tr w:rsidR="002117DC" w:rsidRPr="00E00B15" w14:paraId="7BED4939"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EFF8711" w14:textId="77777777" w:rsidR="002117DC" w:rsidRPr="00E00B15" w:rsidRDefault="002117DC">
            <w:pPr>
              <w:autoSpaceDE w:val="0"/>
              <w:autoSpaceDN w:val="0"/>
              <w:adjustRightInd w:val="0"/>
              <w:rPr>
                <w:rFonts w:ascii="Arial Narrow" w:hAnsi="Arial Narrow" w:cs="Arial Narrow"/>
                <w:strike/>
                <w:sz w:val="20"/>
                <w:szCs w:val="20"/>
              </w:rPr>
            </w:pPr>
            <w:r w:rsidRPr="00E00B15">
              <w:rPr>
                <w:rFonts w:ascii="Arial Narrow" w:hAnsi="Arial Narrow" w:cs="Calibri"/>
                <w:iCs/>
                <w:strike/>
                <w:sz w:val="20"/>
                <w:szCs w:val="20"/>
              </w:rPr>
              <w:t>OR</w:t>
            </w:r>
          </w:p>
        </w:tc>
      </w:tr>
      <w:tr w:rsidR="002117DC" w:rsidRPr="00E00B15" w14:paraId="412014E1" w14:textId="77777777" w:rsidTr="002117DC">
        <w:tblPrEx>
          <w:tblCellMar>
            <w:top w:w="15" w:type="dxa"/>
            <w:left w:w="15" w:type="dxa"/>
            <w:bottom w:w="15" w:type="dxa"/>
            <w:right w:w="15" w:type="dxa"/>
          </w:tblCellMar>
          <w:tblLook w:val="04A0" w:firstRow="1" w:lastRow="0" w:firstColumn="1" w:lastColumn="0" w:noHBand="0" w:noVBand="1"/>
        </w:tblPrEx>
        <w:trPr>
          <w:trHeight w:val="110"/>
        </w:trPr>
        <w:tc>
          <w:tcPr>
            <w:tcW w:w="5000" w:type="pct"/>
            <w:gridSpan w:val="6"/>
            <w:vAlign w:val="center"/>
          </w:tcPr>
          <w:p w14:paraId="19A09926" w14:textId="77777777" w:rsidR="002117DC" w:rsidRPr="00E00B15" w:rsidRDefault="002117DC">
            <w:pPr>
              <w:autoSpaceDE w:val="0"/>
              <w:autoSpaceDN w:val="0"/>
              <w:adjustRightInd w:val="0"/>
              <w:rPr>
                <w:rFonts w:ascii="Arial Narrow" w:hAnsi="Arial Narrow" w:cs="Arial Narrow"/>
                <w:strike/>
                <w:sz w:val="20"/>
                <w:szCs w:val="20"/>
              </w:rPr>
            </w:pPr>
            <w:r w:rsidRPr="00E00B15">
              <w:rPr>
                <w:rFonts w:ascii="Arial Narrow" w:hAnsi="Arial Narrow" w:cs="Calibri"/>
                <w:strike/>
                <w:sz w:val="20"/>
                <w:szCs w:val="20"/>
              </w:rPr>
              <w:t>Must be treated by a nurse practitioner</w:t>
            </w:r>
          </w:p>
        </w:tc>
      </w:tr>
      <w:tr w:rsidR="002117DC" w:rsidRPr="00E00B15" w14:paraId="538096FD"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3140E98" w14:textId="77777777" w:rsidR="002117DC" w:rsidRPr="00E00B15" w:rsidRDefault="002117DC">
            <w:pPr>
              <w:autoSpaceDE w:val="0"/>
              <w:autoSpaceDN w:val="0"/>
              <w:adjustRightInd w:val="0"/>
              <w:rPr>
                <w:rFonts w:ascii="Arial Narrow" w:hAnsi="Arial Narrow" w:cs="Arial Narrow"/>
                <w:i/>
                <w:iCs/>
                <w:sz w:val="20"/>
                <w:szCs w:val="20"/>
              </w:rPr>
            </w:pPr>
          </w:p>
        </w:tc>
      </w:tr>
      <w:tr w:rsidR="002117DC" w:rsidRPr="00E00B15" w14:paraId="187B701D"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6E825172" w14:textId="77777777" w:rsidR="002117DC" w:rsidRPr="00E00B15" w:rsidRDefault="002117DC">
            <w:pPr>
              <w:rPr>
                <w:rFonts w:ascii="Arial Narrow" w:hAnsi="Arial Narrow"/>
                <w:color w:val="333333"/>
                <w:sz w:val="20"/>
                <w:szCs w:val="20"/>
              </w:rPr>
            </w:pPr>
            <w:r w:rsidRPr="00E00B15">
              <w:rPr>
                <w:rFonts w:ascii="Arial Narrow" w:hAnsi="Arial Narrow"/>
                <w:b/>
                <w:bCs/>
                <w:color w:val="333333"/>
                <w:sz w:val="20"/>
                <w:szCs w:val="20"/>
              </w:rPr>
              <w:t>Population criteria:</w:t>
            </w:r>
          </w:p>
        </w:tc>
      </w:tr>
      <w:tr w:rsidR="002117DC" w:rsidRPr="00E00B15" w14:paraId="5C47B78C"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622E95EF" w14:textId="77777777" w:rsidR="002117DC" w:rsidRPr="00E00B15" w:rsidRDefault="002117DC">
            <w:pPr>
              <w:rPr>
                <w:rFonts w:ascii="Arial Narrow" w:hAnsi="Arial Narrow"/>
                <w:strike/>
                <w:color w:val="333333"/>
                <w:sz w:val="20"/>
                <w:szCs w:val="20"/>
              </w:rPr>
            </w:pPr>
            <w:r w:rsidRPr="00E00B15">
              <w:rPr>
                <w:rFonts w:ascii="Arial Narrow" w:hAnsi="Arial Narrow"/>
                <w:strike/>
                <w:color w:val="333333"/>
                <w:sz w:val="20"/>
                <w:szCs w:val="20"/>
              </w:rPr>
              <w:t xml:space="preserve">Patient must be aged 18 years or </w:t>
            </w:r>
            <w:proofErr w:type="gramStart"/>
            <w:r w:rsidRPr="00E00B15">
              <w:rPr>
                <w:rFonts w:ascii="Arial Narrow" w:hAnsi="Arial Narrow"/>
                <w:strike/>
                <w:color w:val="333333"/>
                <w:sz w:val="20"/>
                <w:szCs w:val="20"/>
              </w:rPr>
              <w:t>older;</w:t>
            </w:r>
            <w:proofErr w:type="gramEnd"/>
          </w:p>
          <w:p w14:paraId="303AD69B" w14:textId="77777777" w:rsidR="002117DC" w:rsidRPr="00E00B15" w:rsidRDefault="002117DC">
            <w:pPr>
              <w:rPr>
                <w:rFonts w:ascii="Arial Narrow" w:hAnsi="Arial Narrow"/>
                <w:color w:val="333333"/>
                <w:sz w:val="20"/>
                <w:szCs w:val="20"/>
              </w:rPr>
            </w:pPr>
            <w:r w:rsidRPr="00E00B15">
              <w:rPr>
                <w:rFonts w:ascii="Arial Narrow" w:hAnsi="Arial Narrow"/>
                <w:i/>
                <w:iCs/>
                <w:color w:val="333333"/>
                <w:sz w:val="20"/>
                <w:szCs w:val="20"/>
              </w:rPr>
              <w:t>Patient must be at least 18 years of age</w:t>
            </w:r>
          </w:p>
        </w:tc>
      </w:tr>
      <w:tr w:rsidR="002117DC" w:rsidRPr="00E00B15" w14:paraId="2A40CE5D"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D13C386" w14:textId="77777777" w:rsidR="002117DC" w:rsidRPr="00E00B15" w:rsidRDefault="002117DC">
            <w:pPr>
              <w:rPr>
                <w:rFonts w:ascii="Arial Narrow" w:hAnsi="Arial Narrow"/>
                <w:b/>
                <w:bCs/>
                <w:color w:val="333333"/>
                <w:sz w:val="20"/>
                <w:szCs w:val="20"/>
              </w:rPr>
            </w:pPr>
            <w:r w:rsidRPr="00E00B15">
              <w:rPr>
                <w:rFonts w:ascii="Arial Narrow" w:hAnsi="Arial Narrow"/>
                <w:b/>
                <w:bCs/>
                <w:color w:val="333333"/>
                <w:sz w:val="20"/>
                <w:szCs w:val="20"/>
              </w:rPr>
              <w:t>AND</w:t>
            </w:r>
          </w:p>
        </w:tc>
      </w:tr>
      <w:tr w:rsidR="002117DC" w:rsidRPr="00E00B15" w14:paraId="3FD36104"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0358245" w14:textId="77777777" w:rsidR="002117DC" w:rsidRPr="00E00B15" w:rsidRDefault="002117DC">
            <w:pPr>
              <w:rPr>
                <w:rFonts w:ascii="Arial Narrow" w:hAnsi="Arial Narrow"/>
                <w:strike/>
                <w:color w:val="333333"/>
                <w:sz w:val="20"/>
                <w:szCs w:val="20"/>
              </w:rPr>
            </w:pPr>
            <w:r w:rsidRPr="00E00B15">
              <w:rPr>
                <w:rFonts w:ascii="Arial Narrow" w:hAnsi="Arial Narrow"/>
                <w:b/>
                <w:bCs/>
                <w:color w:val="333333"/>
                <w:sz w:val="20"/>
                <w:szCs w:val="20"/>
              </w:rPr>
              <w:t>Population criteria:</w:t>
            </w:r>
          </w:p>
        </w:tc>
      </w:tr>
      <w:tr w:rsidR="002117DC" w:rsidRPr="00E00B15" w14:paraId="0AB2375F"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778A2B76" w14:textId="77777777" w:rsidR="002117DC" w:rsidRPr="00E00B15" w:rsidRDefault="002117DC">
            <w:pPr>
              <w:rPr>
                <w:rFonts w:ascii="Arial Narrow" w:hAnsi="Arial Narrow"/>
                <w:color w:val="333333"/>
                <w:sz w:val="20"/>
                <w:szCs w:val="20"/>
              </w:rPr>
            </w:pPr>
            <w:r w:rsidRPr="00E00B15">
              <w:rPr>
                <w:rFonts w:ascii="Arial Narrow" w:hAnsi="Arial Narrow"/>
                <w:strike/>
                <w:color w:val="333333"/>
                <w:sz w:val="20"/>
                <w:szCs w:val="20"/>
              </w:rPr>
              <w:t>Patient must be considered</w:t>
            </w:r>
            <w:r w:rsidRPr="00E00B15">
              <w:rPr>
                <w:rFonts w:ascii="Arial Narrow" w:hAnsi="Arial Narrow"/>
                <w:i/>
                <w:iCs/>
                <w:strike/>
                <w:color w:val="333333"/>
                <w:sz w:val="20"/>
                <w:szCs w:val="20"/>
              </w:rPr>
              <w:t xml:space="preserve"> </w:t>
            </w:r>
            <w:r w:rsidRPr="00E00B15">
              <w:rPr>
                <w:rFonts w:ascii="Arial Narrow" w:hAnsi="Arial Narrow"/>
                <w:strike/>
                <w:color w:val="333333"/>
                <w:sz w:val="20"/>
                <w:szCs w:val="20"/>
              </w:rPr>
              <w:t>naturally postmenopausal;</w:t>
            </w:r>
          </w:p>
        </w:tc>
      </w:tr>
      <w:tr w:rsidR="002117DC" w:rsidRPr="00E00B15" w14:paraId="2229E4AA"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738DCE22" w14:textId="77777777" w:rsidR="002117DC" w:rsidRPr="00E00B15" w:rsidRDefault="002117DC">
            <w:pPr>
              <w:rPr>
                <w:rFonts w:ascii="Arial Narrow" w:hAnsi="Arial Narrow"/>
                <w:strike/>
                <w:color w:val="333333"/>
                <w:sz w:val="20"/>
                <w:szCs w:val="20"/>
              </w:rPr>
            </w:pPr>
            <w:r w:rsidRPr="00E00B15">
              <w:rPr>
                <w:rFonts w:ascii="Arial Narrow" w:hAnsi="Arial Narrow"/>
                <w:strike/>
                <w:color w:val="333333"/>
                <w:sz w:val="20"/>
                <w:szCs w:val="20"/>
              </w:rPr>
              <w:t>OR</w:t>
            </w:r>
          </w:p>
        </w:tc>
      </w:tr>
      <w:tr w:rsidR="002117DC" w:rsidRPr="00E00B15" w14:paraId="4554E380"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385F6AC" w14:textId="77777777" w:rsidR="002117DC" w:rsidRPr="00E00B15" w:rsidRDefault="002117DC">
            <w:pPr>
              <w:rPr>
                <w:rFonts w:ascii="Arial Narrow" w:hAnsi="Arial Narrow"/>
                <w:strike/>
                <w:color w:val="333333"/>
                <w:sz w:val="20"/>
                <w:szCs w:val="20"/>
              </w:rPr>
            </w:pPr>
            <w:r w:rsidRPr="00E00B15">
              <w:rPr>
                <w:rFonts w:ascii="Arial Narrow" w:hAnsi="Arial Narrow"/>
                <w:strike/>
                <w:color w:val="333333"/>
                <w:sz w:val="20"/>
                <w:szCs w:val="20"/>
              </w:rPr>
              <w:t>Patient must be considered surgically postmenopausal.</w:t>
            </w:r>
          </w:p>
        </w:tc>
      </w:tr>
      <w:tr w:rsidR="002117DC" w:rsidRPr="00E00B15" w14:paraId="7D37E2A1"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DC86E30" w14:textId="77777777" w:rsidR="002117DC" w:rsidRPr="00E00B15" w:rsidRDefault="002117DC">
            <w:pPr>
              <w:rPr>
                <w:rFonts w:ascii="Arial Narrow" w:hAnsi="Arial Narrow"/>
                <w:color w:val="333333"/>
                <w:sz w:val="20"/>
                <w:szCs w:val="20"/>
              </w:rPr>
            </w:pPr>
            <w:r w:rsidRPr="00E00B15">
              <w:rPr>
                <w:rFonts w:ascii="Arial Narrow" w:hAnsi="Arial Narrow"/>
                <w:i/>
                <w:iCs/>
                <w:color w:val="333333"/>
                <w:sz w:val="20"/>
                <w:szCs w:val="20"/>
              </w:rPr>
              <w:t>Patient must be postmenopausal either (</w:t>
            </w:r>
            <w:proofErr w:type="spellStart"/>
            <w:r w:rsidRPr="00E00B15">
              <w:rPr>
                <w:rFonts w:ascii="Arial Narrow" w:hAnsi="Arial Narrow"/>
                <w:i/>
                <w:iCs/>
                <w:color w:val="333333"/>
                <w:sz w:val="20"/>
                <w:szCs w:val="20"/>
              </w:rPr>
              <w:t>i</w:t>
            </w:r>
            <w:proofErr w:type="spellEnd"/>
            <w:r w:rsidRPr="00E00B15">
              <w:rPr>
                <w:rFonts w:ascii="Arial Narrow" w:hAnsi="Arial Narrow"/>
                <w:i/>
                <w:iCs/>
                <w:color w:val="333333"/>
                <w:sz w:val="20"/>
                <w:szCs w:val="20"/>
              </w:rPr>
              <w:t>) naturally, (ii) surgically</w:t>
            </w:r>
          </w:p>
        </w:tc>
      </w:tr>
      <w:tr w:rsidR="002117DC" w:rsidRPr="00E00B15" w14:paraId="25E076EE"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838CB6A" w14:textId="77777777" w:rsidR="002117DC" w:rsidRPr="00E00B15" w:rsidRDefault="002117DC">
            <w:pPr>
              <w:rPr>
                <w:rFonts w:ascii="Arial Narrow" w:hAnsi="Arial Narrow"/>
                <w:i/>
                <w:iCs/>
                <w:color w:val="333333"/>
                <w:sz w:val="20"/>
                <w:szCs w:val="20"/>
              </w:rPr>
            </w:pPr>
          </w:p>
        </w:tc>
      </w:tr>
      <w:tr w:rsidR="002117DC" w:rsidRPr="00E00B15" w14:paraId="46C82E96"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852B335" w14:textId="77777777" w:rsidR="002117DC" w:rsidRPr="00E00B15" w:rsidRDefault="002117DC">
            <w:pPr>
              <w:rPr>
                <w:rFonts w:ascii="Arial Narrow" w:hAnsi="Arial Narrow"/>
                <w:b/>
                <w:bCs/>
                <w:i/>
                <w:iCs/>
                <w:color w:val="333333"/>
                <w:sz w:val="20"/>
                <w:szCs w:val="20"/>
              </w:rPr>
            </w:pPr>
            <w:r w:rsidRPr="00E00B15">
              <w:rPr>
                <w:rFonts w:ascii="Arial Narrow" w:hAnsi="Arial Narrow"/>
                <w:b/>
                <w:bCs/>
                <w:i/>
                <w:iCs/>
                <w:color w:val="333333"/>
                <w:sz w:val="20"/>
                <w:szCs w:val="20"/>
              </w:rPr>
              <w:t>Prescribing Instructions:</w:t>
            </w:r>
          </w:p>
          <w:p w14:paraId="07B1B061" w14:textId="77777777" w:rsidR="002117DC" w:rsidRPr="00E00B15" w:rsidRDefault="002117DC">
            <w:pPr>
              <w:rPr>
                <w:rFonts w:ascii="Arial Narrow" w:hAnsi="Arial Narrow"/>
                <w:i/>
                <w:iCs/>
                <w:color w:val="333333"/>
                <w:sz w:val="20"/>
                <w:szCs w:val="20"/>
              </w:rPr>
            </w:pPr>
            <w:r w:rsidRPr="00E00B15">
              <w:rPr>
                <w:rFonts w:ascii="Arial Narrow" w:hAnsi="Arial Narrow"/>
                <w:i/>
                <w:iCs/>
                <w:color w:val="333333"/>
                <w:sz w:val="20"/>
                <w:szCs w:val="20"/>
              </w:rPr>
              <w:t>Correction of modifiable biopsychosocial factors may include but not limited to neuroendocrine imbalance, physical ill health or disease, interpersonal difficulties, psychological distress or specific cultural or religious beliefs.</w:t>
            </w:r>
          </w:p>
        </w:tc>
      </w:tr>
      <w:tr w:rsidR="002117DC" w:rsidRPr="00242DDF" w14:paraId="6D30347E" w14:textId="77777777" w:rsidTr="002117DC">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666C1AD2" w14:textId="77777777" w:rsidR="002117DC" w:rsidRPr="00E00B15" w:rsidRDefault="002117DC">
            <w:pPr>
              <w:rPr>
                <w:rFonts w:ascii="Arial Narrow" w:hAnsi="Arial Narrow"/>
                <w:color w:val="333333"/>
                <w:sz w:val="20"/>
                <w:szCs w:val="20"/>
              </w:rPr>
            </w:pPr>
            <w:r w:rsidRPr="00E00B15">
              <w:rPr>
                <w:rFonts w:ascii="Arial Narrow" w:hAnsi="Arial Narrow"/>
                <w:b/>
                <w:bCs/>
                <w:color w:val="333333"/>
                <w:sz w:val="20"/>
                <w:szCs w:val="20"/>
              </w:rPr>
              <w:t>Prescribing Instructions:</w:t>
            </w:r>
            <w:r w:rsidRPr="00E00B15">
              <w:rPr>
                <w:rFonts w:ascii="Arial Narrow" w:hAnsi="Arial Narrow"/>
                <w:color w:val="333333"/>
                <w:sz w:val="20"/>
                <w:szCs w:val="20"/>
              </w:rPr>
              <w:t xml:space="preserve"> </w:t>
            </w:r>
          </w:p>
          <w:p w14:paraId="5C4DE83E" w14:textId="77777777" w:rsidR="002117DC" w:rsidRPr="00E00B15" w:rsidRDefault="002117DC">
            <w:pPr>
              <w:rPr>
                <w:rFonts w:ascii="Arial Narrow" w:hAnsi="Arial Narrow"/>
                <w:i/>
                <w:iCs/>
                <w:color w:val="333333"/>
                <w:sz w:val="20"/>
                <w:szCs w:val="20"/>
              </w:rPr>
            </w:pPr>
            <w:r w:rsidRPr="00E00B15">
              <w:rPr>
                <w:rFonts w:ascii="Arial Narrow" w:hAnsi="Arial Narrow"/>
                <w:i/>
                <w:iCs/>
                <w:color w:val="333333"/>
                <w:sz w:val="20"/>
                <w:szCs w:val="20"/>
              </w:rPr>
              <w:t xml:space="preserve">Prescribers must ensure that the serum concentration of total testosterone of their patient is maintained within the approximate physiological range for premenopausal women. Prescribers must follow the dosing regimen and monitoring requirements according to the Therapeutic Goods Administration (TGA) approved Product information. </w:t>
            </w:r>
          </w:p>
          <w:p w14:paraId="33D37953" w14:textId="77777777" w:rsidR="002117DC" w:rsidRPr="00E00B15" w:rsidRDefault="002117DC">
            <w:pPr>
              <w:rPr>
                <w:rFonts w:ascii="Arial Narrow" w:hAnsi="Arial Narrow"/>
                <w:strike/>
                <w:color w:val="333333"/>
                <w:sz w:val="20"/>
                <w:szCs w:val="20"/>
              </w:rPr>
            </w:pPr>
            <w:r w:rsidRPr="00E00B15">
              <w:rPr>
                <w:rFonts w:ascii="Arial Narrow" w:hAnsi="Arial Narrow"/>
                <w:strike/>
                <w:color w:val="333333"/>
                <w:sz w:val="20"/>
                <w:szCs w:val="20"/>
              </w:rPr>
              <w:t>patient should have a follow-up blood test taken three to six weeks after initiating treatment.  Optimally, the serum concentration of total testosterone should be maintained within the approximate physiological range for premenopausal women.</w:t>
            </w:r>
          </w:p>
          <w:p w14:paraId="52E24715" w14:textId="77777777" w:rsidR="002117DC" w:rsidRPr="00E00B15" w:rsidRDefault="002117DC">
            <w:pPr>
              <w:rPr>
                <w:rFonts w:ascii="Arial Narrow" w:hAnsi="Arial Narrow"/>
                <w:strike/>
                <w:color w:val="333333"/>
                <w:sz w:val="20"/>
                <w:szCs w:val="20"/>
              </w:rPr>
            </w:pPr>
          </w:p>
          <w:p w14:paraId="4DCDD9FA" w14:textId="77777777" w:rsidR="002117DC" w:rsidRPr="00242DDF" w:rsidRDefault="002117DC">
            <w:pPr>
              <w:rPr>
                <w:rFonts w:ascii="Arial Narrow" w:hAnsi="Arial Narrow"/>
                <w:color w:val="333333"/>
                <w:sz w:val="20"/>
                <w:szCs w:val="20"/>
              </w:rPr>
            </w:pPr>
            <w:r w:rsidRPr="00E00B15">
              <w:rPr>
                <w:rFonts w:ascii="Arial Narrow" w:hAnsi="Arial Narrow"/>
                <w:strike/>
                <w:color w:val="333333"/>
                <w:sz w:val="20"/>
                <w:szCs w:val="20"/>
              </w:rPr>
              <w:t>If no improvement in symptoms is seen within 3 months and if the testosterone concentration is within the premenopausal reference range a dose increase up to 10 mg testosterone (1.0 mL) daily can be used with follow up clinical and biochemical monitoring. This dose should only rarely be exceeded. If there is no improvement in symptoms after 6 months of continuous therapy, treatment should be discontinued and alternative options be considered.</w:t>
            </w:r>
          </w:p>
        </w:tc>
      </w:tr>
    </w:tbl>
    <w:p w14:paraId="7F700E55" w14:textId="71E940BB" w:rsidR="003A4C14" w:rsidRPr="0098262F" w:rsidRDefault="003A4C14" w:rsidP="00A10875">
      <w:pPr>
        <w:pStyle w:val="TableText0"/>
      </w:pPr>
      <w:bookmarkStart w:id="23" w:name="_Hlk104809082"/>
    </w:p>
    <w:bookmarkEnd w:id="23"/>
    <w:p w14:paraId="6BECA420" w14:textId="20B5F1C9" w:rsidR="00581FB2" w:rsidRPr="00610ACD" w:rsidRDefault="00DC6D09" w:rsidP="00F9393E">
      <w:pPr>
        <w:pStyle w:val="3-BodyText"/>
        <w:rPr>
          <w:color w:val="0066FF"/>
        </w:rPr>
      </w:pPr>
      <w:r w:rsidRPr="00610ACD">
        <w:t>The topical testosterone products</w:t>
      </w:r>
      <w:r w:rsidR="008A390B" w:rsidRPr="00610ACD">
        <w:t xml:space="preserve"> </w:t>
      </w:r>
      <w:r w:rsidR="004A70AB" w:rsidRPr="00610ACD">
        <w:t xml:space="preserve">currently listed on the PBS </w:t>
      </w:r>
      <w:r w:rsidRPr="00610ACD">
        <w:t xml:space="preserve">are Authority </w:t>
      </w:r>
      <w:r w:rsidR="005710CF" w:rsidRPr="00610ACD">
        <w:t>R</w:t>
      </w:r>
      <w:r w:rsidRPr="00610ACD">
        <w:t xml:space="preserve">equired and </w:t>
      </w:r>
      <w:r w:rsidR="00947312" w:rsidRPr="00610ACD">
        <w:t>must be prescribed</w:t>
      </w:r>
      <w:r w:rsidRPr="00610ACD">
        <w:t xml:space="preserve"> by </w:t>
      </w:r>
      <w:r w:rsidR="00F653D1">
        <w:t xml:space="preserve">or in consultation with </w:t>
      </w:r>
      <w:r w:rsidRPr="00610ACD">
        <w:t xml:space="preserve">a </w:t>
      </w:r>
      <w:r w:rsidR="00F653D1">
        <w:t xml:space="preserve">non-GP </w:t>
      </w:r>
      <w:r w:rsidRPr="00610ACD">
        <w:t>specialist.</w:t>
      </w:r>
      <w:r w:rsidR="00581FB2" w:rsidRPr="00610ACD">
        <w:t xml:space="preserve"> </w:t>
      </w:r>
      <w:r w:rsidR="0087531A" w:rsidRPr="00610ACD">
        <w:t>Conversely</w:t>
      </w:r>
      <w:r w:rsidR="00C9626F" w:rsidRPr="00610ACD">
        <w:t xml:space="preserve">, the </w:t>
      </w:r>
      <w:r w:rsidR="002B6388" w:rsidRPr="00610ACD">
        <w:t>proposed</w:t>
      </w:r>
      <w:r w:rsidR="00C9626F" w:rsidRPr="00610ACD">
        <w:t xml:space="preserve"> restriction for HSDD in postmenopausal women</w:t>
      </w:r>
      <w:r w:rsidR="005A117E" w:rsidRPr="00610ACD">
        <w:t xml:space="preserve"> is for a Restricted Benefit and</w:t>
      </w:r>
      <w:r w:rsidR="00C9626F" w:rsidRPr="00610ACD">
        <w:t xml:space="preserve"> does not requ</w:t>
      </w:r>
      <w:r w:rsidR="007D5077" w:rsidRPr="00610ACD">
        <w:t>ire</w:t>
      </w:r>
      <w:r w:rsidR="00FC2CCE" w:rsidRPr="00610ACD">
        <w:t xml:space="preserve"> a </w:t>
      </w:r>
      <w:r w:rsidR="00F653D1">
        <w:t xml:space="preserve">non-GP </w:t>
      </w:r>
      <w:r w:rsidR="00FC2CCE" w:rsidRPr="00610ACD">
        <w:t>specialist practitioner</w:t>
      </w:r>
      <w:r w:rsidR="006962DA" w:rsidRPr="00610ACD">
        <w:t xml:space="preserve">; rather it </w:t>
      </w:r>
      <w:r w:rsidR="00727294" w:rsidRPr="00610ACD">
        <w:t>requests prescription</w:t>
      </w:r>
      <w:r w:rsidR="006962DA" w:rsidRPr="00610ACD">
        <w:t xml:space="preserve"> by a medical or nurse practitioner</w:t>
      </w:r>
      <w:r w:rsidR="00023448">
        <w:t xml:space="preserve"> </w:t>
      </w:r>
      <w:r w:rsidR="00023448" w:rsidRPr="00320580">
        <w:rPr>
          <w:iCs/>
        </w:rPr>
        <w:t xml:space="preserve">(consistent with </w:t>
      </w:r>
      <w:r w:rsidR="006F2C0B" w:rsidRPr="00320580">
        <w:rPr>
          <w:iCs/>
        </w:rPr>
        <w:t>other postmenopausal management, which is predominantly undertaken in primary care)</w:t>
      </w:r>
      <w:r w:rsidR="006962DA" w:rsidRPr="00320580">
        <w:rPr>
          <w:iCs/>
        </w:rPr>
        <w:t>.</w:t>
      </w:r>
      <w:r w:rsidR="00FC2CCE" w:rsidRPr="00610ACD">
        <w:t xml:space="preserve"> </w:t>
      </w:r>
      <w:r w:rsidR="00581FB2" w:rsidRPr="00610ACD">
        <w:t xml:space="preserve"> </w:t>
      </w:r>
    </w:p>
    <w:p w14:paraId="2E6B9CD9" w14:textId="06C09E14" w:rsidR="005E6D6A" w:rsidRPr="00610ACD" w:rsidRDefault="005E6D6A" w:rsidP="005E6D6A">
      <w:pPr>
        <w:pStyle w:val="3-BodyText"/>
      </w:pPr>
      <w:r w:rsidRPr="00610ACD">
        <w:lastRenderedPageBreak/>
        <w:t xml:space="preserve">The </w:t>
      </w:r>
      <w:r w:rsidR="0012733E" w:rsidRPr="00610ACD">
        <w:t xml:space="preserve">submission referred to the </w:t>
      </w:r>
      <w:r w:rsidRPr="00610ACD">
        <w:t xml:space="preserve">Senate Committee report on ‘Issues related to menopause and perimenopause’ </w:t>
      </w:r>
      <w:r w:rsidR="00001D05" w:rsidRPr="00610ACD">
        <w:t>September 2024</w:t>
      </w:r>
      <w:r w:rsidR="00E15672" w:rsidRPr="00610ACD">
        <w:rPr>
          <w:rStyle w:val="FootnoteReference"/>
        </w:rPr>
        <w:footnoteReference w:id="2"/>
      </w:r>
      <w:r w:rsidR="00301141">
        <w:t>, which</w:t>
      </w:r>
      <w:r w:rsidR="00001D05" w:rsidRPr="00610ACD">
        <w:t xml:space="preserve"> </w:t>
      </w:r>
      <w:r w:rsidRPr="00610ACD">
        <w:t>refers to testosterone. Specifically, recommendation 4.78 and 4.79 state:</w:t>
      </w:r>
    </w:p>
    <w:p w14:paraId="72E6525E" w14:textId="08F2D15E" w:rsidR="00154A5E" w:rsidRDefault="005E6D6A" w:rsidP="0031704B">
      <w:pPr>
        <w:pStyle w:val="ListParagraph"/>
        <w:numPr>
          <w:ilvl w:val="0"/>
          <w:numId w:val="0"/>
        </w:numPr>
        <w:ind w:left="1418" w:hanging="567"/>
        <w:rPr>
          <w:lang w:eastAsia="en-GB"/>
        </w:rPr>
      </w:pPr>
      <w:r w:rsidRPr="00610ACD">
        <w:rPr>
          <w:lang w:eastAsia="en-GB"/>
        </w:rPr>
        <w:t xml:space="preserve">4.78 </w:t>
      </w:r>
      <w:r w:rsidR="00154A5E">
        <w:rPr>
          <w:lang w:eastAsia="en-GB"/>
        </w:rPr>
        <w:tab/>
      </w:r>
      <w:r w:rsidRPr="00610ACD">
        <w:rPr>
          <w:lang w:eastAsia="en-GB"/>
        </w:rPr>
        <w:t>Testosterone can also be used for women experiencing negative impacts of perimenopause and menopause on their libido.</w:t>
      </w:r>
    </w:p>
    <w:p w14:paraId="7EA6E102" w14:textId="080C346B" w:rsidR="005E6D6A" w:rsidRPr="00610ACD" w:rsidRDefault="005E6D6A" w:rsidP="0031704B">
      <w:pPr>
        <w:pStyle w:val="ListParagraph"/>
        <w:numPr>
          <w:ilvl w:val="0"/>
          <w:numId w:val="0"/>
        </w:numPr>
        <w:ind w:left="1418" w:hanging="567"/>
        <w:rPr>
          <w:lang w:eastAsia="en-GB"/>
        </w:rPr>
      </w:pPr>
      <w:r w:rsidRPr="00610ACD">
        <w:rPr>
          <w:lang w:eastAsia="en-GB"/>
        </w:rPr>
        <w:t xml:space="preserve">4.79 </w:t>
      </w:r>
      <w:r w:rsidR="00131C42">
        <w:rPr>
          <w:lang w:eastAsia="en-GB"/>
        </w:rPr>
        <w:tab/>
      </w:r>
      <w:proofErr w:type="gramStart"/>
      <w:r w:rsidRPr="00610ACD">
        <w:rPr>
          <w:lang w:eastAsia="en-GB"/>
        </w:rPr>
        <w:t>A number of</w:t>
      </w:r>
      <w:proofErr w:type="gramEnd"/>
      <w:r w:rsidRPr="00610ACD">
        <w:rPr>
          <w:lang w:eastAsia="en-GB"/>
        </w:rPr>
        <w:t xml:space="preserve"> practitioners emphasised the ‘gold standard’ of combined MHT</w:t>
      </w:r>
      <w:r w:rsidR="001523A8" w:rsidRPr="00610ACD">
        <w:rPr>
          <w:lang w:eastAsia="en-GB"/>
        </w:rPr>
        <w:t xml:space="preserve"> [menopausal hormone therapy]</w:t>
      </w:r>
      <w:r w:rsidRPr="00610ACD">
        <w:rPr>
          <w:lang w:eastAsia="en-GB"/>
        </w:rPr>
        <w:t xml:space="preserve"> which include body identical transdermal </w:t>
      </w:r>
      <w:proofErr w:type="spellStart"/>
      <w:r w:rsidRPr="00610ACD">
        <w:rPr>
          <w:lang w:eastAsia="en-GB"/>
        </w:rPr>
        <w:t>estradiol</w:t>
      </w:r>
      <w:proofErr w:type="spellEnd"/>
      <w:r w:rsidRPr="00610ACD">
        <w:rPr>
          <w:lang w:eastAsia="en-GB"/>
        </w:rPr>
        <w:t>, oral micronized progesterone and inclusion of testosterone where needed as preferable because of their lower risk profile.</w:t>
      </w:r>
    </w:p>
    <w:p w14:paraId="7874DE61" w14:textId="2D6BE816" w:rsidR="009009BA" w:rsidRPr="00E426FD" w:rsidRDefault="00DD0084" w:rsidP="00F9393E">
      <w:pPr>
        <w:pStyle w:val="3-BodyText"/>
        <w:rPr>
          <w:color w:val="000000" w:themeColor="text1"/>
        </w:rPr>
      </w:pPr>
      <w:r w:rsidRPr="00610ACD">
        <w:rPr>
          <w:color w:val="000000" w:themeColor="text1"/>
        </w:rPr>
        <w:t xml:space="preserve">The </w:t>
      </w:r>
      <w:r w:rsidR="00930FA4">
        <w:rPr>
          <w:color w:val="000000" w:themeColor="text1"/>
        </w:rPr>
        <w:t>indication requested</w:t>
      </w:r>
      <w:r w:rsidRPr="00610ACD">
        <w:rPr>
          <w:color w:val="000000" w:themeColor="text1"/>
        </w:rPr>
        <w:t xml:space="preserve"> by the </w:t>
      </w:r>
      <w:r w:rsidRPr="00E426FD">
        <w:rPr>
          <w:color w:val="000000" w:themeColor="text1"/>
        </w:rPr>
        <w:t xml:space="preserve">submission is for treatment of HSDD, which is not the same as low libido and is not an effect of menopause. </w:t>
      </w:r>
      <w:r w:rsidR="00412E6E" w:rsidRPr="00E426FD">
        <w:rPr>
          <w:color w:val="000000" w:themeColor="text1"/>
        </w:rPr>
        <w:t>Use in women</w:t>
      </w:r>
      <w:r w:rsidR="009E2E03" w:rsidRPr="00E426FD">
        <w:rPr>
          <w:color w:val="000000" w:themeColor="text1"/>
        </w:rPr>
        <w:t xml:space="preserve"> in</w:t>
      </w:r>
      <w:r w:rsidR="00412E6E" w:rsidRPr="00E426FD">
        <w:rPr>
          <w:color w:val="000000" w:themeColor="text1"/>
        </w:rPr>
        <w:t xml:space="preserve"> perimenopaus</w:t>
      </w:r>
      <w:r w:rsidRPr="00E426FD">
        <w:rPr>
          <w:color w:val="000000" w:themeColor="text1"/>
        </w:rPr>
        <w:t>e</w:t>
      </w:r>
      <w:r w:rsidR="001544EB" w:rsidRPr="00E426FD">
        <w:rPr>
          <w:color w:val="000000" w:themeColor="text1"/>
        </w:rPr>
        <w:t xml:space="preserve"> </w:t>
      </w:r>
      <w:r w:rsidRPr="00E426FD">
        <w:rPr>
          <w:color w:val="000000" w:themeColor="text1"/>
        </w:rPr>
        <w:t xml:space="preserve">for any indication </w:t>
      </w:r>
      <w:r w:rsidR="00412E6E" w:rsidRPr="00E426FD">
        <w:rPr>
          <w:color w:val="000000" w:themeColor="text1"/>
        </w:rPr>
        <w:t>would not</w:t>
      </w:r>
      <w:r w:rsidR="00947312" w:rsidRPr="00E426FD">
        <w:rPr>
          <w:color w:val="000000" w:themeColor="text1"/>
        </w:rPr>
        <w:t xml:space="preserve"> be consistent with the proposed restriction</w:t>
      </w:r>
      <w:r w:rsidR="00E92BF1" w:rsidRPr="00E426FD">
        <w:rPr>
          <w:color w:val="000000" w:themeColor="text1"/>
        </w:rPr>
        <w:t>.</w:t>
      </w:r>
      <w:r w:rsidRPr="00E426FD">
        <w:rPr>
          <w:color w:val="000000" w:themeColor="text1"/>
        </w:rPr>
        <w:t xml:space="preserve">  </w:t>
      </w:r>
    </w:p>
    <w:p w14:paraId="52C86CB5" w14:textId="317BAFA3" w:rsidR="005E6D6A" w:rsidRPr="00610ACD" w:rsidRDefault="00636B76" w:rsidP="00F9393E">
      <w:pPr>
        <w:pStyle w:val="3-BodyText"/>
        <w:rPr>
          <w:color w:val="000000" w:themeColor="text1"/>
        </w:rPr>
      </w:pPr>
      <w:r w:rsidRPr="00610ACD">
        <w:rPr>
          <w:color w:val="000000" w:themeColor="text1"/>
        </w:rPr>
        <w:t xml:space="preserve">Use in women experiencing negative impacts of menopause on their libido </w:t>
      </w:r>
      <w:r w:rsidR="001544EB" w:rsidRPr="00610ACD">
        <w:rPr>
          <w:color w:val="000000" w:themeColor="text1"/>
        </w:rPr>
        <w:t xml:space="preserve">(recommendation 4.78) </w:t>
      </w:r>
      <w:r w:rsidRPr="00610ACD">
        <w:rPr>
          <w:color w:val="000000" w:themeColor="text1"/>
        </w:rPr>
        <w:t xml:space="preserve">is </w:t>
      </w:r>
      <w:r w:rsidR="00B56ED4" w:rsidRPr="00610ACD">
        <w:rPr>
          <w:color w:val="000000" w:themeColor="text1"/>
        </w:rPr>
        <w:t xml:space="preserve">not aligned with the </w:t>
      </w:r>
      <w:r w:rsidR="00587DCE" w:rsidRPr="00610ACD">
        <w:rPr>
          <w:color w:val="000000" w:themeColor="text1"/>
        </w:rPr>
        <w:t>restrictions</w:t>
      </w:r>
      <w:r w:rsidR="00B56ED4" w:rsidRPr="00610ACD">
        <w:rPr>
          <w:color w:val="000000" w:themeColor="text1"/>
        </w:rPr>
        <w:t xml:space="preserve"> for PBS-subsidised </w:t>
      </w:r>
      <w:r w:rsidR="00587DCE" w:rsidRPr="00610ACD">
        <w:rPr>
          <w:color w:val="000000" w:themeColor="text1"/>
        </w:rPr>
        <w:t xml:space="preserve">use of </w:t>
      </w:r>
      <w:r w:rsidR="00B56ED4" w:rsidRPr="00610ACD">
        <w:rPr>
          <w:color w:val="000000" w:themeColor="text1"/>
        </w:rPr>
        <w:t xml:space="preserve">testosterone in men. </w:t>
      </w:r>
      <w:r w:rsidR="00804AEC" w:rsidRPr="00610ACD">
        <w:rPr>
          <w:color w:val="000000" w:themeColor="text1"/>
        </w:rPr>
        <w:t>T</w:t>
      </w:r>
      <w:r w:rsidR="005C77C2" w:rsidRPr="00610ACD">
        <w:rPr>
          <w:color w:val="000000" w:themeColor="text1"/>
        </w:rPr>
        <w:t xml:space="preserve">he restrictions for the existing PBS-listed testosterone products do </w:t>
      </w:r>
      <w:r w:rsidR="00E638B2" w:rsidRPr="00610ACD">
        <w:rPr>
          <w:color w:val="000000" w:themeColor="text1"/>
        </w:rPr>
        <w:t xml:space="preserve">not </w:t>
      </w:r>
      <w:r w:rsidR="00213783" w:rsidRPr="00610ACD">
        <w:rPr>
          <w:color w:val="000000" w:themeColor="text1"/>
        </w:rPr>
        <w:t>allow for</w:t>
      </w:r>
      <w:r w:rsidR="00E638B2" w:rsidRPr="00610ACD">
        <w:rPr>
          <w:color w:val="000000" w:themeColor="text1"/>
        </w:rPr>
        <w:t xml:space="preserve"> use </w:t>
      </w:r>
      <w:r w:rsidR="00213783" w:rsidRPr="00610ACD">
        <w:rPr>
          <w:color w:val="000000" w:themeColor="text1"/>
        </w:rPr>
        <w:t>in</w:t>
      </w:r>
      <w:r w:rsidR="004A121E" w:rsidRPr="00610ACD">
        <w:rPr>
          <w:color w:val="000000" w:themeColor="text1"/>
        </w:rPr>
        <w:t xml:space="preserve"> men </w:t>
      </w:r>
      <w:r w:rsidR="00016962" w:rsidRPr="00610ACD">
        <w:rPr>
          <w:color w:val="000000" w:themeColor="text1"/>
        </w:rPr>
        <w:t xml:space="preserve">who have low libido caused by ageing only. Use in men </w:t>
      </w:r>
      <w:r w:rsidR="00213783" w:rsidRPr="00610ACD">
        <w:rPr>
          <w:color w:val="000000" w:themeColor="text1"/>
        </w:rPr>
        <w:t>(</w:t>
      </w:r>
      <w:r w:rsidR="004A121E" w:rsidRPr="00610ACD">
        <w:rPr>
          <w:color w:val="000000" w:themeColor="text1"/>
        </w:rPr>
        <w:t>without a</w:t>
      </w:r>
      <w:r w:rsidR="00CA401A" w:rsidRPr="00610ACD">
        <w:rPr>
          <w:color w:val="000000" w:themeColor="text1"/>
        </w:rPr>
        <w:t>n established pituitary or testicular disorder</w:t>
      </w:r>
      <w:r w:rsidR="00213783" w:rsidRPr="00610ACD">
        <w:rPr>
          <w:color w:val="000000" w:themeColor="text1"/>
        </w:rPr>
        <w:t>)</w:t>
      </w:r>
      <w:r w:rsidR="00CA401A" w:rsidRPr="00610ACD">
        <w:rPr>
          <w:color w:val="000000" w:themeColor="text1"/>
        </w:rPr>
        <w:t xml:space="preserve"> </w:t>
      </w:r>
      <w:r w:rsidR="00016962" w:rsidRPr="00610ACD">
        <w:rPr>
          <w:color w:val="000000" w:themeColor="text1"/>
        </w:rPr>
        <w:t>requires</w:t>
      </w:r>
      <w:r w:rsidR="00494787" w:rsidRPr="00610ACD">
        <w:rPr>
          <w:color w:val="000000" w:themeColor="text1"/>
        </w:rPr>
        <w:t xml:space="preserve"> </w:t>
      </w:r>
      <w:r w:rsidR="00E87105" w:rsidRPr="00610ACD">
        <w:rPr>
          <w:color w:val="000000" w:themeColor="text1"/>
        </w:rPr>
        <w:t>establishing androgen deficiency by biochemical evaluation on at least two separate morning blood samples</w:t>
      </w:r>
      <w:r w:rsidR="00D51125" w:rsidRPr="00610ACD">
        <w:rPr>
          <w:color w:val="000000" w:themeColor="text1"/>
        </w:rPr>
        <w:t xml:space="preserve"> (requiring</w:t>
      </w:r>
      <w:r w:rsidR="006740D3" w:rsidRPr="00610ACD">
        <w:rPr>
          <w:color w:val="000000" w:themeColor="text1"/>
        </w:rPr>
        <w:t xml:space="preserve"> </w:t>
      </w:r>
      <w:r w:rsidR="00714FBB" w:rsidRPr="00610ACD">
        <w:rPr>
          <w:color w:val="000000" w:themeColor="text1"/>
        </w:rPr>
        <w:t>a</w:t>
      </w:r>
      <w:r w:rsidR="006740D3" w:rsidRPr="00610ACD">
        <w:rPr>
          <w:color w:val="000000" w:themeColor="text1"/>
        </w:rPr>
        <w:t xml:space="preserve"> </w:t>
      </w:r>
      <w:r w:rsidR="00714FBB" w:rsidRPr="00610ACD">
        <w:rPr>
          <w:color w:val="000000" w:themeColor="text1"/>
        </w:rPr>
        <w:t xml:space="preserve">plasma </w:t>
      </w:r>
      <w:r w:rsidR="00715D92" w:rsidRPr="00610ACD">
        <w:rPr>
          <w:color w:val="000000" w:themeColor="text1"/>
        </w:rPr>
        <w:t>testosterone level</w:t>
      </w:r>
      <w:r w:rsidR="00714FBB" w:rsidRPr="00610ACD">
        <w:rPr>
          <w:color w:val="000000" w:themeColor="text1"/>
        </w:rPr>
        <w:t xml:space="preserve"> of less than 6 nmol/L, or 6-15 nmol/L with </w:t>
      </w:r>
      <w:r w:rsidR="002B3529" w:rsidRPr="00610ACD">
        <w:rPr>
          <w:color w:val="000000" w:themeColor="text1"/>
        </w:rPr>
        <w:t xml:space="preserve">high </w:t>
      </w:r>
      <w:r w:rsidR="00AE67F4" w:rsidRPr="00610ACD">
        <w:rPr>
          <w:color w:val="000000" w:themeColor="text1"/>
        </w:rPr>
        <w:t>luteinising hormone levels</w:t>
      </w:r>
      <w:r w:rsidR="00D51125" w:rsidRPr="00610ACD">
        <w:rPr>
          <w:color w:val="000000" w:themeColor="text1"/>
        </w:rPr>
        <w:t>)</w:t>
      </w:r>
      <w:r w:rsidR="00715D92" w:rsidRPr="00610ACD">
        <w:rPr>
          <w:color w:val="000000" w:themeColor="text1"/>
        </w:rPr>
        <w:t>.</w:t>
      </w:r>
      <w:r w:rsidR="00947312" w:rsidRPr="00610ACD">
        <w:rPr>
          <w:color w:val="000000" w:themeColor="text1"/>
        </w:rPr>
        <w:t xml:space="preserve"> </w:t>
      </w:r>
      <w:r w:rsidR="00D57B9B" w:rsidRPr="00320580">
        <w:rPr>
          <w:iCs/>
          <w:color w:val="000000" w:themeColor="text1"/>
        </w:rPr>
        <w:t xml:space="preserve">The ESC considered that </w:t>
      </w:r>
      <w:r w:rsidR="00986D13" w:rsidRPr="00320580">
        <w:rPr>
          <w:iCs/>
          <w:color w:val="000000" w:themeColor="text1"/>
        </w:rPr>
        <w:t xml:space="preserve">it could be appropriate to strengthen the </w:t>
      </w:r>
      <w:r w:rsidR="00CD6E34" w:rsidRPr="00320580">
        <w:rPr>
          <w:iCs/>
          <w:color w:val="000000" w:themeColor="text1"/>
        </w:rPr>
        <w:t xml:space="preserve">requirements for monitoring </w:t>
      </w:r>
      <w:r w:rsidR="000F6F73" w:rsidRPr="00320580">
        <w:rPr>
          <w:iCs/>
          <w:color w:val="000000" w:themeColor="text1"/>
        </w:rPr>
        <w:t xml:space="preserve">of testosterone levels </w:t>
      </w:r>
      <w:r w:rsidR="00CD6E34" w:rsidRPr="00320580">
        <w:rPr>
          <w:iCs/>
          <w:color w:val="000000" w:themeColor="text1"/>
        </w:rPr>
        <w:t>in the proposed restriction</w:t>
      </w:r>
      <w:r w:rsidR="006B5DAE" w:rsidRPr="00320580">
        <w:rPr>
          <w:iCs/>
          <w:color w:val="000000" w:themeColor="text1"/>
        </w:rPr>
        <w:t xml:space="preserve"> to ensure </w:t>
      </w:r>
      <w:r w:rsidR="008F5299">
        <w:rPr>
          <w:iCs/>
          <w:color w:val="000000" w:themeColor="text1"/>
        </w:rPr>
        <w:t>they</w:t>
      </w:r>
      <w:r w:rsidR="008F5299" w:rsidRPr="00320580">
        <w:rPr>
          <w:iCs/>
          <w:color w:val="000000" w:themeColor="text1"/>
        </w:rPr>
        <w:t xml:space="preserve"> </w:t>
      </w:r>
      <w:r w:rsidR="006B5DAE" w:rsidRPr="00320580">
        <w:rPr>
          <w:iCs/>
          <w:color w:val="000000" w:themeColor="text1"/>
        </w:rPr>
        <w:t xml:space="preserve">remain within </w:t>
      </w:r>
      <w:r w:rsidR="00514A1B" w:rsidRPr="00320580">
        <w:rPr>
          <w:iCs/>
          <w:color w:val="000000" w:themeColor="text1"/>
        </w:rPr>
        <w:t>appropriate physiological levels</w:t>
      </w:r>
      <w:r w:rsidR="00DF188E" w:rsidRPr="00320580">
        <w:rPr>
          <w:iCs/>
          <w:color w:val="000000" w:themeColor="text1"/>
        </w:rPr>
        <w:t>.</w:t>
      </w:r>
    </w:p>
    <w:p w14:paraId="377B7635" w14:textId="7CC9B58A" w:rsidR="0081340D" w:rsidRPr="001F6650" w:rsidRDefault="001901B2" w:rsidP="0029673F">
      <w:pPr>
        <w:pStyle w:val="3-BodyText"/>
        <w:rPr>
          <w:color w:val="0066FF"/>
        </w:rPr>
      </w:pPr>
      <w:r w:rsidRPr="00610ACD">
        <w:t>Th</w:t>
      </w:r>
      <w:r w:rsidR="000D4223">
        <w:t>e evaluation considered that th</w:t>
      </w:r>
      <w:r w:rsidRPr="00610ACD">
        <w:t>ere is a high likelihood of extensive use outside the restriction</w:t>
      </w:r>
      <w:r w:rsidR="008E6623">
        <w:t xml:space="preserve">, </w:t>
      </w:r>
      <w:r w:rsidR="003E4708" w:rsidRPr="00610ACD">
        <w:t>includ</w:t>
      </w:r>
      <w:r w:rsidR="008E6623">
        <w:t>ing</w:t>
      </w:r>
      <w:r w:rsidR="0029673F">
        <w:t xml:space="preserve"> in</w:t>
      </w:r>
      <w:r w:rsidR="008F5CF7" w:rsidRPr="00610ACD">
        <w:t xml:space="preserve"> </w:t>
      </w:r>
      <w:r w:rsidR="00473D85" w:rsidRPr="00610ACD">
        <w:t>premenopausal women</w:t>
      </w:r>
      <w:r w:rsidR="00063C3C" w:rsidRPr="00610ACD">
        <w:t>,</w:t>
      </w:r>
      <w:r w:rsidR="009218DF" w:rsidRPr="00610ACD">
        <w:t xml:space="preserve"> or</w:t>
      </w:r>
      <w:r w:rsidR="00473D85" w:rsidRPr="00610ACD">
        <w:t xml:space="preserve"> those with reduced libido</w:t>
      </w:r>
      <w:r w:rsidR="009218DF" w:rsidRPr="00610ACD">
        <w:t xml:space="preserve"> and no personal distress.</w:t>
      </w:r>
      <w:r w:rsidR="0029673F">
        <w:rPr>
          <w:color w:val="0066FF"/>
        </w:rPr>
        <w:t xml:space="preserve"> </w:t>
      </w:r>
      <w:r w:rsidR="00CA2FCD" w:rsidRPr="00320580">
        <w:rPr>
          <w:iCs/>
        </w:rPr>
        <w:t xml:space="preserve">In their </w:t>
      </w:r>
      <w:r w:rsidR="0081340D" w:rsidRPr="00320580">
        <w:rPr>
          <w:iCs/>
        </w:rPr>
        <w:t>Pre-Sub-Committee Response (PSCR)</w:t>
      </w:r>
      <w:r w:rsidR="0029673F" w:rsidRPr="00320580">
        <w:rPr>
          <w:iCs/>
        </w:rPr>
        <w:t>,</w:t>
      </w:r>
      <w:r w:rsidR="00F87132" w:rsidRPr="00320580">
        <w:rPr>
          <w:iCs/>
        </w:rPr>
        <w:t xml:space="preserve"> the Sponsor </w:t>
      </w:r>
      <w:r w:rsidR="00CA2FCD" w:rsidRPr="00320580">
        <w:rPr>
          <w:iCs/>
        </w:rPr>
        <w:t xml:space="preserve">stated that they </w:t>
      </w:r>
      <w:r w:rsidR="00F87132" w:rsidRPr="00320580">
        <w:rPr>
          <w:iCs/>
        </w:rPr>
        <w:t>did not support an Authority Required listing</w:t>
      </w:r>
      <w:r w:rsidR="00F45986" w:rsidRPr="00320580">
        <w:rPr>
          <w:iCs/>
        </w:rPr>
        <w:t>. The PSCR stated that</w:t>
      </w:r>
      <w:r w:rsidR="00D271DB" w:rsidRPr="00320580">
        <w:rPr>
          <w:iCs/>
        </w:rPr>
        <w:t xml:space="preserve"> </w:t>
      </w:r>
      <w:r w:rsidR="008A5A20" w:rsidRPr="00320580">
        <w:rPr>
          <w:iCs/>
        </w:rPr>
        <w:t>“a surge of prescribing to premenopausal women is unlikely because the product is licensed expressly for postmenopausal women”</w:t>
      </w:r>
      <w:r w:rsidR="00F45986" w:rsidRPr="00320580">
        <w:rPr>
          <w:iCs/>
        </w:rPr>
        <w:t xml:space="preserve"> and that </w:t>
      </w:r>
      <w:r w:rsidR="0039108C" w:rsidRPr="00320580">
        <w:rPr>
          <w:iCs/>
        </w:rPr>
        <w:t>tight diagnostic entry criteria for female HSDD would be adhered to</w:t>
      </w:r>
      <w:r w:rsidR="008A5A20" w:rsidRPr="00320580">
        <w:rPr>
          <w:iCs/>
        </w:rPr>
        <w:t>.</w:t>
      </w:r>
    </w:p>
    <w:p w14:paraId="64F2CD64" w14:textId="299392EB" w:rsidR="00FE129B" w:rsidRPr="00320580" w:rsidRDefault="00FE129B" w:rsidP="00FE129B">
      <w:pPr>
        <w:pStyle w:val="3-BodyText"/>
        <w:rPr>
          <w:iCs/>
          <w:color w:val="000000" w:themeColor="text1"/>
          <w:lang w:val="en-GB"/>
        </w:rPr>
      </w:pPr>
      <w:r w:rsidRPr="00320580">
        <w:rPr>
          <w:iCs/>
        </w:rPr>
        <w:t>The requested restriction specified in a Prescribing Instruction that “</w:t>
      </w:r>
      <w:r w:rsidRPr="00320580">
        <w:rPr>
          <w:bCs/>
          <w:iCs/>
        </w:rPr>
        <w:t>The patient should have a follow-up blood test taken three to six weeks after initiating treatment.” However, the restriction does not explicitly state that the patient should have a baseline testosterone measurement, as recommended in the PI</w:t>
      </w:r>
      <w:r w:rsidRPr="00320580">
        <w:rPr>
          <w:iCs/>
        </w:rPr>
        <w:t xml:space="preserve"> for </w:t>
      </w:r>
      <w:r w:rsidRPr="00320580">
        <w:rPr>
          <w:iCs/>
          <w:color w:val="000000" w:themeColor="text1"/>
        </w:rPr>
        <w:t xml:space="preserve">testosterone 1% cream. The ESC </w:t>
      </w:r>
      <w:r w:rsidR="005A19BA" w:rsidRPr="00320580">
        <w:rPr>
          <w:iCs/>
          <w:color w:val="000000" w:themeColor="text1"/>
        </w:rPr>
        <w:t xml:space="preserve">considered </w:t>
      </w:r>
      <w:r w:rsidR="002B5046" w:rsidRPr="00320580">
        <w:rPr>
          <w:iCs/>
          <w:color w:val="000000" w:themeColor="text1"/>
        </w:rPr>
        <w:t xml:space="preserve">it reasonable that testosterone should be tested at: </w:t>
      </w:r>
      <w:r w:rsidR="005A19BA" w:rsidRPr="00320580">
        <w:rPr>
          <w:iCs/>
          <w:color w:val="000000" w:themeColor="text1"/>
        </w:rPr>
        <w:t>baseline</w:t>
      </w:r>
      <w:r w:rsidR="002B5046" w:rsidRPr="00320580">
        <w:rPr>
          <w:iCs/>
          <w:color w:val="000000" w:themeColor="text1"/>
        </w:rPr>
        <w:t xml:space="preserve">, </w:t>
      </w:r>
      <w:r w:rsidR="00EA0743" w:rsidRPr="00320580">
        <w:rPr>
          <w:iCs/>
          <w:color w:val="000000" w:themeColor="text1"/>
        </w:rPr>
        <w:t>3-6 weeks after initiatin</w:t>
      </w:r>
      <w:r w:rsidR="003B40D5" w:rsidRPr="00320580">
        <w:rPr>
          <w:iCs/>
          <w:color w:val="000000" w:themeColor="text1"/>
        </w:rPr>
        <w:t>g</w:t>
      </w:r>
      <w:r w:rsidR="00EA0743" w:rsidRPr="00320580">
        <w:rPr>
          <w:iCs/>
          <w:color w:val="000000" w:themeColor="text1"/>
        </w:rPr>
        <w:t xml:space="preserve"> </w:t>
      </w:r>
      <w:r w:rsidR="00E81E59" w:rsidRPr="00320580">
        <w:rPr>
          <w:iCs/>
          <w:color w:val="000000" w:themeColor="text1"/>
          <w:lang w:val="en-GB"/>
        </w:rPr>
        <w:t xml:space="preserve">treatment, </w:t>
      </w:r>
      <w:r w:rsidRPr="00320580">
        <w:rPr>
          <w:iCs/>
          <w:color w:val="000000" w:themeColor="text1"/>
          <w:lang w:val="en-GB"/>
        </w:rPr>
        <w:t>at 12 weeks</w:t>
      </w:r>
      <w:r w:rsidR="00E81E59" w:rsidRPr="00320580">
        <w:rPr>
          <w:iCs/>
          <w:color w:val="000000" w:themeColor="text1"/>
          <w:lang w:val="en-GB"/>
        </w:rPr>
        <w:t xml:space="preserve"> (“full assessment”)</w:t>
      </w:r>
      <w:r w:rsidRPr="00320580">
        <w:rPr>
          <w:iCs/>
          <w:color w:val="000000" w:themeColor="text1"/>
          <w:lang w:val="en-GB"/>
        </w:rPr>
        <w:t>, and then 6-monthly.</w:t>
      </w:r>
    </w:p>
    <w:p w14:paraId="2D7B1DED" w14:textId="5105696C" w:rsidR="00D255A8" w:rsidRPr="00BA7F7F" w:rsidRDefault="005F22A5" w:rsidP="001901B2">
      <w:pPr>
        <w:pStyle w:val="3-BodyText"/>
        <w:rPr>
          <w:color w:val="0066FF"/>
        </w:rPr>
      </w:pPr>
      <w:r w:rsidRPr="00320580">
        <w:rPr>
          <w:iCs/>
        </w:rPr>
        <w:lastRenderedPageBreak/>
        <w:t xml:space="preserve">The ESC noted that the submission had not suggested restricting use to specialist </w:t>
      </w:r>
      <w:r w:rsidR="00C42242">
        <w:rPr>
          <w:iCs/>
        </w:rPr>
        <w:t>clinicians</w:t>
      </w:r>
      <w:r w:rsidR="00C42242" w:rsidRPr="00320580">
        <w:rPr>
          <w:iCs/>
        </w:rPr>
        <w:t xml:space="preserve"> </w:t>
      </w:r>
      <w:r w:rsidRPr="00320580">
        <w:rPr>
          <w:iCs/>
        </w:rPr>
        <w:t xml:space="preserve">and as such, </w:t>
      </w:r>
      <w:r w:rsidR="00C42242">
        <w:rPr>
          <w:iCs/>
        </w:rPr>
        <w:t>prescribing</w:t>
      </w:r>
      <w:r w:rsidR="00C42242" w:rsidRPr="00320580">
        <w:rPr>
          <w:iCs/>
        </w:rPr>
        <w:t xml:space="preserve"> </w:t>
      </w:r>
      <w:r w:rsidRPr="00320580">
        <w:rPr>
          <w:iCs/>
        </w:rPr>
        <w:t xml:space="preserve">would be in primary care. The ESC </w:t>
      </w:r>
      <w:r w:rsidR="005D032B" w:rsidRPr="00320580">
        <w:rPr>
          <w:iCs/>
        </w:rPr>
        <w:t>agreed with the evaluation that</w:t>
      </w:r>
      <w:r w:rsidRPr="00320580">
        <w:rPr>
          <w:iCs/>
        </w:rPr>
        <w:t xml:space="preserve"> there would be a high risk of use outside the restriction (in premenopausal women and in women who did not meet the clinical criteria). </w:t>
      </w:r>
      <w:r w:rsidR="00697D1D" w:rsidRPr="00320580">
        <w:rPr>
          <w:iCs/>
        </w:rPr>
        <w:t xml:space="preserve">To ensure use would be aligned with the proposed patient population, the ESC considered </w:t>
      </w:r>
      <w:r w:rsidR="00DA6BD5" w:rsidRPr="00320580">
        <w:rPr>
          <w:iCs/>
        </w:rPr>
        <w:t>the listing should be</w:t>
      </w:r>
      <w:r w:rsidR="00697D1D" w:rsidRPr="00320580">
        <w:rPr>
          <w:iCs/>
        </w:rPr>
        <w:t xml:space="preserve"> Authority Required</w:t>
      </w:r>
      <w:r w:rsidR="00F961B6" w:rsidRPr="00320580">
        <w:rPr>
          <w:iCs/>
        </w:rPr>
        <w:t xml:space="preserve"> and </w:t>
      </w:r>
      <w:r w:rsidR="00BD4457" w:rsidRPr="00320580">
        <w:rPr>
          <w:iCs/>
        </w:rPr>
        <w:t>noted that HSDD can be defined in a variety of ways</w:t>
      </w:r>
      <w:r w:rsidR="00081DA4" w:rsidRPr="00320580">
        <w:rPr>
          <w:iCs/>
        </w:rPr>
        <w:t xml:space="preserve"> (see paragraph </w:t>
      </w:r>
      <w:r w:rsidR="00081DA4" w:rsidRPr="00320580">
        <w:rPr>
          <w:iCs/>
        </w:rPr>
        <w:fldChar w:fldCharType="begin"/>
      </w:r>
      <w:r w:rsidR="00081DA4" w:rsidRPr="00320580">
        <w:rPr>
          <w:iCs/>
        </w:rPr>
        <w:instrText xml:space="preserve"> REF _Ref211764890 \r \h </w:instrText>
      </w:r>
      <w:r w:rsidR="00081DA4" w:rsidRPr="00320580">
        <w:rPr>
          <w:iCs/>
        </w:rPr>
      </w:r>
      <w:r w:rsidR="00081DA4" w:rsidRPr="00320580">
        <w:rPr>
          <w:iCs/>
        </w:rPr>
        <w:fldChar w:fldCharType="separate"/>
      </w:r>
      <w:r w:rsidR="00374A89">
        <w:rPr>
          <w:iCs/>
        </w:rPr>
        <w:t>4.2</w:t>
      </w:r>
      <w:r w:rsidR="00081DA4" w:rsidRPr="00320580">
        <w:rPr>
          <w:iCs/>
        </w:rPr>
        <w:fldChar w:fldCharType="end"/>
      </w:r>
      <w:r w:rsidR="00081DA4" w:rsidRPr="00320580">
        <w:rPr>
          <w:iCs/>
        </w:rPr>
        <w:t xml:space="preserve"> below)</w:t>
      </w:r>
      <w:r w:rsidR="00810E0A" w:rsidRPr="00320580">
        <w:rPr>
          <w:iCs/>
        </w:rPr>
        <w:t xml:space="preserve">. </w:t>
      </w:r>
      <w:r w:rsidR="0001727D" w:rsidRPr="00320580">
        <w:rPr>
          <w:iCs/>
        </w:rPr>
        <w:t xml:space="preserve">The ESC considered that the proposed clinical criteria relating to diagnosis could be enhanced by including additional details in the restriction to direct clinicians to the </w:t>
      </w:r>
      <w:r w:rsidR="00933194" w:rsidRPr="00320580">
        <w:rPr>
          <w:iCs/>
          <w:color w:val="000000" w:themeColor="text1"/>
        </w:rPr>
        <w:t xml:space="preserve">International Society for the Study of Women’s Sexual Health (ISSWSH) </w:t>
      </w:r>
      <w:r w:rsidR="0001727D" w:rsidRPr="00320580">
        <w:rPr>
          <w:iCs/>
        </w:rPr>
        <w:t>criteria</w:t>
      </w:r>
      <w:r w:rsidR="00D648D3" w:rsidRPr="00320580">
        <w:rPr>
          <w:iCs/>
        </w:rPr>
        <w:t>.</w:t>
      </w:r>
    </w:p>
    <w:p w14:paraId="6A989672" w14:textId="36FD174B" w:rsidR="00BA7F7F" w:rsidRPr="00BA7F7F" w:rsidRDefault="00BA7F7F" w:rsidP="00BA7F7F">
      <w:pPr>
        <w:pStyle w:val="3-BodyText"/>
        <w:numPr>
          <w:ilvl w:val="0"/>
          <w:numId w:val="0"/>
        </w:numPr>
        <w:ind w:left="720"/>
        <w:rPr>
          <w:i/>
          <w:iCs/>
        </w:rPr>
      </w:pPr>
      <w:r w:rsidRPr="00BA7F7F">
        <w:rPr>
          <w:i/>
          <w:iCs/>
        </w:rPr>
        <w:t>For more detail on PBAC’s view, see section 7 PBAC outcome.</w:t>
      </w:r>
    </w:p>
    <w:p w14:paraId="7075B85C" w14:textId="62A47B7B" w:rsidR="00B50DB8" w:rsidRPr="0098262F" w:rsidDel="00195452" w:rsidRDefault="00203181" w:rsidP="004E18E9">
      <w:pPr>
        <w:pStyle w:val="2-SectionHeading"/>
      </w:pPr>
      <w:bookmarkStart w:id="24" w:name="_Toc208926776"/>
      <w:r w:rsidRPr="0098262F" w:rsidDel="00195452">
        <w:t xml:space="preserve">Population and </w:t>
      </w:r>
      <w:r w:rsidR="008E0D3C" w:rsidRPr="0098262F" w:rsidDel="00195452">
        <w:t>d</w:t>
      </w:r>
      <w:r w:rsidRPr="0098262F" w:rsidDel="00195452">
        <w:t>isease</w:t>
      </w:r>
      <w:bookmarkEnd w:id="24"/>
    </w:p>
    <w:p w14:paraId="16F1A2A0" w14:textId="3A86B2BD" w:rsidR="00141CCC" w:rsidRDefault="004C2647" w:rsidP="004E18E9">
      <w:pPr>
        <w:pStyle w:val="3-BodyText"/>
        <w:rPr>
          <w:color w:val="000000" w:themeColor="text1"/>
        </w:rPr>
      </w:pPr>
      <w:r>
        <w:rPr>
          <w:color w:val="000000" w:themeColor="text1"/>
        </w:rPr>
        <w:t>HSDD</w:t>
      </w:r>
      <w:r w:rsidR="00C35844">
        <w:rPr>
          <w:color w:val="000000" w:themeColor="text1"/>
        </w:rPr>
        <w:t xml:space="preserve"> </w:t>
      </w:r>
      <w:r w:rsidR="0040157F">
        <w:rPr>
          <w:color w:val="000000" w:themeColor="text1"/>
        </w:rPr>
        <w:t xml:space="preserve">is </w:t>
      </w:r>
      <w:r w:rsidR="00F72F9A">
        <w:rPr>
          <w:color w:val="000000" w:themeColor="text1"/>
        </w:rPr>
        <w:t xml:space="preserve">characterised by </w:t>
      </w:r>
      <w:r w:rsidR="0040157F">
        <w:rPr>
          <w:color w:val="000000" w:themeColor="text1"/>
        </w:rPr>
        <w:t>a</w:t>
      </w:r>
      <w:r w:rsidR="00F72F9A">
        <w:rPr>
          <w:color w:val="000000" w:themeColor="text1"/>
        </w:rPr>
        <w:t xml:space="preserve">t least </w:t>
      </w:r>
      <w:r w:rsidR="00D851DC">
        <w:rPr>
          <w:color w:val="000000" w:themeColor="text1"/>
        </w:rPr>
        <w:t xml:space="preserve">6 </w:t>
      </w:r>
      <w:r w:rsidR="00F72F9A">
        <w:rPr>
          <w:color w:val="000000" w:themeColor="text1"/>
        </w:rPr>
        <w:t xml:space="preserve">months of </w:t>
      </w:r>
      <w:r w:rsidR="00A5145E" w:rsidRPr="00A5145E">
        <w:rPr>
          <w:color w:val="000000" w:themeColor="text1"/>
        </w:rPr>
        <w:t>persistent or recurrent</w:t>
      </w:r>
      <w:r w:rsidR="00A5145E">
        <w:rPr>
          <w:color w:val="000000" w:themeColor="text1"/>
        </w:rPr>
        <w:t xml:space="preserve"> lack of</w:t>
      </w:r>
      <w:r w:rsidR="00E3631F">
        <w:rPr>
          <w:color w:val="000000" w:themeColor="text1"/>
        </w:rPr>
        <w:t xml:space="preserve"> </w:t>
      </w:r>
      <w:r w:rsidR="006B2880">
        <w:rPr>
          <w:color w:val="000000" w:themeColor="text1"/>
        </w:rPr>
        <w:t>desire</w:t>
      </w:r>
      <w:r w:rsidR="00A5145E" w:rsidRPr="00A5145E">
        <w:rPr>
          <w:color w:val="000000" w:themeColor="text1"/>
        </w:rPr>
        <w:t xml:space="preserve"> for sexual activity</w:t>
      </w:r>
      <w:r w:rsidR="001777A3">
        <w:rPr>
          <w:color w:val="000000" w:themeColor="text1"/>
        </w:rPr>
        <w:t xml:space="preserve"> </w:t>
      </w:r>
      <w:r w:rsidR="00C126B9" w:rsidRPr="00A67EB5">
        <w:rPr>
          <w:color w:val="000000" w:themeColor="text1"/>
        </w:rPr>
        <w:t>and</w:t>
      </w:r>
      <w:r w:rsidR="00A5145E" w:rsidRPr="00A67EB5">
        <w:rPr>
          <w:color w:val="000000" w:themeColor="text1"/>
        </w:rPr>
        <w:t xml:space="preserve"> </w:t>
      </w:r>
      <w:r w:rsidR="00480B99">
        <w:rPr>
          <w:color w:val="000000" w:themeColor="text1"/>
        </w:rPr>
        <w:t xml:space="preserve">significant </w:t>
      </w:r>
      <w:r w:rsidR="00A5145E" w:rsidRPr="00A5145E">
        <w:rPr>
          <w:color w:val="000000" w:themeColor="text1"/>
        </w:rPr>
        <w:t>personal distress</w:t>
      </w:r>
      <w:r w:rsidR="00C126B9">
        <w:rPr>
          <w:color w:val="000000" w:themeColor="text1"/>
        </w:rPr>
        <w:t xml:space="preserve"> as a result</w:t>
      </w:r>
      <w:r w:rsidR="00A5145E">
        <w:rPr>
          <w:color w:val="000000" w:themeColor="text1"/>
        </w:rPr>
        <w:t>.</w:t>
      </w:r>
      <w:r w:rsidR="00C126B9">
        <w:rPr>
          <w:color w:val="000000" w:themeColor="text1"/>
        </w:rPr>
        <w:t xml:space="preserve"> </w:t>
      </w:r>
    </w:p>
    <w:p w14:paraId="7B93D7F4" w14:textId="37C7A517" w:rsidR="00FB2B54" w:rsidRPr="00320580" w:rsidRDefault="00D851DC" w:rsidP="004E18E9">
      <w:pPr>
        <w:pStyle w:val="3-BodyText"/>
        <w:rPr>
          <w:iCs/>
          <w:color w:val="000000" w:themeColor="text1"/>
        </w:rPr>
      </w:pPr>
      <w:bookmarkStart w:id="25" w:name="_Ref211764890"/>
      <w:bookmarkStart w:id="26" w:name="_Ref209700410"/>
      <w:r w:rsidRPr="00320580">
        <w:rPr>
          <w:iCs/>
          <w:color w:val="000000" w:themeColor="text1"/>
        </w:rPr>
        <w:t>A</w:t>
      </w:r>
      <w:r w:rsidR="00E27F91" w:rsidRPr="00320580">
        <w:rPr>
          <w:iCs/>
          <w:color w:val="000000" w:themeColor="text1"/>
        </w:rPr>
        <w:t xml:space="preserve">ccording to the </w:t>
      </w:r>
      <w:r w:rsidR="00FB2B54" w:rsidRPr="00320580">
        <w:rPr>
          <w:iCs/>
          <w:color w:val="000000" w:themeColor="text1"/>
        </w:rPr>
        <w:t>ISSWSH (Parish, 2016)</w:t>
      </w:r>
      <w:r w:rsidRPr="00320580">
        <w:rPr>
          <w:iCs/>
          <w:color w:val="000000" w:themeColor="text1"/>
        </w:rPr>
        <w:t xml:space="preserve">, HSDD </w:t>
      </w:r>
      <w:r w:rsidR="00A91A8E" w:rsidRPr="00320580">
        <w:rPr>
          <w:iCs/>
          <w:color w:val="000000" w:themeColor="text1"/>
        </w:rPr>
        <w:t>is lack of motivation for sexual activity</w:t>
      </w:r>
      <w:r w:rsidR="00126A05" w:rsidRPr="00320580">
        <w:rPr>
          <w:iCs/>
          <w:color w:val="000000" w:themeColor="text1"/>
        </w:rPr>
        <w:t xml:space="preserve"> as manifested by</w:t>
      </w:r>
      <w:r w:rsidRPr="00320580">
        <w:rPr>
          <w:iCs/>
          <w:color w:val="000000" w:themeColor="text1"/>
        </w:rPr>
        <w:t xml:space="preserve"> any of the following for</w:t>
      </w:r>
      <w:r w:rsidR="00FB2B54" w:rsidRPr="00320580">
        <w:rPr>
          <w:iCs/>
          <w:color w:val="000000" w:themeColor="text1"/>
        </w:rPr>
        <w:t xml:space="preserve"> </w:t>
      </w:r>
      <w:r w:rsidRPr="00320580">
        <w:rPr>
          <w:iCs/>
          <w:color w:val="000000" w:themeColor="text1"/>
        </w:rPr>
        <w:t>a minimum of 6 months:</w:t>
      </w:r>
      <w:bookmarkEnd w:id="25"/>
    </w:p>
    <w:p w14:paraId="45D6E453" w14:textId="579169EE" w:rsidR="00DC2754" w:rsidRPr="00320580" w:rsidRDefault="00DC2754" w:rsidP="000E006F">
      <w:pPr>
        <w:pStyle w:val="3-BodyText"/>
        <w:numPr>
          <w:ilvl w:val="0"/>
          <w:numId w:val="14"/>
        </w:numPr>
        <w:ind w:left="1134"/>
        <w:rPr>
          <w:iCs/>
          <w:color w:val="000000" w:themeColor="text1"/>
        </w:rPr>
      </w:pPr>
      <w:r w:rsidRPr="00320580">
        <w:rPr>
          <w:iCs/>
          <w:color w:val="000000" w:themeColor="text1"/>
        </w:rPr>
        <w:t>Lack of motivation for sexual activity</w:t>
      </w:r>
      <w:r w:rsidR="000F0B89" w:rsidRPr="00320580">
        <w:rPr>
          <w:iCs/>
          <w:color w:val="000000" w:themeColor="text1"/>
        </w:rPr>
        <w:t xml:space="preserve"> as manifested by:</w:t>
      </w:r>
    </w:p>
    <w:p w14:paraId="71EDA44C" w14:textId="6C77AA8D" w:rsidR="00126A05" w:rsidRPr="00320580" w:rsidRDefault="00126A05" w:rsidP="000E006F">
      <w:pPr>
        <w:pStyle w:val="3-BodyText"/>
        <w:numPr>
          <w:ilvl w:val="0"/>
          <w:numId w:val="15"/>
        </w:numPr>
        <w:rPr>
          <w:iCs/>
          <w:color w:val="000000" w:themeColor="text1"/>
        </w:rPr>
      </w:pPr>
      <w:r w:rsidRPr="00320580">
        <w:rPr>
          <w:iCs/>
          <w:color w:val="000000" w:themeColor="text1"/>
        </w:rPr>
        <w:t>D</w:t>
      </w:r>
      <w:r w:rsidR="00FA243C" w:rsidRPr="00320580">
        <w:rPr>
          <w:iCs/>
          <w:color w:val="000000" w:themeColor="text1"/>
        </w:rPr>
        <w:t>ecreased or absent spontaneous desire (sexual thoughts or fantasies)</w:t>
      </w:r>
      <w:r w:rsidR="00CB0EB4" w:rsidRPr="00320580">
        <w:rPr>
          <w:iCs/>
          <w:color w:val="000000" w:themeColor="text1"/>
        </w:rPr>
        <w:t xml:space="preserve">; </w:t>
      </w:r>
      <w:r w:rsidR="00E25359" w:rsidRPr="00320580">
        <w:rPr>
          <w:iCs/>
          <w:color w:val="000000" w:themeColor="text1"/>
        </w:rPr>
        <w:t>or</w:t>
      </w:r>
    </w:p>
    <w:p w14:paraId="4F81D319" w14:textId="58489CB3" w:rsidR="00BB6B3C" w:rsidRPr="00320580" w:rsidRDefault="00126A05" w:rsidP="000E006F">
      <w:pPr>
        <w:pStyle w:val="3-BodyText"/>
        <w:numPr>
          <w:ilvl w:val="0"/>
          <w:numId w:val="15"/>
        </w:numPr>
        <w:rPr>
          <w:iCs/>
          <w:color w:val="000000" w:themeColor="text1"/>
        </w:rPr>
      </w:pPr>
      <w:r w:rsidRPr="00320580">
        <w:rPr>
          <w:iCs/>
          <w:color w:val="000000" w:themeColor="text1"/>
        </w:rPr>
        <w:t>D</w:t>
      </w:r>
      <w:r w:rsidR="00CB0EB4" w:rsidRPr="00320580">
        <w:rPr>
          <w:iCs/>
          <w:color w:val="000000" w:themeColor="text1"/>
        </w:rPr>
        <w:t xml:space="preserve">ecreased or absent responsive desire to erotic cues and stimulation or inability to maintain desire or interest through sexual </w:t>
      </w:r>
      <w:proofErr w:type="gramStart"/>
      <w:r w:rsidR="00CB0EB4" w:rsidRPr="00320580">
        <w:rPr>
          <w:iCs/>
          <w:color w:val="000000" w:themeColor="text1"/>
        </w:rPr>
        <w:t>activity</w:t>
      </w:r>
      <w:r w:rsidR="00913688" w:rsidRPr="00320580">
        <w:rPr>
          <w:iCs/>
          <w:color w:val="000000" w:themeColor="text1"/>
        </w:rPr>
        <w:t>;</w:t>
      </w:r>
      <w:proofErr w:type="gramEnd"/>
    </w:p>
    <w:p w14:paraId="1B51F184" w14:textId="7BFBA207" w:rsidR="00C855DB" w:rsidRPr="00320580" w:rsidRDefault="00913688" w:rsidP="000E006F">
      <w:pPr>
        <w:pStyle w:val="3-BodyText"/>
        <w:numPr>
          <w:ilvl w:val="0"/>
          <w:numId w:val="14"/>
        </w:numPr>
        <w:ind w:left="1134"/>
        <w:rPr>
          <w:iCs/>
          <w:color w:val="000000" w:themeColor="text1"/>
        </w:rPr>
      </w:pPr>
      <w:r w:rsidRPr="00320580">
        <w:rPr>
          <w:iCs/>
          <w:color w:val="000000" w:themeColor="text1"/>
        </w:rPr>
        <w:t xml:space="preserve">Loss of desire to initiate or participate in sexual activity, including behavioural responses such as avoidance of situations that could lead to sexual activity, that is not secondary to </w:t>
      </w:r>
      <w:r w:rsidR="009952A3" w:rsidRPr="00320580">
        <w:rPr>
          <w:iCs/>
          <w:color w:val="000000" w:themeColor="text1"/>
        </w:rPr>
        <w:t xml:space="preserve">sexual pain </w:t>
      </w:r>
      <w:proofErr w:type="gramStart"/>
      <w:r w:rsidR="009952A3" w:rsidRPr="00320580">
        <w:rPr>
          <w:iCs/>
          <w:color w:val="000000" w:themeColor="text1"/>
        </w:rPr>
        <w:t>disorders</w:t>
      </w:r>
      <w:r w:rsidR="00C855DB" w:rsidRPr="00320580">
        <w:rPr>
          <w:iCs/>
          <w:color w:val="000000" w:themeColor="text1"/>
        </w:rPr>
        <w:t>;</w:t>
      </w:r>
      <w:proofErr w:type="gramEnd"/>
    </w:p>
    <w:p w14:paraId="620D55F1" w14:textId="6859E1B8" w:rsidR="00DA52B1" w:rsidRPr="00320580" w:rsidRDefault="00C855DB" w:rsidP="000E006F">
      <w:pPr>
        <w:pStyle w:val="3-BodyText"/>
        <w:numPr>
          <w:ilvl w:val="0"/>
          <w:numId w:val="14"/>
        </w:numPr>
        <w:ind w:left="1134"/>
        <w:rPr>
          <w:iCs/>
          <w:color w:val="000000" w:themeColor="text1"/>
        </w:rPr>
      </w:pPr>
      <w:r w:rsidRPr="00320580">
        <w:rPr>
          <w:iCs/>
          <w:color w:val="000000" w:themeColor="text1"/>
        </w:rPr>
        <w:t>A</w:t>
      </w:r>
      <w:r w:rsidR="009952A3" w:rsidRPr="00320580">
        <w:rPr>
          <w:iCs/>
          <w:color w:val="000000" w:themeColor="text1"/>
        </w:rPr>
        <w:t>nd is combined with clinically significant personal distress that includes frustration, grief, guilt, incompetence, loss, sadness, sorrow or worry.</w:t>
      </w:r>
    </w:p>
    <w:bookmarkEnd w:id="26"/>
    <w:p w14:paraId="26EEA8B2" w14:textId="16BB1BC3" w:rsidR="003763FB" w:rsidRPr="006F1ABD" w:rsidRDefault="00E3631F" w:rsidP="006F1ABD">
      <w:pPr>
        <w:pStyle w:val="3-BodyText"/>
        <w:rPr>
          <w:color w:val="000000" w:themeColor="text1"/>
        </w:rPr>
      </w:pPr>
      <w:r>
        <w:rPr>
          <w:color w:val="000000" w:themeColor="text1"/>
        </w:rPr>
        <w:t>The diagnosis of HSDD is not appropriate</w:t>
      </w:r>
      <w:r w:rsidR="003763FB">
        <w:rPr>
          <w:color w:val="000000" w:themeColor="text1"/>
        </w:rPr>
        <w:t xml:space="preserve"> </w:t>
      </w:r>
      <w:r>
        <w:rPr>
          <w:color w:val="000000" w:themeColor="text1"/>
        </w:rPr>
        <w:t xml:space="preserve">if a </w:t>
      </w:r>
      <w:r w:rsidR="003763FB">
        <w:rPr>
          <w:color w:val="000000" w:themeColor="text1"/>
        </w:rPr>
        <w:t>wom</w:t>
      </w:r>
      <w:r>
        <w:rPr>
          <w:color w:val="000000" w:themeColor="text1"/>
        </w:rPr>
        <w:t>a</w:t>
      </w:r>
      <w:r w:rsidR="003763FB">
        <w:rPr>
          <w:color w:val="000000" w:themeColor="text1"/>
        </w:rPr>
        <w:t>n</w:t>
      </w:r>
      <w:r>
        <w:rPr>
          <w:color w:val="000000" w:themeColor="text1"/>
        </w:rPr>
        <w:t>'s</w:t>
      </w:r>
      <w:r w:rsidR="003763FB">
        <w:rPr>
          <w:color w:val="000000" w:themeColor="text1"/>
        </w:rPr>
        <w:t xml:space="preserve"> lack of interest in sex </w:t>
      </w:r>
      <w:r>
        <w:rPr>
          <w:color w:val="000000" w:themeColor="text1"/>
        </w:rPr>
        <w:t>is situational (</w:t>
      </w:r>
      <w:r w:rsidR="000F5630">
        <w:rPr>
          <w:color w:val="000000" w:themeColor="text1"/>
        </w:rPr>
        <w:t>e.g.</w:t>
      </w:r>
      <w:r>
        <w:rPr>
          <w:color w:val="000000" w:themeColor="text1"/>
        </w:rPr>
        <w:t xml:space="preserve">, due to </w:t>
      </w:r>
      <w:r w:rsidR="003763FB">
        <w:rPr>
          <w:color w:val="000000" w:themeColor="text1"/>
        </w:rPr>
        <w:t>conflict or dissatisfaction with a current partner</w:t>
      </w:r>
      <w:r>
        <w:rPr>
          <w:color w:val="000000" w:themeColor="text1"/>
        </w:rPr>
        <w:t>)</w:t>
      </w:r>
      <w:r w:rsidR="003763FB">
        <w:rPr>
          <w:color w:val="000000" w:themeColor="text1"/>
        </w:rPr>
        <w:t>,</w:t>
      </w:r>
      <w:r w:rsidR="009B2B56">
        <w:rPr>
          <w:color w:val="000000" w:themeColor="text1"/>
        </w:rPr>
        <w:t xml:space="preserve"> </w:t>
      </w:r>
      <w:r>
        <w:rPr>
          <w:color w:val="000000" w:themeColor="text1"/>
        </w:rPr>
        <w:t xml:space="preserve">due to </w:t>
      </w:r>
      <w:r w:rsidR="0090098A">
        <w:rPr>
          <w:color w:val="000000" w:themeColor="text1"/>
        </w:rPr>
        <w:t xml:space="preserve">a </w:t>
      </w:r>
      <w:r w:rsidR="003763FB">
        <w:rPr>
          <w:color w:val="000000" w:themeColor="text1"/>
        </w:rPr>
        <w:t>sexual pain disorder</w:t>
      </w:r>
      <w:r w:rsidR="004D0212">
        <w:rPr>
          <w:color w:val="000000" w:themeColor="text1"/>
        </w:rPr>
        <w:t>,</w:t>
      </w:r>
      <w:r w:rsidR="009B2B56">
        <w:rPr>
          <w:color w:val="000000" w:themeColor="text1"/>
        </w:rPr>
        <w:t xml:space="preserve"> </w:t>
      </w:r>
      <w:r w:rsidR="004D0212">
        <w:rPr>
          <w:color w:val="000000" w:themeColor="text1"/>
        </w:rPr>
        <w:t xml:space="preserve">to </w:t>
      </w:r>
      <w:r w:rsidR="009B2B56">
        <w:rPr>
          <w:color w:val="000000" w:themeColor="text1"/>
        </w:rPr>
        <w:t>physical or mental health condition</w:t>
      </w:r>
      <w:r w:rsidR="004D0212">
        <w:rPr>
          <w:color w:val="000000" w:themeColor="text1"/>
        </w:rPr>
        <w:t>s, or</w:t>
      </w:r>
      <w:r w:rsidR="009A1639">
        <w:rPr>
          <w:color w:val="000000" w:themeColor="text1"/>
        </w:rPr>
        <w:t xml:space="preserve"> </w:t>
      </w:r>
      <w:r w:rsidR="004D0212">
        <w:rPr>
          <w:color w:val="000000" w:themeColor="text1"/>
        </w:rPr>
        <w:t>to medications</w:t>
      </w:r>
      <w:r>
        <w:rPr>
          <w:color w:val="000000" w:themeColor="text1"/>
        </w:rPr>
        <w:t xml:space="preserve"> </w:t>
      </w:r>
      <w:r w:rsidR="005B35A1">
        <w:rPr>
          <w:color w:val="000000" w:themeColor="text1"/>
        </w:rPr>
        <w:t>(</w:t>
      </w:r>
      <w:r w:rsidR="00EB67B3">
        <w:rPr>
          <w:color w:val="000000" w:themeColor="text1"/>
        </w:rPr>
        <w:t>Clayton</w:t>
      </w:r>
      <w:r w:rsidR="00874CC1">
        <w:rPr>
          <w:color w:val="000000" w:themeColor="text1"/>
        </w:rPr>
        <w:t>, 2018</w:t>
      </w:r>
      <w:r w:rsidR="00EB67B3">
        <w:rPr>
          <w:color w:val="000000" w:themeColor="text1"/>
        </w:rPr>
        <w:t>b</w:t>
      </w:r>
      <w:r w:rsidR="005B35A1">
        <w:rPr>
          <w:color w:val="000000" w:themeColor="text1"/>
        </w:rPr>
        <w:t xml:space="preserve">). </w:t>
      </w:r>
      <w:r w:rsidR="0013457E">
        <w:rPr>
          <w:color w:val="000000" w:themeColor="text1"/>
        </w:rPr>
        <w:t xml:space="preserve">The diagnosis of HSDD is not appropriate if a woman is satisfied with her </w:t>
      </w:r>
      <w:r w:rsidR="005C328C">
        <w:rPr>
          <w:color w:val="000000" w:themeColor="text1"/>
        </w:rPr>
        <w:t xml:space="preserve">own </w:t>
      </w:r>
      <w:r w:rsidR="0013457E">
        <w:rPr>
          <w:color w:val="000000" w:themeColor="text1"/>
        </w:rPr>
        <w:t>level of sexual interest but distressed by conflict with her partner caused by discrepant levels of sexual interest.</w:t>
      </w:r>
      <w:r w:rsidR="006F1ABD">
        <w:rPr>
          <w:color w:val="000000" w:themeColor="text1"/>
        </w:rPr>
        <w:t xml:space="preserve"> </w:t>
      </w:r>
      <w:r w:rsidR="009A1639" w:rsidRPr="006F1ABD">
        <w:rPr>
          <w:color w:val="000000" w:themeColor="text1"/>
        </w:rPr>
        <w:t xml:space="preserve">Because of the number and complexity of the issues that may underlie sexual dysfunction, </w:t>
      </w:r>
      <w:r w:rsidR="00446A82" w:rsidRPr="006F1ABD">
        <w:rPr>
          <w:color w:val="000000" w:themeColor="text1"/>
        </w:rPr>
        <w:t>diagnosis</w:t>
      </w:r>
      <w:r w:rsidR="00A85151" w:rsidRPr="006F1ABD">
        <w:rPr>
          <w:color w:val="000000" w:themeColor="text1"/>
        </w:rPr>
        <w:t xml:space="preserve"> </w:t>
      </w:r>
      <w:r w:rsidR="009A1639" w:rsidRPr="006F1ABD">
        <w:rPr>
          <w:color w:val="000000" w:themeColor="text1"/>
        </w:rPr>
        <w:t xml:space="preserve">and management </w:t>
      </w:r>
      <w:r w:rsidR="00446A82" w:rsidRPr="006F1ABD">
        <w:rPr>
          <w:color w:val="000000" w:themeColor="text1"/>
        </w:rPr>
        <w:t>of HSDD</w:t>
      </w:r>
      <w:r w:rsidR="005C328C" w:rsidRPr="006F1ABD">
        <w:rPr>
          <w:color w:val="000000" w:themeColor="text1"/>
        </w:rPr>
        <w:t xml:space="preserve"> </w:t>
      </w:r>
      <w:r w:rsidR="009A1639" w:rsidRPr="006F1ABD">
        <w:rPr>
          <w:color w:val="000000" w:themeColor="text1"/>
        </w:rPr>
        <w:t xml:space="preserve">are </w:t>
      </w:r>
      <w:r w:rsidR="005C328C" w:rsidRPr="006F1ABD">
        <w:rPr>
          <w:color w:val="000000" w:themeColor="text1"/>
        </w:rPr>
        <w:t>time-consuming and require high level</w:t>
      </w:r>
      <w:r w:rsidR="009A1639" w:rsidRPr="006F1ABD">
        <w:rPr>
          <w:color w:val="000000" w:themeColor="text1"/>
        </w:rPr>
        <w:t>s</w:t>
      </w:r>
      <w:r w:rsidR="005C328C" w:rsidRPr="006F1ABD">
        <w:rPr>
          <w:color w:val="000000" w:themeColor="text1"/>
        </w:rPr>
        <w:t xml:space="preserve"> of expertise </w:t>
      </w:r>
      <w:r w:rsidR="009A1639" w:rsidRPr="006F1ABD">
        <w:rPr>
          <w:color w:val="000000" w:themeColor="text1"/>
        </w:rPr>
        <w:t xml:space="preserve">in multiple areas </w:t>
      </w:r>
      <w:r w:rsidR="005C328C" w:rsidRPr="006F1ABD">
        <w:rPr>
          <w:color w:val="000000" w:themeColor="text1"/>
        </w:rPr>
        <w:t xml:space="preserve">(Clayton, 2018b). </w:t>
      </w:r>
    </w:p>
    <w:p w14:paraId="5887F5BB" w14:textId="24E71EC9" w:rsidR="00874CC1" w:rsidRPr="00C81B50" w:rsidRDefault="00874CC1" w:rsidP="004E18E9">
      <w:pPr>
        <w:pStyle w:val="3-BodyText"/>
        <w:rPr>
          <w:color w:val="000000" w:themeColor="text1"/>
        </w:rPr>
      </w:pPr>
      <w:r>
        <w:rPr>
          <w:color w:val="000000" w:themeColor="text1"/>
        </w:rPr>
        <w:t xml:space="preserve">HSDD was one of seven forms of female sexual dysfunction (FSD) defined in DSM-4. DSM-5 </w:t>
      </w:r>
      <w:r w:rsidR="001510B7">
        <w:rPr>
          <w:color w:val="000000" w:themeColor="text1"/>
        </w:rPr>
        <w:t>merged</w:t>
      </w:r>
      <w:r>
        <w:rPr>
          <w:color w:val="000000" w:themeColor="text1"/>
        </w:rPr>
        <w:t xml:space="preserve"> HSDD with another of the FSDs in DSM-4, Female Sexual Arousal Disorder, to create Female Sexual Interest and Arousal Disorder</w:t>
      </w:r>
      <w:r w:rsidR="00EB67B3">
        <w:rPr>
          <w:color w:val="000000" w:themeColor="text1"/>
        </w:rPr>
        <w:t xml:space="preserve"> (FSI</w:t>
      </w:r>
      <w:r w:rsidR="00524F9E">
        <w:rPr>
          <w:color w:val="000000" w:themeColor="text1"/>
        </w:rPr>
        <w:t>A</w:t>
      </w:r>
      <w:r w:rsidR="00EB67B3">
        <w:rPr>
          <w:color w:val="000000" w:themeColor="text1"/>
        </w:rPr>
        <w:t xml:space="preserve">D). </w:t>
      </w:r>
      <w:r w:rsidR="00F260FD">
        <w:rPr>
          <w:color w:val="000000" w:themeColor="text1"/>
        </w:rPr>
        <w:t xml:space="preserve">The term </w:t>
      </w:r>
      <w:r w:rsidR="00F260FD">
        <w:rPr>
          <w:color w:val="000000" w:themeColor="text1"/>
        </w:rPr>
        <w:lastRenderedPageBreak/>
        <w:t xml:space="preserve">HSDD has </w:t>
      </w:r>
      <w:r w:rsidR="00C81B50">
        <w:rPr>
          <w:color w:val="000000" w:themeColor="text1"/>
        </w:rPr>
        <w:t xml:space="preserve">been retained by the </w:t>
      </w:r>
      <w:r w:rsidR="00FB2B54">
        <w:rPr>
          <w:color w:val="000000" w:themeColor="text1"/>
        </w:rPr>
        <w:t xml:space="preserve">ISSWSH </w:t>
      </w:r>
      <w:r w:rsidR="00C81B50">
        <w:rPr>
          <w:color w:val="000000" w:themeColor="text1"/>
        </w:rPr>
        <w:t xml:space="preserve">and </w:t>
      </w:r>
      <w:r w:rsidR="00F260FD" w:rsidRPr="00C81B50">
        <w:rPr>
          <w:color w:val="000000" w:themeColor="text1"/>
        </w:rPr>
        <w:t>continue</w:t>
      </w:r>
      <w:r w:rsidR="00C81B50">
        <w:rPr>
          <w:color w:val="000000" w:themeColor="text1"/>
        </w:rPr>
        <w:t>s</w:t>
      </w:r>
      <w:r w:rsidR="00F260FD" w:rsidRPr="00C81B50">
        <w:rPr>
          <w:color w:val="000000" w:themeColor="text1"/>
        </w:rPr>
        <w:t xml:space="preserve"> to be widely used</w:t>
      </w:r>
      <w:r w:rsidR="00C81B50">
        <w:rPr>
          <w:color w:val="000000" w:themeColor="text1"/>
        </w:rPr>
        <w:t xml:space="preserve"> (Parish, 2016). </w:t>
      </w:r>
    </w:p>
    <w:p w14:paraId="04E529DF" w14:textId="065FEF9E" w:rsidR="00D64A52" w:rsidRPr="00CE772F" w:rsidRDefault="00C126B9" w:rsidP="004E18E9">
      <w:pPr>
        <w:pStyle w:val="3-BodyText"/>
        <w:rPr>
          <w:color w:val="000000" w:themeColor="text1"/>
        </w:rPr>
      </w:pPr>
      <w:r>
        <w:rPr>
          <w:color w:val="000000" w:themeColor="text1"/>
        </w:rPr>
        <w:t xml:space="preserve">A figure of 10% for </w:t>
      </w:r>
      <w:r w:rsidR="009119D6">
        <w:rPr>
          <w:color w:val="000000" w:themeColor="text1"/>
        </w:rPr>
        <w:t xml:space="preserve">the </w:t>
      </w:r>
      <w:r>
        <w:rPr>
          <w:color w:val="000000" w:themeColor="text1"/>
        </w:rPr>
        <w:t xml:space="preserve">prevalence </w:t>
      </w:r>
      <w:r w:rsidR="009119D6">
        <w:rPr>
          <w:color w:val="000000" w:themeColor="text1"/>
        </w:rPr>
        <w:t xml:space="preserve">of HSDD </w:t>
      </w:r>
      <w:r>
        <w:rPr>
          <w:color w:val="000000" w:themeColor="text1"/>
        </w:rPr>
        <w:t>is widely used; a</w:t>
      </w:r>
      <w:r w:rsidR="00CE772F">
        <w:rPr>
          <w:color w:val="000000" w:themeColor="text1"/>
        </w:rPr>
        <w:t>n Australia</w:t>
      </w:r>
      <w:r>
        <w:rPr>
          <w:color w:val="000000" w:themeColor="text1"/>
        </w:rPr>
        <w:t>n study estimated</w:t>
      </w:r>
      <w:r w:rsidR="00CE772F">
        <w:rPr>
          <w:color w:val="000000" w:themeColor="text1"/>
        </w:rPr>
        <w:t xml:space="preserve"> the prevalence </w:t>
      </w:r>
      <w:r w:rsidR="004C2647" w:rsidRPr="00CE772F">
        <w:rPr>
          <w:color w:val="000000" w:themeColor="text1"/>
        </w:rPr>
        <w:t>to be</w:t>
      </w:r>
      <w:r w:rsidR="00CE772F">
        <w:rPr>
          <w:color w:val="000000" w:themeColor="text1"/>
        </w:rPr>
        <w:t xml:space="preserve"> 16%</w:t>
      </w:r>
      <w:r w:rsidR="005B35A1">
        <w:rPr>
          <w:color w:val="000000" w:themeColor="text1"/>
        </w:rPr>
        <w:t xml:space="preserve"> but noted that small changes in methodology </w:t>
      </w:r>
      <w:r w:rsidR="0090098A">
        <w:rPr>
          <w:color w:val="000000" w:themeColor="text1"/>
        </w:rPr>
        <w:t xml:space="preserve">could </w:t>
      </w:r>
      <w:r w:rsidR="009119D6">
        <w:rPr>
          <w:color w:val="000000" w:themeColor="text1"/>
        </w:rPr>
        <w:t>have</w:t>
      </w:r>
      <w:r w:rsidR="005B35A1">
        <w:rPr>
          <w:color w:val="000000" w:themeColor="text1"/>
        </w:rPr>
        <w:t xml:space="preserve"> large </w:t>
      </w:r>
      <w:r w:rsidR="009119D6">
        <w:rPr>
          <w:color w:val="000000" w:themeColor="text1"/>
        </w:rPr>
        <w:t>effects o</w:t>
      </w:r>
      <w:r w:rsidR="005B35A1">
        <w:rPr>
          <w:color w:val="000000" w:themeColor="text1"/>
        </w:rPr>
        <w:t>n estimated prevalence</w:t>
      </w:r>
      <w:r>
        <w:rPr>
          <w:color w:val="000000" w:themeColor="text1"/>
        </w:rPr>
        <w:t xml:space="preserve"> </w:t>
      </w:r>
      <w:r w:rsidR="00CE772F">
        <w:rPr>
          <w:color w:val="000000" w:themeColor="text1"/>
        </w:rPr>
        <w:t xml:space="preserve">(Hayes, 2008). </w:t>
      </w:r>
    </w:p>
    <w:p w14:paraId="01F4D71B" w14:textId="4E4EAD7C" w:rsidR="00C616B1" w:rsidRPr="00E44D45" w:rsidRDefault="00E44D45" w:rsidP="004E18E9">
      <w:pPr>
        <w:pStyle w:val="3-BodyText"/>
        <w:rPr>
          <w:color w:val="0066FF"/>
        </w:rPr>
      </w:pPr>
      <w:r>
        <w:rPr>
          <w:color w:val="000000" w:themeColor="text1"/>
        </w:rPr>
        <w:t>Whether there is an effect of menopause on sexual function independent of age is controversial, but HSDD is not</w:t>
      </w:r>
      <w:r w:rsidR="008C28CE">
        <w:rPr>
          <w:color w:val="000000" w:themeColor="text1"/>
        </w:rPr>
        <w:t xml:space="preserve"> specifically</w:t>
      </w:r>
      <w:r w:rsidR="009E2E03">
        <w:rPr>
          <w:color w:val="000000" w:themeColor="text1"/>
        </w:rPr>
        <w:t xml:space="preserve"> </w:t>
      </w:r>
      <w:r>
        <w:rPr>
          <w:color w:val="000000" w:themeColor="text1"/>
        </w:rPr>
        <w:t>related to menopause.</w:t>
      </w:r>
      <w:r>
        <w:rPr>
          <w:rStyle w:val="FootnoteReference"/>
          <w:color w:val="000000" w:themeColor="text1"/>
        </w:rPr>
        <w:footnoteReference w:id="3"/>
      </w:r>
      <w:r>
        <w:rPr>
          <w:color w:val="0066FF"/>
        </w:rPr>
        <w:t xml:space="preserve"> </w:t>
      </w:r>
      <w:r w:rsidR="00F260FD" w:rsidRPr="00E44D45">
        <w:rPr>
          <w:color w:val="000000" w:themeColor="text1"/>
        </w:rPr>
        <w:t>Sexual function in women,</w:t>
      </w:r>
      <w:r w:rsidR="001510B7" w:rsidRPr="00E44D45">
        <w:rPr>
          <w:color w:val="000000" w:themeColor="text1"/>
        </w:rPr>
        <w:t xml:space="preserve"> including</w:t>
      </w:r>
      <w:r w:rsidR="00F260FD" w:rsidRPr="00E44D45">
        <w:rPr>
          <w:color w:val="000000" w:themeColor="text1"/>
        </w:rPr>
        <w:t xml:space="preserve"> the level of </w:t>
      </w:r>
      <w:r w:rsidR="001510B7" w:rsidRPr="00E44D45">
        <w:rPr>
          <w:color w:val="000000" w:themeColor="text1"/>
        </w:rPr>
        <w:t xml:space="preserve">sexual desire, </w:t>
      </w:r>
      <w:r w:rsidR="00F260FD" w:rsidRPr="00E44D45">
        <w:rPr>
          <w:color w:val="000000" w:themeColor="text1"/>
        </w:rPr>
        <w:t>de</w:t>
      </w:r>
      <w:r w:rsidR="001510B7" w:rsidRPr="00E44D45">
        <w:rPr>
          <w:color w:val="000000" w:themeColor="text1"/>
        </w:rPr>
        <w:t>creases</w:t>
      </w:r>
      <w:r w:rsidR="00CC3BFE" w:rsidRPr="00E44D45">
        <w:rPr>
          <w:color w:val="000000" w:themeColor="text1"/>
        </w:rPr>
        <w:t xml:space="preserve"> with age,</w:t>
      </w:r>
      <w:r w:rsidR="000057D4" w:rsidRPr="00E44D45">
        <w:rPr>
          <w:color w:val="000000" w:themeColor="text1"/>
        </w:rPr>
        <w:t xml:space="preserve"> but</w:t>
      </w:r>
      <w:r w:rsidR="001510B7" w:rsidRPr="00E44D45">
        <w:rPr>
          <w:color w:val="000000" w:themeColor="text1"/>
        </w:rPr>
        <w:t xml:space="preserve"> distress </w:t>
      </w:r>
      <w:r w:rsidR="00F260FD" w:rsidRPr="00E44D45">
        <w:rPr>
          <w:color w:val="000000" w:themeColor="text1"/>
        </w:rPr>
        <w:t>caused by</w:t>
      </w:r>
      <w:r w:rsidR="009119D6" w:rsidRPr="00E44D45">
        <w:rPr>
          <w:color w:val="000000" w:themeColor="text1"/>
        </w:rPr>
        <w:t xml:space="preserve"> changes in</w:t>
      </w:r>
      <w:r w:rsidR="00F260FD" w:rsidRPr="00E44D45">
        <w:rPr>
          <w:color w:val="000000" w:themeColor="text1"/>
        </w:rPr>
        <w:t xml:space="preserve"> sexual function also </w:t>
      </w:r>
      <w:r w:rsidR="001510B7" w:rsidRPr="00E44D45">
        <w:rPr>
          <w:color w:val="000000" w:themeColor="text1"/>
        </w:rPr>
        <w:t>decreases with age, so that the</w:t>
      </w:r>
      <w:r w:rsidR="005240D2" w:rsidRPr="00E44D45">
        <w:rPr>
          <w:color w:val="000000" w:themeColor="text1"/>
        </w:rPr>
        <w:t xml:space="preserve"> prevalence of </w:t>
      </w:r>
      <w:r w:rsidR="00D64A52" w:rsidRPr="00E44D45">
        <w:rPr>
          <w:color w:val="000000" w:themeColor="text1"/>
        </w:rPr>
        <w:t xml:space="preserve">HSDD is not </w:t>
      </w:r>
      <w:r w:rsidR="005240D2" w:rsidRPr="00E44D45">
        <w:rPr>
          <w:color w:val="000000" w:themeColor="text1"/>
        </w:rPr>
        <w:t>significantly higher</w:t>
      </w:r>
      <w:r w:rsidR="00D64A52" w:rsidRPr="00E44D45">
        <w:rPr>
          <w:color w:val="000000" w:themeColor="text1"/>
        </w:rPr>
        <w:t xml:space="preserve"> in naturally postmenopausal women tha</w:t>
      </w:r>
      <w:r w:rsidR="005B35A1" w:rsidRPr="00E44D45">
        <w:rPr>
          <w:color w:val="000000" w:themeColor="text1"/>
        </w:rPr>
        <w:t>n</w:t>
      </w:r>
      <w:r w:rsidR="00D64A52" w:rsidRPr="00E44D45">
        <w:rPr>
          <w:color w:val="000000" w:themeColor="text1"/>
        </w:rPr>
        <w:t xml:space="preserve"> in premenopausal women</w:t>
      </w:r>
      <w:r w:rsidR="00480B99" w:rsidRPr="00E44D45">
        <w:rPr>
          <w:color w:val="000000" w:themeColor="text1"/>
        </w:rPr>
        <w:t xml:space="preserve"> (</w:t>
      </w:r>
      <w:proofErr w:type="spellStart"/>
      <w:r w:rsidR="00480B99" w:rsidRPr="00E44D45">
        <w:rPr>
          <w:color w:val="000000" w:themeColor="text1"/>
        </w:rPr>
        <w:t>Leiblum</w:t>
      </w:r>
      <w:proofErr w:type="spellEnd"/>
      <w:r w:rsidR="00480B99" w:rsidRPr="00E44D45">
        <w:rPr>
          <w:color w:val="000000" w:themeColor="text1"/>
        </w:rPr>
        <w:t xml:space="preserve"> 2006, </w:t>
      </w:r>
      <w:proofErr w:type="spellStart"/>
      <w:r w:rsidR="00480B99" w:rsidRPr="00E44D45">
        <w:rPr>
          <w:color w:val="000000" w:themeColor="text1"/>
        </w:rPr>
        <w:t>Dennerstein</w:t>
      </w:r>
      <w:proofErr w:type="spellEnd"/>
      <w:r w:rsidR="00480B99" w:rsidRPr="00E44D45">
        <w:rPr>
          <w:color w:val="000000" w:themeColor="text1"/>
        </w:rPr>
        <w:t xml:space="preserve"> 2006)</w:t>
      </w:r>
      <w:r w:rsidR="008F74F3" w:rsidRPr="00E44D45">
        <w:rPr>
          <w:color w:val="000000" w:themeColor="text1"/>
        </w:rPr>
        <w:t xml:space="preserve">. </w:t>
      </w:r>
      <w:r w:rsidR="00D64A52" w:rsidRPr="003F3400">
        <w:rPr>
          <w:color w:val="000000" w:themeColor="text1"/>
        </w:rPr>
        <w:t>HSDD may be more prevalent in</w:t>
      </w:r>
      <w:r w:rsidR="008F74F3" w:rsidRPr="003F3400">
        <w:rPr>
          <w:color w:val="000000" w:themeColor="text1"/>
        </w:rPr>
        <w:t xml:space="preserve"> </w:t>
      </w:r>
      <w:r w:rsidR="00D64A52" w:rsidRPr="003F3400">
        <w:rPr>
          <w:color w:val="000000" w:themeColor="text1"/>
        </w:rPr>
        <w:t>women who have undergone surgical menopause</w:t>
      </w:r>
      <w:r w:rsidR="008F74F3" w:rsidRPr="003F3400">
        <w:rPr>
          <w:color w:val="000000" w:themeColor="text1"/>
        </w:rPr>
        <w:t>,</w:t>
      </w:r>
      <w:r w:rsidR="00D64A52" w:rsidRPr="003F3400">
        <w:rPr>
          <w:color w:val="000000" w:themeColor="text1"/>
        </w:rPr>
        <w:t xml:space="preserve"> but </w:t>
      </w:r>
      <w:r w:rsidR="008F74F3" w:rsidRPr="003F3400">
        <w:rPr>
          <w:color w:val="000000" w:themeColor="text1"/>
        </w:rPr>
        <w:t>the data do</w:t>
      </w:r>
      <w:r w:rsidR="00C35844" w:rsidRPr="003F3400">
        <w:rPr>
          <w:color w:val="000000" w:themeColor="text1"/>
        </w:rPr>
        <w:t xml:space="preserve"> not</w:t>
      </w:r>
      <w:r w:rsidR="00D64A52" w:rsidRPr="003F3400">
        <w:rPr>
          <w:color w:val="000000" w:themeColor="text1"/>
        </w:rPr>
        <w:t xml:space="preserve"> distinguish between the hormonal effects of surgical menopause and the effects of the condition which required surgery</w:t>
      </w:r>
      <w:r w:rsidR="008F74F3" w:rsidRPr="003F3400">
        <w:rPr>
          <w:color w:val="000000" w:themeColor="text1"/>
        </w:rPr>
        <w:t>.</w:t>
      </w:r>
    </w:p>
    <w:p w14:paraId="197DFDAD" w14:textId="4E1DC337" w:rsidR="008C28CE" w:rsidRPr="0011656D" w:rsidRDefault="008A15D7" w:rsidP="0011656D">
      <w:pPr>
        <w:pStyle w:val="3-BodyText"/>
        <w:rPr>
          <w:color w:val="000000" w:themeColor="text1"/>
        </w:rPr>
      </w:pPr>
      <w:bookmarkStart w:id="27" w:name="_Ref211783215"/>
      <w:r>
        <w:rPr>
          <w:color w:val="000000" w:themeColor="text1"/>
        </w:rPr>
        <w:t xml:space="preserve">Testosterone levels in women peak </w:t>
      </w:r>
      <w:r w:rsidR="005240D2">
        <w:rPr>
          <w:color w:val="000000" w:themeColor="text1"/>
        </w:rPr>
        <w:t xml:space="preserve">at </w:t>
      </w:r>
      <w:r w:rsidR="00A5145E">
        <w:rPr>
          <w:color w:val="000000" w:themeColor="text1"/>
        </w:rPr>
        <w:t xml:space="preserve">around </w:t>
      </w:r>
      <w:r w:rsidR="00C978AF">
        <w:rPr>
          <w:color w:val="000000" w:themeColor="text1"/>
        </w:rPr>
        <w:t xml:space="preserve">the </w:t>
      </w:r>
      <w:r w:rsidR="00A5145E">
        <w:rPr>
          <w:color w:val="000000" w:themeColor="text1"/>
        </w:rPr>
        <w:t xml:space="preserve">age </w:t>
      </w:r>
      <w:r w:rsidR="00C978AF">
        <w:rPr>
          <w:color w:val="000000" w:themeColor="text1"/>
        </w:rPr>
        <w:t xml:space="preserve">of </w:t>
      </w:r>
      <w:r w:rsidR="00A5145E">
        <w:rPr>
          <w:color w:val="000000" w:themeColor="text1"/>
        </w:rPr>
        <w:t>20</w:t>
      </w:r>
      <w:r>
        <w:rPr>
          <w:color w:val="000000" w:themeColor="text1"/>
        </w:rPr>
        <w:t xml:space="preserve"> </w:t>
      </w:r>
      <w:r w:rsidR="00C978AF">
        <w:rPr>
          <w:color w:val="000000" w:themeColor="text1"/>
        </w:rPr>
        <w:t xml:space="preserve">years </w:t>
      </w:r>
      <w:r>
        <w:rPr>
          <w:color w:val="000000" w:themeColor="text1"/>
        </w:rPr>
        <w:t xml:space="preserve">then decline </w:t>
      </w:r>
      <w:r w:rsidR="00A5145E">
        <w:rPr>
          <w:color w:val="000000" w:themeColor="text1"/>
        </w:rPr>
        <w:t>steadily</w:t>
      </w:r>
      <w:r w:rsidR="00D758D8">
        <w:rPr>
          <w:color w:val="000000" w:themeColor="text1"/>
        </w:rPr>
        <w:t xml:space="preserve"> to about half the peak level </w:t>
      </w:r>
      <w:r w:rsidR="0058212E">
        <w:rPr>
          <w:color w:val="000000" w:themeColor="text1"/>
        </w:rPr>
        <w:t>at around</w:t>
      </w:r>
      <w:r w:rsidR="00D758D8">
        <w:rPr>
          <w:color w:val="000000" w:themeColor="text1"/>
        </w:rPr>
        <w:t xml:space="preserve"> age 40</w:t>
      </w:r>
      <w:r>
        <w:rPr>
          <w:color w:val="000000" w:themeColor="text1"/>
        </w:rPr>
        <w:t>, after which they are stable.</w:t>
      </w:r>
      <w:r w:rsidR="00A5145E">
        <w:rPr>
          <w:rStyle w:val="FootnoteReference"/>
          <w:color w:val="000000" w:themeColor="text1"/>
        </w:rPr>
        <w:footnoteReference w:id="4"/>
      </w:r>
      <w:r>
        <w:rPr>
          <w:color w:val="000000" w:themeColor="text1"/>
        </w:rPr>
        <w:t xml:space="preserve"> Menopause is not associated with a decline in testosterone levels</w:t>
      </w:r>
      <w:r w:rsidR="001777A3">
        <w:rPr>
          <w:color w:val="000000" w:themeColor="text1"/>
        </w:rPr>
        <w:t>.</w:t>
      </w:r>
      <w:r w:rsidR="00761990">
        <w:rPr>
          <w:color w:val="000000" w:themeColor="text1"/>
        </w:rPr>
        <w:t xml:space="preserve"> </w:t>
      </w:r>
      <w:r w:rsidR="0011656D" w:rsidRPr="0011656D">
        <w:rPr>
          <w:color w:val="000000" w:themeColor="text1"/>
        </w:rPr>
        <w:t>Further, t</w:t>
      </w:r>
      <w:r w:rsidR="008C28CE" w:rsidRPr="0011656D">
        <w:rPr>
          <w:color w:val="000000" w:themeColor="text1"/>
        </w:rPr>
        <w:t>here is no evidence that the decrease in women's sexual function with age is related to the decline in testosterone levels over the reproductive years, or that deficiency of testosterone has any role in causation or severity of HSDD. For this reason, the</w:t>
      </w:r>
      <w:r w:rsidR="0011656D">
        <w:rPr>
          <w:color w:val="000000" w:themeColor="text1"/>
        </w:rPr>
        <w:t xml:space="preserve"> evaluation considered that the</w:t>
      </w:r>
      <w:r w:rsidR="008C28CE" w:rsidRPr="0011656D">
        <w:rPr>
          <w:color w:val="000000" w:themeColor="text1"/>
        </w:rPr>
        <w:t xml:space="preserve"> submission's description of testosterone 1% cream used for HSDD as "hormone replacement therapy" is unjustified.</w:t>
      </w:r>
      <w:bookmarkEnd w:id="27"/>
      <w:r w:rsidR="008C28CE" w:rsidRPr="0011656D">
        <w:rPr>
          <w:color w:val="000000" w:themeColor="text1"/>
        </w:rPr>
        <w:t xml:space="preserve"> </w:t>
      </w:r>
    </w:p>
    <w:p w14:paraId="1B54A66C" w14:textId="297831B4" w:rsidR="004710FB" w:rsidRDefault="00235395" w:rsidP="004E18E9">
      <w:pPr>
        <w:pStyle w:val="3-BodyText"/>
        <w:rPr>
          <w:color w:val="000000" w:themeColor="text1"/>
        </w:rPr>
      </w:pPr>
      <w:r>
        <w:rPr>
          <w:color w:val="000000" w:themeColor="text1"/>
        </w:rPr>
        <w:t>Application of e</w:t>
      </w:r>
      <w:r w:rsidR="000B00B8">
        <w:rPr>
          <w:color w:val="000000" w:themeColor="text1"/>
        </w:rPr>
        <w:t>xogenous</w:t>
      </w:r>
      <w:r w:rsidR="002065B0">
        <w:rPr>
          <w:color w:val="000000" w:themeColor="text1"/>
        </w:rPr>
        <w:t xml:space="preserve"> testosterone </w:t>
      </w:r>
      <w:r w:rsidR="008937AD">
        <w:rPr>
          <w:color w:val="000000" w:themeColor="text1"/>
        </w:rPr>
        <w:t xml:space="preserve">causes a dose-dependent </w:t>
      </w:r>
      <w:r w:rsidR="002065B0">
        <w:rPr>
          <w:color w:val="000000" w:themeColor="text1"/>
        </w:rPr>
        <w:t xml:space="preserve">increase </w:t>
      </w:r>
      <w:r w:rsidR="008937AD">
        <w:rPr>
          <w:color w:val="000000" w:themeColor="text1"/>
        </w:rPr>
        <w:t xml:space="preserve">in </w:t>
      </w:r>
      <w:r w:rsidR="002065B0">
        <w:rPr>
          <w:color w:val="000000" w:themeColor="text1"/>
        </w:rPr>
        <w:t>sexual interest</w:t>
      </w:r>
      <w:r w:rsidR="000B00B8">
        <w:rPr>
          <w:color w:val="000000" w:themeColor="text1"/>
        </w:rPr>
        <w:t xml:space="preserve"> in </w:t>
      </w:r>
      <w:r w:rsidR="003944A0">
        <w:rPr>
          <w:color w:val="000000" w:themeColor="text1"/>
        </w:rPr>
        <w:t>both hypogonadal</w:t>
      </w:r>
      <w:r w:rsidR="00565DEC">
        <w:rPr>
          <w:color w:val="000000" w:themeColor="text1"/>
        </w:rPr>
        <w:t xml:space="preserve"> </w:t>
      </w:r>
      <w:r w:rsidR="003944A0">
        <w:rPr>
          <w:color w:val="000000" w:themeColor="text1"/>
        </w:rPr>
        <w:t xml:space="preserve">and </w:t>
      </w:r>
      <w:proofErr w:type="spellStart"/>
      <w:r w:rsidR="003944A0">
        <w:rPr>
          <w:color w:val="000000" w:themeColor="text1"/>
        </w:rPr>
        <w:t>eugonadal</w:t>
      </w:r>
      <w:proofErr w:type="spellEnd"/>
      <w:r w:rsidR="003944A0">
        <w:rPr>
          <w:color w:val="000000" w:themeColor="text1"/>
        </w:rPr>
        <w:t xml:space="preserve"> men</w:t>
      </w:r>
      <w:r w:rsidR="00565DEC">
        <w:rPr>
          <w:color w:val="000000" w:themeColor="text1"/>
        </w:rPr>
        <w:t xml:space="preserve"> </w:t>
      </w:r>
      <w:r w:rsidR="003944A0">
        <w:rPr>
          <w:color w:val="000000" w:themeColor="text1"/>
        </w:rPr>
        <w:t>and in</w:t>
      </w:r>
      <w:r w:rsidR="000B00B8">
        <w:rPr>
          <w:color w:val="000000" w:themeColor="text1"/>
        </w:rPr>
        <w:t xml:space="preserve"> transgender men</w:t>
      </w:r>
      <w:r w:rsidR="00565DEC">
        <w:rPr>
          <w:color w:val="000000" w:themeColor="text1"/>
        </w:rPr>
        <w:t xml:space="preserve"> - i.e., regardless of whether there is testosterone deficiency</w:t>
      </w:r>
      <w:r w:rsidR="002065B0">
        <w:rPr>
          <w:color w:val="000000" w:themeColor="text1"/>
        </w:rPr>
        <w:t>.</w:t>
      </w:r>
      <w:r w:rsidR="000B00B8">
        <w:rPr>
          <w:color w:val="000000" w:themeColor="text1"/>
        </w:rPr>
        <w:t xml:space="preserve"> For this reason,</w:t>
      </w:r>
      <w:r w:rsidR="003944A0">
        <w:rPr>
          <w:color w:val="000000" w:themeColor="text1"/>
        </w:rPr>
        <w:t xml:space="preserve"> </w:t>
      </w:r>
      <w:r w:rsidR="000B00B8">
        <w:rPr>
          <w:color w:val="000000" w:themeColor="text1"/>
        </w:rPr>
        <w:t>testosterone</w:t>
      </w:r>
      <w:r w:rsidR="003944A0">
        <w:rPr>
          <w:color w:val="000000" w:themeColor="text1"/>
        </w:rPr>
        <w:t xml:space="preserve"> </w:t>
      </w:r>
      <w:r w:rsidR="008937AD">
        <w:rPr>
          <w:color w:val="000000" w:themeColor="text1"/>
        </w:rPr>
        <w:t>m</w:t>
      </w:r>
      <w:r w:rsidR="00565DEC">
        <w:rPr>
          <w:color w:val="000000" w:themeColor="text1"/>
        </w:rPr>
        <w:t>ay</w:t>
      </w:r>
      <w:r w:rsidR="008937AD">
        <w:rPr>
          <w:color w:val="000000" w:themeColor="text1"/>
        </w:rPr>
        <w:t xml:space="preserve"> </w:t>
      </w:r>
      <w:r w:rsidR="003944A0">
        <w:rPr>
          <w:color w:val="000000" w:themeColor="text1"/>
        </w:rPr>
        <w:t>benefit</w:t>
      </w:r>
      <w:r w:rsidR="000B00B8">
        <w:rPr>
          <w:color w:val="000000" w:themeColor="text1"/>
        </w:rPr>
        <w:t xml:space="preserve"> women with distress caused by low sexual interest</w:t>
      </w:r>
      <w:r w:rsidR="00565DEC">
        <w:rPr>
          <w:color w:val="000000" w:themeColor="text1"/>
        </w:rPr>
        <w:t xml:space="preserve">, although testosterone deficiency </w:t>
      </w:r>
      <w:r w:rsidR="00B46D62">
        <w:rPr>
          <w:color w:val="000000" w:themeColor="text1"/>
        </w:rPr>
        <w:t>does not appear to be</w:t>
      </w:r>
      <w:r w:rsidR="00565DEC">
        <w:rPr>
          <w:color w:val="000000" w:themeColor="text1"/>
        </w:rPr>
        <w:t xml:space="preserve"> the cause of the low sexual interest</w:t>
      </w:r>
      <w:r w:rsidR="003944A0">
        <w:rPr>
          <w:color w:val="000000" w:themeColor="text1"/>
        </w:rPr>
        <w:t>.</w:t>
      </w:r>
      <w:r w:rsidR="00565DEC">
        <w:rPr>
          <w:color w:val="000000" w:themeColor="text1"/>
        </w:rPr>
        <w:t xml:space="preserve"> </w:t>
      </w:r>
      <w:r w:rsidR="003944A0">
        <w:rPr>
          <w:color w:val="000000" w:themeColor="text1"/>
        </w:rPr>
        <w:t xml:space="preserve"> </w:t>
      </w:r>
    </w:p>
    <w:p w14:paraId="19EABD55" w14:textId="77777777" w:rsidR="007D5CDF" w:rsidRPr="007D5CDF" w:rsidRDefault="00947312" w:rsidP="004E18E9">
      <w:pPr>
        <w:pStyle w:val="3-BodyText"/>
        <w:rPr>
          <w:color w:val="000000" w:themeColor="text1"/>
        </w:rPr>
      </w:pPr>
      <w:r>
        <w:rPr>
          <w:color w:val="000000" w:themeColor="text1"/>
        </w:rPr>
        <w:t>This applies equally to premenopausal and postmenopausal women.</w:t>
      </w:r>
      <w:r w:rsidR="004710FB">
        <w:rPr>
          <w:color w:val="000000" w:themeColor="text1"/>
        </w:rPr>
        <w:t xml:space="preserve"> T</w:t>
      </w:r>
      <w:r w:rsidR="004710FB">
        <w:t>here have been two trials of testosterone in premenopausal women with low sexual desire, and one trial of testosterone in women taking selective serotonin reuptake inhibitors</w:t>
      </w:r>
      <w:r w:rsidR="00522F1F">
        <w:t xml:space="preserve"> (</w:t>
      </w:r>
      <w:r w:rsidR="00062B86">
        <w:t>S</w:t>
      </w:r>
      <w:r w:rsidR="00522F1F">
        <w:t>SRI</w:t>
      </w:r>
      <w:r w:rsidR="00062B86">
        <w:t>s</w:t>
      </w:r>
      <w:r w:rsidR="004710FB">
        <w:t>) or serotonin noradrenaline reuptake inhibitors</w:t>
      </w:r>
      <w:r w:rsidR="00062B86">
        <w:t xml:space="preserve"> (SNRIs</w:t>
      </w:r>
      <w:r w:rsidR="004710FB">
        <w:t xml:space="preserve">) and low sexual desire in which 77% of patients were premenopausal. </w:t>
      </w:r>
    </w:p>
    <w:p w14:paraId="7730766F" w14:textId="1A733475" w:rsidR="00CD5EE1" w:rsidRDefault="004710FB" w:rsidP="000E006F">
      <w:pPr>
        <w:pStyle w:val="3-BodyText"/>
        <w:numPr>
          <w:ilvl w:val="0"/>
          <w:numId w:val="16"/>
        </w:numPr>
      </w:pPr>
      <w:proofErr w:type="spellStart"/>
      <w:r>
        <w:lastRenderedPageBreak/>
        <w:t>Goldstat</w:t>
      </w:r>
      <w:proofErr w:type="spellEnd"/>
      <w:r>
        <w:t xml:space="preserve"> (2003) reported strongly positive effects of testosterone treatment on sexual interest and satisfaction, and on well-being in 34</w:t>
      </w:r>
      <w:r w:rsidR="009C7450">
        <w:t xml:space="preserve"> premenopausal</w:t>
      </w:r>
      <w:r>
        <w:t xml:space="preserve"> women who had low libido but not necessarily HSDD. </w:t>
      </w:r>
    </w:p>
    <w:p w14:paraId="50E60903" w14:textId="03178DCD" w:rsidR="00CD5EE1" w:rsidRDefault="004710FB" w:rsidP="000E006F">
      <w:pPr>
        <w:pStyle w:val="3-BodyText"/>
        <w:numPr>
          <w:ilvl w:val="0"/>
          <w:numId w:val="16"/>
        </w:numPr>
      </w:pPr>
      <w:r>
        <w:t xml:space="preserve">Davis et al studied three doses of testosterone in 261 </w:t>
      </w:r>
      <w:r w:rsidR="009C7450">
        <w:t xml:space="preserve">premenopausal </w:t>
      </w:r>
      <w:r>
        <w:t xml:space="preserve">women with a decrease in satisfying sexual activity, finding increases in the frequency of satisfying sexual events </w:t>
      </w:r>
      <w:r w:rsidR="003E3523">
        <w:t>that</w:t>
      </w:r>
      <w:r>
        <w:t xml:space="preserve"> were </w:t>
      </w:r>
      <w:proofErr w:type="gramStart"/>
      <w:r>
        <w:t>similar to</w:t>
      </w:r>
      <w:proofErr w:type="gramEnd"/>
      <w:r>
        <w:t xml:space="preserve"> those seen in postmenopausal women but did not</w:t>
      </w:r>
      <w:r w:rsidR="00C11856">
        <w:t xml:space="preserve"> show a within</w:t>
      </w:r>
      <w:r w:rsidR="00187A95">
        <w:t>-</w:t>
      </w:r>
      <w:r w:rsidR="00C11856">
        <w:t>trial comparative benefit</w:t>
      </w:r>
      <w:r>
        <w:t xml:space="preserve"> because the placebo response was larger than in postmenopausal women.</w:t>
      </w:r>
      <w:r w:rsidR="00EF1A6A">
        <w:rPr>
          <w:rStyle w:val="FootnoteReference"/>
        </w:rPr>
        <w:footnoteReference w:id="5"/>
      </w:r>
      <w:r>
        <w:t xml:space="preserve"> </w:t>
      </w:r>
    </w:p>
    <w:p w14:paraId="238CB292" w14:textId="77777777" w:rsidR="00CD5EE1" w:rsidRDefault="004710FB" w:rsidP="000E006F">
      <w:pPr>
        <w:pStyle w:val="3-BodyText"/>
        <w:numPr>
          <w:ilvl w:val="0"/>
          <w:numId w:val="16"/>
        </w:numPr>
      </w:pPr>
      <w:proofErr w:type="spellStart"/>
      <w:r>
        <w:t>Fooladi</w:t>
      </w:r>
      <w:proofErr w:type="spellEnd"/>
      <w:r>
        <w:t xml:space="preserve"> (2014) enrolled 44 women </w:t>
      </w:r>
      <w:r w:rsidR="008C28CE">
        <w:t>taking SSRI or SNRI; the</w:t>
      </w:r>
      <w:r>
        <w:t xml:space="preserve"> mean age </w:t>
      </w:r>
      <w:r w:rsidR="008C28CE">
        <w:t>was</w:t>
      </w:r>
      <w:r>
        <w:t xml:space="preserve"> 48</w:t>
      </w:r>
      <w:r w:rsidR="008C28CE">
        <w:t xml:space="preserve"> and</w:t>
      </w:r>
      <w:r>
        <w:t xml:space="preserve"> 77% were premenopausal</w:t>
      </w:r>
      <w:r w:rsidR="008C28CE">
        <w:t>; there was</w:t>
      </w:r>
      <w:r>
        <w:t xml:space="preserve"> an increase in sexual interest and in the frequency of sexually satisfying events, but only the increase in the frequency of sexually satisfying events was statistically significant because the placebo response was large. </w:t>
      </w:r>
    </w:p>
    <w:p w14:paraId="35F59EF7" w14:textId="39A7A8EC" w:rsidR="004710FB" w:rsidRPr="004710FB" w:rsidRDefault="004710FB" w:rsidP="007D5CDF">
      <w:pPr>
        <w:pStyle w:val="3-BodyText"/>
        <w:numPr>
          <w:ilvl w:val="0"/>
          <w:numId w:val="0"/>
        </w:numPr>
        <w:ind w:left="720"/>
        <w:rPr>
          <w:color w:val="000000" w:themeColor="text1"/>
        </w:rPr>
      </w:pPr>
      <w:r>
        <w:t xml:space="preserve">These trials </w:t>
      </w:r>
      <w:r w:rsidR="00FC505D">
        <w:t>were</w:t>
      </w:r>
      <w:r>
        <w:t xml:space="preserve"> interpreted</w:t>
      </w:r>
      <w:r w:rsidR="00FC505D">
        <w:t xml:space="preserve"> by the evaluation</w:t>
      </w:r>
      <w:r>
        <w:t xml:space="preserve"> as unconvincing evidence of efficacy in premenopausal women, and use of testosterone in premenopausal women also carries a risk of adverse effects on the foetus in the event of pregnancy during treatment.</w:t>
      </w:r>
    </w:p>
    <w:p w14:paraId="7FBF518E" w14:textId="390965CE" w:rsidR="0058212E" w:rsidRPr="00BA7F7F" w:rsidRDefault="003D7A2C" w:rsidP="004E18E9">
      <w:pPr>
        <w:pStyle w:val="3-BodyText"/>
        <w:rPr>
          <w:color w:val="0066FF"/>
        </w:rPr>
      </w:pPr>
      <w:r w:rsidRPr="003D7A2C">
        <w:rPr>
          <w:color w:val="000000" w:themeColor="text1"/>
        </w:rPr>
        <w:t>The proposed management algorithm</w:t>
      </w:r>
      <w:r w:rsidR="00AF0B93">
        <w:rPr>
          <w:color w:val="000000" w:themeColor="text1"/>
        </w:rPr>
        <w:t xml:space="preserve"> in the submission</w:t>
      </w:r>
      <w:r w:rsidR="0080063F">
        <w:rPr>
          <w:color w:val="000000" w:themeColor="text1"/>
        </w:rPr>
        <w:t xml:space="preserve"> </w:t>
      </w:r>
      <w:r>
        <w:rPr>
          <w:color w:val="000000" w:themeColor="text1"/>
        </w:rPr>
        <w:t>places testosterone after the treatment of modifiable psychosocial factors and</w:t>
      </w:r>
      <w:r w:rsidR="0080063F">
        <w:rPr>
          <w:color w:val="000000" w:themeColor="text1"/>
        </w:rPr>
        <w:t xml:space="preserve"> </w:t>
      </w:r>
      <w:r>
        <w:rPr>
          <w:color w:val="000000" w:themeColor="text1"/>
        </w:rPr>
        <w:t xml:space="preserve">a trial of </w:t>
      </w:r>
      <w:r w:rsidR="00553842">
        <w:rPr>
          <w:color w:val="000000" w:themeColor="text1"/>
        </w:rPr>
        <w:t xml:space="preserve">estrogen </w:t>
      </w:r>
      <w:r w:rsidR="00553842">
        <w:rPr>
          <w:color w:val="000000" w:themeColor="text1"/>
        </w:rPr>
        <w:sym w:font="Symbol" w:char="F0B1"/>
      </w:r>
      <w:r w:rsidR="00553842">
        <w:rPr>
          <w:color w:val="000000" w:themeColor="text1"/>
        </w:rPr>
        <w:t xml:space="preserve"> progestogen</w:t>
      </w:r>
      <w:r w:rsidR="00E37D65">
        <w:rPr>
          <w:color w:val="000000" w:themeColor="text1"/>
        </w:rPr>
        <w:t xml:space="preserve"> </w:t>
      </w:r>
      <w:r w:rsidR="0080063F">
        <w:rPr>
          <w:color w:val="000000" w:themeColor="text1"/>
        </w:rPr>
        <w:t>if there are</w:t>
      </w:r>
      <w:r w:rsidR="00E37D65">
        <w:rPr>
          <w:color w:val="000000" w:themeColor="text1"/>
        </w:rPr>
        <w:t xml:space="preserve"> symptoms of the </w:t>
      </w:r>
      <w:r w:rsidR="004D0212">
        <w:rPr>
          <w:color w:val="000000" w:themeColor="text1"/>
        </w:rPr>
        <w:t>g</w:t>
      </w:r>
      <w:r w:rsidR="00E37D65">
        <w:rPr>
          <w:color w:val="000000" w:themeColor="text1"/>
        </w:rPr>
        <w:t xml:space="preserve">enitourinary </w:t>
      </w:r>
      <w:r w:rsidR="004D0212">
        <w:rPr>
          <w:color w:val="000000" w:themeColor="text1"/>
        </w:rPr>
        <w:t>s</w:t>
      </w:r>
      <w:r w:rsidR="00E37D65">
        <w:rPr>
          <w:color w:val="000000" w:themeColor="text1"/>
        </w:rPr>
        <w:t xml:space="preserve">yndrome of </w:t>
      </w:r>
      <w:r w:rsidR="004D0212">
        <w:rPr>
          <w:color w:val="000000" w:themeColor="text1"/>
        </w:rPr>
        <w:t>m</w:t>
      </w:r>
      <w:r w:rsidR="00E37D65">
        <w:rPr>
          <w:color w:val="000000" w:themeColor="text1"/>
        </w:rPr>
        <w:t>enopause</w:t>
      </w:r>
      <w:r w:rsidR="0039672F">
        <w:rPr>
          <w:color w:val="000000" w:themeColor="text1"/>
        </w:rPr>
        <w:t xml:space="preserve">. </w:t>
      </w:r>
      <w:r w:rsidR="00553842">
        <w:rPr>
          <w:color w:val="000000" w:themeColor="text1"/>
        </w:rPr>
        <w:t>The algorithm requires measurement of serum testosterone before treatment is initiated because it considers that a high normal level is a contraindication to testosterone treatment of H</w:t>
      </w:r>
      <w:r w:rsidR="00D758D8">
        <w:rPr>
          <w:color w:val="000000" w:themeColor="text1"/>
        </w:rPr>
        <w:t>S</w:t>
      </w:r>
      <w:r w:rsidR="00553842">
        <w:rPr>
          <w:color w:val="000000" w:themeColor="text1"/>
        </w:rPr>
        <w:t>DD</w:t>
      </w:r>
      <w:r w:rsidR="0024218D">
        <w:rPr>
          <w:color w:val="000000" w:themeColor="text1"/>
        </w:rPr>
        <w:t xml:space="preserve"> (it is not stated, but this is presumably to minimise the risk of unwanted androgenic effects</w:t>
      </w:r>
      <w:r w:rsidR="00260DF8">
        <w:rPr>
          <w:color w:val="000000" w:themeColor="text1"/>
        </w:rPr>
        <w:t>, since it is stated that the level of serum testosterone is not a diagnostic criterion for HSDD</w:t>
      </w:r>
      <w:r w:rsidR="007F6AC8">
        <w:rPr>
          <w:color w:val="000000" w:themeColor="text1"/>
        </w:rPr>
        <w:t xml:space="preserve"> (</w:t>
      </w:r>
      <w:r w:rsidR="007F6AC8" w:rsidRPr="007978F0">
        <w:rPr>
          <w:color w:val="000000" w:themeColor="text1"/>
        </w:rPr>
        <w:t xml:space="preserve">paragraph </w:t>
      </w:r>
      <w:r w:rsidR="007F6AC8" w:rsidRPr="007978F0">
        <w:rPr>
          <w:color w:val="000000" w:themeColor="text1"/>
        </w:rPr>
        <w:fldChar w:fldCharType="begin"/>
      </w:r>
      <w:r w:rsidR="007F6AC8" w:rsidRPr="007978F0">
        <w:rPr>
          <w:color w:val="000000" w:themeColor="text1"/>
        </w:rPr>
        <w:instrText xml:space="preserve"> REF _Ref211783215 \r \h  \* MERGEFORMAT </w:instrText>
      </w:r>
      <w:r w:rsidR="007F6AC8" w:rsidRPr="007978F0">
        <w:rPr>
          <w:color w:val="000000" w:themeColor="text1"/>
        </w:rPr>
      </w:r>
      <w:r w:rsidR="007F6AC8" w:rsidRPr="007978F0">
        <w:rPr>
          <w:color w:val="000000" w:themeColor="text1"/>
        </w:rPr>
        <w:fldChar w:fldCharType="separate"/>
      </w:r>
      <w:r w:rsidR="00374A89">
        <w:rPr>
          <w:color w:val="000000" w:themeColor="text1"/>
        </w:rPr>
        <w:t>4.7</w:t>
      </w:r>
      <w:r w:rsidR="007F6AC8" w:rsidRPr="007978F0">
        <w:rPr>
          <w:color w:val="000000" w:themeColor="text1"/>
        </w:rPr>
        <w:fldChar w:fldCharType="end"/>
      </w:r>
      <w:r w:rsidR="007F6AC8">
        <w:rPr>
          <w:color w:val="000000" w:themeColor="text1"/>
        </w:rPr>
        <w:t>)</w:t>
      </w:r>
      <w:r w:rsidR="0024218D">
        <w:rPr>
          <w:color w:val="000000" w:themeColor="text1"/>
        </w:rPr>
        <w:t>)</w:t>
      </w:r>
      <w:r w:rsidR="00553842">
        <w:rPr>
          <w:color w:val="000000" w:themeColor="text1"/>
        </w:rPr>
        <w:t xml:space="preserve">. </w:t>
      </w:r>
      <w:r w:rsidR="00553842" w:rsidRPr="0095743C">
        <w:rPr>
          <w:color w:val="000000" w:themeColor="text1"/>
        </w:rPr>
        <w:t>Th</w:t>
      </w:r>
      <w:r w:rsidR="0095743C">
        <w:rPr>
          <w:color w:val="000000" w:themeColor="text1"/>
        </w:rPr>
        <w:t xml:space="preserve">e evaluation </w:t>
      </w:r>
      <w:r w:rsidR="00A6057F">
        <w:rPr>
          <w:color w:val="000000" w:themeColor="text1"/>
        </w:rPr>
        <w:t>noted</w:t>
      </w:r>
      <w:r w:rsidR="0095743C">
        <w:rPr>
          <w:color w:val="000000" w:themeColor="text1"/>
        </w:rPr>
        <w:t xml:space="preserve"> that this was</w:t>
      </w:r>
      <w:r w:rsidR="00553842" w:rsidRPr="0095743C">
        <w:rPr>
          <w:color w:val="000000" w:themeColor="text1"/>
        </w:rPr>
        <w:t xml:space="preserve"> not consistent with the proposed restriction</w:t>
      </w:r>
      <w:r w:rsidR="00A6057F">
        <w:rPr>
          <w:color w:val="000000" w:themeColor="text1"/>
        </w:rPr>
        <w:t xml:space="preserve"> because</w:t>
      </w:r>
      <w:r w:rsidR="003537F0">
        <w:rPr>
          <w:color w:val="000000" w:themeColor="text1"/>
        </w:rPr>
        <w:t xml:space="preserve"> the restriction does not require</w:t>
      </w:r>
      <w:r w:rsidR="00A6057F">
        <w:rPr>
          <w:color w:val="000000" w:themeColor="text1"/>
        </w:rPr>
        <w:t xml:space="preserve"> </w:t>
      </w:r>
      <w:r w:rsidR="006E4A73">
        <w:rPr>
          <w:color w:val="000000" w:themeColor="text1"/>
        </w:rPr>
        <w:t>serum testosterone</w:t>
      </w:r>
      <w:r w:rsidR="003537F0">
        <w:rPr>
          <w:color w:val="000000" w:themeColor="text1"/>
        </w:rPr>
        <w:t xml:space="preserve"> to be tested before initiation, only </w:t>
      </w:r>
      <w:r w:rsidR="00B424DF">
        <w:rPr>
          <w:color w:val="000000" w:themeColor="text1"/>
        </w:rPr>
        <w:t>3-6 weeks after initiation</w:t>
      </w:r>
      <w:r w:rsidR="00553842" w:rsidRPr="0095743C">
        <w:rPr>
          <w:color w:val="000000" w:themeColor="text1"/>
        </w:rPr>
        <w:t xml:space="preserve">. </w:t>
      </w:r>
    </w:p>
    <w:p w14:paraId="58E93D32" w14:textId="5BDA7FF7" w:rsidR="00BA7F7F" w:rsidRPr="00BA7F7F" w:rsidRDefault="00BA7F7F" w:rsidP="00BA7F7F">
      <w:pPr>
        <w:pStyle w:val="3-BodyText"/>
        <w:numPr>
          <w:ilvl w:val="0"/>
          <w:numId w:val="0"/>
        </w:numPr>
        <w:ind w:left="720"/>
        <w:rPr>
          <w:i/>
          <w:iCs/>
        </w:rPr>
      </w:pPr>
      <w:r w:rsidRPr="00BA7F7F">
        <w:rPr>
          <w:i/>
          <w:iCs/>
        </w:rPr>
        <w:t>For more detail on PBAC’s view, see section 7 PBAC outcome.</w:t>
      </w:r>
    </w:p>
    <w:p w14:paraId="51E5AE96" w14:textId="136A63B1" w:rsidR="00B50DB8" w:rsidRPr="0095743C" w:rsidRDefault="00B50DB8" w:rsidP="004E18E9">
      <w:pPr>
        <w:pStyle w:val="2-SectionHeading"/>
      </w:pPr>
      <w:bookmarkStart w:id="28" w:name="_Toc208926777"/>
      <w:r w:rsidRPr="0095743C">
        <w:t>Comparator</w:t>
      </w:r>
      <w:bookmarkEnd w:id="28"/>
    </w:p>
    <w:p w14:paraId="20D93872" w14:textId="4A5D725D" w:rsidR="004808A1" w:rsidRPr="0095743C" w:rsidRDefault="004808A1" w:rsidP="00882E3C">
      <w:pPr>
        <w:pStyle w:val="3-BodyText"/>
      </w:pPr>
      <w:r w:rsidRPr="0095743C">
        <w:rPr>
          <w:color w:val="000000" w:themeColor="text1"/>
        </w:rPr>
        <w:t>The submission nominated placebo as comparator. Th</w:t>
      </w:r>
      <w:r w:rsidR="0095743C">
        <w:rPr>
          <w:color w:val="000000" w:themeColor="text1"/>
        </w:rPr>
        <w:t>e evaluation considered that th</w:t>
      </w:r>
      <w:r w:rsidRPr="0095743C">
        <w:rPr>
          <w:color w:val="000000" w:themeColor="text1"/>
        </w:rPr>
        <w:t>is was not appropriate</w:t>
      </w:r>
      <w:r w:rsidR="0078705F" w:rsidRPr="0095743C">
        <w:rPr>
          <w:color w:val="000000" w:themeColor="text1"/>
        </w:rPr>
        <w:t>; see paragraph</w:t>
      </w:r>
      <w:r w:rsidR="009B5E5B">
        <w:rPr>
          <w:color w:val="000000" w:themeColor="text1"/>
        </w:rPr>
        <w:t>s</w:t>
      </w:r>
      <w:r w:rsidR="0078705F" w:rsidRPr="0095743C">
        <w:rPr>
          <w:color w:val="000000" w:themeColor="text1"/>
        </w:rPr>
        <w:t xml:space="preserve"> </w:t>
      </w:r>
      <w:r w:rsidR="00B9139D" w:rsidRPr="0095743C">
        <w:rPr>
          <w:color w:val="000000" w:themeColor="text1"/>
        </w:rPr>
        <w:fldChar w:fldCharType="begin"/>
      </w:r>
      <w:r w:rsidR="00B9139D" w:rsidRPr="0095743C">
        <w:rPr>
          <w:color w:val="000000" w:themeColor="text1"/>
        </w:rPr>
        <w:instrText xml:space="preserve"> REF _Ref208484999 \r \h  \* MERGEFORMAT </w:instrText>
      </w:r>
      <w:r w:rsidR="00B9139D" w:rsidRPr="0095743C">
        <w:rPr>
          <w:color w:val="000000" w:themeColor="text1"/>
        </w:rPr>
      </w:r>
      <w:r w:rsidR="00B9139D" w:rsidRPr="0095743C">
        <w:rPr>
          <w:color w:val="000000" w:themeColor="text1"/>
        </w:rPr>
        <w:fldChar w:fldCharType="separate"/>
      </w:r>
      <w:r w:rsidR="00374A89">
        <w:rPr>
          <w:color w:val="000000" w:themeColor="text1"/>
        </w:rPr>
        <w:t>5.4</w:t>
      </w:r>
      <w:r w:rsidR="00B9139D" w:rsidRPr="0095743C">
        <w:rPr>
          <w:color w:val="000000" w:themeColor="text1"/>
        </w:rPr>
        <w:fldChar w:fldCharType="end"/>
      </w:r>
      <w:r w:rsidR="009B5E5B">
        <w:rPr>
          <w:color w:val="000000" w:themeColor="text1"/>
        </w:rPr>
        <w:t xml:space="preserve"> to </w:t>
      </w:r>
      <w:r w:rsidR="009B5E5B">
        <w:rPr>
          <w:color w:val="000000" w:themeColor="text1"/>
        </w:rPr>
        <w:fldChar w:fldCharType="begin"/>
      </w:r>
      <w:r w:rsidR="009B5E5B">
        <w:rPr>
          <w:color w:val="000000" w:themeColor="text1"/>
        </w:rPr>
        <w:instrText xml:space="preserve"> REF _Ref211798244 \r \h </w:instrText>
      </w:r>
      <w:r w:rsidR="009B5E5B">
        <w:rPr>
          <w:color w:val="000000" w:themeColor="text1"/>
        </w:rPr>
      </w:r>
      <w:r w:rsidR="009B5E5B">
        <w:rPr>
          <w:color w:val="000000" w:themeColor="text1"/>
        </w:rPr>
        <w:fldChar w:fldCharType="separate"/>
      </w:r>
      <w:r w:rsidR="00374A89">
        <w:rPr>
          <w:color w:val="000000" w:themeColor="text1"/>
        </w:rPr>
        <w:t>5.7</w:t>
      </w:r>
      <w:r w:rsidR="009B5E5B">
        <w:rPr>
          <w:color w:val="000000" w:themeColor="text1"/>
        </w:rPr>
        <w:fldChar w:fldCharType="end"/>
      </w:r>
      <w:r w:rsidR="0078705F" w:rsidRPr="0095743C">
        <w:rPr>
          <w:color w:val="000000" w:themeColor="text1"/>
        </w:rPr>
        <w:t xml:space="preserve"> below.</w:t>
      </w:r>
    </w:p>
    <w:p w14:paraId="3B36FEC9" w14:textId="26DB7DE0" w:rsidR="00FE4AF8" w:rsidRDefault="00FE4AF8" w:rsidP="000A63A6">
      <w:pPr>
        <w:pStyle w:val="3-BodyText"/>
        <w:keepNext/>
        <w:keepLines/>
      </w:pPr>
      <w:r>
        <w:lastRenderedPageBreak/>
        <w:t xml:space="preserve">The following topical testosterone products are available on the PBS for men as Authority listings, requiring </w:t>
      </w:r>
      <w:r w:rsidR="00F653D1">
        <w:t xml:space="preserve">non-GP </w:t>
      </w:r>
      <w:r>
        <w:t>specialist treatment and prescription</w:t>
      </w:r>
      <w:r w:rsidR="00F653D1">
        <w:t xml:space="preserve"> (or consultation with)</w:t>
      </w:r>
      <w:r>
        <w:t>:</w:t>
      </w:r>
    </w:p>
    <w:p w14:paraId="47D944DA" w14:textId="77777777" w:rsidR="00FE4AF8" w:rsidRDefault="00FE4AF8" w:rsidP="000E006F">
      <w:pPr>
        <w:pStyle w:val="3-BodyText"/>
        <w:keepNext/>
        <w:keepLines/>
        <w:numPr>
          <w:ilvl w:val="2"/>
          <w:numId w:val="8"/>
        </w:numPr>
        <w:spacing w:after="0"/>
        <w:ind w:left="1077" w:hanging="357"/>
      </w:pPr>
      <w:r>
        <w:t>Testosterone 5% (</w:t>
      </w:r>
      <w:proofErr w:type="spellStart"/>
      <w:r>
        <w:t>AndroForte</w:t>
      </w:r>
      <w:proofErr w:type="spellEnd"/>
      <w:r>
        <w:t xml:space="preserve"> 5®)</w:t>
      </w:r>
    </w:p>
    <w:p w14:paraId="7533453F" w14:textId="77777777" w:rsidR="00FE4AF8" w:rsidRDefault="00FE4AF8" w:rsidP="000E006F">
      <w:pPr>
        <w:pStyle w:val="3-BodyText"/>
        <w:keepNext/>
        <w:keepLines/>
        <w:numPr>
          <w:ilvl w:val="0"/>
          <w:numId w:val="10"/>
        </w:numPr>
        <w:spacing w:after="0"/>
      </w:pPr>
      <w:r>
        <w:t>50 mg/mL cream, 50 mL</w:t>
      </w:r>
    </w:p>
    <w:p w14:paraId="45DAB09A" w14:textId="77777777" w:rsidR="006B1FF2" w:rsidRDefault="006B1FF2" w:rsidP="006B1FF2">
      <w:pPr>
        <w:pStyle w:val="3-BodyText"/>
        <w:keepNext/>
        <w:keepLines/>
        <w:numPr>
          <w:ilvl w:val="2"/>
          <w:numId w:val="8"/>
        </w:numPr>
        <w:spacing w:after="0"/>
        <w:ind w:left="1077" w:hanging="357"/>
      </w:pPr>
      <w:r>
        <w:t>Testosterone 2% (</w:t>
      </w:r>
      <w:proofErr w:type="spellStart"/>
      <w:r>
        <w:t>Testavan</w:t>
      </w:r>
      <w:proofErr w:type="spellEnd"/>
      <w:r>
        <w:t>®)</w:t>
      </w:r>
    </w:p>
    <w:p w14:paraId="469017A8" w14:textId="695949AF" w:rsidR="006B1FF2" w:rsidRDefault="006B1FF2" w:rsidP="00E5496D">
      <w:pPr>
        <w:pStyle w:val="3-BodyText"/>
        <w:keepNext/>
        <w:keepLines/>
        <w:numPr>
          <w:ilvl w:val="0"/>
          <w:numId w:val="10"/>
        </w:numPr>
        <w:spacing w:after="0"/>
      </w:pPr>
      <w:r>
        <w:t>23 mg/actuation gel, 56 actuations</w:t>
      </w:r>
    </w:p>
    <w:p w14:paraId="4AF46ADC" w14:textId="39BDEF3F" w:rsidR="00FE4AF8" w:rsidRDefault="00FE4AF8" w:rsidP="000E006F">
      <w:pPr>
        <w:pStyle w:val="3-BodyText"/>
        <w:keepNext/>
        <w:keepLines/>
        <w:numPr>
          <w:ilvl w:val="2"/>
          <w:numId w:val="8"/>
        </w:numPr>
        <w:spacing w:after="0"/>
        <w:ind w:left="1077" w:hanging="357"/>
      </w:pPr>
      <w:r>
        <w:t>Testosterone 1% (</w:t>
      </w:r>
      <w:proofErr w:type="spellStart"/>
      <w:r>
        <w:t>Testogel</w:t>
      </w:r>
      <w:proofErr w:type="spellEnd"/>
      <w:r>
        <w:t>®)</w:t>
      </w:r>
    </w:p>
    <w:p w14:paraId="1DB46632" w14:textId="77777777" w:rsidR="00FE4AF8" w:rsidRDefault="00FE4AF8" w:rsidP="000E006F">
      <w:pPr>
        <w:pStyle w:val="3-BodyText"/>
        <w:keepNext/>
        <w:keepLines/>
        <w:numPr>
          <w:ilvl w:val="0"/>
          <w:numId w:val="10"/>
        </w:numPr>
        <w:spacing w:after="0"/>
      </w:pPr>
      <w:r>
        <w:t xml:space="preserve">12.5 mg/actuation gel, 2 </w:t>
      </w:r>
      <w:r>
        <w:rPr>
          <w:rFonts w:cstheme="minorHAnsi"/>
        </w:rPr>
        <w:t xml:space="preserve">× </w:t>
      </w:r>
      <w:r>
        <w:t>60 actuations</w:t>
      </w:r>
    </w:p>
    <w:p w14:paraId="2531484B" w14:textId="16C67C56" w:rsidR="00FE4AF8" w:rsidRPr="0010396F" w:rsidRDefault="00FE4AF8" w:rsidP="00E5496D">
      <w:pPr>
        <w:pStyle w:val="3-BodyText"/>
        <w:keepNext/>
        <w:keepLines/>
        <w:numPr>
          <w:ilvl w:val="0"/>
          <w:numId w:val="10"/>
        </w:numPr>
        <w:ind w:left="1797" w:hanging="357"/>
        <w:rPr>
          <w:lang w:val="de-DE"/>
        </w:rPr>
      </w:pPr>
      <w:r w:rsidRPr="0010396F">
        <w:rPr>
          <w:lang w:val="de-DE"/>
        </w:rPr>
        <w:t>50 mg/5 g gel, 30 x 5 g sachets</w:t>
      </w:r>
      <w:r w:rsidR="00E5496D" w:rsidRPr="0010396F">
        <w:rPr>
          <w:lang w:val="de-DE"/>
        </w:rPr>
        <w:t>.</w:t>
      </w:r>
    </w:p>
    <w:p w14:paraId="6EAF1AAB" w14:textId="77777777" w:rsidR="00FE4AF8" w:rsidRDefault="00FE4AF8" w:rsidP="00FE4AF8">
      <w:pPr>
        <w:pStyle w:val="3-BodyText"/>
        <w:numPr>
          <w:ilvl w:val="0"/>
          <w:numId w:val="0"/>
        </w:numPr>
        <w:ind w:left="720"/>
      </w:pPr>
      <w:r>
        <w:t xml:space="preserve">The PBS-listed indications are androgen deficiency, </w:t>
      </w:r>
      <w:proofErr w:type="spellStart"/>
      <w:r>
        <w:t>micropenis</w:t>
      </w:r>
      <w:proofErr w:type="spellEnd"/>
      <w:r>
        <w:t xml:space="preserve">, induction of puberty, and constitutional delay of growth or puberty. The TGA indications for all the testosterone products are for </w:t>
      </w:r>
      <w:r w:rsidRPr="009F622E">
        <w:t>testosterone replacement therapy for male hypogonadism</w:t>
      </w:r>
      <w:r>
        <w:t>.</w:t>
      </w:r>
    </w:p>
    <w:p w14:paraId="4E9EFF84" w14:textId="25318B47" w:rsidR="00FE4AF8" w:rsidRPr="00B83548" w:rsidRDefault="00FE4AF8" w:rsidP="00FE4AF8">
      <w:pPr>
        <w:pStyle w:val="3-BodyText"/>
      </w:pPr>
      <w:r>
        <w:t>The most recent PBAC consideration of topical testosterone was for testosterone cream 5% (</w:t>
      </w:r>
      <w:proofErr w:type="spellStart"/>
      <w:r>
        <w:t>AndroForte</w:t>
      </w:r>
      <w:proofErr w:type="spellEnd"/>
      <w:r>
        <w:t xml:space="preserve"> 5) in March 2021, when the sponsor requested a review of the price and </w:t>
      </w:r>
      <w:proofErr w:type="spellStart"/>
      <w:r>
        <w:t>equi</w:t>
      </w:r>
      <w:proofErr w:type="spellEnd"/>
      <w:r>
        <w:t xml:space="preserve">-effective dosing. There is currently a price difference between </w:t>
      </w:r>
      <w:proofErr w:type="spellStart"/>
      <w:r>
        <w:t>AndroForte</w:t>
      </w:r>
      <w:proofErr w:type="spellEnd"/>
      <w:r>
        <w:t xml:space="preserve"> </w:t>
      </w:r>
      <w:proofErr w:type="gramStart"/>
      <w:r>
        <w:t>5</w:t>
      </w:r>
      <w:proofErr w:type="gramEnd"/>
      <w:r>
        <w:t xml:space="preserve"> and the two other topical testosterone products listed on the PBS, </w:t>
      </w:r>
      <w:proofErr w:type="spellStart"/>
      <w:r>
        <w:t>Testogel</w:t>
      </w:r>
      <w:proofErr w:type="spellEnd"/>
      <w:r>
        <w:t xml:space="preserve"> and </w:t>
      </w:r>
      <w:proofErr w:type="spellStart"/>
      <w:r>
        <w:t>Testavan</w:t>
      </w:r>
      <w:proofErr w:type="spellEnd"/>
      <w:r>
        <w:t xml:space="preserve">. </w:t>
      </w:r>
      <w:r w:rsidRPr="00320580">
        <w:rPr>
          <w:iCs/>
        </w:rPr>
        <w:t xml:space="preserve"> </w:t>
      </w:r>
      <w:r w:rsidRPr="00B83548">
        <w:t xml:space="preserve">This is discussed further in paragraph </w:t>
      </w:r>
      <w:r w:rsidRPr="00B83548">
        <w:fldChar w:fldCharType="begin"/>
      </w:r>
      <w:r w:rsidRPr="00B83548">
        <w:instrText xml:space="preserve"> REF _Ref206253964 \r \h  \* MERGEFORMAT </w:instrText>
      </w:r>
      <w:r w:rsidRPr="00B83548">
        <w:fldChar w:fldCharType="separate"/>
      </w:r>
      <w:r w:rsidR="00374A89">
        <w:t>6.47</w:t>
      </w:r>
      <w:r w:rsidRPr="00B83548">
        <w:fldChar w:fldCharType="end"/>
      </w:r>
      <w:r w:rsidRPr="00B83548">
        <w:t>.</w:t>
      </w:r>
    </w:p>
    <w:p w14:paraId="7F09F936" w14:textId="46F61071" w:rsidR="00A503F8" w:rsidRDefault="001A5B55" w:rsidP="005315E5">
      <w:pPr>
        <w:pStyle w:val="3-BodyText"/>
      </w:pPr>
      <w:bookmarkStart w:id="29" w:name="_Ref208484999"/>
      <w:r w:rsidRPr="00320580">
        <w:rPr>
          <w:iCs/>
          <w:color w:val="000000" w:themeColor="text1"/>
        </w:rPr>
        <w:t xml:space="preserve">The </w:t>
      </w:r>
      <w:r w:rsidR="00EF1602" w:rsidRPr="00320580">
        <w:rPr>
          <w:iCs/>
          <w:color w:val="000000" w:themeColor="text1"/>
        </w:rPr>
        <w:t xml:space="preserve">ESC </w:t>
      </w:r>
      <w:r w:rsidRPr="00320580">
        <w:rPr>
          <w:iCs/>
          <w:color w:val="000000" w:themeColor="text1"/>
        </w:rPr>
        <w:t>noted</w:t>
      </w:r>
      <w:r>
        <w:rPr>
          <w:color w:val="000000" w:themeColor="text1"/>
        </w:rPr>
        <w:t xml:space="preserve"> that </w:t>
      </w:r>
      <w:r>
        <w:t>t</w:t>
      </w:r>
      <w:r w:rsidRPr="009F7AD9">
        <w:t xml:space="preserve">he Product Information for </w:t>
      </w:r>
      <w:proofErr w:type="spellStart"/>
      <w:r w:rsidRPr="009F7AD9">
        <w:t>Testogel</w:t>
      </w:r>
      <w:proofErr w:type="spellEnd"/>
      <w:r w:rsidRPr="009F7AD9">
        <w:t xml:space="preserve"> and </w:t>
      </w:r>
      <w:proofErr w:type="spellStart"/>
      <w:r w:rsidRPr="009F7AD9">
        <w:t>Testavan</w:t>
      </w:r>
      <w:proofErr w:type="spellEnd"/>
      <w:r w:rsidRPr="009F7AD9">
        <w:t xml:space="preserve"> specifically contraindicate use in women, </w:t>
      </w:r>
      <w:r w:rsidR="00912D2D">
        <w:t>and</w:t>
      </w:r>
      <w:r w:rsidR="00912D2D" w:rsidRPr="009F7AD9">
        <w:t xml:space="preserve"> </w:t>
      </w:r>
      <w:r w:rsidRPr="009F7AD9">
        <w:t xml:space="preserve">the </w:t>
      </w:r>
      <w:r w:rsidR="00B913BF" w:rsidRPr="009F7AD9">
        <w:t>Product Information</w:t>
      </w:r>
      <w:r w:rsidRPr="009F7AD9">
        <w:t xml:space="preserve"> for </w:t>
      </w:r>
      <w:proofErr w:type="spellStart"/>
      <w:r w:rsidRPr="009F7AD9">
        <w:t>AndroForte</w:t>
      </w:r>
      <w:proofErr w:type="spellEnd"/>
      <w:r w:rsidRPr="009F7AD9">
        <w:t xml:space="preserve"> </w:t>
      </w:r>
      <w:r w:rsidR="00B70277">
        <w:t xml:space="preserve">5 </w:t>
      </w:r>
      <w:r w:rsidRPr="009F7AD9">
        <w:t>warns that it should not be used in women due to possible virilising effects.</w:t>
      </w:r>
      <w:r>
        <w:t xml:space="preserve"> </w:t>
      </w:r>
      <w:r w:rsidR="00B838B6">
        <w:t>However, t</w:t>
      </w:r>
      <w:r w:rsidR="004808A1">
        <w:t>he submission acknowledge</w:t>
      </w:r>
      <w:r w:rsidR="005F2443">
        <w:t>d</w:t>
      </w:r>
      <w:r w:rsidR="004808A1">
        <w:t xml:space="preserve"> that testosterone</w:t>
      </w:r>
      <w:r w:rsidR="00A53F1A">
        <w:t xml:space="preserve"> that is</w:t>
      </w:r>
      <w:r w:rsidR="00A34551">
        <w:t xml:space="preserve"> indicated and</w:t>
      </w:r>
      <w:r w:rsidR="004808A1">
        <w:t xml:space="preserve"> marketed for </w:t>
      </w:r>
      <w:r w:rsidR="005E61BA">
        <w:t xml:space="preserve">the </w:t>
      </w:r>
      <w:r w:rsidR="004808A1">
        <w:t xml:space="preserve">treatment of men </w:t>
      </w:r>
      <w:r w:rsidR="00A503F8">
        <w:t>can be</w:t>
      </w:r>
      <w:r w:rsidR="005240D2">
        <w:t xml:space="preserve"> and</w:t>
      </w:r>
      <w:r w:rsidR="00E13CCA">
        <w:t xml:space="preserve"> is</w:t>
      </w:r>
      <w:r w:rsidR="005B35A1">
        <w:t xml:space="preserve"> </w:t>
      </w:r>
      <w:r w:rsidR="004808A1">
        <w:t>used to treat women with HSDD.</w:t>
      </w:r>
      <w:r w:rsidR="00DB5630">
        <w:rPr>
          <w:rStyle w:val="FootnoteReference"/>
          <w:color w:val="000000" w:themeColor="text1"/>
        </w:rPr>
        <w:footnoteReference w:id="6"/>
      </w:r>
      <w:r w:rsidR="001977F6">
        <w:t xml:space="preserve"> </w:t>
      </w:r>
      <w:r w:rsidR="004808A1">
        <w:t>T</w:t>
      </w:r>
      <w:r w:rsidR="00420504">
        <w:t xml:space="preserve">he </w:t>
      </w:r>
      <w:r w:rsidR="00FF26CB">
        <w:t xml:space="preserve">occurrence </w:t>
      </w:r>
      <w:r w:rsidR="00420504">
        <w:t>of this practice is supported by t</w:t>
      </w:r>
      <w:r w:rsidR="002065B0">
        <w:t>he</w:t>
      </w:r>
      <w:r w:rsidR="00BD1877">
        <w:t xml:space="preserve"> global</w:t>
      </w:r>
      <w:r w:rsidR="002065B0">
        <w:t xml:space="preserve"> </w:t>
      </w:r>
      <w:r w:rsidR="004808A1">
        <w:t xml:space="preserve">consensus </w:t>
      </w:r>
      <w:r w:rsidR="002065B0">
        <w:t>statement</w:t>
      </w:r>
      <w:r w:rsidR="004808A1">
        <w:t xml:space="preserve"> presented by the submission as authoritative</w:t>
      </w:r>
      <w:r w:rsidR="00420504">
        <w:t>, which</w:t>
      </w:r>
      <w:r w:rsidR="004808A1">
        <w:t xml:space="preserve"> states that "</w:t>
      </w:r>
      <w:r w:rsidR="004808A1" w:rsidRPr="004808A1">
        <w:t>Where an appropriate approved female</w:t>
      </w:r>
      <w:r w:rsidR="004808A1">
        <w:t xml:space="preserve"> </w:t>
      </w:r>
      <w:r w:rsidR="004808A1" w:rsidRPr="004808A1">
        <w:t>testosterone preparation is not available,</w:t>
      </w:r>
      <w:r w:rsidR="004808A1">
        <w:t xml:space="preserve"> </w:t>
      </w:r>
      <w:r w:rsidR="004808A1" w:rsidRPr="004808A1">
        <w:t>off-label prescribing of an approved male</w:t>
      </w:r>
      <w:r w:rsidR="004808A1">
        <w:t xml:space="preserve"> </w:t>
      </w:r>
      <w:r w:rsidR="004808A1" w:rsidRPr="004808A1">
        <w:t>formulation is reasonable</w:t>
      </w:r>
      <w:r w:rsidR="00B8617C">
        <w:t xml:space="preserve">, </w:t>
      </w:r>
      <w:r w:rsidR="00B8617C" w:rsidRPr="00B8617C">
        <w:rPr>
          <w:color w:val="000000" w:themeColor="text1"/>
        </w:rPr>
        <w:t>provided hormone</w:t>
      </w:r>
      <w:r w:rsidR="00B8617C">
        <w:rPr>
          <w:color w:val="000000" w:themeColor="text1"/>
        </w:rPr>
        <w:t xml:space="preserve"> </w:t>
      </w:r>
      <w:r w:rsidR="00B8617C" w:rsidRPr="00B8617C">
        <w:rPr>
          <w:color w:val="000000" w:themeColor="text1"/>
        </w:rPr>
        <w:t>concentrations are maintained in the physiologic</w:t>
      </w:r>
      <w:r w:rsidR="00B8617C">
        <w:rPr>
          <w:color w:val="000000" w:themeColor="text1"/>
        </w:rPr>
        <w:t xml:space="preserve"> </w:t>
      </w:r>
      <w:r w:rsidR="00B8617C" w:rsidRPr="00B8617C">
        <w:rPr>
          <w:color w:val="000000" w:themeColor="text1"/>
        </w:rPr>
        <w:t>female range (Expert Opinion)</w:t>
      </w:r>
      <w:r w:rsidR="00A503F8">
        <w:t xml:space="preserve">" (Davis, Baber, 2019). </w:t>
      </w:r>
      <w:r w:rsidR="00FD0C9E">
        <w:t>This position statement was endorsed by the</w:t>
      </w:r>
      <w:r w:rsidR="004F1376">
        <w:t xml:space="preserve"> Endocrine Society of Australia and the Royal Australian and New Zealand College of Obstetricians</w:t>
      </w:r>
      <w:r w:rsidR="005315E5">
        <w:t xml:space="preserve"> </w:t>
      </w:r>
      <w:r w:rsidR="004F1376">
        <w:t xml:space="preserve">and </w:t>
      </w:r>
      <w:proofErr w:type="spellStart"/>
      <w:r w:rsidR="004F1376">
        <w:t>Gynecologis</w:t>
      </w:r>
      <w:r w:rsidR="00420504">
        <w:t>t</w:t>
      </w:r>
      <w:r w:rsidR="004F1376">
        <w:t>s</w:t>
      </w:r>
      <w:proofErr w:type="spellEnd"/>
      <w:r w:rsidR="00340378">
        <w:t xml:space="preserve"> (RA</w:t>
      </w:r>
      <w:r w:rsidR="00DF332D">
        <w:t>NZCOG)</w:t>
      </w:r>
      <w:r w:rsidR="00420504">
        <w:t>.</w:t>
      </w:r>
      <w:bookmarkEnd w:id="29"/>
    </w:p>
    <w:p w14:paraId="2FD09D34" w14:textId="030D4EAC" w:rsidR="00B46D62" w:rsidRPr="00B83548" w:rsidRDefault="00B46D62" w:rsidP="005315E5">
      <w:pPr>
        <w:pStyle w:val="3-BodyText"/>
      </w:pPr>
      <w:bookmarkStart w:id="30" w:name="_Ref211785085"/>
      <w:r w:rsidRPr="00320580">
        <w:rPr>
          <w:iCs/>
        </w:rPr>
        <w:t xml:space="preserve">The </w:t>
      </w:r>
      <w:r w:rsidR="00D63B48" w:rsidRPr="00320580">
        <w:rPr>
          <w:iCs/>
        </w:rPr>
        <w:t xml:space="preserve">evaluation </w:t>
      </w:r>
      <w:r w:rsidR="0008525C" w:rsidRPr="00320580">
        <w:rPr>
          <w:iCs/>
        </w:rPr>
        <w:t>considered that</w:t>
      </w:r>
      <w:r w:rsidR="0008525C">
        <w:t xml:space="preserve"> </w:t>
      </w:r>
      <w:r w:rsidRPr="00B83548">
        <w:t xml:space="preserve">currently listed testosterone preparations </w:t>
      </w:r>
      <w:r w:rsidR="007C450D">
        <w:t>being</w:t>
      </w:r>
      <w:r w:rsidR="007C450D" w:rsidRPr="00B83548">
        <w:t xml:space="preserve"> </w:t>
      </w:r>
      <w:r w:rsidRPr="00B83548">
        <w:t xml:space="preserve">contraindicated </w:t>
      </w:r>
      <w:r w:rsidR="0008525C" w:rsidRPr="00320580">
        <w:rPr>
          <w:iCs/>
        </w:rPr>
        <w:t>(or not recommended)</w:t>
      </w:r>
      <w:r w:rsidR="0008525C">
        <w:t xml:space="preserve"> </w:t>
      </w:r>
      <w:r w:rsidRPr="00B83548">
        <w:t>in women is not necessarily a reason they should not be comparators, because they are being used and will be replaced</w:t>
      </w:r>
      <w:r w:rsidR="002B7D6D" w:rsidRPr="00B83548">
        <w:t>.</w:t>
      </w:r>
      <w:r w:rsidRPr="00B83548">
        <w:t xml:space="preserve"> </w:t>
      </w:r>
      <w:r w:rsidR="002B7D6D" w:rsidRPr="00320580">
        <w:rPr>
          <w:iCs/>
        </w:rPr>
        <w:t xml:space="preserve">The </w:t>
      </w:r>
      <w:r w:rsidR="00560DC6" w:rsidRPr="00320580">
        <w:rPr>
          <w:iCs/>
        </w:rPr>
        <w:t>ESC noted that</w:t>
      </w:r>
      <w:r w:rsidR="00560DC6">
        <w:t xml:space="preserve"> the </w:t>
      </w:r>
      <w:r w:rsidR="002B7D6D" w:rsidRPr="00B83548">
        <w:t>PB</w:t>
      </w:r>
      <w:r w:rsidR="00E80358" w:rsidRPr="00B83548">
        <w:t>AC</w:t>
      </w:r>
      <w:r w:rsidR="002B7D6D" w:rsidRPr="00B83548">
        <w:t xml:space="preserve"> Guidelines state: </w:t>
      </w:r>
      <w:r w:rsidRPr="00B83548">
        <w:t>"</w:t>
      </w:r>
      <w:r w:rsidR="000E0C0F" w:rsidRPr="00B83548">
        <w:t>Reference to the TGA</w:t>
      </w:r>
      <w:r w:rsidR="00DE5022" w:rsidRPr="00B83548">
        <w:t>-</w:t>
      </w:r>
      <w:r w:rsidR="000E0C0F" w:rsidRPr="00B83548">
        <w:t>approved indications, to tri</w:t>
      </w:r>
      <w:r w:rsidR="00B36860" w:rsidRPr="00B83548">
        <w:t>a</w:t>
      </w:r>
      <w:r w:rsidR="000E0C0F" w:rsidRPr="00B83548">
        <w:t xml:space="preserve">l evidence, or to any other authority, would not usually constitute reasonable </w:t>
      </w:r>
      <w:r w:rsidR="000E0C0F" w:rsidRPr="00B83548">
        <w:lastRenderedPageBreak/>
        <w:t>grounds to exclude an unrestricted pharmacological analogue as a main comparator</w:t>
      </w:r>
      <w:r w:rsidRPr="00B83548">
        <w:t>".</w:t>
      </w:r>
      <w:r w:rsidRPr="00B83548">
        <w:rPr>
          <w:rStyle w:val="FootnoteReference"/>
        </w:rPr>
        <w:footnoteReference w:id="7"/>
      </w:r>
      <w:r w:rsidR="009250AE" w:rsidRPr="00B83548">
        <w:t xml:space="preserve"> While the topical testosterone products available on the PBS</w:t>
      </w:r>
      <w:r w:rsidR="003D6608" w:rsidRPr="00B83548">
        <w:t xml:space="preserve"> </w:t>
      </w:r>
      <w:r w:rsidR="00163809" w:rsidRPr="00B83548">
        <w:t>do not have unrestricted</w:t>
      </w:r>
      <w:r w:rsidR="008B3D6B" w:rsidRPr="00B83548">
        <w:t xml:space="preserve"> PBS</w:t>
      </w:r>
      <w:r w:rsidR="00163809" w:rsidRPr="00B83548">
        <w:t xml:space="preserve"> listing</w:t>
      </w:r>
      <w:r w:rsidR="008B3D6B" w:rsidRPr="00B83548">
        <w:t>s</w:t>
      </w:r>
      <w:r w:rsidR="00163809" w:rsidRPr="00B83548">
        <w:t xml:space="preserve">, </w:t>
      </w:r>
      <w:r w:rsidR="00A07A91" w:rsidRPr="00B83548">
        <w:t xml:space="preserve">women are accessing </w:t>
      </w:r>
      <w:r w:rsidR="00BB2564" w:rsidRPr="00B83548">
        <w:t xml:space="preserve">them with either a </w:t>
      </w:r>
      <w:r w:rsidR="00A07A91" w:rsidRPr="00B83548">
        <w:t>private script or off-label with a PBS prescription</w:t>
      </w:r>
      <w:r w:rsidR="00BB2564" w:rsidRPr="00B83548">
        <w:t>.</w:t>
      </w:r>
      <w:bookmarkEnd w:id="30"/>
    </w:p>
    <w:p w14:paraId="469D1EC2" w14:textId="3F20DC42" w:rsidR="00A503F8" w:rsidRPr="000B5A4D" w:rsidRDefault="00A503F8" w:rsidP="00982180">
      <w:pPr>
        <w:pStyle w:val="3-BodyText"/>
        <w:rPr>
          <w:color w:val="000000" w:themeColor="text1"/>
        </w:rPr>
      </w:pPr>
      <w:bookmarkStart w:id="31" w:name="_Ref211785095"/>
      <w:r w:rsidRPr="00B83548">
        <w:rPr>
          <w:color w:val="000000" w:themeColor="text1"/>
        </w:rPr>
        <w:t>The submission justified the exclusion of existing testosterone preparations</w:t>
      </w:r>
      <w:r w:rsidR="005E61BA" w:rsidRPr="00B83548">
        <w:rPr>
          <w:color w:val="000000" w:themeColor="text1"/>
        </w:rPr>
        <w:t xml:space="preserve"> as comparators </w:t>
      </w:r>
      <w:r w:rsidRPr="00B83548">
        <w:rPr>
          <w:color w:val="000000" w:themeColor="text1"/>
        </w:rPr>
        <w:t xml:space="preserve">on the grounds that </w:t>
      </w:r>
      <w:r w:rsidR="00A36122" w:rsidRPr="00B83548">
        <w:rPr>
          <w:color w:val="000000" w:themeColor="text1"/>
        </w:rPr>
        <w:t>the lowest dose they are designed to deliver accurately is higher than the dose for women,</w:t>
      </w:r>
      <w:r w:rsidR="00B60EEC" w:rsidRPr="00B83548">
        <w:rPr>
          <w:color w:val="000000" w:themeColor="text1"/>
        </w:rPr>
        <w:t xml:space="preserve"> and that this exposes women to unwanted androgenic effects.</w:t>
      </w:r>
      <w:r w:rsidR="00A36122" w:rsidRPr="00B83548">
        <w:rPr>
          <w:color w:val="000000" w:themeColor="text1"/>
        </w:rPr>
        <w:t xml:space="preserve"> </w:t>
      </w:r>
      <w:r w:rsidR="00367F82" w:rsidRPr="00B83548">
        <w:rPr>
          <w:color w:val="000000" w:themeColor="text1"/>
        </w:rPr>
        <w:t>However, t</w:t>
      </w:r>
      <w:r w:rsidR="00B948D4" w:rsidRPr="00B83548">
        <w:rPr>
          <w:color w:val="000000" w:themeColor="text1"/>
        </w:rPr>
        <w:t>he only d</w:t>
      </w:r>
      <w:r w:rsidR="00E13CCA" w:rsidRPr="00B83548">
        <w:rPr>
          <w:color w:val="000000" w:themeColor="text1"/>
        </w:rPr>
        <w:t>ata</w:t>
      </w:r>
      <w:r w:rsidR="00745298" w:rsidRPr="00B83548">
        <w:rPr>
          <w:color w:val="000000" w:themeColor="text1"/>
        </w:rPr>
        <w:t xml:space="preserve"> presented </w:t>
      </w:r>
      <w:r w:rsidR="00B948D4" w:rsidRPr="00B83548">
        <w:rPr>
          <w:color w:val="000000" w:themeColor="text1"/>
        </w:rPr>
        <w:t xml:space="preserve">were </w:t>
      </w:r>
      <w:r w:rsidR="00E13CCA" w:rsidRPr="00B83548">
        <w:rPr>
          <w:color w:val="000000" w:themeColor="text1"/>
        </w:rPr>
        <w:t xml:space="preserve">from </w:t>
      </w:r>
      <w:r w:rsidR="004E5BF2" w:rsidRPr="00B83548">
        <w:rPr>
          <w:color w:val="000000" w:themeColor="text1"/>
        </w:rPr>
        <w:t xml:space="preserve">the adverse event reporting system in </w:t>
      </w:r>
      <w:r w:rsidR="00E13CCA" w:rsidRPr="00B83548">
        <w:rPr>
          <w:color w:val="000000" w:themeColor="text1"/>
        </w:rPr>
        <w:t>the UK, where</w:t>
      </w:r>
      <w:r w:rsidR="004E5BF2" w:rsidRPr="00B83548">
        <w:rPr>
          <w:color w:val="000000" w:themeColor="text1"/>
        </w:rPr>
        <w:t>,</w:t>
      </w:r>
      <w:r w:rsidR="00E13CCA" w:rsidRPr="00B83548">
        <w:rPr>
          <w:color w:val="000000" w:themeColor="text1"/>
        </w:rPr>
        <w:t xml:space="preserve"> </w:t>
      </w:r>
      <w:r w:rsidR="00B60EEC" w:rsidRPr="00B83548">
        <w:rPr>
          <w:color w:val="000000" w:themeColor="text1"/>
        </w:rPr>
        <w:t>from 2010</w:t>
      </w:r>
      <w:r w:rsidR="00E13CCA" w:rsidRPr="00B83548">
        <w:rPr>
          <w:color w:val="000000" w:themeColor="text1"/>
        </w:rPr>
        <w:t xml:space="preserve"> to 2024, 66 adverse events attributed to topical testosterone in women were reported</w:t>
      </w:r>
      <w:r w:rsidR="00B60EEC" w:rsidRPr="00B83548">
        <w:rPr>
          <w:color w:val="000000" w:themeColor="text1"/>
        </w:rPr>
        <w:t>; t</w:t>
      </w:r>
      <w:r w:rsidR="004E5BF2" w:rsidRPr="00B83548">
        <w:rPr>
          <w:color w:val="000000" w:themeColor="text1"/>
        </w:rPr>
        <w:t xml:space="preserve">he greatest </w:t>
      </w:r>
      <w:r w:rsidR="004E5BF2" w:rsidRPr="000B5A4D">
        <w:rPr>
          <w:color w:val="000000" w:themeColor="text1"/>
        </w:rPr>
        <w:t xml:space="preserve">number reported in any year </w:t>
      </w:r>
      <w:r w:rsidR="00B60EEC" w:rsidRPr="000B5A4D">
        <w:rPr>
          <w:color w:val="000000" w:themeColor="text1"/>
        </w:rPr>
        <w:t xml:space="preserve">was </w:t>
      </w:r>
      <w:r w:rsidR="004E5BF2" w:rsidRPr="000B5A4D">
        <w:rPr>
          <w:color w:val="000000" w:themeColor="text1"/>
        </w:rPr>
        <w:t>18</w:t>
      </w:r>
      <w:r w:rsidR="00B60EEC" w:rsidRPr="000B5A4D">
        <w:rPr>
          <w:color w:val="000000" w:themeColor="text1"/>
        </w:rPr>
        <w:t>, although</w:t>
      </w:r>
      <w:r w:rsidR="00E13CCA" w:rsidRPr="000B5A4D">
        <w:rPr>
          <w:color w:val="000000" w:themeColor="text1"/>
        </w:rPr>
        <w:t xml:space="preserve"> "male-licensed testosterone is being prescribed to thousands of women each month"</w:t>
      </w:r>
      <w:r w:rsidR="00B60EEC" w:rsidRPr="000B5A4D">
        <w:rPr>
          <w:color w:val="000000" w:themeColor="text1"/>
        </w:rPr>
        <w:t>.</w:t>
      </w:r>
      <w:bookmarkEnd w:id="31"/>
      <w:r w:rsidR="00B60EEC" w:rsidRPr="000B5A4D">
        <w:rPr>
          <w:color w:val="000000" w:themeColor="text1"/>
        </w:rPr>
        <w:t xml:space="preserve"> </w:t>
      </w:r>
    </w:p>
    <w:p w14:paraId="7E5B0D8C" w14:textId="554AA50C" w:rsidR="000B5A4D" w:rsidRDefault="0041092A" w:rsidP="004808A1">
      <w:pPr>
        <w:pStyle w:val="3-BodyText"/>
        <w:rPr>
          <w:color w:val="000000" w:themeColor="text1"/>
        </w:rPr>
      </w:pPr>
      <w:bookmarkStart w:id="32" w:name="_Ref211798244"/>
      <w:r w:rsidRPr="000B5A4D">
        <w:rPr>
          <w:color w:val="000000" w:themeColor="text1"/>
        </w:rPr>
        <w:t>For the reasons</w:t>
      </w:r>
      <w:r w:rsidR="000C1FEC">
        <w:rPr>
          <w:color w:val="000000" w:themeColor="text1"/>
        </w:rPr>
        <w:t xml:space="preserve"> discussed in paragraphs </w:t>
      </w:r>
      <w:r w:rsidR="005C26E2">
        <w:rPr>
          <w:color w:val="000000" w:themeColor="text1"/>
        </w:rPr>
        <w:fldChar w:fldCharType="begin"/>
      </w:r>
      <w:r w:rsidR="005C26E2">
        <w:rPr>
          <w:color w:val="000000" w:themeColor="text1"/>
        </w:rPr>
        <w:instrText xml:space="preserve"> REF _Ref211785085 \r \h </w:instrText>
      </w:r>
      <w:r w:rsidR="005C26E2">
        <w:rPr>
          <w:color w:val="000000" w:themeColor="text1"/>
        </w:rPr>
      </w:r>
      <w:r w:rsidR="005C26E2">
        <w:rPr>
          <w:color w:val="000000" w:themeColor="text1"/>
        </w:rPr>
        <w:fldChar w:fldCharType="separate"/>
      </w:r>
      <w:r w:rsidR="00374A89">
        <w:rPr>
          <w:color w:val="000000" w:themeColor="text1"/>
        </w:rPr>
        <w:t>5.5</w:t>
      </w:r>
      <w:r w:rsidR="005C26E2">
        <w:rPr>
          <w:color w:val="000000" w:themeColor="text1"/>
        </w:rPr>
        <w:fldChar w:fldCharType="end"/>
      </w:r>
      <w:r w:rsidR="005C26E2">
        <w:rPr>
          <w:color w:val="000000" w:themeColor="text1"/>
        </w:rPr>
        <w:t xml:space="preserve"> and </w:t>
      </w:r>
      <w:r w:rsidR="005C26E2">
        <w:rPr>
          <w:color w:val="000000" w:themeColor="text1"/>
        </w:rPr>
        <w:fldChar w:fldCharType="begin"/>
      </w:r>
      <w:r w:rsidR="005C26E2">
        <w:rPr>
          <w:color w:val="000000" w:themeColor="text1"/>
        </w:rPr>
        <w:instrText xml:space="preserve"> REF _Ref211785095 \r \h </w:instrText>
      </w:r>
      <w:r w:rsidR="005C26E2">
        <w:rPr>
          <w:color w:val="000000" w:themeColor="text1"/>
        </w:rPr>
      </w:r>
      <w:r w:rsidR="005C26E2">
        <w:rPr>
          <w:color w:val="000000" w:themeColor="text1"/>
        </w:rPr>
        <w:fldChar w:fldCharType="separate"/>
      </w:r>
      <w:r w:rsidR="00374A89">
        <w:rPr>
          <w:color w:val="000000" w:themeColor="text1"/>
        </w:rPr>
        <w:t>5.6</w:t>
      </w:r>
      <w:r w:rsidR="005C26E2">
        <w:rPr>
          <w:color w:val="000000" w:themeColor="text1"/>
        </w:rPr>
        <w:fldChar w:fldCharType="end"/>
      </w:r>
      <w:r w:rsidRPr="000B5A4D">
        <w:rPr>
          <w:color w:val="000000" w:themeColor="text1"/>
        </w:rPr>
        <w:t>,</w:t>
      </w:r>
      <w:r w:rsidR="002E17AA" w:rsidRPr="000B5A4D">
        <w:rPr>
          <w:color w:val="000000" w:themeColor="text1"/>
        </w:rPr>
        <w:t xml:space="preserve"> t</w:t>
      </w:r>
      <w:r w:rsidR="00B60EEC" w:rsidRPr="000B5A4D">
        <w:rPr>
          <w:color w:val="000000" w:themeColor="text1"/>
        </w:rPr>
        <w:t xml:space="preserve">he </w:t>
      </w:r>
      <w:r w:rsidR="00D060BD">
        <w:rPr>
          <w:color w:val="000000" w:themeColor="text1"/>
        </w:rPr>
        <w:t xml:space="preserve">evaluation </w:t>
      </w:r>
      <w:r w:rsidR="004B02A8" w:rsidRPr="00320580">
        <w:rPr>
          <w:iCs/>
          <w:color w:val="000000" w:themeColor="text1"/>
        </w:rPr>
        <w:t xml:space="preserve">and the ESC </w:t>
      </w:r>
      <w:r w:rsidR="00D060BD" w:rsidRPr="00320580">
        <w:rPr>
          <w:iCs/>
          <w:color w:val="000000" w:themeColor="text1"/>
        </w:rPr>
        <w:t>considered that</w:t>
      </w:r>
      <w:r w:rsidR="00D060BD">
        <w:rPr>
          <w:color w:val="000000" w:themeColor="text1"/>
        </w:rPr>
        <w:t xml:space="preserve"> the </w:t>
      </w:r>
      <w:r w:rsidR="00B60EEC" w:rsidRPr="000B5A4D">
        <w:rPr>
          <w:color w:val="000000" w:themeColor="text1"/>
        </w:rPr>
        <w:t xml:space="preserve">PBS-listed </w:t>
      </w:r>
      <w:r w:rsidR="00B36860" w:rsidRPr="000B5A4D">
        <w:rPr>
          <w:color w:val="000000" w:themeColor="text1"/>
        </w:rPr>
        <w:t xml:space="preserve">topical </w:t>
      </w:r>
      <w:r w:rsidR="00B60EEC" w:rsidRPr="000B5A4D">
        <w:rPr>
          <w:color w:val="000000" w:themeColor="text1"/>
        </w:rPr>
        <w:t>testosterone preparation</w:t>
      </w:r>
      <w:r w:rsidR="00B36860" w:rsidRPr="000B5A4D">
        <w:rPr>
          <w:color w:val="000000" w:themeColor="text1"/>
        </w:rPr>
        <w:t>s, private prescription of other testosterone preparations, or compound testosterone prepar</w:t>
      </w:r>
      <w:r w:rsidR="008A5AA5" w:rsidRPr="000B5A4D">
        <w:rPr>
          <w:color w:val="000000" w:themeColor="text1"/>
        </w:rPr>
        <w:t>a</w:t>
      </w:r>
      <w:r w:rsidR="00B36860" w:rsidRPr="000B5A4D">
        <w:rPr>
          <w:color w:val="000000" w:themeColor="text1"/>
        </w:rPr>
        <w:t xml:space="preserve">tions </w:t>
      </w:r>
      <w:r w:rsidR="00C37CD4" w:rsidRPr="000B5A4D">
        <w:rPr>
          <w:color w:val="000000" w:themeColor="text1"/>
        </w:rPr>
        <w:t xml:space="preserve">may </w:t>
      </w:r>
      <w:r w:rsidR="000E18BE" w:rsidRPr="000B5A4D">
        <w:rPr>
          <w:color w:val="000000" w:themeColor="text1"/>
        </w:rPr>
        <w:t>be</w:t>
      </w:r>
      <w:r w:rsidR="00B36860" w:rsidRPr="000B5A4D">
        <w:rPr>
          <w:color w:val="000000" w:themeColor="text1"/>
        </w:rPr>
        <w:t xml:space="preserve"> </w:t>
      </w:r>
      <w:r w:rsidR="00B60EEC" w:rsidRPr="000B5A4D">
        <w:rPr>
          <w:color w:val="000000" w:themeColor="text1"/>
        </w:rPr>
        <w:t>appropriate comparator</w:t>
      </w:r>
      <w:r w:rsidR="00B36860" w:rsidRPr="000B5A4D">
        <w:rPr>
          <w:color w:val="000000" w:themeColor="text1"/>
        </w:rPr>
        <w:t>s</w:t>
      </w:r>
      <w:r w:rsidR="00B60EEC" w:rsidRPr="000B5A4D">
        <w:rPr>
          <w:color w:val="000000" w:themeColor="text1"/>
        </w:rPr>
        <w:t>.</w:t>
      </w:r>
      <w:bookmarkEnd w:id="32"/>
      <w:r w:rsidR="00B60EEC" w:rsidRPr="000B5A4D">
        <w:rPr>
          <w:color w:val="000000" w:themeColor="text1"/>
        </w:rPr>
        <w:t xml:space="preserve"> </w:t>
      </w:r>
    </w:p>
    <w:p w14:paraId="1965234E" w14:textId="5379A5DB" w:rsidR="00DB4164" w:rsidRDefault="00DB4164" w:rsidP="00DB4164">
      <w:pPr>
        <w:pStyle w:val="3-BodyText"/>
        <w:rPr>
          <w:iCs/>
        </w:rPr>
      </w:pPr>
      <w:r w:rsidRPr="00320580">
        <w:rPr>
          <w:iCs/>
        </w:rPr>
        <w:t xml:space="preserve">The PSCR </w:t>
      </w:r>
      <w:r w:rsidR="00A25349" w:rsidRPr="00320580">
        <w:rPr>
          <w:iCs/>
        </w:rPr>
        <w:t>maintained</w:t>
      </w:r>
      <w:r w:rsidRPr="00320580">
        <w:rPr>
          <w:iCs/>
        </w:rPr>
        <w:t xml:space="preserve"> that male testosterone products </w:t>
      </w:r>
      <w:r w:rsidR="00C22552" w:rsidRPr="00320580">
        <w:rPr>
          <w:iCs/>
        </w:rPr>
        <w:t>are not</w:t>
      </w:r>
      <w:r w:rsidRPr="00320580">
        <w:rPr>
          <w:iCs/>
        </w:rPr>
        <w:t xml:space="preserve"> appropriate comparators or substitutes given</w:t>
      </w:r>
      <w:r w:rsidR="00506AD4" w:rsidRPr="00320580">
        <w:rPr>
          <w:iCs/>
        </w:rPr>
        <w:t xml:space="preserve"> that</w:t>
      </w:r>
      <w:r w:rsidRPr="00320580">
        <w:rPr>
          <w:iCs/>
        </w:rPr>
        <w:t xml:space="preserve"> these products are specifically contraindicated (or in the case of </w:t>
      </w:r>
      <w:proofErr w:type="spellStart"/>
      <w:r w:rsidRPr="00320580">
        <w:rPr>
          <w:iCs/>
        </w:rPr>
        <w:t>AndroForte</w:t>
      </w:r>
      <w:proofErr w:type="spellEnd"/>
      <w:r w:rsidRPr="00320580">
        <w:rPr>
          <w:iCs/>
        </w:rPr>
        <w:t xml:space="preserve"> 5, not recommended) for use in women. The PSCR further stated that TGA registered male gels/solutions are formulated with potent permeation enhancers and solubility agents (e.g., isopropyl myristate + ethanol; oleic acid + isopropyl alcohol; diethylene glycol </w:t>
      </w:r>
      <w:proofErr w:type="spellStart"/>
      <w:r w:rsidRPr="00320580">
        <w:rPr>
          <w:iCs/>
        </w:rPr>
        <w:t>monoethyl</w:t>
      </w:r>
      <w:proofErr w:type="spellEnd"/>
      <w:r w:rsidRPr="00320580">
        <w:rPr>
          <w:iCs/>
        </w:rPr>
        <w:t xml:space="preserve"> ether/propylene glycol; </w:t>
      </w:r>
      <w:proofErr w:type="spellStart"/>
      <w:r w:rsidRPr="00320580">
        <w:rPr>
          <w:iCs/>
        </w:rPr>
        <w:t>pentadecalactone</w:t>
      </w:r>
      <w:proofErr w:type="spellEnd"/>
      <w:r w:rsidRPr="00320580">
        <w:rPr>
          <w:iCs/>
        </w:rPr>
        <w:t xml:space="preserve">), producing powerful systemic uptake aimed at male targets that have been engineered to deliver much higher exposure than what women require. The PSCR stated that the female 1% cream is distinct from the male products in that it uses a cream base with almond oil (~70% oleic acid) and </w:t>
      </w:r>
      <w:proofErr w:type="spellStart"/>
      <w:r w:rsidRPr="00320580">
        <w:rPr>
          <w:iCs/>
        </w:rPr>
        <w:t>micronised</w:t>
      </w:r>
      <w:proofErr w:type="spellEnd"/>
      <w:r w:rsidRPr="00320580">
        <w:rPr>
          <w:iCs/>
        </w:rPr>
        <w:t xml:space="preserve"> testosterone dispersed in the vehicle, yielding moderate absorption. However, </w:t>
      </w:r>
      <w:r w:rsidR="00B77D50" w:rsidRPr="00320580">
        <w:rPr>
          <w:iCs/>
        </w:rPr>
        <w:t xml:space="preserve">the </w:t>
      </w:r>
      <w:r w:rsidR="00FE2378" w:rsidRPr="00320580">
        <w:rPr>
          <w:iCs/>
        </w:rPr>
        <w:t>Second R</w:t>
      </w:r>
      <w:r w:rsidRPr="00320580">
        <w:rPr>
          <w:iCs/>
        </w:rPr>
        <w:t xml:space="preserve">ound </w:t>
      </w:r>
      <w:r w:rsidR="00FE2378" w:rsidRPr="00320580">
        <w:rPr>
          <w:iCs/>
        </w:rPr>
        <w:t>C</w:t>
      </w:r>
      <w:r w:rsidRPr="00320580">
        <w:rPr>
          <w:iCs/>
        </w:rPr>
        <w:t xml:space="preserve">linical </w:t>
      </w:r>
      <w:r w:rsidR="00FE2378" w:rsidRPr="00320580">
        <w:rPr>
          <w:iCs/>
        </w:rPr>
        <w:t>E</w:t>
      </w:r>
      <w:r w:rsidRPr="00320580">
        <w:rPr>
          <w:iCs/>
        </w:rPr>
        <w:t xml:space="preserve">valuation </w:t>
      </w:r>
      <w:r w:rsidR="00FE2378" w:rsidRPr="00320580">
        <w:rPr>
          <w:iCs/>
        </w:rPr>
        <w:t>R</w:t>
      </w:r>
      <w:r w:rsidRPr="00320580">
        <w:rPr>
          <w:iCs/>
        </w:rPr>
        <w:t xml:space="preserve">eport for testosterone 1% cream stated that “The Sponsor indicated that the new strength product has the same qualitative formulation as the currently registered product </w:t>
      </w:r>
      <w:proofErr w:type="spellStart"/>
      <w:r w:rsidRPr="00320580">
        <w:rPr>
          <w:iCs/>
        </w:rPr>
        <w:t>Androforte</w:t>
      </w:r>
      <w:proofErr w:type="spellEnd"/>
      <w:r w:rsidRPr="00320580">
        <w:rPr>
          <w:iCs/>
        </w:rPr>
        <w:t xml:space="preserve"> 5 and the composition has been modified to increase the purified water diluent content to account for the lower testosterone concentration”.</w:t>
      </w:r>
    </w:p>
    <w:p w14:paraId="148F397F" w14:textId="6D8CD04B" w:rsidR="00BA7F7F" w:rsidRPr="00BA7F7F" w:rsidRDefault="00BA7F7F" w:rsidP="00BA7F7F">
      <w:pPr>
        <w:pStyle w:val="3-BodyText"/>
        <w:numPr>
          <w:ilvl w:val="0"/>
          <w:numId w:val="0"/>
        </w:numPr>
        <w:ind w:left="720"/>
        <w:rPr>
          <w:i/>
        </w:rPr>
      </w:pPr>
      <w:r w:rsidRPr="00BA7F7F">
        <w:rPr>
          <w:i/>
        </w:rPr>
        <w:t>For more detail on PBAC’s view, see section 7 PBAC outcome.</w:t>
      </w:r>
    </w:p>
    <w:p w14:paraId="7F9C27C8" w14:textId="77777777" w:rsidR="00223D5A" w:rsidRPr="0098262F" w:rsidRDefault="00223D5A" w:rsidP="00223D5A">
      <w:pPr>
        <w:pStyle w:val="2-SectionHeading"/>
      </w:pPr>
      <w:bookmarkStart w:id="33" w:name="_Toc208926778"/>
      <w:bookmarkStart w:id="34" w:name="_Toc22897640"/>
      <w:r w:rsidRPr="0098262F">
        <w:lastRenderedPageBreak/>
        <w:t>Consideration of the evidence</w:t>
      </w:r>
      <w:bookmarkEnd w:id="33"/>
    </w:p>
    <w:p w14:paraId="754B0810" w14:textId="77777777" w:rsidR="00F5263E" w:rsidRPr="006E1229" w:rsidRDefault="00F5263E" w:rsidP="000417B0">
      <w:pPr>
        <w:pStyle w:val="4-SubsectionHeading"/>
      </w:pPr>
      <w:bookmarkStart w:id="35" w:name="_Toc208926779"/>
      <w:r w:rsidRPr="006E1229">
        <w:t>Sponsor hearing</w:t>
      </w:r>
    </w:p>
    <w:p w14:paraId="2AD1E146" w14:textId="44F3A9C3" w:rsidR="00F5263E" w:rsidRPr="00F91542" w:rsidRDefault="00F5263E" w:rsidP="00F5263E">
      <w:pPr>
        <w:widowControl w:val="0"/>
        <w:numPr>
          <w:ilvl w:val="1"/>
          <w:numId w:val="1"/>
        </w:numPr>
        <w:spacing w:after="120"/>
        <w:rPr>
          <w:rFonts w:cs="Calibri"/>
          <w:bCs/>
          <w:snapToGrid w:val="0"/>
        </w:rPr>
      </w:pPr>
      <w:r w:rsidRPr="00F91542">
        <w:rPr>
          <w:rFonts w:cs="Calibri"/>
          <w:bCs/>
          <w:snapToGrid w:val="0"/>
        </w:rPr>
        <w:t>There was no hearing for this item.</w:t>
      </w:r>
    </w:p>
    <w:p w14:paraId="594B9948" w14:textId="77777777" w:rsidR="00F5263E" w:rsidRPr="006E1229" w:rsidRDefault="00F5263E" w:rsidP="000417B0">
      <w:pPr>
        <w:pStyle w:val="4-SubsectionHeading"/>
      </w:pPr>
      <w:r w:rsidRPr="006E1229">
        <w:t>Consumer comments</w:t>
      </w:r>
    </w:p>
    <w:p w14:paraId="3E829057" w14:textId="5174E096" w:rsidR="00774BBF" w:rsidRDefault="00F5263E">
      <w:pPr>
        <w:pStyle w:val="3-BodyText"/>
        <w:widowControl w:val="0"/>
        <w:rPr>
          <w:bCs/>
          <w:snapToGrid w:val="0"/>
        </w:rPr>
      </w:pPr>
      <w:r w:rsidRPr="00B41A04">
        <w:rPr>
          <w:snapToGrid w:val="0"/>
        </w:rPr>
        <w:t>The PBAC noted and welcomed the input from individuals (</w:t>
      </w:r>
      <w:r w:rsidR="000C4403" w:rsidRPr="00B41A04">
        <w:rPr>
          <w:snapToGrid w:val="0"/>
        </w:rPr>
        <w:t>368</w:t>
      </w:r>
      <w:r w:rsidRPr="00B41A04">
        <w:rPr>
          <w:snapToGrid w:val="0"/>
        </w:rPr>
        <w:t>), health care professionals (</w:t>
      </w:r>
      <w:r w:rsidR="001021F5" w:rsidRPr="00B41A04">
        <w:rPr>
          <w:snapToGrid w:val="0"/>
        </w:rPr>
        <w:t>80</w:t>
      </w:r>
      <w:r w:rsidRPr="00B41A04">
        <w:rPr>
          <w:snapToGrid w:val="0"/>
        </w:rPr>
        <w:t>) and organisations (</w:t>
      </w:r>
      <w:r w:rsidR="00C1393D" w:rsidRPr="00B41A04">
        <w:rPr>
          <w:snapToGrid w:val="0"/>
        </w:rPr>
        <w:t>The Australian College of Nurse Practitioners</w:t>
      </w:r>
      <w:r w:rsidR="00C46A60">
        <w:rPr>
          <w:snapToGrid w:val="0"/>
        </w:rPr>
        <w:t xml:space="preserve"> (ACNP)</w:t>
      </w:r>
      <w:r w:rsidR="00C1393D" w:rsidRPr="00B41A04">
        <w:rPr>
          <w:snapToGrid w:val="0"/>
        </w:rPr>
        <w:t>, the Australasian Menopause Society</w:t>
      </w:r>
      <w:r w:rsidR="00677EE1">
        <w:rPr>
          <w:snapToGrid w:val="0"/>
        </w:rPr>
        <w:t xml:space="preserve"> (AMS)</w:t>
      </w:r>
      <w:r w:rsidR="00C1393D" w:rsidRPr="00B41A04">
        <w:rPr>
          <w:snapToGrid w:val="0"/>
        </w:rPr>
        <w:t xml:space="preserve">, </w:t>
      </w:r>
      <w:r w:rsidR="00DB182F">
        <w:rPr>
          <w:snapToGrid w:val="0"/>
        </w:rPr>
        <w:t>RAN</w:t>
      </w:r>
      <w:r w:rsidR="00082366">
        <w:rPr>
          <w:snapToGrid w:val="0"/>
        </w:rPr>
        <w:t>ZCOG</w:t>
      </w:r>
      <w:r w:rsidR="00C1393D" w:rsidRPr="00B41A04">
        <w:rPr>
          <w:snapToGrid w:val="0"/>
        </w:rPr>
        <w:t xml:space="preserve">, </w:t>
      </w:r>
      <w:proofErr w:type="spellStart"/>
      <w:r w:rsidR="00B41A04" w:rsidRPr="00B41A04">
        <w:rPr>
          <w:rFonts w:eastAsia="Times New Roman" w:cs="Arial"/>
          <w:bCs/>
          <w:snapToGrid w:val="0"/>
          <w:szCs w:val="24"/>
        </w:rPr>
        <w:t>WellFemme</w:t>
      </w:r>
      <w:proofErr w:type="spellEnd"/>
      <w:r w:rsidR="00B41A04" w:rsidRPr="00B41A04">
        <w:rPr>
          <w:rFonts w:eastAsia="Times New Roman" w:cs="Arial"/>
          <w:bCs/>
          <w:snapToGrid w:val="0"/>
          <w:szCs w:val="24"/>
        </w:rPr>
        <w:t xml:space="preserve"> Telehealth Menopause Clinic, Women’s Health &amp; Research Institute of Australia, </w:t>
      </w:r>
      <w:proofErr w:type="spellStart"/>
      <w:r w:rsidR="00B41889">
        <w:rPr>
          <w:rFonts w:eastAsia="Times New Roman" w:cs="Arial"/>
          <w:bCs/>
          <w:snapToGrid w:val="0"/>
          <w:szCs w:val="24"/>
        </w:rPr>
        <w:t>Genspect</w:t>
      </w:r>
      <w:proofErr w:type="spellEnd"/>
      <w:r w:rsidR="00B41889">
        <w:rPr>
          <w:rFonts w:eastAsia="Times New Roman" w:cs="Arial"/>
          <w:bCs/>
          <w:snapToGrid w:val="0"/>
          <w:szCs w:val="24"/>
        </w:rPr>
        <w:t xml:space="preserve"> Australia, </w:t>
      </w:r>
      <w:r w:rsidR="001021F5" w:rsidRPr="00B41A04">
        <w:rPr>
          <w:bCs/>
          <w:snapToGrid w:val="0"/>
        </w:rPr>
        <w:t>Healthy Hormones, and t</w:t>
      </w:r>
      <w:r w:rsidR="00C1393D" w:rsidRPr="00B41A04">
        <w:rPr>
          <w:bCs/>
          <w:snapToGrid w:val="0"/>
        </w:rPr>
        <w:t>he L</w:t>
      </w:r>
      <w:r w:rsidR="00B77974" w:rsidRPr="00B41A04">
        <w:rPr>
          <w:bCs/>
          <w:snapToGrid w:val="0"/>
        </w:rPr>
        <w:t>GB</w:t>
      </w:r>
      <w:r w:rsidR="001021F5" w:rsidRPr="00B41A04">
        <w:rPr>
          <w:bCs/>
          <w:snapToGrid w:val="0"/>
        </w:rPr>
        <w:t xml:space="preserve"> Alliance</w:t>
      </w:r>
      <w:r w:rsidR="00B41889">
        <w:rPr>
          <w:bCs/>
          <w:snapToGrid w:val="0"/>
        </w:rPr>
        <w:t xml:space="preserve"> Australia</w:t>
      </w:r>
      <w:r w:rsidRPr="00B41A04">
        <w:rPr>
          <w:bCs/>
          <w:snapToGrid w:val="0"/>
        </w:rPr>
        <w:t xml:space="preserve">) via the Consumer Comments facility on the PBS website.  </w:t>
      </w:r>
    </w:p>
    <w:p w14:paraId="444448A8" w14:textId="5BE57B22" w:rsidR="00F5263E" w:rsidRPr="00B41A04" w:rsidRDefault="00F5263E">
      <w:pPr>
        <w:pStyle w:val="3-BodyText"/>
        <w:widowControl w:val="0"/>
        <w:rPr>
          <w:bCs/>
          <w:snapToGrid w:val="0"/>
        </w:rPr>
      </w:pPr>
      <w:r w:rsidRPr="00B41A04">
        <w:rPr>
          <w:bCs/>
          <w:snapToGrid w:val="0"/>
        </w:rPr>
        <w:t xml:space="preserve">The comments </w:t>
      </w:r>
      <w:r w:rsidR="00774BBF">
        <w:rPr>
          <w:bCs/>
          <w:snapToGrid w:val="0"/>
        </w:rPr>
        <w:t xml:space="preserve">from consumers and health care professionals </w:t>
      </w:r>
      <w:r w:rsidRPr="00B41A04">
        <w:rPr>
          <w:bCs/>
          <w:snapToGrid w:val="0"/>
        </w:rPr>
        <w:t xml:space="preserve">described a range of benefits of treatment with </w:t>
      </w:r>
      <w:r w:rsidR="002D608E" w:rsidRPr="00B41A04">
        <w:rPr>
          <w:bCs/>
          <w:snapToGrid w:val="0"/>
        </w:rPr>
        <w:t>testosterone 1</w:t>
      </w:r>
      <w:r w:rsidR="007439D1" w:rsidRPr="00B41A04">
        <w:rPr>
          <w:bCs/>
          <w:snapToGrid w:val="0"/>
        </w:rPr>
        <w:t>% cream</w:t>
      </w:r>
      <w:r w:rsidRPr="00B41A04">
        <w:rPr>
          <w:bCs/>
          <w:snapToGrid w:val="0"/>
        </w:rPr>
        <w:t xml:space="preserve"> </w:t>
      </w:r>
      <w:bookmarkStart w:id="36" w:name="_Hlk97141379"/>
      <w:r w:rsidR="00442D02">
        <w:rPr>
          <w:bCs/>
          <w:snapToGrid w:val="0"/>
        </w:rPr>
        <w:t xml:space="preserve">including improved </w:t>
      </w:r>
      <w:r w:rsidR="00BF7FED">
        <w:rPr>
          <w:bCs/>
          <w:snapToGrid w:val="0"/>
        </w:rPr>
        <w:t>energy levels, mood</w:t>
      </w:r>
      <w:r w:rsidR="00CD1521">
        <w:rPr>
          <w:bCs/>
          <w:snapToGrid w:val="0"/>
        </w:rPr>
        <w:t>, self-esteem</w:t>
      </w:r>
      <w:r w:rsidR="00BF7FED">
        <w:rPr>
          <w:bCs/>
          <w:snapToGrid w:val="0"/>
        </w:rPr>
        <w:t xml:space="preserve"> and </w:t>
      </w:r>
      <w:r w:rsidR="00442D02">
        <w:rPr>
          <w:bCs/>
          <w:snapToGrid w:val="0"/>
        </w:rPr>
        <w:t>quality of life</w:t>
      </w:r>
      <w:r w:rsidR="00AD657F">
        <w:rPr>
          <w:bCs/>
          <w:snapToGrid w:val="0"/>
        </w:rPr>
        <w:t xml:space="preserve">, </w:t>
      </w:r>
      <w:r w:rsidR="00D132B4">
        <w:rPr>
          <w:bCs/>
          <w:snapToGrid w:val="0"/>
        </w:rPr>
        <w:t xml:space="preserve">improved </w:t>
      </w:r>
      <w:r w:rsidR="00676D47">
        <w:rPr>
          <w:bCs/>
          <w:snapToGrid w:val="0"/>
        </w:rPr>
        <w:t xml:space="preserve">relationship health, </w:t>
      </w:r>
      <w:r w:rsidR="00442D02">
        <w:rPr>
          <w:bCs/>
          <w:snapToGrid w:val="0"/>
        </w:rPr>
        <w:t>improved libido</w:t>
      </w:r>
      <w:r w:rsidR="00AD657F">
        <w:rPr>
          <w:bCs/>
          <w:snapToGrid w:val="0"/>
        </w:rPr>
        <w:t xml:space="preserve">, </w:t>
      </w:r>
      <w:r w:rsidR="00D13F86">
        <w:rPr>
          <w:bCs/>
          <w:snapToGrid w:val="0"/>
        </w:rPr>
        <w:t xml:space="preserve">wellbeing, bone and muscle health, enhanced cognition, reduced fatigue, </w:t>
      </w:r>
      <w:r w:rsidR="00676D47">
        <w:rPr>
          <w:bCs/>
          <w:snapToGrid w:val="0"/>
        </w:rPr>
        <w:t xml:space="preserve">and </w:t>
      </w:r>
      <w:r w:rsidR="00AD657F">
        <w:rPr>
          <w:bCs/>
          <w:snapToGrid w:val="0"/>
        </w:rPr>
        <w:t>the potential for deprescribing of antidepressants</w:t>
      </w:r>
      <w:r w:rsidR="00676D47">
        <w:rPr>
          <w:bCs/>
          <w:snapToGrid w:val="0"/>
        </w:rPr>
        <w:t xml:space="preserve"> and antipsychotics</w:t>
      </w:r>
      <w:r w:rsidR="00BF7531">
        <w:rPr>
          <w:bCs/>
          <w:snapToGrid w:val="0"/>
        </w:rPr>
        <w:t xml:space="preserve">. </w:t>
      </w:r>
      <w:r w:rsidR="00992A7B">
        <w:rPr>
          <w:bCs/>
          <w:snapToGrid w:val="0"/>
        </w:rPr>
        <w:t>The PBAC noted that many of the benefits described were outside the scope of HSDD</w:t>
      </w:r>
      <w:r w:rsidR="00D13F86">
        <w:rPr>
          <w:bCs/>
          <w:snapToGrid w:val="0"/>
        </w:rPr>
        <w:t xml:space="preserve"> </w:t>
      </w:r>
      <w:r w:rsidR="00D21DCA">
        <w:rPr>
          <w:bCs/>
          <w:snapToGrid w:val="0"/>
        </w:rPr>
        <w:t>and</w:t>
      </w:r>
      <w:r w:rsidR="00243423">
        <w:rPr>
          <w:bCs/>
          <w:snapToGrid w:val="0"/>
        </w:rPr>
        <w:t xml:space="preserve"> that</w:t>
      </w:r>
      <w:r w:rsidR="00243423" w:rsidRPr="00243423">
        <w:rPr>
          <w:bCs/>
          <w:snapToGrid w:val="0"/>
        </w:rPr>
        <w:t xml:space="preserve"> </w:t>
      </w:r>
      <w:r w:rsidR="00243423">
        <w:rPr>
          <w:bCs/>
          <w:snapToGrid w:val="0"/>
        </w:rPr>
        <w:t xml:space="preserve">many consumers and health care professionals equated HSDD with low libido, having used the terms synonymously. </w:t>
      </w:r>
      <w:bookmarkEnd w:id="36"/>
      <w:r w:rsidR="00F91C8A">
        <w:rPr>
          <w:bCs/>
          <w:snapToGrid w:val="0"/>
        </w:rPr>
        <w:t xml:space="preserve">The </w:t>
      </w:r>
      <w:r w:rsidR="00D132B4">
        <w:rPr>
          <w:bCs/>
          <w:snapToGrid w:val="0"/>
        </w:rPr>
        <w:t xml:space="preserve">PBAC noted that the </w:t>
      </w:r>
      <w:r w:rsidR="00F91C8A">
        <w:rPr>
          <w:bCs/>
          <w:snapToGrid w:val="0"/>
        </w:rPr>
        <w:t xml:space="preserve">comments </w:t>
      </w:r>
      <w:r w:rsidR="00144EA9">
        <w:rPr>
          <w:bCs/>
          <w:snapToGrid w:val="0"/>
        </w:rPr>
        <w:t>described issues related to gender inequity</w:t>
      </w:r>
      <w:r w:rsidR="009273ED">
        <w:rPr>
          <w:bCs/>
          <w:snapToGrid w:val="0"/>
        </w:rPr>
        <w:t xml:space="preserve"> and </w:t>
      </w:r>
      <w:r w:rsidR="008C363A">
        <w:rPr>
          <w:bCs/>
          <w:snapToGrid w:val="0"/>
        </w:rPr>
        <w:t xml:space="preserve">prohibitive </w:t>
      </w:r>
      <w:r w:rsidR="009273ED">
        <w:rPr>
          <w:bCs/>
          <w:snapToGrid w:val="0"/>
        </w:rPr>
        <w:t>cost</w:t>
      </w:r>
      <w:r w:rsidR="00144EA9">
        <w:rPr>
          <w:bCs/>
          <w:snapToGrid w:val="0"/>
        </w:rPr>
        <w:t xml:space="preserve">, </w:t>
      </w:r>
      <w:r w:rsidR="004E020F">
        <w:rPr>
          <w:bCs/>
          <w:snapToGrid w:val="0"/>
        </w:rPr>
        <w:t xml:space="preserve">as well as </w:t>
      </w:r>
      <w:r w:rsidR="00F91C8A">
        <w:rPr>
          <w:bCs/>
          <w:snapToGrid w:val="0"/>
        </w:rPr>
        <w:t>the potential for inappropriate use</w:t>
      </w:r>
      <w:r w:rsidR="002C1EF7">
        <w:rPr>
          <w:bCs/>
          <w:snapToGrid w:val="0"/>
        </w:rPr>
        <w:t xml:space="preserve"> of testosterone when it is not indicated</w:t>
      </w:r>
      <w:r w:rsidR="00D03A53">
        <w:rPr>
          <w:bCs/>
          <w:snapToGrid w:val="0"/>
        </w:rPr>
        <w:t>,</w:t>
      </w:r>
      <w:r w:rsidR="002C1EF7">
        <w:rPr>
          <w:bCs/>
          <w:snapToGrid w:val="0"/>
        </w:rPr>
        <w:t xml:space="preserve"> and the risk of </w:t>
      </w:r>
      <w:r w:rsidR="00702A19">
        <w:rPr>
          <w:bCs/>
          <w:snapToGrid w:val="0"/>
        </w:rPr>
        <w:t>adverse e</w:t>
      </w:r>
      <w:r w:rsidR="00EC6A78">
        <w:rPr>
          <w:bCs/>
          <w:snapToGrid w:val="0"/>
        </w:rPr>
        <w:t>ffect</w:t>
      </w:r>
      <w:r w:rsidR="00702A19">
        <w:rPr>
          <w:bCs/>
          <w:snapToGrid w:val="0"/>
        </w:rPr>
        <w:t>s</w:t>
      </w:r>
      <w:r w:rsidR="00F91C8A">
        <w:rPr>
          <w:bCs/>
          <w:snapToGrid w:val="0"/>
        </w:rPr>
        <w:t>.</w:t>
      </w:r>
      <w:r w:rsidR="00502E9E" w:rsidRPr="00502E9E">
        <w:t xml:space="preserve"> </w:t>
      </w:r>
      <w:r w:rsidR="00AA00E4">
        <w:t xml:space="preserve">The PBAC noted </w:t>
      </w:r>
      <w:r w:rsidR="001B63E0">
        <w:t>several</w:t>
      </w:r>
      <w:r w:rsidR="00C0018C">
        <w:t xml:space="preserve"> perimenopausal women stated they were using testosterone 1% cream</w:t>
      </w:r>
      <w:r w:rsidR="00E67D8E">
        <w:t xml:space="preserve">, which </w:t>
      </w:r>
      <w:r w:rsidR="00C21D24">
        <w:t xml:space="preserve">highlighted that the therapy is currently being used outside its TGA approved indication. </w:t>
      </w:r>
      <w:r w:rsidR="000B6188">
        <w:t xml:space="preserve">The PBAC noted that some </w:t>
      </w:r>
      <w:r w:rsidR="00696A7E">
        <w:t xml:space="preserve">health care </w:t>
      </w:r>
      <w:r w:rsidR="004719E9">
        <w:t>professionals</w:t>
      </w:r>
      <w:r w:rsidR="000B6188">
        <w:t xml:space="preserve"> did not support </w:t>
      </w:r>
      <w:r w:rsidR="003922F2">
        <w:t>listing of testosterone 1% cream on the PBS</w:t>
      </w:r>
      <w:r w:rsidR="00382976">
        <w:t>.</w:t>
      </w:r>
    </w:p>
    <w:p w14:paraId="32A4C4A5" w14:textId="7C89A682" w:rsidR="002A64B9" w:rsidRPr="000F5AFA" w:rsidRDefault="002553D2">
      <w:pPr>
        <w:pStyle w:val="3-BodyText"/>
        <w:rPr>
          <w:snapToGrid w:val="0"/>
        </w:rPr>
      </w:pPr>
      <w:r w:rsidRPr="000F5AFA">
        <w:rPr>
          <w:snapToGrid w:val="0"/>
        </w:rPr>
        <w:t xml:space="preserve">The </w:t>
      </w:r>
      <w:r w:rsidR="00E90EB8" w:rsidRPr="000F5AFA">
        <w:rPr>
          <w:snapToGrid w:val="0"/>
        </w:rPr>
        <w:t xml:space="preserve">PBAC noted that comments from </w:t>
      </w:r>
      <w:r w:rsidR="00677EE1" w:rsidRPr="000F5AFA">
        <w:rPr>
          <w:snapToGrid w:val="0"/>
        </w:rPr>
        <w:t>AMS</w:t>
      </w:r>
      <w:r w:rsidR="006213A5" w:rsidRPr="000F5AFA">
        <w:rPr>
          <w:snapToGrid w:val="0"/>
        </w:rPr>
        <w:t xml:space="preserve"> </w:t>
      </w:r>
      <w:r w:rsidR="00901D11" w:rsidRPr="000F5AFA">
        <w:rPr>
          <w:snapToGrid w:val="0"/>
        </w:rPr>
        <w:t xml:space="preserve">indicated </w:t>
      </w:r>
      <w:r w:rsidR="008472A4" w:rsidRPr="000F5AFA">
        <w:rPr>
          <w:snapToGrid w:val="0"/>
        </w:rPr>
        <w:t xml:space="preserve">that </w:t>
      </w:r>
      <w:r w:rsidR="00764768" w:rsidRPr="000F5AFA">
        <w:rPr>
          <w:snapToGrid w:val="0"/>
        </w:rPr>
        <w:t>“</w:t>
      </w:r>
      <w:r w:rsidR="008472A4" w:rsidRPr="000F5AFA">
        <w:rPr>
          <w:snapToGrid w:val="0"/>
        </w:rPr>
        <w:t>the only evidence-based indication for the use of testosterone in women is for the treatment of HSDD</w:t>
      </w:r>
      <w:r w:rsidR="002A44F9" w:rsidRPr="000F5AFA">
        <w:rPr>
          <w:snapToGrid w:val="0"/>
        </w:rPr>
        <w:t>” and that “</w:t>
      </w:r>
      <w:r w:rsidR="00703EE5">
        <w:rPr>
          <w:snapToGrid w:val="0"/>
        </w:rPr>
        <w:t>o</w:t>
      </w:r>
      <w:r w:rsidR="008472A4" w:rsidRPr="000F5AFA">
        <w:rPr>
          <w:snapToGrid w:val="0"/>
        </w:rPr>
        <w:t>ther purported benefits reported in some social media outlets are without scientific basis</w:t>
      </w:r>
      <w:r w:rsidR="00DD27CE" w:rsidRPr="000F5AFA">
        <w:rPr>
          <w:snapToGrid w:val="0"/>
        </w:rPr>
        <w:t>”</w:t>
      </w:r>
      <w:r w:rsidR="00677EE1" w:rsidRPr="000F5AFA">
        <w:rPr>
          <w:snapToGrid w:val="0"/>
        </w:rPr>
        <w:t xml:space="preserve">. </w:t>
      </w:r>
      <w:r w:rsidR="002A64B9" w:rsidRPr="000F5AFA">
        <w:rPr>
          <w:snapToGrid w:val="0"/>
        </w:rPr>
        <w:t xml:space="preserve">The PBAC noted that the AMS supported an Authority Required (streamlined) listing. </w:t>
      </w:r>
      <w:r w:rsidR="000F5AFA" w:rsidRPr="000F5AFA">
        <w:rPr>
          <w:snapToGrid w:val="0"/>
        </w:rPr>
        <w:t>Similarly</w:t>
      </w:r>
      <w:r w:rsidR="000F5AFA">
        <w:rPr>
          <w:snapToGrid w:val="0"/>
        </w:rPr>
        <w:t xml:space="preserve">, </w:t>
      </w:r>
      <w:r w:rsidR="00E22986" w:rsidRPr="000F5AFA">
        <w:rPr>
          <w:snapToGrid w:val="0"/>
        </w:rPr>
        <w:t>LGB Alliance Australia supported a listing for HSDD, however the PBAC noted that the organisation did not support use in premenopausal women or for any other indication, noting the absence of long-term safety data and that their support  was in the context that robust safeguards should be used to avoid unintended use in younger populations that would expose them to “unassessed harm and the PBS to unplanned cost”.</w:t>
      </w:r>
      <w:r w:rsidR="00E22986" w:rsidRPr="00FF5033">
        <w:t xml:space="preserve"> </w:t>
      </w:r>
    </w:p>
    <w:p w14:paraId="778BB71C" w14:textId="3F2D4893" w:rsidR="006757C3" w:rsidRPr="00DD519E" w:rsidRDefault="006757C3" w:rsidP="006757C3">
      <w:pPr>
        <w:pStyle w:val="3-BodyText"/>
        <w:rPr>
          <w:snapToGrid w:val="0"/>
        </w:rPr>
      </w:pPr>
      <w:proofErr w:type="spellStart"/>
      <w:r>
        <w:t>Genspect</w:t>
      </w:r>
      <w:proofErr w:type="spellEnd"/>
      <w:r>
        <w:t xml:space="preserve"> Australia inferred the submission sought to secure access through the “back door” of a HSDD listing, but that such a listing “</w:t>
      </w:r>
      <w:r w:rsidRPr="004719E9">
        <w:t>would place younger cohorts at unknown and unassessed risk, particularly given the higher doses sought for masculinisation and other unapproved purposes</w:t>
      </w:r>
      <w:r>
        <w:t xml:space="preserve">” and that the proposed listing </w:t>
      </w:r>
      <w:r w:rsidRPr="004719E9">
        <w:t xml:space="preserve">would </w:t>
      </w:r>
      <w:r>
        <w:t>“</w:t>
      </w:r>
      <w:r w:rsidRPr="004719E9">
        <w:t>expose the PBS to significant financial risk from uncontrolled off-label use</w:t>
      </w:r>
      <w:r>
        <w:t>”</w:t>
      </w:r>
      <w:r w:rsidRPr="004719E9">
        <w:t>.</w:t>
      </w:r>
      <w:r>
        <w:t xml:space="preserve"> </w:t>
      </w:r>
      <w:proofErr w:type="spellStart"/>
      <w:r w:rsidR="00EA1D64">
        <w:t>Genspect</w:t>
      </w:r>
      <w:proofErr w:type="spellEnd"/>
      <w:r w:rsidR="00EA1D64">
        <w:t xml:space="preserve"> </w:t>
      </w:r>
      <w:r w:rsidR="00EA1D64">
        <w:lastRenderedPageBreak/>
        <w:t xml:space="preserve">Australia </w:t>
      </w:r>
      <w:r w:rsidR="005E05F3">
        <w:t xml:space="preserve">also </w:t>
      </w:r>
      <w:r w:rsidR="00EA1D64">
        <w:t xml:space="preserve">noted that </w:t>
      </w:r>
      <w:r w:rsidR="00EA1D64" w:rsidRPr="005E4679">
        <w:rPr>
          <w:bCs/>
          <w:snapToGrid w:val="0"/>
        </w:rPr>
        <w:t>that the requested listing is much broader than the restrictions for male testosterone products.</w:t>
      </w:r>
    </w:p>
    <w:p w14:paraId="2C035FE1" w14:textId="595A9F7C" w:rsidR="002A64B9" w:rsidRDefault="00AE3233" w:rsidP="00AE3233">
      <w:pPr>
        <w:pStyle w:val="3-BodyText"/>
        <w:rPr>
          <w:snapToGrid w:val="0"/>
        </w:rPr>
      </w:pPr>
      <w:proofErr w:type="spellStart"/>
      <w:r w:rsidRPr="00AE3233">
        <w:rPr>
          <w:snapToGrid w:val="0"/>
        </w:rPr>
        <w:t>WellFemme</w:t>
      </w:r>
      <w:proofErr w:type="spellEnd"/>
      <w:r w:rsidRPr="00AE3233">
        <w:rPr>
          <w:snapToGrid w:val="0"/>
        </w:rPr>
        <w:t xml:space="preserve"> Telehealth Menopause</w:t>
      </w:r>
      <w:r>
        <w:rPr>
          <w:snapToGrid w:val="0"/>
        </w:rPr>
        <w:t xml:space="preserve"> Clinic </w:t>
      </w:r>
      <w:r w:rsidR="00A731F2">
        <w:rPr>
          <w:snapToGrid w:val="0"/>
        </w:rPr>
        <w:t xml:space="preserve">and Healthy Hormones </w:t>
      </w:r>
      <w:r w:rsidR="000F5AFA">
        <w:rPr>
          <w:snapToGrid w:val="0"/>
        </w:rPr>
        <w:t xml:space="preserve">supported the listing of testosterone 1% cream and </w:t>
      </w:r>
      <w:r w:rsidR="00703EE5">
        <w:rPr>
          <w:snapToGrid w:val="0"/>
        </w:rPr>
        <w:t>highlighted t</w:t>
      </w:r>
      <w:r w:rsidR="00506B11">
        <w:rPr>
          <w:snapToGrid w:val="0"/>
        </w:rPr>
        <w:t>he</w:t>
      </w:r>
      <w:r>
        <w:rPr>
          <w:snapToGrid w:val="0"/>
        </w:rPr>
        <w:t xml:space="preserve"> gender disparity</w:t>
      </w:r>
      <w:r w:rsidR="00B93AE0">
        <w:rPr>
          <w:snapToGrid w:val="0"/>
        </w:rPr>
        <w:t xml:space="preserve"> that should be addressed</w:t>
      </w:r>
      <w:r>
        <w:rPr>
          <w:snapToGrid w:val="0"/>
        </w:rPr>
        <w:t xml:space="preserve">. </w:t>
      </w:r>
      <w:r w:rsidR="00DD519E">
        <w:t xml:space="preserve">RANZCOG highlighted the prohibitive cost of newer medications that do not have PBS subsidy and </w:t>
      </w:r>
      <w:r w:rsidR="00794051">
        <w:t xml:space="preserve">stated, </w:t>
      </w:r>
      <w:r w:rsidR="00DD519E">
        <w:t>“</w:t>
      </w:r>
      <w:r w:rsidR="00DD519E" w:rsidRPr="00EC0C5F">
        <w:t>more needs to be done to address the affordability and accessibility of medications available to women in Australia</w:t>
      </w:r>
      <w:r w:rsidR="00DD519E">
        <w:t>”.</w:t>
      </w:r>
    </w:p>
    <w:p w14:paraId="66792829" w14:textId="77777777" w:rsidR="005E4679" w:rsidRDefault="00E90EB8">
      <w:pPr>
        <w:pStyle w:val="3-BodyText"/>
        <w:widowControl w:val="0"/>
        <w:rPr>
          <w:bCs/>
          <w:snapToGrid w:val="0"/>
        </w:rPr>
      </w:pPr>
      <w:r w:rsidRPr="005E4679">
        <w:rPr>
          <w:snapToGrid w:val="0"/>
        </w:rPr>
        <w:t xml:space="preserve">The PBAC noted the comments received from the ACNP referred to the benefits of testosterone </w:t>
      </w:r>
      <w:r w:rsidR="00506B11" w:rsidRPr="005E4679">
        <w:rPr>
          <w:snapToGrid w:val="0"/>
        </w:rPr>
        <w:t xml:space="preserve">1% cream </w:t>
      </w:r>
      <w:r w:rsidRPr="005E4679">
        <w:rPr>
          <w:snapToGrid w:val="0"/>
        </w:rPr>
        <w:t>for treating vasomotor and other symptoms of menopause</w:t>
      </w:r>
      <w:r w:rsidR="00134F2E" w:rsidRPr="005E4679">
        <w:rPr>
          <w:snapToGrid w:val="0"/>
        </w:rPr>
        <w:t xml:space="preserve">, which highlighted the </w:t>
      </w:r>
      <w:r w:rsidR="005E4679" w:rsidRPr="005E4679">
        <w:rPr>
          <w:snapToGrid w:val="0"/>
        </w:rPr>
        <w:t xml:space="preserve">perception </w:t>
      </w:r>
      <w:r w:rsidR="00E46C40" w:rsidRPr="005E4679">
        <w:rPr>
          <w:bCs/>
          <w:snapToGrid w:val="0"/>
        </w:rPr>
        <w:t xml:space="preserve">that testosterone </w:t>
      </w:r>
      <w:r w:rsidR="00BD4029" w:rsidRPr="005E4679">
        <w:rPr>
          <w:bCs/>
          <w:snapToGrid w:val="0"/>
        </w:rPr>
        <w:t>helps improve symptoms of menopause</w:t>
      </w:r>
      <w:r w:rsidR="00FA3127" w:rsidRPr="005E4679">
        <w:rPr>
          <w:bCs/>
          <w:snapToGrid w:val="0"/>
        </w:rPr>
        <w:t xml:space="preserve"> rather than treating </w:t>
      </w:r>
      <w:r w:rsidR="00BD4029" w:rsidRPr="005E4679">
        <w:rPr>
          <w:bCs/>
          <w:snapToGrid w:val="0"/>
        </w:rPr>
        <w:t>HSDD</w:t>
      </w:r>
      <w:r w:rsidR="005E4679">
        <w:rPr>
          <w:bCs/>
          <w:snapToGrid w:val="0"/>
        </w:rPr>
        <w:t>.</w:t>
      </w:r>
    </w:p>
    <w:p w14:paraId="609C0765" w14:textId="2A9F18C3" w:rsidR="00B60939" w:rsidRPr="0098262F" w:rsidRDefault="00B60939" w:rsidP="002E4F02">
      <w:pPr>
        <w:pStyle w:val="4-SubsectionHeading"/>
      </w:pPr>
      <w:r w:rsidRPr="0098262F">
        <w:t>Clinical</w:t>
      </w:r>
      <w:r w:rsidR="00B948D4">
        <w:t xml:space="preserve"> </w:t>
      </w:r>
      <w:r w:rsidRPr="0098262F">
        <w:t>trials</w:t>
      </w:r>
      <w:bookmarkEnd w:id="34"/>
      <w:bookmarkEnd w:id="35"/>
    </w:p>
    <w:p w14:paraId="0750E33E" w14:textId="6B2E0179" w:rsidR="001033C5" w:rsidRDefault="00B948D4" w:rsidP="00E45C9B">
      <w:pPr>
        <w:pStyle w:val="3-BodyText"/>
        <w:rPr>
          <w:color w:val="000000" w:themeColor="text1"/>
        </w:rPr>
      </w:pPr>
      <w:r w:rsidRPr="00FB3125">
        <w:rPr>
          <w:color w:val="000000" w:themeColor="text1"/>
        </w:rPr>
        <w:t xml:space="preserve">The claim of superior effectiveness of testosterone 1% cream versus placebo was based on a </w:t>
      </w:r>
      <w:r w:rsidR="004D4B51" w:rsidRPr="00482421">
        <w:rPr>
          <w:color w:val="000000" w:themeColor="text1"/>
        </w:rPr>
        <w:t>double-blind, randomi</w:t>
      </w:r>
      <w:r w:rsidR="004D4B51">
        <w:rPr>
          <w:color w:val="000000" w:themeColor="text1"/>
        </w:rPr>
        <w:t>s</w:t>
      </w:r>
      <w:r w:rsidR="004D4B51" w:rsidRPr="00482421">
        <w:rPr>
          <w:color w:val="000000" w:themeColor="text1"/>
        </w:rPr>
        <w:t>ed, placebo-controlled, cross-over study</w:t>
      </w:r>
      <w:r w:rsidR="007B2200">
        <w:rPr>
          <w:color w:val="000000" w:themeColor="text1"/>
        </w:rPr>
        <w:t xml:space="preserve"> (El-Hage, 2007)</w:t>
      </w:r>
      <w:r w:rsidR="004D4B51" w:rsidRPr="00482421">
        <w:rPr>
          <w:color w:val="000000" w:themeColor="text1"/>
        </w:rPr>
        <w:t xml:space="preserve"> (each</w:t>
      </w:r>
      <w:r w:rsidR="004D4B51">
        <w:rPr>
          <w:color w:val="000000" w:themeColor="text1"/>
        </w:rPr>
        <w:t xml:space="preserve"> </w:t>
      </w:r>
      <w:r w:rsidR="004D4B51" w:rsidRPr="00482421">
        <w:rPr>
          <w:color w:val="000000" w:themeColor="text1"/>
        </w:rPr>
        <w:t>period being of 3 months’ duration)</w:t>
      </w:r>
      <w:r w:rsidR="00EF3824" w:rsidRPr="00FB3125">
        <w:rPr>
          <w:color w:val="000000" w:themeColor="text1"/>
        </w:rPr>
        <w:t xml:space="preserve"> in 36</w:t>
      </w:r>
      <w:r w:rsidR="005E1E0B">
        <w:rPr>
          <w:color w:val="000000" w:themeColor="text1"/>
        </w:rPr>
        <w:t xml:space="preserve"> </w:t>
      </w:r>
      <w:r w:rsidR="00EF3824" w:rsidRPr="00FB3125">
        <w:rPr>
          <w:color w:val="000000" w:themeColor="text1"/>
        </w:rPr>
        <w:t>women</w:t>
      </w:r>
      <w:r w:rsidR="0049037B">
        <w:rPr>
          <w:color w:val="000000" w:themeColor="text1"/>
        </w:rPr>
        <w:t xml:space="preserve"> who</w:t>
      </w:r>
      <w:r w:rsidR="009E4062">
        <w:rPr>
          <w:color w:val="000000" w:themeColor="text1"/>
        </w:rPr>
        <w:t xml:space="preserve"> were menopausal (</w:t>
      </w:r>
      <w:r w:rsidR="00532E5F">
        <w:rPr>
          <w:color w:val="000000" w:themeColor="text1"/>
        </w:rPr>
        <w:t>i.e.</w:t>
      </w:r>
      <w:r w:rsidR="009E4062">
        <w:rPr>
          <w:color w:val="000000" w:themeColor="text1"/>
        </w:rPr>
        <w:t>, had follicle stimulating hormone levels &gt;30 U/L),</w:t>
      </w:r>
      <w:r w:rsidR="00482421">
        <w:rPr>
          <w:color w:val="000000" w:themeColor="text1"/>
        </w:rPr>
        <w:t xml:space="preserve"> </w:t>
      </w:r>
      <w:r w:rsidR="00535BD8">
        <w:rPr>
          <w:color w:val="000000" w:themeColor="text1"/>
        </w:rPr>
        <w:t xml:space="preserve">had had a hysterectomy, </w:t>
      </w:r>
      <w:r w:rsidR="00482421" w:rsidRPr="00482421">
        <w:rPr>
          <w:color w:val="000000" w:themeColor="text1"/>
        </w:rPr>
        <w:t>were not depressed, were in a stable relationship</w:t>
      </w:r>
      <w:r w:rsidR="000B1424">
        <w:rPr>
          <w:color w:val="000000" w:themeColor="text1"/>
        </w:rPr>
        <w:t>,</w:t>
      </w:r>
      <w:r w:rsidR="00C175CB">
        <w:rPr>
          <w:color w:val="000000" w:themeColor="text1"/>
        </w:rPr>
        <w:t xml:space="preserve"> </w:t>
      </w:r>
      <w:r w:rsidR="00482421" w:rsidRPr="00482421">
        <w:rPr>
          <w:color w:val="000000" w:themeColor="text1"/>
        </w:rPr>
        <w:t xml:space="preserve">and who </w:t>
      </w:r>
      <w:r w:rsidR="009E4062">
        <w:rPr>
          <w:color w:val="000000" w:themeColor="text1"/>
        </w:rPr>
        <w:t xml:space="preserve">had </w:t>
      </w:r>
      <w:r w:rsidR="00482421" w:rsidRPr="00482421">
        <w:rPr>
          <w:color w:val="000000" w:themeColor="text1"/>
        </w:rPr>
        <w:t xml:space="preserve">low sexual </w:t>
      </w:r>
      <w:r w:rsidR="009E4062">
        <w:rPr>
          <w:color w:val="000000" w:themeColor="text1"/>
        </w:rPr>
        <w:t xml:space="preserve">function. </w:t>
      </w:r>
      <w:r w:rsidR="009607AF" w:rsidRPr="00E45C9B">
        <w:rPr>
          <w:color w:val="000000" w:themeColor="text1"/>
        </w:rPr>
        <w:t>The enrolled women</w:t>
      </w:r>
      <w:r w:rsidR="0049037B" w:rsidRPr="00E45C9B">
        <w:rPr>
          <w:color w:val="000000" w:themeColor="text1"/>
        </w:rPr>
        <w:t xml:space="preserve"> did not meet </w:t>
      </w:r>
      <w:r w:rsidR="00662EC3" w:rsidRPr="00E45C9B">
        <w:rPr>
          <w:color w:val="000000" w:themeColor="text1"/>
        </w:rPr>
        <w:t xml:space="preserve">diagnostic </w:t>
      </w:r>
      <w:r w:rsidR="0049037B" w:rsidRPr="00E45C9B">
        <w:rPr>
          <w:color w:val="000000" w:themeColor="text1"/>
        </w:rPr>
        <w:t>criteria for HSDD</w:t>
      </w:r>
      <w:r w:rsidR="00176A15" w:rsidRPr="00E45C9B">
        <w:rPr>
          <w:color w:val="000000" w:themeColor="text1"/>
        </w:rPr>
        <w:t xml:space="preserve"> according to the ISSWSH</w:t>
      </w:r>
      <w:r w:rsidR="00662EC3" w:rsidRPr="00E45C9B">
        <w:rPr>
          <w:color w:val="000000" w:themeColor="text1"/>
        </w:rPr>
        <w:t xml:space="preserve"> </w:t>
      </w:r>
      <w:r w:rsidR="00545657" w:rsidRPr="00E45C9B">
        <w:rPr>
          <w:color w:val="000000" w:themeColor="text1"/>
        </w:rPr>
        <w:t>(see paragraph</w:t>
      </w:r>
      <w:r w:rsidR="00802EAA" w:rsidRPr="00E45C9B">
        <w:rPr>
          <w:color w:val="000000" w:themeColor="text1"/>
        </w:rPr>
        <w:t xml:space="preserve">s </w:t>
      </w:r>
      <w:r w:rsidR="00802EAA" w:rsidRPr="00E45C9B">
        <w:rPr>
          <w:color w:val="000000" w:themeColor="text1"/>
        </w:rPr>
        <w:fldChar w:fldCharType="begin"/>
      </w:r>
      <w:r w:rsidR="00802EAA" w:rsidRPr="00E45C9B">
        <w:rPr>
          <w:color w:val="000000" w:themeColor="text1"/>
        </w:rPr>
        <w:instrText xml:space="preserve"> REF _Ref209700410 \r \h </w:instrText>
      </w:r>
      <w:r w:rsidR="00802EAA" w:rsidRPr="00E45C9B">
        <w:rPr>
          <w:color w:val="000000" w:themeColor="text1"/>
        </w:rPr>
      </w:r>
      <w:r w:rsidR="00802EAA" w:rsidRPr="00E45C9B">
        <w:rPr>
          <w:color w:val="000000" w:themeColor="text1"/>
        </w:rPr>
        <w:fldChar w:fldCharType="separate"/>
      </w:r>
      <w:r w:rsidR="00374A89">
        <w:rPr>
          <w:color w:val="000000" w:themeColor="text1"/>
        </w:rPr>
        <w:t>4.2</w:t>
      </w:r>
      <w:r w:rsidR="00802EAA" w:rsidRPr="00E45C9B">
        <w:rPr>
          <w:color w:val="000000" w:themeColor="text1"/>
        </w:rPr>
        <w:fldChar w:fldCharType="end"/>
      </w:r>
      <w:r w:rsidR="00802EAA" w:rsidRPr="00E45C9B">
        <w:rPr>
          <w:color w:val="000000" w:themeColor="text1"/>
        </w:rPr>
        <w:t xml:space="preserve"> above and</w:t>
      </w:r>
      <w:r w:rsidR="00545657" w:rsidRPr="00E45C9B">
        <w:rPr>
          <w:color w:val="000000" w:themeColor="text1"/>
        </w:rPr>
        <w:t xml:space="preserve"> </w:t>
      </w:r>
      <w:r w:rsidR="003F6C0B">
        <w:rPr>
          <w:color w:val="000000" w:themeColor="text1"/>
        </w:rPr>
        <w:fldChar w:fldCharType="begin"/>
      </w:r>
      <w:r w:rsidR="003F6C0B">
        <w:rPr>
          <w:color w:val="000000" w:themeColor="text1"/>
        </w:rPr>
        <w:instrText xml:space="preserve"> REF _Ref212023734 \r \h </w:instrText>
      </w:r>
      <w:r w:rsidR="003F6C0B">
        <w:rPr>
          <w:color w:val="000000" w:themeColor="text1"/>
        </w:rPr>
      </w:r>
      <w:r w:rsidR="003F6C0B">
        <w:rPr>
          <w:color w:val="000000" w:themeColor="text1"/>
        </w:rPr>
        <w:fldChar w:fldCharType="separate"/>
      </w:r>
      <w:r w:rsidR="00374A89">
        <w:rPr>
          <w:color w:val="000000" w:themeColor="text1"/>
        </w:rPr>
        <w:t>6.16</w:t>
      </w:r>
      <w:r w:rsidR="003F6C0B">
        <w:rPr>
          <w:color w:val="000000" w:themeColor="text1"/>
        </w:rPr>
        <w:fldChar w:fldCharType="end"/>
      </w:r>
      <w:r w:rsidR="00545657" w:rsidRPr="00E45C9B">
        <w:rPr>
          <w:color w:val="000000" w:themeColor="text1"/>
        </w:rPr>
        <w:t xml:space="preserve"> below) </w:t>
      </w:r>
      <w:r w:rsidR="00662EC3" w:rsidRPr="00E45C9B">
        <w:rPr>
          <w:color w:val="000000" w:themeColor="text1"/>
        </w:rPr>
        <w:t>and</w:t>
      </w:r>
      <w:r w:rsidR="00EF3824" w:rsidRPr="00E45C9B">
        <w:rPr>
          <w:color w:val="000000" w:themeColor="text1"/>
        </w:rPr>
        <w:t xml:space="preserve"> </w:t>
      </w:r>
      <w:r w:rsidR="00662EC3" w:rsidRPr="00E45C9B">
        <w:rPr>
          <w:color w:val="000000" w:themeColor="text1"/>
        </w:rPr>
        <w:t>received</w:t>
      </w:r>
      <w:r w:rsidR="00EF3824" w:rsidRPr="00E45C9B">
        <w:rPr>
          <w:color w:val="000000" w:themeColor="text1"/>
        </w:rPr>
        <w:t xml:space="preserve"> a </w:t>
      </w:r>
      <w:r w:rsidR="001B5DDC" w:rsidRPr="00E45C9B">
        <w:rPr>
          <w:color w:val="000000" w:themeColor="text1"/>
        </w:rPr>
        <w:t xml:space="preserve">starting </w:t>
      </w:r>
      <w:r w:rsidR="00EF3824" w:rsidRPr="00E45C9B">
        <w:rPr>
          <w:color w:val="000000" w:themeColor="text1"/>
        </w:rPr>
        <w:t xml:space="preserve">dose </w:t>
      </w:r>
      <w:r w:rsidR="001B5DDC" w:rsidRPr="00E45C9B">
        <w:rPr>
          <w:color w:val="000000" w:themeColor="text1"/>
        </w:rPr>
        <w:t xml:space="preserve">that was </w:t>
      </w:r>
      <w:r w:rsidR="00EF3824" w:rsidRPr="00E45C9B">
        <w:rPr>
          <w:color w:val="000000" w:themeColor="text1"/>
        </w:rPr>
        <w:t>higher (10</w:t>
      </w:r>
      <w:r w:rsidR="003A701A" w:rsidRPr="00E45C9B">
        <w:rPr>
          <w:color w:val="000000" w:themeColor="text1"/>
        </w:rPr>
        <w:t> </w:t>
      </w:r>
      <w:r w:rsidR="00EF3824" w:rsidRPr="00E45C9B">
        <w:rPr>
          <w:color w:val="000000" w:themeColor="text1"/>
        </w:rPr>
        <w:t>mg) than the 5 mg dose recommended</w:t>
      </w:r>
      <w:r w:rsidR="00601898" w:rsidRPr="00E45C9B">
        <w:rPr>
          <w:color w:val="000000" w:themeColor="text1"/>
        </w:rPr>
        <w:t xml:space="preserve"> </w:t>
      </w:r>
      <w:r w:rsidR="00714137" w:rsidRPr="00E45C9B">
        <w:rPr>
          <w:color w:val="000000" w:themeColor="text1"/>
        </w:rPr>
        <w:t xml:space="preserve">in the approved Product Information </w:t>
      </w:r>
      <w:r w:rsidR="00601898" w:rsidRPr="00E45C9B">
        <w:rPr>
          <w:color w:val="000000" w:themeColor="text1"/>
        </w:rPr>
        <w:t xml:space="preserve">for </w:t>
      </w:r>
      <w:proofErr w:type="spellStart"/>
      <w:r w:rsidR="00925F2E" w:rsidRPr="00E45C9B">
        <w:rPr>
          <w:color w:val="000000" w:themeColor="text1"/>
        </w:rPr>
        <w:t>Andro</w:t>
      </w:r>
      <w:r w:rsidR="00093CFE" w:rsidRPr="00E45C9B">
        <w:rPr>
          <w:color w:val="000000" w:themeColor="text1"/>
        </w:rPr>
        <w:t>F</w:t>
      </w:r>
      <w:r w:rsidR="00925F2E" w:rsidRPr="00E45C9B">
        <w:rPr>
          <w:color w:val="000000" w:themeColor="text1"/>
        </w:rPr>
        <w:t>eme</w:t>
      </w:r>
      <w:proofErr w:type="spellEnd"/>
      <w:r w:rsidR="00925F2E" w:rsidRPr="00E45C9B">
        <w:rPr>
          <w:color w:val="000000" w:themeColor="text1"/>
        </w:rPr>
        <w:t xml:space="preserve"> 1</w:t>
      </w:r>
      <w:r w:rsidR="00EF3824" w:rsidRPr="00E45C9B">
        <w:rPr>
          <w:color w:val="000000" w:themeColor="text1"/>
        </w:rPr>
        <w:t xml:space="preserve">. </w:t>
      </w:r>
    </w:p>
    <w:p w14:paraId="2B527FC6" w14:textId="590F4B65" w:rsidR="00D57985" w:rsidRPr="00E45C9B" w:rsidRDefault="00EF3824" w:rsidP="00E45C9B">
      <w:pPr>
        <w:pStyle w:val="3-BodyText"/>
        <w:rPr>
          <w:color w:val="000000" w:themeColor="text1"/>
        </w:rPr>
      </w:pPr>
      <w:r w:rsidRPr="00E45C9B">
        <w:rPr>
          <w:color w:val="000000" w:themeColor="text1"/>
        </w:rPr>
        <w:t>The claim of superior efficacy of the 5 mg dose</w:t>
      </w:r>
      <w:r w:rsidR="00662EC3" w:rsidRPr="00E45C9B">
        <w:rPr>
          <w:color w:val="000000" w:themeColor="text1"/>
        </w:rPr>
        <w:t xml:space="preserve"> v</w:t>
      </w:r>
      <w:r w:rsidR="00F32427" w:rsidRPr="00E45C9B">
        <w:rPr>
          <w:color w:val="000000" w:themeColor="text1"/>
        </w:rPr>
        <w:t>ersu</w:t>
      </w:r>
      <w:r w:rsidR="00662EC3" w:rsidRPr="00E45C9B">
        <w:rPr>
          <w:color w:val="000000" w:themeColor="text1"/>
        </w:rPr>
        <w:t>s placebo</w:t>
      </w:r>
      <w:r w:rsidRPr="00E45C9B">
        <w:rPr>
          <w:color w:val="000000" w:themeColor="text1"/>
        </w:rPr>
        <w:t xml:space="preserve"> </w:t>
      </w:r>
      <w:r w:rsidR="000E18BE" w:rsidRPr="00E45C9B">
        <w:rPr>
          <w:color w:val="000000" w:themeColor="text1"/>
        </w:rPr>
        <w:t>was</w:t>
      </w:r>
      <w:r w:rsidRPr="00E45C9B">
        <w:rPr>
          <w:color w:val="000000" w:themeColor="text1"/>
        </w:rPr>
        <w:t xml:space="preserve"> based on a pharmacokinetic study</w:t>
      </w:r>
      <w:r w:rsidR="001B6EF8" w:rsidRPr="00E45C9B">
        <w:rPr>
          <w:color w:val="000000" w:themeColor="text1"/>
        </w:rPr>
        <w:t xml:space="preserve"> (</w:t>
      </w:r>
      <w:proofErr w:type="spellStart"/>
      <w:r w:rsidR="001B6EF8" w:rsidRPr="00D157B7">
        <w:t>Fooladi</w:t>
      </w:r>
      <w:proofErr w:type="spellEnd"/>
      <w:r w:rsidR="001B6EF8" w:rsidRPr="00D157B7">
        <w:t>, 2015</w:t>
      </w:r>
      <w:r w:rsidR="001B6EF8" w:rsidRPr="00E45C9B">
        <w:rPr>
          <w:color w:val="000000" w:themeColor="text1"/>
        </w:rPr>
        <w:t>)</w:t>
      </w:r>
      <w:r w:rsidRPr="00E45C9B">
        <w:rPr>
          <w:color w:val="000000" w:themeColor="text1"/>
        </w:rPr>
        <w:t xml:space="preserve"> showing that the 5</w:t>
      </w:r>
      <w:r w:rsidR="00127DEA" w:rsidRPr="00E45C9B">
        <w:rPr>
          <w:color w:val="000000" w:themeColor="text1"/>
        </w:rPr>
        <w:t> </w:t>
      </w:r>
      <w:r w:rsidRPr="00E45C9B">
        <w:rPr>
          <w:color w:val="000000" w:themeColor="text1"/>
        </w:rPr>
        <w:t>mg dose produced serum testosterone levels lower than those observed with the 10</w:t>
      </w:r>
      <w:r w:rsidR="00127DEA" w:rsidRPr="00E45C9B">
        <w:rPr>
          <w:color w:val="000000" w:themeColor="text1"/>
        </w:rPr>
        <w:t> </w:t>
      </w:r>
      <w:r w:rsidRPr="00E45C9B">
        <w:rPr>
          <w:color w:val="000000" w:themeColor="text1"/>
        </w:rPr>
        <w:t>mg dose</w:t>
      </w:r>
      <w:r w:rsidR="00662EC3" w:rsidRPr="00E45C9B">
        <w:rPr>
          <w:color w:val="000000" w:themeColor="text1"/>
        </w:rPr>
        <w:t xml:space="preserve"> but within the range recommended by consensus guidelines</w:t>
      </w:r>
      <w:r w:rsidR="00B46D62" w:rsidRPr="00E45C9B">
        <w:rPr>
          <w:color w:val="000000" w:themeColor="text1"/>
        </w:rPr>
        <w:t>.</w:t>
      </w:r>
    </w:p>
    <w:p w14:paraId="624F013D" w14:textId="406F1C79" w:rsidR="0093645D" w:rsidRPr="006A2147" w:rsidRDefault="00EF3824" w:rsidP="006A2147">
      <w:pPr>
        <w:pStyle w:val="3-BodyText"/>
        <w:rPr>
          <w:color w:val="0066FF"/>
        </w:rPr>
      </w:pPr>
      <w:r>
        <w:rPr>
          <w:color w:val="000000" w:themeColor="text1"/>
        </w:rPr>
        <w:t>The claim of non</w:t>
      </w:r>
      <w:r w:rsidR="001B5DDC">
        <w:rPr>
          <w:color w:val="000000" w:themeColor="text1"/>
        </w:rPr>
        <w:t>-</w:t>
      </w:r>
      <w:r>
        <w:rPr>
          <w:color w:val="000000" w:themeColor="text1"/>
        </w:rPr>
        <w:t xml:space="preserve">inferior safety of testosterone 1% cream was based on </w:t>
      </w:r>
      <w:r w:rsidR="00FB3125">
        <w:rPr>
          <w:color w:val="000000" w:themeColor="text1"/>
        </w:rPr>
        <w:t xml:space="preserve">El-Hage (2007). </w:t>
      </w:r>
      <w:r w:rsidR="00FB3125" w:rsidRPr="006A2147">
        <w:rPr>
          <w:color w:val="000000" w:themeColor="text1"/>
        </w:rPr>
        <w:t>The submission also referred to "</w:t>
      </w:r>
      <w:r w:rsidR="00FB3125" w:rsidRPr="006A2147">
        <w:rPr>
          <w:rFonts w:eastAsia="Times New Roman" w:cstheme="minorHAnsi"/>
        </w:rPr>
        <w:t>post-market pharmacovigilance data" as evidence of safety</w:t>
      </w:r>
      <w:r w:rsidRPr="006A2147">
        <w:rPr>
          <w:color w:val="000000" w:themeColor="text1"/>
        </w:rPr>
        <w:t xml:space="preserve"> </w:t>
      </w:r>
      <w:r w:rsidR="00FB3125" w:rsidRPr="006A2147">
        <w:rPr>
          <w:color w:val="000000" w:themeColor="text1"/>
        </w:rPr>
        <w:t>and to "years of evidence in real-world application" as evidence of safety and efficacy</w:t>
      </w:r>
      <w:r w:rsidR="006A2147" w:rsidRPr="006A2147">
        <w:rPr>
          <w:color w:val="000000" w:themeColor="text1"/>
        </w:rPr>
        <w:t>,</w:t>
      </w:r>
      <w:r w:rsidR="00FB3125" w:rsidRPr="006A2147">
        <w:rPr>
          <w:color w:val="000000" w:themeColor="text1"/>
        </w:rPr>
        <w:t xml:space="preserve"> but no such data w</w:t>
      </w:r>
      <w:r w:rsidR="000E18BE" w:rsidRPr="006A2147">
        <w:rPr>
          <w:color w:val="000000" w:themeColor="text1"/>
        </w:rPr>
        <w:t>ere</w:t>
      </w:r>
      <w:r w:rsidR="00FB3125" w:rsidRPr="006A2147">
        <w:rPr>
          <w:color w:val="000000" w:themeColor="text1"/>
        </w:rPr>
        <w:t xml:space="preserve"> presented</w:t>
      </w:r>
      <w:r w:rsidR="0036070D" w:rsidRPr="006A2147">
        <w:rPr>
          <w:color w:val="000000" w:themeColor="text1"/>
        </w:rPr>
        <w:t xml:space="preserve"> in the submission</w:t>
      </w:r>
      <w:r w:rsidR="00FB3125" w:rsidRPr="006A2147">
        <w:rPr>
          <w:color w:val="000000" w:themeColor="text1"/>
        </w:rPr>
        <w:t>.</w:t>
      </w:r>
    </w:p>
    <w:p w14:paraId="17DE34DC" w14:textId="1CBA48ED" w:rsidR="007F1017" w:rsidRPr="00B83548" w:rsidRDefault="00223404" w:rsidP="002E4F02">
      <w:pPr>
        <w:pStyle w:val="3-BodyText"/>
      </w:pPr>
      <w:r>
        <w:t>To counter the fact that the</w:t>
      </w:r>
      <w:r w:rsidR="00284197" w:rsidRPr="00B83548">
        <w:t xml:space="preserve"> El-Hage (2007)</w:t>
      </w:r>
      <w:r>
        <w:t xml:space="preserve"> study</w:t>
      </w:r>
      <w:r w:rsidR="00284197" w:rsidRPr="00B83548">
        <w:t xml:space="preserve"> recruit</w:t>
      </w:r>
      <w:r>
        <w:t>ed</w:t>
      </w:r>
      <w:r w:rsidR="00284197" w:rsidRPr="00B83548">
        <w:t xml:space="preserve"> only surgically postmenopausal women</w:t>
      </w:r>
      <w:r w:rsidR="00284197">
        <w:t>,</w:t>
      </w:r>
      <w:r w:rsidR="00284197" w:rsidRPr="00B83548">
        <w:t xml:space="preserve"> </w:t>
      </w:r>
      <w:r w:rsidR="00284197">
        <w:t>t</w:t>
      </w:r>
      <w:r w:rsidR="0093645D" w:rsidRPr="00B83548">
        <w:t xml:space="preserve">he submission stated that "Effectiveness and safety of therapy in naturally postmenopausal patient population has been studied </w:t>
      </w:r>
      <w:r w:rsidR="0093645D" w:rsidRPr="00B83548">
        <w:fldChar w:fldCharType="begin"/>
      </w:r>
      <w:r w:rsidR="0093645D" w:rsidRPr="00B83548">
        <w:instrText xml:space="preserve"> ADDIN EN.CITE &lt;EndNote&gt;&lt;Cite&gt;&lt;Author&gt;Davis&lt;/Author&gt;&lt;Year&gt;2017&lt;/Year&gt;&lt;RecNum&gt;22&lt;/RecNum&gt;&lt;DisplayText&gt;(Davis 2017)&lt;/DisplayText&gt;&lt;record&gt;&lt;rec-number&gt;22&lt;/rec-number&gt;&lt;foreign-keys&gt;&lt;key app="EN" db-id="xeafw0t5c0z0w7eadfrv02a5szwrf90ppw9r" timestamp="1751511360"&gt;22&lt;/key&gt;&lt;/foreign-keys&gt;&lt;ref-type name="Journal Article"&gt;17&lt;/ref-type&gt;&lt;contributors&gt;&lt;authors&gt;&lt;author&gt;Davis, S.&lt;/author&gt;&lt;/authors&gt;&lt;/contributors&gt;&lt;titles&gt;&lt;title&gt;An open-label, phase 2, single centre, randomised, crossover pharmacokinetic study assessing two application areas of 0.5ml (5mg) AndroFeme 1 cream in healthy postmenopausal women&lt;/title&gt;&lt;/titles&gt;&lt;dates&gt;&lt;year&gt;2017&lt;/year&gt;&lt;/dates&gt;&lt;urls&gt;&lt;/urls&gt;&lt;/record&gt;&lt;/Cite&gt;&lt;/EndNote&gt;</w:instrText>
      </w:r>
      <w:r w:rsidR="0093645D" w:rsidRPr="00B83548">
        <w:fldChar w:fldCharType="separate"/>
      </w:r>
      <w:r w:rsidR="0093645D" w:rsidRPr="00B83548">
        <w:t>(Davis 2017)</w:t>
      </w:r>
      <w:r w:rsidR="0093645D" w:rsidRPr="00B83548">
        <w:fldChar w:fldCharType="end"/>
      </w:r>
      <w:r w:rsidR="0093645D" w:rsidRPr="00B83548">
        <w:t>"</w:t>
      </w:r>
      <w:r w:rsidR="00A872BA" w:rsidRPr="00B83548">
        <w:t>, but this appears to be the unpublished pharmacokinetic study titled "</w:t>
      </w:r>
      <w:r w:rsidR="00A872BA" w:rsidRPr="00B83548">
        <w:rPr>
          <w:rFonts w:eastAsia="Times New Roman"/>
        </w:rPr>
        <w:t>An open-label, phase 2, single centre, randomised, crossover pharmacokinetic study assessing two application areas of 0.5</w:t>
      </w:r>
      <w:r w:rsidR="00BF0F50" w:rsidRPr="00B83548">
        <w:rPr>
          <w:rFonts w:eastAsia="Times New Roman"/>
        </w:rPr>
        <w:t> </w:t>
      </w:r>
      <w:r w:rsidR="00A872BA" w:rsidRPr="00B83548">
        <w:rPr>
          <w:rFonts w:eastAsia="Times New Roman"/>
        </w:rPr>
        <w:t>ml (5</w:t>
      </w:r>
      <w:r w:rsidR="00BF0F50" w:rsidRPr="00B83548">
        <w:rPr>
          <w:rFonts w:eastAsia="Times New Roman"/>
        </w:rPr>
        <w:t xml:space="preserve"> </w:t>
      </w:r>
      <w:r w:rsidR="00A872BA" w:rsidRPr="00B83548">
        <w:rPr>
          <w:rFonts w:eastAsia="Times New Roman"/>
        </w:rPr>
        <w:t xml:space="preserve">mg) </w:t>
      </w:r>
      <w:proofErr w:type="spellStart"/>
      <w:r w:rsidR="00A872BA" w:rsidRPr="00B83548">
        <w:rPr>
          <w:rFonts w:eastAsia="Times New Roman"/>
        </w:rPr>
        <w:t>AndroFeme</w:t>
      </w:r>
      <w:proofErr w:type="spellEnd"/>
      <w:r w:rsidR="00A872BA" w:rsidRPr="00B83548">
        <w:rPr>
          <w:rFonts w:eastAsia="Times New Roman"/>
        </w:rPr>
        <w:t xml:space="preserve"> 1 cream in healthy postmenopausal women</w:t>
      </w:r>
      <w:r w:rsidR="00A872BA" w:rsidRPr="00B83548">
        <w:t>" (Table 2-3, pp51-52 of the submission)</w:t>
      </w:r>
      <w:r w:rsidR="003520ED">
        <w:t>,</w:t>
      </w:r>
      <w:r w:rsidR="00A872BA" w:rsidRPr="00B83548">
        <w:t xml:space="preserve"> which enrolled only 16 women (Table 2-4, p53 of the submission). </w:t>
      </w:r>
      <w:r w:rsidR="003B173E" w:rsidRPr="00B83548">
        <w:t xml:space="preserve"> No data from this study were provided</w:t>
      </w:r>
      <w:r w:rsidR="003616A6">
        <w:t xml:space="preserve"> in the submission</w:t>
      </w:r>
      <w:r w:rsidR="003B173E" w:rsidRPr="00B83548">
        <w:t xml:space="preserve">. </w:t>
      </w:r>
    </w:p>
    <w:p w14:paraId="38D809E3" w14:textId="349DF1E6" w:rsidR="00C41395" w:rsidRPr="00B83548" w:rsidRDefault="0063284E" w:rsidP="000E18BE">
      <w:pPr>
        <w:pStyle w:val="3-BodyText"/>
      </w:pPr>
      <w:r w:rsidRPr="00B83548">
        <w:t xml:space="preserve">There have been </w:t>
      </w:r>
      <w:proofErr w:type="gramStart"/>
      <w:r w:rsidR="00B165A1" w:rsidRPr="00B83548">
        <w:t>a number of</w:t>
      </w:r>
      <w:proofErr w:type="gramEnd"/>
      <w:r w:rsidRPr="00B83548">
        <w:t xml:space="preserve"> randomised controlled trials of topical testosterone</w:t>
      </w:r>
      <w:r w:rsidR="00B165A1" w:rsidRPr="00B83548">
        <w:t>, mostly using patch or gel preparations,</w:t>
      </w:r>
      <w:r w:rsidRPr="00B83548">
        <w:t xml:space="preserve"> for treatment of HSDD i</w:t>
      </w:r>
      <w:r w:rsidR="00B165A1" w:rsidRPr="00B83548">
        <w:t>n</w:t>
      </w:r>
      <w:r w:rsidRPr="00B83548">
        <w:t xml:space="preserve"> postmenopausal women. These were excluded from the primary analysis because they did not use </w:t>
      </w:r>
      <w:r w:rsidRPr="00B83548">
        <w:lastRenderedPageBreak/>
        <w:t>testosterone cream. However, the submission sought to rely on the results as demonstrating a class effect of testosterone</w:t>
      </w:r>
      <w:r w:rsidR="00662EC3" w:rsidRPr="00B83548">
        <w:t xml:space="preserve"> which </w:t>
      </w:r>
      <w:r w:rsidR="00C666BE">
        <w:t>it</w:t>
      </w:r>
      <w:r w:rsidR="00913111">
        <w:t xml:space="preserve"> stated could</w:t>
      </w:r>
      <w:r w:rsidR="00662EC3" w:rsidRPr="00B83548">
        <w:t xml:space="preserve"> be assumed to apply to 1% testosterone cream</w:t>
      </w:r>
      <w:r w:rsidR="00B165A1" w:rsidRPr="00B83548">
        <w:t>, given that the serum testosterone levels in the pharmacokinetic study were</w:t>
      </w:r>
      <w:r w:rsidR="003B173E" w:rsidRPr="00B83548">
        <w:t xml:space="preserve"> </w:t>
      </w:r>
      <w:r w:rsidR="00DB2237" w:rsidRPr="00B83548">
        <w:t xml:space="preserve">broadly </w:t>
      </w:r>
      <w:r w:rsidR="00B165A1" w:rsidRPr="00B83548">
        <w:t>similar to those in the trials of patches</w:t>
      </w:r>
      <w:r w:rsidRPr="00B83548">
        <w:t>. These trials were</w:t>
      </w:r>
      <w:r w:rsidR="005E1E0B" w:rsidRPr="00B83548">
        <w:t xml:space="preserve"> not included individually but through a systematic review and meta-analysis (Islam, 2019). </w:t>
      </w:r>
    </w:p>
    <w:p w14:paraId="42C38809" w14:textId="361A3511" w:rsidR="00535BD8" w:rsidRPr="00B83548" w:rsidRDefault="00A73134">
      <w:pPr>
        <w:pStyle w:val="3-BodyText"/>
        <w:rPr>
          <w:rFonts w:cstheme="minorHAnsi"/>
          <w:b/>
          <w:szCs w:val="24"/>
        </w:rPr>
      </w:pPr>
      <w:r w:rsidRPr="00B83548">
        <w:t xml:space="preserve">Details of the </w:t>
      </w:r>
      <w:r w:rsidR="00B165A1" w:rsidRPr="00B83548">
        <w:t xml:space="preserve">submitted </w:t>
      </w:r>
      <w:r w:rsidRPr="00B83548">
        <w:t>trials</w:t>
      </w:r>
      <w:r w:rsidR="005E1E0B" w:rsidRPr="00B83548">
        <w:t xml:space="preserve"> and the systematic review</w:t>
      </w:r>
      <w:r w:rsidRPr="00B83548">
        <w:t xml:space="preserve"> are provided in</w:t>
      </w:r>
      <w:bookmarkStart w:id="37" w:name="_Ref104803956"/>
      <w:r w:rsidR="0030292B" w:rsidRPr="00B83548">
        <w:t xml:space="preserve"> </w:t>
      </w:r>
      <w:r w:rsidR="00743589" w:rsidRPr="00B83548">
        <w:fldChar w:fldCharType="begin"/>
      </w:r>
      <w:r w:rsidR="00743589" w:rsidRPr="00B83548">
        <w:instrText xml:space="preserve"> REF _Ref208921867 \h </w:instrText>
      </w:r>
      <w:r w:rsidR="00B83548" w:rsidRPr="00B83548">
        <w:instrText xml:space="preserve"> \* MERGEFORMAT </w:instrText>
      </w:r>
      <w:r w:rsidR="00743589" w:rsidRPr="00B83548">
        <w:fldChar w:fldCharType="separate"/>
      </w:r>
      <w:r w:rsidR="00374A89" w:rsidRPr="00B83548">
        <w:t xml:space="preserve">Table </w:t>
      </w:r>
      <w:r w:rsidR="00374A89">
        <w:rPr>
          <w:noProof/>
        </w:rPr>
        <w:t>2</w:t>
      </w:r>
      <w:r w:rsidR="00743589" w:rsidRPr="00B83548">
        <w:fldChar w:fldCharType="end"/>
      </w:r>
      <w:r w:rsidR="003147C5" w:rsidRPr="00B83548">
        <w:t>.</w:t>
      </w:r>
      <w:r w:rsidR="00535BD8" w:rsidRPr="00B83548">
        <w:t xml:space="preserve"> </w:t>
      </w:r>
      <w:bookmarkStart w:id="38" w:name="_Ref206235316"/>
      <w:bookmarkEnd w:id="37"/>
    </w:p>
    <w:p w14:paraId="7DE3A286" w14:textId="4B51721A" w:rsidR="008E0D3C" w:rsidRPr="00B83548" w:rsidRDefault="000E18BE" w:rsidP="00535BD8">
      <w:pPr>
        <w:pStyle w:val="TableFigureHeading"/>
        <w:rPr>
          <w:rStyle w:val="CommentReference"/>
          <w:b/>
          <w:szCs w:val="24"/>
        </w:rPr>
      </w:pPr>
      <w:bookmarkStart w:id="39" w:name="_Ref208921867"/>
      <w:r w:rsidRPr="00B83548">
        <w:t xml:space="preserve">Table </w:t>
      </w:r>
      <w:r w:rsidR="00F03188">
        <w:fldChar w:fldCharType="begin"/>
      </w:r>
      <w:r w:rsidR="00F03188">
        <w:instrText xml:space="preserve"> SEQ Table \* ARABIC </w:instrText>
      </w:r>
      <w:r w:rsidR="00F03188">
        <w:fldChar w:fldCharType="separate"/>
      </w:r>
      <w:r w:rsidR="00374A89">
        <w:rPr>
          <w:noProof/>
        </w:rPr>
        <w:t>2</w:t>
      </w:r>
      <w:r w:rsidR="00F03188">
        <w:rPr>
          <w:noProof/>
        </w:rPr>
        <w:fldChar w:fldCharType="end"/>
      </w:r>
      <w:bookmarkEnd w:id="38"/>
      <w:bookmarkEnd w:id="39"/>
      <w:r w:rsidRPr="00B83548">
        <w:t xml:space="preserve">: </w:t>
      </w:r>
      <w:r w:rsidR="0088104D" w:rsidRPr="00B83548">
        <w:rPr>
          <w:rStyle w:val="CommentReference"/>
          <w:b/>
          <w:szCs w:val="24"/>
        </w:rPr>
        <w:t>S</w:t>
      </w:r>
      <w:r w:rsidR="00D5243B" w:rsidRPr="00B83548">
        <w:rPr>
          <w:rStyle w:val="CommentReference"/>
          <w:b/>
          <w:szCs w:val="24"/>
        </w:rPr>
        <w:t>tudies</w:t>
      </w:r>
      <w:r w:rsidR="008E0D3C" w:rsidRPr="00B83548">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434"/>
        <w:gridCol w:w="5055"/>
        <w:gridCol w:w="2528"/>
      </w:tblGrid>
      <w:tr w:rsidR="008E0D3C" w:rsidRPr="00B83548" w14:paraId="6ACD35C4" w14:textId="77777777" w:rsidTr="00682BA6">
        <w:trPr>
          <w:cantSplit/>
          <w:tblHeader/>
        </w:trPr>
        <w:tc>
          <w:tcPr>
            <w:tcW w:w="795" w:type="pct"/>
            <w:vAlign w:val="center"/>
          </w:tcPr>
          <w:p w14:paraId="20DEEB23" w14:textId="640951F7" w:rsidR="008E0D3C" w:rsidRPr="00B83548" w:rsidRDefault="008E0D3C" w:rsidP="00EC5836">
            <w:pPr>
              <w:pStyle w:val="In-tableHeading"/>
              <w:jc w:val="center"/>
              <w:rPr>
                <w:lang w:val="en-AU"/>
              </w:rPr>
            </w:pPr>
            <w:r w:rsidRPr="00B83548">
              <w:rPr>
                <w:lang w:val="en-AU"/>
              </w:rPr>
              <w:t>Trial</w:t>
            </w:r>
            <w:r w:rsidR="0088104D" w:rsidRPr="00B83548">
              <w:rPr>
                <w:lang w:val="en-AU"/>
              </w:rPr>
              <w:t xml:space="preserve"> </w:t>
            </w:r>
            <w:r w:rsidR="0088104D" w:rsidRPr="00B83548">
              <w:t>or Study</w:t>
            </w:r>
            <w:r w:rsidRPr="00B83548">
              <w:rPr>
                <w:lang w:val="en-AU"/>
              </w:rPr>
              <w:t xml:space="preserve"> ID</w:t>
            </w:r>
          </w:p>
        </w:tc>
        <w:tc>
          <w:tcPr>
            <w:tcW w:w="2803" w:type="pct"/>
            <w:vAlign w:val="center"/>
          </w:tcPr>
          <w:p w14:paraId="22EF6C51" w14:textId="77777777" w:rsidR="008E0D3C" w:rsidRPr="00B83548" w:rsidRDefault="008E0D3C" w:rsidP="002E4F02">
            <w:pPr>
              <w:pStyle w:val="In-tableHeading"/>
              <w:rPr>
                <w:lang w:val="en-AU"/>
              </w:rPr>
            </w:pPr>
            <w:r w:rsidRPr="00B83548">
              <w:rPr>
                <w:lang w:val="en-AU"/>
              </w:rPr>
              <w:t>Protocol title/ Publication title</w:t>
            </w:r>
          </w:p>
        </w:tc>
        <w:tc>
          <w:tcPr>
            <w:tcW w:w="1402" w:type="pct"/>
            <w:vAlign w:val="center"/>
          </w:tcPr>
          <w:p w14:paraId="561B27A8" w14:textId="77777777" w:rsidR="008E0D3C" w:rsidRPr="00B83548" w:rsidRDefault="008E0D3C" w:rsidP="002E4F02">
            <w:pPr>
              <w:pStyle w:val="In-tableHeading"/>
              <w:rPr>
                <w:lang w:val="en-AU"/>
              </w:rPr>
            </w:pPr>
            <w:r w:rsidRPr="00B83548">
              <w:rPr>
                <w:lang w:val="en-AU"/>
              </w:rPr>
              <w:t>Publication citation</w:t>
            </w:r>
          </w:p>
        </w:tc>
      </w:tr>
      <w:tr w:rsidR="002E4F02" w:rsidRPr="00B83548" w14:paraId="298351BA" w14:textId="77777777" w:rsidTr="00BB732D">
        <w:trPr>
          <w:cantSplit/>
        </w:trPr>
        <w:tc>
          <w:tcPr>
            <w:tcW w:w="795" w:type="pct"/>
            <w:vAlign w:val="center"/>
          </w:tcPr>
          <w:p w14:paraId="5D9482F5" w14:textId="68313320" w:rsidR="00DF6341" w:rsidRPr="00B83548" w:rsidRDefault="005E1E0B" w:rsidP="00A10875">
            <w:pPr>
              <w:pStyle w:val="TableText0"/>
            </w:pPr>
            <w:r w:rsidRPr="00B83548">
              <w:t>El-Hage, 2007</w:t>
            </w:r>
          </w:p>
        </w:tc>
        <w:tc>
          <w:tcPr>
            <w:tcW w:w="2803" w:type="pct"/>
            <w:tcBorders>
              <w:bottom w:val="nil"/>
            </w:tcBorders>
            <w:vAlign w:val="center"/>
          </w:tcPr>
          <w:p w14:paraId="2570DA6E" w14:textId="7579D3A5" w:rsidR="002E4F02" w:rsidRPr="00B83548" w:rsidRDefault="0088104D" w:rsidP="00A10875">
            <w:pPr>
              <w:pStyle w:val="TableText0"/>
            </w:pPr>
            <w:r w:rsidRPr="0010396F">
              <w:rPr>
                <w:rFonts w:eastAsia="ヒラギノ角ゴ Pro W3" w:cstheme="minorHAnsi"/>
                <w:lang w:val="de-DE" w:eastAsia="en-NZ"/>
              </w:rPr>
              <w:t xml:space="preserve">El-Hage G, Eden JA, Manga RZ. </w:t>
            </w:r>
            <w:r w:rsidRPr="00B83548">
              <w:rPr>
                <w:rFonts w:eastAsia="ヒラギノ角ゴ Pro W3" w:cstheme="minorHAnsi"/>
                <w:lang w:eastAsia="en-NZ"/>
              </w:rPr>
              <w:t>A double-blind, randomized, placebo-controlled trial of the effect of testosterone cream on the sexual motivation of menopausal hysterectomized women with hypoactive sexual desire disorder.</w:t>
            </w:r>
          </w:p>
        </w:tc>
        <w:tc>
          <w:tcPr>
            <w:tcW w:w="1402" w:type="pct"/>
            <w:tcBorders>
              <w:bottom w:val="nil"/>
            </w:tcBorders>
            <w:vAlign w:val="center"/>
          </w:tcPr>
          <w:p w14:paraId="7578773D" w14:textId="106AC48F" w:rsidR="002E4F02" w:rsidRPr="00B83548" w:rsidRDefault="0088104D" w:rsidP="00A10875">
            <w:pPr>
              <w:pStyle w:val="TableText0"/>
            </w:pPr>
            <w:r w:rsidRPr="00B83548">
              <w:rPr>
                <w:rFonts w:eastAsia="ヒラギノ角ゴ Pro W3" w:cstheme="minorHAnsi"/>
                <w:lang w:eastAsia="en-NZ"/>
              </w:rPr>
              <w:t>Climacteric 2007; 10:335-43.</w:t>
            </w:r>
          </w:p>
        </w:tc>
      </w:tr>
      <w:tr w:rsidR="002E4F02" w:rsidRPr="00B83548" w14:paraId="74132A1A" w14:textId="77777777" w:rsidTr="00BB732D">
        <w:trPr>
          <w:cantSplit/>
        </w:trPr>
        <w:tc>
          <w:tcPr>
            <w:tcW w:w="795" w:type="pct"/>
            <w:vAlign w:val="center"/>
          </w:tcPr>
          <w:p w14:paraId="30BA87AC" w14:textId="72A37644" w:rsidR="002E4F02" w:rsidRPr="00B83548" w:rsidRDefault="0088104D" w:rsidP="00A10875">
            <w:pPr>
              <w:pStyle w:val="TableText0"/>
            </w:pPr>
            <w:proofErr w:type="spellStart"/>
            <w:r w:rsidRPr="00B83548">
              <w:t>Fooladi</w:t>
            </w:r>
            <w:proofErr w:type="spellEnd"/>
            <w:r w:rsidRPr="00B83548">
              <w:t>, 2015</w:t>
            </w:r>
          </w:p>
        </w:tc>
        <w:tc>
          <w:tcPr>
            <w:tcW w:w="2803" w:type="pct"/>
            <w:tcBorders>
              <w:bottom w:val="nil"/>
            </w:tcBorders>
            <w:vAlign w:val="center"/>
          </w:tcPr>
          <w:p w14:paraId="7EF3AEBB" w14:textId="62CB7C1D" w:rsidR="002E4F02" w:rsidRPr="00B83548" w:rsidRDefault="0088104D" w:rsidP="00A10875">
            <w:pPr>
              <w:pStyle w:val="TableText0"/>
            </w:pPr>
            <w:r w:rsidRPr="0010396F">
              <w:rPr>
                <w:lang w:val="de-DE" w:bidi="en-US"/>
              </w:rPr>
              <w:t xml:space="preserve">Fooladi E, Reuter SE, Bell RJ, Robinson PJ, Davis SR. </w:t>
            </w:r>
            <w:r w:rsidRPr="00B83548">
              <w:rPr>
                <w:lang w:bidi="en-US"/>
              </w:rPr>
              <w:t xml:space="preserve">Pharmacokinetics of a transdermal testosterone cream in healthy postmenopausal women. </w:t>
            </w:r>
          </w:p>
        </w:tc>
        <w:tc>
          <w:tcPr>
            <w:tcW w:w="1402" w:type="pct"/>
            <w:tcBorders>
              <w:bottom w:val="nil"/>
            </w:tcBorders>
            <w:vAlign w:val="center"/>
          </w:tcPr>
          <w:p w14:paraId="65832AF0" w14:textId="65BE6B25" w:rsidR="002E4F02" w:rsidRPr="00B83548" w:rsidRDefault="0088104D" w:rsidP="00A10875">
            <w:pPr>
              <w:pStyle w:val="TableText0"/>
            </w:pPr>
            <w:r w:rsidRPr="00B83548">
              <w:rPr>
                <w:lang w:bidi="en-US"/>
              </w:rPr>
              <w:t>Menopause 2015; 22:44-9.</w:t>
            </w:r>
          </w:p>
        </w:tc>
      </w:tr>
      <w:tr w:rsidR="002E4F02" w:rsidRPr="00B83548" w14:paraId="400ADAF8" w14:textId="77777777" w:rsidTr="001D22DB">
        <w:trPr>
          <w:cantSplit/>
        </w:trPr>
        <w:tc>
          <w:tcPr>
            <w:tcW w:w="795" w:type="pct"/>
            <w:vAlign w:val="center"/>
          </w:tcPr>
          <w:p w14:paraId="18C64AF1" w14:textId="23A9F86C" w:rsidR="002E4F02" w:rsidRPr="00B83548" w:rsidRDefault="00D157B7" w:rsidP="00A10875">
            <w:pPr>
              <w:pStyle w:val="TableText0"/>
            </w:pPr>
            <w:r w:rsidRPr="00B83548">
              <w:t>Islam, 2019</w:t>
            </w:r>
          </w:p>
        </w:tc>
        <w:tc>
          <w:tcPr>
            <w:tcW w:w="2803" w:type="pct"/>
            <w:tcBorders>
              <w:bottom w:val="single" w:sz="4" w:space="0" w:color="auto"/>
            </w:tcBorders>
            <w:vAlign w:val="center"/>
          </w:tcPr>
          <w:p w14:paraId="0A35B979" w14:textId="2F991CEC" w:rsidR="002E4F02" w:rsidRPr="00B83548" w:rsidRDefault="00D157B7" w:rsidP="00A10875">
            <w:pPr>
              <w:pStyle w:val="TableText0"/>
            </w:pPr>
            <w:r w:rsidRPr="00B83548">
              <w:rPr>
                <w:rFonts w:eastAsia="ヒラギノ角ゴ Pro W3"/>
                <w:lang w:eastAsia="en-NZ"/>
              </w:rPr>
              <w:t>Islam RM, Bell RJ, Green S, Page MJ, Davis SR. Safety and efficacy of testosterone for women: a systematic review and meta-analysis of randomised controlled trial data.</w:t>
            </w:r>
          </w:p>
        </w:tc>
        <w:tc>
          <w:tcPr>
            <w:tcW w:w="1402" w:type="pct"/>
            <w:tcBorders>
              <w:bottom w:val="single" w:sz="4" w:space="0" w:color="auto"/>
            </w:tcBorders>
            <w:vAlign w:val="center"/>
          </w:tcPr>
          <w:p w14:paraId="4A191A18" w14:textId="7B1EC458" w:rsidR="002E4F02" w:rsidRPr="00B83548" w:rsidRDefault="00D157B7" w:rsidP="00A10875">
            <w:pPr>
              <w:pStyle w:val="TableText0"/>
              <w:rPr>
                <w:rFonts w:ascii="Times" w:hAnsi="Times"/>
              </w:rPr>
            </w:pPr>
            <w:r w:rsidRPr="00B83548">
              <w:rPr>
                <w:rFonts w:eastAsia="ヒラギノ角ゴ Pro W3"/>
                <w:lang w:eastAsia="en-NZ"/>
              </w:rPr>
              <w:t>Lancet Diabetes Endocrinol 2019; 7:754-766.</w:t>
            </w:r>
          </w:p>
        </w:tc>
      </w:tr>
    </w:tbl>
    <w:p w14:paraId="51D8173A" w14:textId="66E08375" w:rsidR="008E0D3C" w:rsidRPr="00B83548" w:rsidRDefault="008E0D3C" w:rsidP="00EC5836">
      <w:pPr>
        <w:pStyle w:val="FooterTableFigure"/>
        <w:rPr>
          <w:sz w:val="20"/>
        </w:rPr>
      </w:pPr>
      <w:r w:rsidRPr="00B83548">
        <w:t xml:space="preserve">Source: </w:t>
      </w:r>
      <w:r w:rsidR="0049037B" w:rsidRPr="00B83548">
        <w:t>Table 2-3, pp51-52</w:t>
      </w:r>
      <w:r w:rsidRPr="00B83548">
        <w:t xml:space="preserve"> of the submission.</w:t>
      </w:r>
    </w:p>
    <w:p w14:paraId="6DB16AEC" w14:textId="7AC59D50" w:rsidR="00535BD8" w:rsidRPr="00B83548" w:rsidRDefault="008F120A" w:rsidP="00535BD8">
      <w:pPr>
        <w:pStyle w:val="3-BodyText"/>
        <w:rPr>
          <w:color w:val="0066FF"/>
        </w:rPr>
      </w:pPr>
      <w:r w:rsidRPr="00B83548">
        <w:t>The key features of the</w:t>
      </w:r>
      <w:r w:rsidR="00D157B7" w:rsidRPr="00B83548">
        <w:t xml:space="preserve"> </w:t>
      </w:r>
      <w:r w:rsidR="00621ADA" w:rsidRPr="00B83548">
        <w:t>included evidence</w:t>
      </w:r>
      <w:r w:rsidRPr="00B83548">
        <w:t xml:space="preserve"> are summarised in</w:t>
      </w:r>
      <w:r w:rsidR="00D6076E" w:rsidRPr="00B83548">
        <w:t xml:space="preserve"> </w:t>
      </w:r>
      <w:bookmarkStart w:id="40" w:name="_Ref104804098"/>
      <w:r w:rsidR="000E18BE" w:rsidRPr="00B83548">
        <w:fldChar w:fldCharType="begin"/>
      </w:r>
      <w:r w:rsidR="000E18BE" w:rsidRPr="00B83548">
        <w:instrText xml:space="preserve"> REF _Ref206235353 \h  \* MERGEFORMAT </w:instrText>
      </w:r>
      <w:r w:rsidR="000E18BE" w:rsidRPr="00B83548">
        <w:fldChar w:fldCharType="separate"/>
      </w:r>
      <w:r w:rsidR="00374A89" w:rsidRPr="00374A89">
        <w:rPr>
          <w:rStyle w:val="CommentReference"/>
          <w:rFonts w:asciiTheme="minorHAnsi" w:hAnsiTheme="minorHAnsi" w:cstheme="minorHAnsi"/>
          <w:b w:val="0"/>
          <w:bCs/>
          <w:sz w:val="24"/>
          <w:szCs w:val="24"/>
        </w:rPr>
        <w:t>Table</w:t>
      </w:r>
      <w:r w:rsidR="00374A89" w:rsidRPr="00374A89">
        <w:t xml:space="preserve"> 3</w:t>
      </w:r>
      <w:r w:rsidR="000E18BE" w:rsidRPr="00B83548">
        <w:fldChar w:fldCharType="end"/>
      </w:r>
      <w:r w:rsidR="000E18BE" w:rsidRPr="00B83548">
        <w:t>.</w:t>
      </w:r>
      <w:r w:rsidR="00535BD8" w:rsidRPr="00B83548">
        <w:t xml:space="preserve"> </w:t>
      </w:r>
    </w:p>
    <w:p w14:paraId="355E2F15" w14:textId="6E07F55E" w:rsidR="007F1017" w:rsidRPr="00D157B7" w:rsidRDefault="00696EF9" w:rsidP="008A5672">
      <w:pPr>
        <w:pStyle w:val="TableFigureHeading"/>
        <w:keepLines/>
        <w:rPr>
          <w:rStyle w:val="CommentReference"/>
          <w:b/>
          <w:szCs w:val="24"/>
        </w:rPr>
      </w:pPr>
      <w:bookmarkStart w:id="41" w:name="_Ref206235353"/>
      <w:r w:rsidRPr="00D157B7">
        <w:rPr>
          <w:rStyle w:val="CommentReference"/>
          <w:b/>
          <w:szCs w:val="24"/>
        </w:rPr>
        <w:lastRenderedPageBreak/>
        <w:t xml:space="preserve">Table </w:t>
      </w:r>
      <w:r w:rsidRPr="00D157B7">
        <w:rPr>
          <w:rStyle w:val="CommentReference"/>
          <w:b/>
          <w:szCs w:val="24"/>
        </w:rPr>
        <w:fldChar w:fldCharType="begin"/>
      </w:r>
      <w:r w:rsidRPr="00D157B7">
        <w:rPr>
          <w:rStyle w:val="CommentReference"/>
          <w:b/>
          <w:szCs w:val="24"/>
        </w:rPr>
        <w:instrText xml:space="preserve"> SEQ Table \* ARABIC </w:instrText>
      </w:r>
      <w:r w:rsidRPr="00D157B7">
        <w:rPr>
          <w:rStyle w:val="CommentReference"/>
          <w:b/>
          <w:szCs w:val="24"/>
        </w:rPr>
        <w:fldChar w:fldCharType="separate"/>
      </w:r>
      <w:r w:rsidR="00374A89">
        <w:rPr>
          <w:rStyle w:val="CommentReference"/>
          <w:b/>
          <w:noProof/>
          <w:szCs w:val="24"/>
        </w:rPr>
        <w:t>3</w:t>
      </w:r>
      <w:r w:rsidRPr="00D157B7">
        <w:rPr>
          <w:rStyle w:val="CommentReference"/>
          <w:b/>
          <w:szCs w:val="24"/>
        </w:rPr>
        <w:fldChar w:fldCharType="end"/>
      </w:r>
      <w:bookmarkEnd w:id="40"/>
      <w:bookmarkEnd w:id="41"/>
      <w:r w:rsidR="00D6076E" w:rsidRPr="00D157B7">
        <w:rPr>
          <w:rStyle w:val="CommentReference"/>
          <w:b/>
          <w:szCs w:val="24"/>
        </w:rPr>
        <w:t xml:space="preserve">: </w:t>
      </w:r>
      <w:r w:rsidR="007F1017" w:rsidRPr="00D157B7">
        <w:rPr>
          <w:rStyle w:val="CommentReference"/>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14"/>
        <w:gridCol w:w="480"/>
        <w:gridCol w:w="1652"/>
        <w:gridCol w:w="1059"/>
        <w:gridCol w:w="2821"/>
        <w:gridCol w:w="1791"/>
      </w:tblGrid>
      <w:tr w:rsidR="000E18BE" w:rsidRPr="0098262F" w14:paraId="53DD7CC6" w14:textId="77777777" w:rsidTr="00413072">
        <w:trPr>
          <w:cantSplit/>
          <w:tblHeader/>
        </w:trPr>
        <w:tc>
          <w:tcPr>
            <w:tcW w:w="674" w:type="pct"/>
            <w:vAlign w:val="center"/>
          </w:tcPr>
          <w:p w14:paraId="794116BC" w14:textId="77777777" w:rsidR="000E18BE" w:rsidRPr="0098262F" w:rsidRDefault="000E18BE" w:rsidP="008A5672">
            <w:pPr>
              <w:pStyle w:val="In-tableHeading"/>
              <w:rPr>
                <w:lang w:val="en-AU"/>
              </w:rPr>
            </w:pPr>
            <w:r w:rsidRPr="0098262F">
              <w:rPr>
                <w:lang w:val="en-AU"/>
              </w:rPr>
              <w:t>Trial</w:t>
            </w:r>
          </w:p>
        </w:tc>
        <w:tc>
          <w:tcPr>
            <w:tcW w:w="266" w:type="pct"/>
            <w:vAlign w:val="center"/>
          </w:tcPr>
          <w:p w14:paraId="51122FE5" w14:textId="77777777" w:rsidR="000E18BE" w:rsidRPr="0098262F" w:rsidRDefault="000E18BE" w:rsidP="008A5672">
            <w:pPr>
              <w:pStyle w:val="In-tableHeading"/>
              <w:jc w:val="center"/>
              <w:rPr>
                <w:lang w:val="en-AU"/>
              </w:rPr>
            </w:pPr>
            <w:r w:rsidRPr="0098262F">
              <w:rPr>
                <w:lang w:val="en-AU"/>
              </w:rPr>
              <w:t>N</w:t>
            </w:r>
          </w:p>
        </w:tc>
        <w:tc>
          <w:tcPr>
            <w:tcW w:w="916" w:type="pct"/>
            <w:vAlign w:val="center"/>
          </w:tcPr>
          <w:p w14:paraId="41C438EF" w14:textId="77777777" w:rsidR="000E18BE" w:rsidRPr="0098262F" w:rsidRDefault="000E18BE" w:rsidP="008A5672">
            <w:pPr>
              <w:pStyle w:val="In-tableHeading"/>
              <w:jc w:val="center"/>
              <w:rPr>
                <w:lang w:val="en-AU"/>
              </w:rPr>
            </w:pPr>
            <w:r w:rsidRPr="0098262F">
              <w:rPr>
                <w:lang w:val="en-AU"/>
              </w:rPr>
              <w:t>Design/ duration</w:t>
            </w:r>
          </w:p>
        </w:tc>
        <w:tc>
          <w:tcPr>
            <w:tcW w:w="587" w:type="pct"/>
            <w:vAlign w:val="center"/>
          </w:tcPr>
          <w:p w14:paraId="1FC91360" w14:textId="77777777" w:rsidR="000E18BE" w:rsidRPr="0098262F" w:rsidRDefault="000E18BE" w:rsidP="008A5672">
            <w:pPr>
              <w:pStyle w:val="In-tableHeading"/>
              <w:jc w:val="center"/>
              <w:rPr>
                <w:lang w:val="en-AU"/>
              </w:rPr>
            </w:pPr>
            <w:r w:rsidRPr="0098262F">
              <w:rPr>
                <w:lang w:val="en-AU"/>
              </w:rPr>
              <w:t>Risk of bias</w:t>
            </w:r>
          </w:p>
        </w:tc>
        <w:tc>
          <w:tcPr>
            <w:tcW w:w="1563" w:type="pct"/>
            <w:vAlign w:val="center"/>
          </w:tcPr>
          <w:p w14:paraId="7FF90896" w14:textId="77777777" w:rsidR="000E18BE" w:rsidRPr="0098262F" w:rsidRDefault="000E18BE" w:rsidP="008A5672">
            <w:pPr>
              <w:pStyle w:val="In-tableHeading"/>
              <w:jc w:val="center"/>
              <w:rPr>
                <w:lang w:val="en-AU"/>
              </w:rPr>
            </w:pPr>
            <w:r w:rsidRPr="0098262F">
              <w:rPr>
                <w:lang w:val="en-AU"/>
              </w:rPr>
              <w:t>Patient population</w:t>
            </w:r>
          </w:p>
        </w:tc>
        <w:tc>
          <w:tcPr>
            <w:tcW w:w="994" w:type="pct"/>
            <w:vAlign w:val="center"/>
          </w:tcPr>
          <w:p w14:paraId="0FCB63F9" w14:textId="77777777" w:rsidR="000E18BE" w:rsidRPr="0098262F" w:rsidRDefault="000E18BE" w:rsidP="008A5672">
            <w:pPr>
              <w:pStyle w:val="In-tableHeading"/>
              <w:jc w:val="center"/>
              <w:rPr>
                <w:lang w:val="en-AU"/>
              </w:rPr>
            </w:pPr>
            <w:r w:rsidRPr="0098262F">
              <w:rPr>
                <w:lang w:val="en-AU"/>
              </w:rPr>
              <w:t>Outcome(s)</w:t>
            </w:r>
          </w:p>
        </w:tc>
      </w:tr>
      <w:tr w:rsidR="000E18BE" w:rsidRPr="0098262F" w14:paraId="4EE88DCB" w14:textId="77777777" w:rsidTr="00413072">
        <w:trPr>
          <w:cantSplit/>
        </w:trPr>
        <w:tc>
          <w:tcPr>
            <w:tcW w:w="674" w:type="pct"/>
            <w:vAlign w:val="center"/>
          </w:tcPr>
          <w:p w14:paraId="6EE77D33" w14:textId="05DE5A44" w:rsidR="000E18BE" w:rsidRPr="0098262F" w:rsidRDefault="000E18BE" w:rsidP="008A5672">
            <w:pPr>
              <w:pStyle w:val="TableText0"/>
            </w:pPr>
            <w:r>
              <w:t>El-Hage, 2007</w:t>
            </w:r>
          </w:p>
        </w:tc>
        <w:tc>
          <w:tcPr>
            <w:tcW w:w="266" w:type="pct"/>
            <w:vAlign w:val="center"/>
          </w:tcPr>
          <w:p w14:paraId="41BB0E41" w14:textId="0140B699" w:rsidR="000E18BE" w:rsidRPr="0098262F" w:rsidRDefault="000E18BE" w:rsidP="008A5672">
            <w:pPr>
              <w:pStyle w:val="TableText0"/>
            </w:pPr>
            <w:r>
              <w:t>36</w:t>
            </w:r>
          </w:p>
        </w:tc>
        <w:tc>
          <w:tcPr>
            <w:tcW w:w="916" w:type="pct"/>
            <w:vAlign w:val="center"/>
          </w:tcPr>
          <w:p w14:paraId="744D08AC" w14:textId="228F7FF1" w:rsidR="000E18BE" w:rsidRPr="0098262F" w:rsidRDefault="000E18BE" w:rsidP="008A5672">
            <w:pPr>
              <w:pStyle w:val="TableText0"/>
            </w:pPr>
            <w:r w:rsidRPr="0098262F">
              <w:t>R</w:t>
            </w:r>
            <w:r>
              <w:t xml:space="preserve"> but method not ideal; DB; T 10 mg or placebo for 12 weeks, </w:t>
            </w:r>
            <w:proofErr w:type="gramStart"/>
            <w:r>
              <w:t>4 week</w:t>
            </w:r>
            <w:proofErr w:type="gramEnd"/>
            <w:r>
              <w:t xml:space="preserve"> washout, then cross-over to placebo or T 10 mg for 12 weeks.</w:t>
            </w:r>
          </w:p>
        </w:tc>
        <w:tc>
          <w:tcPr>
            <w:tcW w:w="587" w:type="pct"/>
            <w:vAlign w:val="center"/>
          </w:tcPr>
          <w:p w14:paraId="4A529D74" w14:textId="5965305A" w:rsidR="000E18BE" w:rsidRPr="002356A5" w:rsidRDefault="000E18BE" w:rsidP="008A5672">
            <w:pPr>
              <w:pStyle w:val="TableText0"/>
            </w:pPr>
            <w:r w:rsidRPr="002356A5">
              <w:t>Unclear</w:t>
            </w:r>
            <w:r w:rsidR="00904651" w:rsidRPr="002356A5">
              <w:t xml:space="preserve"> </w:t>
            </w:r>
            <w:r w:rsidR="00A75DBA" w:rsidRPr="002356A5">
              <w:rPr>
                <w:vertAlign w:val="superscript"/>
              </w:rPr>
              <w:t>a</w:t>
            </w:r>
          </w:p>
        </w:tc>
        <w:tc>
          <w:tcPr>
            <w:tcW w:w="1563" w:type="pct"/>
            <w:vAlign w:val="center"/>
          </w:tcPr>
          <w:p w14:paraId="5E6F456D" w14:textId="34A4438D" w:rsidR="000E18BE" w:rsidRPr="0098262F" w:rsidRDefault="000E18BE" w:rsidP="008A5672">
            <w:pPr>
              <w:pStyle w:val="TableText0"/>
            </w:pPr>
            <w:r>
              <w:t xml:space="preserve">Menopausal women, recruited by advertisement; hysterectomy </w:t>
            </w:r>
            <w:r>
              <w:sym w:font="Symbol" w:char="F0B1"/>
            </w:r>
            <w:r>
              <w:t xml:space="preserve"> ovariectomy; BISF-W &lt;33.6; stable relationship; not depressed; distress at low sexual interest </w:t>
            </w:r>
            <w:r w:rsidRPr="00BC210D">
              <w:t>not</w:t>
            </w:r>
            <w:r w:rsidRPr="00320580">
              <w:rPr>
                <w:iCs/>
              </w:rPr>
              <w:t xml:space="preserve"> </w:t>
            </w:r>
            <w:r w:rsidRPr="00DA40A6">
              <w:t>assessed or</w:t>
            </w:r>
            <w:r w:rsidRPr="00320580">
              <w:rPr>
                <w:iCs/>
              </w:rPr>
              <w:t xml:space="preserve"> </w:t>
            </w:r>
            <w:r>
              <w:t xml:space="preserve">required; all treated with </w:t>
            </w:r>
            <w:r w:rsidR="00DD64A6">
              <w:t xml:space="preserve">transdermal </w:t>
            </w:r>
            <w:proofErr w:type="spellStart"/>
            <w:r w:rsidR="00DD64A6">
              <w:t>estradiol</w:t>
            </w:r>
            <w:proofErr w:type="spellEnd"/>
            <w:r>
              <w:t xml:space="preserve"> for the duration of the study. </w:t>
            </w:r>
          </w:p>
        </w:tc>
        <w:tc>
          <w:tcPr>
            <w:tcW w:w="994" w:type="pct"/>
            <w:vAlign w:val="center"/>
          </w:tcPr>
          <w:p w14:paraId="6DC76214" w14:textId="3DC22425" w:rsidR="000E18BE" w:rsidRPr="0098262F" w:rsidRDefault="000E18BE" w:rsidP="008A5672">
            <w:pPr>
              <w:pStyle w:val="TableText0"/>
            </w:pPr>
            <w:r>
              <w:t xml:space="preserve">Primary: Domain 1 (Thoughts and desire) score of BISF-W. </w:t>
            </w:r>
          </w:p>
        </w:tc>
      </w:tr>
      <w:tr w:rsidR="000E18BE" w:rsidRPr="0098262F" w14:paraId="13A6895C" w14:textId="77777777" w:rsidTr="00413072">
        <w:trPr>
          <w:cantSplit/>
        </w:trPr>
        <w:tc>
          <w:tcPr>
            <w:tcW w:w="674" w:type="pct"/>
            <w:vAlign w:val="center"/>
          </w:tcPr>
          <w:p w14:paraId="4A9488B3" w14:textId="743BD127" w:rsidR="000E18BE" w:rsidRPr="0098262F" w:rsidRDefault="000E18BE" w:rsidP="008A5672">
            <w:pPr>
              <w:pStyle w:val="TableText0"/>
            </w:pPr>
            <w:proofErr w:type="spellStart"/>
            <w:r>
              <w:t>Fooladi</w:t>
            </w:r>
            <w:proofErr w:type="spellEnd"/>
            <w:r>
              <w:t>, 2015</w:t>
            </w:r>
          </w:p>
        </w:tc>
        <w:tc>
          <w:tcPr>
            <w:tcW w:w="266" w:type="pct"/>
            <w:vAlign w:val="center"/>
          </w:tcPr>
          <w:p w14:paraId="3F4D20B5" w14:textId="545B7972" w:rsidR="000E18BE" w:rsidRPr="0098262F" w:rsidRDefault="000E18BE" w:rsidP="008A5672">
            <w:pPr>
              <w:pStyle w:val="TableText0"/>
            </w:pPr>
            <w:r>
              <w:t>7</w:t>
            </w:r>
          </w:p>
        </w:tc>
        <w:tc>
          <w:tcPr>
            <w:tcW w:w="916" w:type="pct"/>
            <w:vAlign w:val="center"/>
          </w:tcPr>
          <w:p w14:paraId="68D92FE7" w14:textId="6FB3D99F" w:rsidR="000E18BE" w:rsidRPr="0098262F" w:rsidRDefault="000E18BE" w:rsidP="008A5672">
            <w:pPr>
              <w:pStyle w:val="TableText0"/>
            </w:pPr>
            <w:r>
              <w:t xml:space="preserve">R (method not stated), OL; cross-over study, with R to T 5 mg or 10 mg dose first then cross-over to the other; each treatment period was 21 days, no washout.  </w:t>
            </w:r>
          </w:p>
        </w:tc>
        <w:tc>
          <w:tcPr>
            <w:tcW w:w="587" w:type="pct"/>
            <w:vAlign w:val="center"/>
          </w:tcPr>
          <w:p w14:paraId="6F0F93F8" w14:textId="1CC03F8F" w:rsidR="000E18BE" w:rsidRPr="002356A5" w:rsidRDefault="000E18BE" w:rsidP="008A5672">
            <w:pPr>
              <w:pStyle w:val="TableText0"/>
            </w:pPr>
            <w:r w:rsidRPr="002356A5">
              <w:t>N</w:t>
            </w:r>
            <w:r w:rsidR="002877DD" w:rsidRPr="002356A5">
              <w:t>ot applicable</w:t>
            </w:r>
          </w:p>
        </w:tc>
        <w:tc>
          <w:tcPr>
            <w:tcW w:w="1563" w:type="pct"/>
            <w:vAlign w:val="center"/>
          </w:tcPr>
          <w:p w14:paraId="43AC963E" w14:textId="0B9479C5" w:rsidR="000E18BE" w:rsidRPr="0098262F" w:rsidRDefault="000E18BE" w:rsidP="008A5672">
            <w:pPr>
              <w:pStyle w:val="TableText0"/>
            </w:pPr>
            <w:r>
              <w:t xml:space="preserve">Healthy, naturally postmenopausal women aged 50-65; no systemic hormones. </w:t>
            </w:r>
          </w:p>
        </w:tc>
        <w:tc>
          <w:tcPr>
            <w:tcW w:w="994" w:type="pct"/>
            <w:vAlign w:val="center"/>
          </w:tcPr>
          <w:p w14:paraId="4F0C99D2" w14:textId="4C5556BA" w:rsidR="000E18BE" w:rsidRPr="0098262F" w:rsidRDefault="000E18BE" w:rsidP="008A5672">
            <w:pPr>
              <w:pStyle w:val="TableText0"/>
            </w:pPr>
            <w:r>
              <w:t>Pharmacokinetics</w:t>
            </w:r>
          </w:p>
        </w:tc>
      </w:tr>
      <w:tr w:rsidR="000E18BE" w:rsidRPr="0098262F" w14:paraId="28762BB8" w14:textId="77777777" w:rsidTr="00413072">
        <w:trPr>
          <w:cantSplit/>
        </w:trPr>
        <w:tc>
          <w:tcPr>
            <w:tcW w:w="674" w:type="pct"/>
            <w:vAlign w:val="center"/>
          </w:tcPr>
          <w:p w14:paraId="04CC38D8" w14:textId="471CE743" w:rsidR="000E18BE" w:rsidRPr="0098262F" w:rsidRDefault="000E18BE" w:rsidP="008A5672">
            <w:pPr>
              <w:pStyle w:val="TableText0"/>
            </w:pPr>
            <w:r>
              <w:t>Islam, 2019</w:t>
            </w:r>
          </w:p>
        </w:tc>
        <w:tc>
          <w:tcPr>
            <w:tcW w:w="3333" w:type="pct"/>
            <w:gridSpan w:val="4"/>
            <w:vAlign w:val="center"/>
          </w:tcPr>
          <w:p w14:paraId="07F4718D" w14:textId="45ABB2C8" w:rsidR="000E18BE" w:rsidRPr="0098262F" w:rsidRDefault="000E18BE" w:rsidP="008A5672">
            <w:pPr>
              <w:pStyle w:val="TableText0"/>
            </w:pPr>
            <w:r>
              <w:t xml:space="preserve">8480 women in 46 reports of 36 RCTs; outcomes for sexual function were reported in 15 studies in 3766 postmenopausal women &amp; 3 studies in 226 premenopausal women; 13 trials used transdermal patch, 2 used transdermal gel, one used transdermal spray, 2 used 1% testosterone cream (El-Hage, 2007 and a trial in premenopausal women). </w:t>
            </w:r>
          </w:p>
        </w:tc>
        <w:tc>
          <w:tcPr>
            <w:tcW w:w="994" w:type="pct"/>
            <w:vAlign w:val="center"/>
          </w:tcPr>
          <w:p w14:paraId="47B4E9B7" w14:textId="2E6F49E9" w:rsidR="000E18BE" w:rsidRPr="0098262F" w:rsidRDefault="000E18BE" w:rsidP="008A5672">
            <w:pPr>
              <w:pStyle w:val="TableText0"/>
            </w:pPr>
            <w:r>
              <w:t xml:space="preserve">Sexual desire, satisfying sexual events; adverse events. </w:t>
            </w:r>
          </w:p>
        </w:tc>
      </w:tr>
    </w:tbl>
    <w:p w14:paraId="0AD2AF5F" w14:textId="77777777" w:rsidR="002D3F18" w:rsidRPr="009D1129" w:rsidRDefault="00045017" w:rsidP="008A5672">
      <w:pPr>
        <w:pStyle w:val="TableFigureFooter"/>
        <w:keepNext/>
      </w:pPr>
      <w:r w:rsidRPr="009D1129">
        <w:t>Source:</w:t>
      </w:r>
      <w:r w:rsidR="00F5357D" w:rsidRPr="009D1129">
        <w:t xml:space="preserve"> El-Hage et al. Climacteric 2007; 10:335-343</w:t>
      </w:r>
      <w:r w:rsidR="00C01274" w:rsidRPr="009D1129">
        <w:t xml:space="preserve">; </w:t>
      </w:r>
      <w:proofErr w:type="spellStart"/>
      <w:r w:rsidR="00C01274" w:rsidRPr="009D1129">
        <w:t>Fooladi</w:t>
      </w:r>
      <w:proofErr w:type="spellEnd"/>
      <w:r w:rsidR="00C01274" w:rsidRPr="009D1129">
        <w:t xml:space="preserve"> et al. Menopause 2015; 22:44-49; Islam et al. </w:t>
      </w:r>
      <w:r w:rsidR="002D3F18" w:rsidRPr="009D1129">
        <w:t xml:space="preserve">Lancet Diabetes Endocrinol 2019; 7:754-766. </w:t>
      </w:r>
    </w:p>
    <w:p w14:paraId="1095487C" w14:textId="4CE19D8C" w:rsidR="00620C25" w:rsidRPr="009D1129" w:rsidRDefault="002D3F18" w:rsidP="008A5672">
      <w:pPr>
        <w:pStyle w:val="TableFigureFooter"/>
        <w:keepNext/>
      </w:pPr>
      <w:r w:rsidRPr="009D1129">
        <w:t xml:space="preserve">BISF-W = Brief Index of Sexual Functioning for Women; </w:t>
      </w:r>
      <w:r w:rsidR="00620C25" w:rsidRPr="009D1129">
        <w:t>DB = double blind; OL = open label; R = randomised</w:t>
      </w:r>
      <w:r w:rsidRPr="009D1129">
        <w:t xml:space="preserve">; RCT = randomised controlled trial; T = testosterone. </w:t>
      </w:r>
    </w:p>
    <w:p w14:paraId="1E1FD2B6" w14:textId="62BC6773" w:rsidR="00C60F55" w:rsidRPr="009D1129" w:rsidRDefault="00C60F55" w:rsidP="008A5672">
      <w:pPr>
        <w:pStyle w:val="TableFigureFooter"/>
        <w:keepNext/>
      </w:pPr>
      <w:r w:rsidRPr="00636653">
        <w:rPr>
          <w:rStyle w:val="TableFigureFooterChar"/>
          <w:vertAlign w:val="superscript"/>
        </w:rPr>
        <w:t>a</w:t>
      </w:r>
      <w:r w:rsidRPr="00904651">
        <w:t xml:space="preserve"> </w:t>
      </w:r>
      <w:r w:rsidRPr="009D1129">
        <w:t>Randomisation was carried out on site and the person who carried out the randomisation and labelled the active and placebo creams communicated with the research staff.</w:t>
      </w:r>
    </w:p>
    <w:p w14:paraId="51F45ADD" w14:textId="77777777" w:rsidR="009965CB" w:rsidRPr="00B83548" w:rsidRDefault="009965CB" w:rsidP="009965CB">
      <w:pPr>
        <w:pStyle w:val="3-BodyText"/>
        <w:rPr>
          <w:rFonts w:ascii="Calibri" w:eastAsiaTheme="majorEastAsia" w:hAnsi="Calibri" w:cs="Calibri"/>
          <w:b/>
          <w:szCs w:val="24"/>
        </w:rPr>
      </w:pPr>
      <w:bookmarkStart w:id="42" w:name="_Ref207885260"/>
      <w:bookmarkStart w:id="43" w:name="_Ref208489048"/>
      <w:r w:rsidRPr="00B83548">
        <w:t xml:space="preserve">El-Hage (2007) was graded as having unclear risk of bias because </w:t>
      </w:r>
      <w:r w:rsidRPr="00B83548">
        <w:rPr>
          <w:color w:val="000000" w:themeColor="text1"/>
        </w:rPr>
        <w:t xml:space="preserve">randomisation was carried out on site and the person who carried out the randomisation and labelled the active and placebo creams communicated with the research staff. </w:t>
      </w:r>
    </w:p>
    <w:p w14:paraId="3CE39D1A" w14:textId="1DBD0C39" w:rsidR="00431036" w:rsidRPr="002356A5" w:rsidRDefault="00E4226B" w:rsidP="00EC5836">
      <w:pPr>
        <w:pStyle w:val="3-BodyText"/>
        <w:rPr>
          <w:color w:val="0066FF"/>
        </w:rPr>
      </w:pPr>
      <w:bookmarkStart w:id="44" w:name="_Ref212023734"/>
      <w:r w:rsidRPr="00320580">
        <w:rPr>
          <w:iCs/>
          <w:color w:val="000000" w:themeColor="text1"/>
        </w:rPr>
        <w:t>The ESC noted that</w:t>
      </w:r>
      <w:r>
        <w:rPr>
          <w:color w:val="000000" w:themeColor="text1"/>
        </w:rPr>
        <w:t xml:space="preserve"> i</w:t>
      </w:r>
      <w:r w:rsidR="00ED166C" w:rsidRPr="002356A5">
        <w:rPr>
          <w:color w:val="000000" w:themeColor="text1"/>
        </w:rPr>
        <w:t xml:space="preserve">t was not an inclusion criterion in El-Hage (2007) that women have significant personal distress related to </w:t>
      </w:r>
      <w:r w:rsidR="00420B08" w:rsidRPr="002356A5">
        <w:rPr>
          <w:color w:val="000000" w:themeColor="text1"/>
        </w:rPr>
        <w:t>a</w:t>
      </w:r>
      <w:r w:rsidR="00ED166C" w:rsidRPr="002356A5">
        <w:rPr>
          <w:color w:val="000000" w:themeColor="text1"/>
        </w:rPr>
        <w:t xml:space="preserve"> low level of sexual </w:t>
      </w:r>
      <w:r w:rsidR="00E94FF3" w:rsidRPr="002356A5">
        <w:rPr>
          <w:color w:val="000000" w:themeColor="text1"/>
        </w:rPr>
        <w:t>interest</w:t>
      </w:r>
      <w:r w:rsidR="00431036" w:rsidRPr="002356A5">
        <w:rPr>
          <w:color w:val="000000" w:themeColor="text1"/>
        </w:rPr>
        <w:t>. They</w:t>
      </w:r>
      <w:r w:rsidR="00ED166C" w:rsidRPr="002356A5">
        <w:rPr>
          <w:color w:val="000000" w:themeColor="text1"/>
        </w:rPr>
        <w:t xml:space="preserve"> were recruited by advertisements, not from clinics, so </w:t>
      </w:r>
      <w:r w:rsidR="00431036" w:rsidRPr="002356A5">
        <w:rPr>
          <w:color w:val="000000" w:themeColor="text1"/>
        </w:rPr>
        <w:t xml:space="preserve">they </w:t>
      </w:r>
      <w:r w:rsidR="001C149A" w:rsidRPr="002356A5">
        <w:rPr>
          <w:color w:val="000000" w:themeColor="text1"/>
        </w:rPr>
        <w:t>may</w:t>
      </w:r>
      <w:r w:rsidR="00431036" w:rsidRPr="002356A5">
        <w:rPr>
          <w:color w:val="000000" w:themeColor="text1"/>
        </w:rPr>
        <w:t xml:space="preserve"> n</w:t>
      </w:r>
      <w:r w:rsidR="001C149A" w:rsidRPr="002356A5">
        <w:rPr>
          <w:color w:val="000000" w:themeColor="text1"/>
        </w:rPr>
        <w:t xml:space="preserve">ever </w:t>
      </w:r>
      <w:r w:rsidR="00662EC3" w:rsidRPr="002356A5">
        <w:rPr>
          <w:color w:val="000000" w:themeColor="text1"/>
        </w:rPr>
        <w:t>have</w:t>
      </w:r>
      <w:r w:rsidR="00431036" w:rsidRPr="002356A5">
        <w:rPr>
          <w:color w:val="000000" w:themeColor="text1"/>
        </w:rPr>
        <w:t xml:space="preserve"> sought care for low sexual interest and </w:t>
      </w:r>
      <w:r w:rsidR="00ED166C" w:rsidRPr="002356A5">
        <w:rPr>
          <w:color w:val="000000" w:themeColor="text1"/>
        </w:rPr>
        <w:t xml:space="preserve">personal distress cannot be inferred. </w:t>
      </w:r>
      <w:r w:rsidR="004B0473">
        <w:rPr>
          <w:color w:val="000000" w:themeColor="text1"/>
        </w:rPr>
        <w:t>F</w:t>
      </w:r>
      <w:r w:rsidR="00E14019" w:rsidRPr="002356A5">
        <w:rPr>
          <w:color w:val="000000" w:themeColor="text1"/>
        </w:rPr>
        <w:t xml:space="preserve">or this reason </w:t>
      </w:r>
      <w:r w:rsidR="0051110C" w:rsidRPr="002356A5">
        <w:rPr>
          <w:color w:val="000000" w:themeColor="text1"/>
        </w:rPr>
        <w:t>alone,</w:t>
      </w:r>
      <w:r w:rsidR="00E14019" w:rsidRPr="002356A5">
        <w:rPr>
          <w:color w:val="000000" w:themeColor="text1"/>
        </w:rPr>
        <w:t xml:space="preserve"> </w:t>
      </w:r>
      <w:r w:rsidR="00ED166C" w:rsidRPr="002356A5">
        <w:rPr>
          <w:color w:val="000000" w:themeColor="text1"/>
        </w:rPr>
        <w:t>they did not meet the diagnostic criteria for HSDD</w:t>
      </w:r>
      <w:r w:rsidR="00D53CBB" w:rsidRPr="002356A5">
        <w:rPr>
          <w:color w:val="000000" w:themeColor="text1"/>
        </w:rPr>
        <w:t xml:space="preserve"> according to the ISSWSH</w:t>
      </w:r>
      <w:r w:rsidR="00ED166C" w:rsidRPr="002356A5">
        <w:rPr>
          <w:color w:val="000000" w:themeColor="text1"/>
        </w:rPr>
        <w:t>.</w:t>
      </w:r>
      <w:bookmarkEnd w:id="42"/>
      <w:r w:rsidR="00932814" w:rsidRPr="002356A5">
        <w:rPr>
          <w:color w:val="000000" w:themeColor="text1"/>
        </w:rPr>
        <w:t xml:space="preserve"> </w:t>
      </w:r>
      <w:r w:rsidR="003D14CD" w:rsidRPr="002356A5">
        <w:rPr>
          <w:color w:val="000000" w:themeColor="text1"/>
        </w:rPr>
        <w:t>P</w:t>
      </w:r>
      <w:r w:rsidR="004B79A5" w:rsidRPr="002356A5">
        <w:rPr>
          <w:color w:val="000000" w:themeColor="text1"/>
        </w:rPr>
        <w:t>atients</w:t>
      </w:r>
      <w:r w:rsidR="00C159B7" w:rsidRPr="002356A5">
        <w:rPr>
          <w:color w:val="000000" w:themeColor="text1"/>
        </w:rPr>
        <w:t xml:space="preserve"> were</w:t>
      </w:r>
      <w:r w:rsidR="007F3402" w:rsidRPr="002356A5">
        <w:rPr>
          <w:color w:val="000000" w:themeColor="text1"/>
        </w:rPr>
        <w:t xml:space="preserve"> included</w:t>
      </w:r>
      <w:r w:rsidR="007B277E" w:rsidRPr="002356A5">
        <w:rPr>
          <w:color w:val="000000" w:themeColor="text1"/>
        </w:rPr>
        <w:t xml:space="preserve"> in the trial</w:t>
      </w:r>
      <w:r w:rsidR="007F3402" w:rsidRPr="002356A5">
        <w:rPr>
          <w:color w:val="000000" w:themeColor="text1"/>
        </w:rPr>
        <w:t xml:space="preserve"> if they had, among other things, decreased sexual </w:t>
      </w:r>
      <w:r w:rsidR="00420B08" w:rsidRPr="002356A5">
        <w:rPr>
          <w:color w:val="000000" w:themeColor="text1"/>
        </w:rPr>
        <w:t>function</w:t>
      </w:r>
      <w:r w:rsidR="007F3402" w:rsidRPr="002356A5">
        <w:rPr>
          <w:color w:val="000000" w:themeColor="text1"/>
        </w:rPr>
        <w:t xml:space="preserve"> </w:t>
      </w:r>
      <w:r w:rsidR="007B277E" w:rsidRPr="002356A5">
        <w:rPr>
          <w:color w:val="000000" w:themeColor="text1"/>
        </w:rPr>
        <w:t xml:space="preserve">based on </w:t>
      </w:r>
      <w:r w:rsidR="007F3402" w:rsidRPr="002356A5">
        <w:rPr>
          <w:color w:val="000000" w:themeColor="text1"/>
        </w:rPr>
        <w:t>a</w:t>
      </w:r>
      <w:r w:rsidR="003D14CD" w:rsidRPr="002356A5">
        <w:rPr>
          <w:color w:val="000000" w:themeColor="text1"/>
        </w:rPr>
        <w:t xml:space="preserve"> total</w:t>
      </w:r>
      <w:r w:rsidR="00EA7BB2">
        <w:rPr>
          <w:color w:val="000000" w:themeColor="text1"/>
        </w:rPr>
        <w:t xml:space="preserve"> </w:t>
      </w:r>
      <w:r w:rsidR="00EA7BB2" w:rsidRPr="00545599">
        <w:t>Brief Index of Sexual Function</w:t>
      </w:r>
      <w:r w:rsidR="00EA7BB2">
        <w:t>ing</w:t>
      </w:r>
      <w:r w:rsidR="00EA7BB2" w:rsidRPr="00545599">
        <w:t xml:space="preserve"> for Women</w:t>
      </w:r>
      <w:r w:rsidR="00410AFF" w:rsidRPr="002356A5">
        <w:rPr>
          <w:color w:val="000000" w:themeColor="text1"/>
        </w:rPr>
        <w:t xml:space="preserve"> </w:t>
      </w:r>
      <w:r w:rsidR="00EA7BB2">
        <w:rPr>
          <w:color w:val="000000" w:themeColor="text1"/>
        </w:rPr>
        <w:t>(</w:t>
      </w:r>
      <w:r w:rsidR="007F3402" w:rsidRPr="002356A5">
        <w:rPr>
          <w:color w:val="000000" w:themeColor="text1"/>
        </w:rPr>
        <w:t>BISF-W</w:t>
      </w:r>
      <w:r w:rsidR="00EA7BB2">
        <w:rPr>
          <w:color w:val="000000" w:themeColor="text1"/>
        </w:rPr>
        <w:t>)</w:t>
      </w:r>
      <w:r w:rsidR="007F3402" w:rsidRPr="002356A5">
        <w:rPr>
          <w:color w:val="000000" w:themeColor="text1"/>
        </w:rPr>
        <w:t xml:space="preserve"> score </w:t>
      </w:r>
      <w:r w:rsidR="007B277E" w:rsidRPr="002356A5">
        <w:rPr>
          <w:color w:val="000000" w:themeColor="text1"/>
        </w:rPr>
        <w:t xml:space="preserve">of </w:t>
      </w:r>
      <w:r w:rsidR="007F3402" w:rsidRPr="002356A5">
        <w:rPr>
          <w:color w:val="000000" w:themeColor="text1"/>
        </w:rPr>
        <w:t>less than 33.6</w:t>
      </w:r>
      <w:r w:rsidR="004B0473">
        <w:rPr>
          <w:color w:val="000000" w:themeColor="text1"/>
        </w:rPr>
        <w:t>;</w:t>
      </w:r>
      <w:r w:rsidR="003D5F0F" w:rsidRPr="002356A5">
        <w:rPr>
          <w:color w:val="000000" w:themeColor="text1"/>
        </w:rPr>
        <w:t xml:space="preserve"> </w:t>
      </w:r>
      <w:r w:rsidR="004B0473">
        <w:rPr>
          <w:color w:val="000000" w:themeColor="text1"/>
        </w:rPr>
        <w:t>h</w:t>
      </w:r>
      <w:r w:rsidR="003D5F0F" w:rsidRPr="002356A5">
        <w:rPr>
          <w:color w:val="000000" w:themeColor="text1"/>
        </w:rPr>
        <w:t>owever,</w:t>
      </w:r>
      <w:r w:rsidR="00080F11" w:rsidRPr="002356A5">
        <w:rPr>
          <w:color w:val="000000" w:themeColor="text1"/>
        </w:rPr>
        <w:t xml:space="preserve"> 33.6 </w:t>
      </w:r>
      <w:r w:rsidR="007224A0" w:rsidRPr="002356A5">
        <w:rPr>
          <w:color w:val="000000" w:themeColor="text1"/>
        </w:rPr>
        <w:t>wa</w:t>
      </w:r>
      <w:r w:rsidR="00080F11" w:rsidRPr="002356A5">
        <w:rPr>
          <w:color w:val="000000" w:themeColor="text1"/>
        </w:rPr>
        <w:t>s</w:t>
      </w:r>
      <w:r w:rsidR="009B6487" w:rsidRPr="002356A5">
        <w:rPr>
          <w:color w:val="000000" w:themeColor="text1"/>
        </w:rPr>
        <w:t xml:space="preserve"> </w:t>
      </w:r>
      <w:r w:rsidR="00080F11" w:rsidRPr="002356A5">
        <w:rPr>
          <w:color w:val="000000" w:themeColor="text1"/>
        </w:rPr>
        <w:t xml:space="preserve">the mean score of </w:t>
      </w:r>
      <w:r w:rsidR="00B25C39" w:rsidRPr="002356A5">
        <w:rPr>
          <w:color w:val="000000" w:themeColor="text1"/>
        </w:rPr>
        <w:t>a</w:t>
      </w:r>
      <w:r w:rsidR="009B6487" w:rsidRPr="002356A5">
        <w:rPr>
          <w:color w:val="000000" w:themeColor="text1"/>
        </w:rPr>
        <w:t xml:space="preserve"> convenience </w:t>
      </w:r>
      <w:r w:rsidR="00B25C39" w:rsidRPr="002356A5">
        <w:rPr>
          <w:color w:val="000000" w:themeColor="text1"/>
        </w:rPr>
        <w:t xml:space="preserve">sample of </w:t>
      </w:r>
      <w:r w:rsidR="007224A0" w:rsidRPr="002356A5">
        <w:rPr>
          <w:color w:val="000000" w:themeColor="text1"/>
        </w:rPr>
        <w:t>187</w:t>
      </w:r>
      <w:r w:rsidR="00B25C39" w:rsidRPr="002356A5">
        <w:rPr>
          <w:color w:val="000000" w:themeColor="text1"/>
        </w:rPr>
        <w:t xml:space="preserve"> healthy women</w:t>
      </w:r>
      <w:r w:rsidR="00420B08" w:rsidRPr="002356A5">
        <w:rPr>
          <w:color w:val="000000" w:themeColor="text1"/>
        </w:rPr>
        <w:t>,</w:t>
      </w:r>
      <w:r w:rsidR="007224A0" w:rsidRPr="002356A5">
        <w:rPr>
          <w:color w:val="000000" w:themeColor="text1"/>
        </w:rPr>
        <w:t xml:space="preserve"> with partners</w:t>
      </w:r>
      <w:r w:rsidR="00AA24E7">
        <w:rPr>
          <w:color w:val="000000" w:themeColor="text1"/>
        </w:rPr>
        <w:t>,</w:t>
      </w:r>
      <w:r w:rsidR="00B25C39" w:rsidRPr="002356A5">
        <w:rPr>
          <w:color w:val="000000" w:themeColor="text1"/>
        </w:rPr>
        <w:t xml:space="preserve"> aged 20-55 years</w:t>
      </w:r>
      <w:r w:rsidR="009B6487" w:rsidRPr="002356A5">
        <w:rPr>
          <w:color w:val="000000" w:themeColor="text1"/>
        </w:rPr>
        <w:t xml:space="preserve"> in New Jersey</w:t>
      </w:r>
      <w:r w:rsidR="007D6AF5">
        <w:rPr>
          <w:color w:val="000000" w:themeColor="text1"/>
        </w:rPr>
        <w:t>.</w:t>
      </w:r>
      <w:r w:rsidR="003D5F0F" w:rsidRPr="002356A5">
        <w:rPr>
          <w:color w:val="000000" w:themeColor="text1"/>
        </w:rPr>
        <w:t xml:space="preserve"> </w:t>
      </w:r>
      <w:r w:rsidR="007D6AF5">
        <w:rPr>
          <w:color w:val="000000" w:themeColor="text1"/>
        </w:rPr>
        <w:t>T</w:t>
      </w:r>
      <w:r w:rsidR="007224A0" w:rsidRPr="002356A5">
        <w:rPr>
          <w:color w:val="000000" w:themeColor="text1"/>
        </w:rPr>
        <w:t>he standard deviation of the score in this sample was 12.4</w:t>
      </w:r>
      <w:r w:rsidR="003D5F0F" w:rsidRPr="002356A5">
        <w:rPr>
          <w:color w:val="000000" w:themeColor="text1"/>
        </w:rPr>
        <w:t>,</w:t>
      </w:r>
      <w:r w:rsidR="007224A0" w:rsidRPr="002356A5">
        <w:rPr>
          <w:color w:val="000000" w:themeColor="text1"/>
        </w:rPr>
        <w:t xml:space="preserve"> and the range was 0.2 to 63.0, so</w:t>
      </w:r>
      <w:r w:rsidR="007A6E1B">
        <w:rPr>
          <w:color w:val="000000" w:themeColor="text1"/>
        </w:rPr>
        <w:t xml:space="preserve"> the evaluation noted that</w:t>
      </w:r>
      <w:r w:rsidR="007224A0" w:rsidRPr="002356A5">
        <w:rPr>
          <w:color w:val="000000" w:themeColor="text1"/>
        </w:rPr>
        <w:t xml:space="preserve"> there is no basis </w:t>
      </w:r>
      <w:r w:rsidR="00420B08" w:rsidRPr="002356A5">
        <w:rPr>
          <w:color w:val="000000" w:themeColor="text1"/>
        </w:rPr>
        <w:t>on which to</w:t>
      </w:r>
      <w:r w:rsidR="007224A0" w:rsidRPr="002356A5">
        <w:rPr>
          <w:color w:val="000000" w:themeColor="text1"/>
        </w:rPr>
        <w:t xml:space="preserve"> define scores below 33.6 as abnormal</w:t>
      </w:r>
      <w:r w:rsidR="003B173E" w:rsidRPr="002356A5">
        <w:rPr>
          <w:color w:val="000000" w:themeColor="text1"/>
        </w:rPr>
        <w:t xml:space="preserve"> (Mazer, 2000).</w:t>
      </w:r>
      <w:r w:rsidR="007224A0" w:rsidRPr="002356A5">
        <w:rPr>
          <w:color w:val="000000" w:themeColor="text1"/>
        </w:rPr>
        <w:t xml:space="preserve"> </w:t>
      </w:r>
      <w:r w:rsidR="003D14CD" w:rsidRPr="002356A5">
        <w:rPr>
          <w:color w:val="000000" w:themeColor="text1"/>
        </w:rPr>
        <w:t>Further, t</w:t>
      </w:r>
      <w:r w:rsidR="007224A0" w:rsidRPr="002356A5">
        <w:rPr>
          <w:color w:val="000000" w:themeColor="text1"/>
        </w:rPr>
        <w:t>he BISF-W asks for responses for the last month, so a single score does not satisfy the diagnostic requirement for HSDD of at least six months loss of sexual interest</w:t>
      </w:r>
      <w:r w:rsidR="006A69B2" w:rsidRPr="002356A5">
        <w:rPr>
          <w:color w:val="000000" w:themeColor="text1"/>
        </w:rPr>
        <w:t>.</w:t>
      </w:r>
      <w:bookmarkEnd w:id="43"/>
      <w:bookmarkEnd w:id="44"/>
      <w:r w:rsidR="006A69B2" w:rsidRPr="002356A5">
        <w:rPr>
          <w:color w:val="000000" w:themeColor="text1"/>
        </w:rPr>
        <w:t xml:space="preserve"> </w:t>
      </w:r>
      <w:r w:rsidR="007224A0" w:rsidRPr="002356A5">
        <w:rPr>
          <w:color w:val="000000" w:themeColor="text1"/>
        </w:rPr>
        <w:t xml:space="preserve"> </w:t>
      </w:r>
    </w:p>
    <w:p w14:paraId="268FDA63" w14:textId="4F4932B9" w:rsidR="00540620" w:rsidRPr="002356A5" w:rsidRDefault="0058377F" w:rsidP="00EC5836">
      <w:pPr>
        <w:pStyle w:val="3-BodyText"/>
        <w:rPr>
          <w:color w:val="0066FF"/>
        </w:rPr>
      </w:pPr>
      <w:r w:rsidRPr="002356A5">
        <w:t>Women</w:t>
      </w:r>
      <w:r w:rsidR="00540620" w:rsidRPr="002356A5">
        <w:t xml:space="preserve"> in El-Hage</w:t>
      </w:r>
      <w:r w:rsidR="00792FB5" w:rsidRPr="002356A5">
        <w:t xml:space="preserve"> (</w:t>
      </w:r>
      <w:r w:rsidR="00540620" w:rsidRPr="002356A5">
        <w:t>2007</w:t>
      </w:r>
      <w:r w:rsidR="00792FB5" w:rsidRPr="002356A5">
        <w:t>)</w:t>
      </w:r>
      <w:r w:rsidR="00540620" w:rsidRPr="002356A5">
        <w:t xml:space="preserve"> were</w:t>
      </w:r>
      <w:r w:rsidR="009D5073" w:rsidRPr="002356A5">
        <w:t xml:space="preserve"> menopausal </w:t>
      </w:r>
      <w:r w:rsidR="009E4062" w:rsidRPr="002356A5">
        <w:t>(</w:t>
      </w:r>
      <w:r w:rsidR="006827ED" w:rsidRPr="002356A5">
        <w:t>i.e.</w:t>
      </w:r>
      <w:r w:rsidR="009E4062" w:rsidRPr="002356A5">
        <w:t>, had elevated follicle stimulating hormone levels</w:t>
      </w:r>
      <w:r w:rsidR="00A81B55">
        <w:t xml:space="preserve"> </w:t>
      </w:r>
      <w:r w:rsidR="00A81B55">
        <w:rPr>
          <w:color w:val="000000" w:themeColor="text1"/>
        </w:rPr>
        <w:t>&gt;30 U/L</w:t>
      </w:r>
      <w:r w:rsidR="009E4062" w:rsidRPr="002356A5">
        <w:t xml:space="preserve">) </w:t>
      </w:r>
      <w:r w:rsidR="009D5073" w:rsidRPr="002356A5">
        <w:t xml:space="preserve">and were </w:t>
      </w:r>
      <w:r w:rsidR="00540620" w:rsidRPr="002356A5">
        <w:t xml:space="preserve">required to be using transdermal </w:t>
      </w:r>
      <w:proofErr w:type="spellStart"/>
      <w:r w:rsidR="00540620" w:rsidRPr="002356A5">
        <w:t>estradiol</w:t>
      </w:r>
      <w:proofErr w:type="spellEnd"/>
      <w:r w:rsidR="00540620" w:rsidRPr="002356A5">
        <w:t xml:space="preserve">. </w:t>
      </w:r>
      <w:r w:rsidR="001021C3">
        <w:lastRenderedPageBreak/>
        <w:t>Specifically, t</w:t>
      </w:r>
      <w:r w:rsidR="009E4062" w:rsidRPr="002356A5">
        <w:t xml:space="preserve">hey were required to have had a hysterectomy but may or may not have had ovariectomy - </w:t>
      </w:r>
      <w:r w:rsidR="006827ED" w:rsidRPr="002356A5">
        <w:t>i.e.</w:t>
      </w:r>
      <w:r w:rsidR="009E4062" w:rsidRPr="002356A5">
        <w:t>,</w:t>
      </w:r>
      <w:r w:rsidR="003D5F0F" w:rsidRPr="002356A5">
        <w:t xml:space="preserve"> they</w:t>
      </w:r>
      <w:r w:rsidR="009E4062" w:rsidRPr="002356A5">
        <w:t xml:space="preserve"> may or may not have been surgically menopausal</w:t>
      </w:r>
      <w:r w:rsidR="00446EEA">
        <w:t>.</w:t>
      </w:r>
      <w:r w:rsidR="009E4062" w:rsidRPr="002356A5">
        <w:t xml:space="preserve"> </w:t>
      </w:r>
      <w:r w:rsidR="003D5F0F" w:rsidRPr="002356A5">
        <w:t xml:space="preserve">Although a post-hoc analysis comparing women who had had ovariectomy with those who had not was reported, the number of women who had had ovariectomy was not provided. </w:t>
      </w:r>
    </w:p>
    <w:p w14:paraId="28593FB8" w14:textId="591BE6DB" w:rsidR="002C2775" w:rsidRPr="00A60AF6" w:rsidRDefault="00B60939" w:rsidP="00A60AF6">
      <w:pPr>
        <w:pStyle w:val="4-SubsectionHeading"/>
      </w:pPr>
      <w:bookmarkStart w:id="45" w:name="_Toc22897641"/>
      <w:bookmarkStart w:id="46" w:name="_Toc208926780"/>
      <w:r w:rsidRPr="0098262F">
        <w:t>Comparative effectiveness</w:t>
      </w:r>
      <w:bookmarkEnd w:id="45"/>
      <w:bookmarkEnd w:id="46"/>
    </w:p>
    <w:p w14:paraId="1173AA5D" w14:textId="0A8CEBD0" w:rsidR="008C1051" w:rsidRPr="008B5F39" w:rsidRDefault="008C1051" w:rsidP="00CB6ED2">
      <w:pPr>
        <w:pStyle w:val="5-SubsectionSubheading"/>
      </w:pPr>
      <w:r w:rsidRPr="008B5F39">
        <w:t>Results of the randomised controlled trial (El-Hage 2007)</w:t>
      </w:r>
    </w:p>
    <w:p w14:paraId="2BCBC3B7" w14:textId="08C4958F" w:rsidR="00B24083" w:rsidRPr="00684CE2" w:rsidRDefault="00B24083" w:rsidP="00EC5836">
      <w:pPr>
        <w:pStyle w:val="3-BodyText"/>
        <w:rPr>
          <w:color w:val="000000" w:themeColor="text1"/>
        </w:rPr>
      </w:pPr>
      <w:r w:rsidRPr="00684CE2">
        <w:rPr>
          <w:color w:val="000000" w:themeColor="text1"/>
        </w:rPr>
        <w:t xml:space="preserve">Efficacy outcomes in El-Hage (2007) are shown in </w:t>
      </w:r>
      <w:r w:rsidR="000E18BE">
        <w:rPr>
          <w:color w:val="000000" w:themeColor="text1"/>
        </w:rPr>
        <w:fldChar w:fldCharType="begin"/>
      </w:r>
      <w:r w:rsidR="000E18BE">
        <w:rPr>
          <w:color w:val="000000" w:themeColor="text1"/>
        </w:rPr>
        <w:instrText xml:space="preserve"> REF _Ref206235382 \h </w:instrText>
      </w:r>
      <w:r w:rsidR="000E18BE">
        <w:rPr>
          <w:color w:val="000000" w:themeColor="text1"/>
        </w:rPr>
      </w:r>
      <w:r w:rsidR="000E18BE">
        <w:rPr>
          <w:color w:val="000000" w:themeColor="text1"/>
        </w:rPr>
        <w:fldChar w:fldCharType="separate"/>
      </w:r>
      <w:r w:rsidR="00374A89">
        <w:t xml:space="preserve">Table </w:t>
      </w:r>
      <w:r w:rsidR="00374A89">
        <w:rPr>
          <w:noProof/>
        </w:rPr>
        <w:t>4</w:t>
      </w:r>
      <w:r w:rsidR="000E18BE">
        <w:rPr>
          <w:color w:val="000000" w:themeColor="text1"/>
        </w:rPr>
        <w:fldChar w:fldCharType="end"/>
      </w:r>
      <w:r w:rsidR="000E18BE">
        <w:rPr>
          <w:color w:val="000000" w:themeColor="text1"/>
        </w:rPr>
        <w:t>.</w:t>
      </w:r>
    </w:p>
    <w:p w14:paraId="3EEFA88B" w14:textId="570FDAE5" w:rsidR="00B24083" w:rsidRDefault="000E18BE" w:rsidP="000E18BE">
      <w:pPr>
        <w:pStyle w:val="Caption"/>
      </w:pPr>
      <w:bookmarkStart w:id="47" w:name="_Ref206235382"/>
      <w:r>
        <w:t xml:space="preserve">Table </w:t>
      </w:r>
      <w:r w:rsidR="00F03188">
        <w:fldChar w:fldCharType="begin"/>
      </w:r>
      <w:r w:rsidR="00F03188">
        <w:instrText xml:space="preserve"> SEQ Table \* ARABIC </w:instrText>
      </w:r>
      <w:r w:rsidR="00F03188">
        <w:fldChar w:fldCharType="separate"/>
      </w:r>
      <w:r w:rsidR="00374A89">
        <w:rPr>
          <w:noProof/>
        </w:rPr>
        <w:t>4</w:t>
      </w:r>
      <w:r w:rsidR="00F03188">
        <w:rPr>
          <w:noProof/>
        </w:rPr>
        <w:fldChar w:fldCharType="end"/>
      </w:r>
      <w:bookmarkEnd w:id="47"/>
      <w:r>
        <w:t xml:space="preserve">: </w:t>
      </w:r>
      <w:r w:rsidR="00B24083" w:rsidRPr="00B24083">
        <w:t>Efficacy outcomes in the submitted trial</w:t>
      </w:r>
      <w:r w:rsidR="009758A6">
        <w:t xml:space="preserve"> – El-Hage (2007)</w:t>
      </w:r>
    </w:p>
    <w:tbl>
      <w:tblPr>
        <w:tblStyle w:val="TableGrid"/>
        <w:tblW w:w="0" w:type="auto"/>
        <w:tblLook w:val="04A0" w:firstRow="1" w:lastRow="0" w:firstColumn="1" w:lastColumn="0" w:noHBand="0" w:noVBand="1"/>
        <w:tblCaption w:val="Table 4: Efficacy outcomes in the submitted trial – El-Hage (2007)"/>
      </w:tblPr>
      <w:tblGrid>
        <w:gridCol w:w="4957"/>
        <w:gridCol w:w="2030"/>
        <w:gridCol w:w="2030"/>
      </w:tblGrid>
      <w:tr w:rsidR="00B24083" w14:paraId="09801633" w14:textId="77777777" w:rsidTr="009931FC">
        <w:tc>
          <w:tcPr>
            <w:tcW w:w="4957" w:type="dxa"/>
            <w:vAlign w:val="center"/>
          </w:tcPr>
          <w:p w14:paraId="150865D6" w14:textId="6D1DD5CB" w:rsidR="00B24083" w:rsidRDefault="009931FC" w:rsidP="00B24083">
            <w:pPr>
              <w:pStyle w:val="TableFigureHeading"/>
            </w:pPr>
            <w:r>
              <w:t>Outcome</w:t>
            </w:r>
          </w:p>
        </w:tc>
        <w:tc>
          <w:tcPr>
            <w:tcW w:w="2030" w:type="dxa"/>
            <w:vAlign w:val="center"/>
          </w:tcPr>
          <w:p w14:paraId="6BB9F7DD" w14:textId="77777777" w:rsidR="00F00FCF" w:rsidRDefault="00B24083" w:rsidP="00AD3449">
            <w:pPr>
              <w:pStyle w:val="TableFigureHeading"/>
              <w:jc w:val="center"/>
            </w:pPr>
            <w:r>
              <w:t xml:space="preserve">Testosterone </w:t>
            </w:r>
          </w:p>
          <w:p w14:paraId="7E3789D8" w14:textId="21EF1309" w:rsidR="00B24083" w:rsidRDefault="00B24083" w:rsidP="00AD3449">
            <w:pPr>
              <w:pStyle w:val="TableFigureHeading"/>
              <w:jc w:val="center"/>
            </w:pPr>
            <w:r>
              <w:t>10 mg daily</w:t>
            </w:r>
          </w:p>
        </w:tc>
        <w:tc>
          <w:tcPr>
            <w:tcW w:w="2030" w:type="dxa"/>
            <w:vAlign w:val="center"/>
          </w:tcPr>
          <w:p w14:paraId="33B03222" w14:textId="5D6EC589" w:rsidR="00B24083" w:rsidRDefault="00B24083" w:rsidP="00AD3449">
            <w:pPr>
              <w:pStyle w:val="TableFigureHeading"/>
              <w:jc w:val="center"/>
            </w:pPr>
            <w:r>
              <w:t>Placebo</w:t>
            </w:r>
          </w:p>
        </w:tc>
      </w:tr>
      <w:tr w:rsidR="00B24083" w14:paraId="119FBC2F" w14:textId="77777777" w:rsidTr="00F63878">
        <w:tc>
          <w:tcPr>
            <w:tcW w:w="4957" w:type="dxa"/>
            <w:vAlign w:val="center"/>
          </w:tcPr>
          <w:p w14:paraId="15A8905C" w14:textId="11DBD942" w:rsidR="00A11E0A" w:rsidRDefault="00B24083" w:rsidP="00B24083">
            <w:pPr>
              <w:pStyle w:val="TableFigureHeading"/>
              <w:rPr>
                <w:b w:val="0"/>
                <w:bCs w:val="0"/>
              </w:rPr>
            </w:pPr>
            <w:r w:rsidRPr="00B24083">
              <w:rPr>
                <w:b w:val="0"/>
                <w:bCs w:val="0"/>
              </w:rPr>
              <w:t>Baseline BISF-W Domain 1 (Thoughts/desire)</w:t>
            </w:r>
          </w:p>
          <w:p w14:paraId="11E05FD2" w14:textId="4D92D956" w:rsidR="00B24083" w:rsidRPr="00B24083" w:rsidRDefault="00B24083" w:rsidP="00B24083">
            <w:pPr>
              <w:pStyle w:val="TableFigureHeading"/>
              <w:rPr>
                <w:b w:val="0"/>
                <w:bCs w:val="0"/>
              </w:rPr>
            </w:pPr>
            <w:r w:rsidRPr="00B24083">
              <w:rPr>
                <w:b w:val="0"/>
                <w:bCs w:val="0"/>
              </w:rPr>
              <w:t>Mean (SD)</w:t>
            </w:r>
          </w:p>
        </w:tc>
        <w:tc>
          <w:tcPr>
            <w:tcW w:w="2030" w:type="dxa"/>
            <w:vAlign w:val="center"/>
          </w:tcPr>
          <w:p w14:paraId="67C8C517" w14:textId="5F0DDCB1" w:rsidR="00B24083" w:rsidRPr="00B24083" w:rsidRDefault="00B24083" w:rsidP="00AD3449">
            <w:pPr>
              <w:pStyle w:val="TableFigureHeading"/>
              <w:jc w:val="center"/>
              <w:rPr>
                <w:b w:val="0"/>
                <w:bCs w:val="0"/>
              </w:rPr>
            </w:pPr>
            <w:r w:rsidRPr="00B24083">
              <w:rPr>
                <w:b w:val="0"/>
                <w:bCs w:val="0"/>
              </w:rPr>
              <w:t>1.15 (1.29)</w:t>
            </w:r>
          </w:p>
        </w:tc>
        <w:tc>
          <w:tcPr>
            <w:tcW w:w="2030" w:type="dxa"/>
            <w:vAlign w:val="center"/>
          </w:tcPr>
          <w:p w14:paraId="1C3E0057" w14:textId="373D4244" w:rsidR="00B24083" w:rsidRPr="00B24083" w:rsidRDefault="00B24083" w:rsidP="00AD3449">
            <w:pPr>
              <w:pStyle w:val="TableFigureHeading"/>
              <w:jc w:val="center"/>
              <w:rPr>
                <w:b w:val="0"/>
                <w:bCs w:val="0"/>
              </w:rPr>
            </w:pPr>
            <w:r>
              <w:rPr>
                <w:b w:val="0"/>
                <w:bCs w:val="0"/>
              </w:rPr>
              <w:t>1.51 (1.41)</w:t>
            </w:r>
          </w:p>
        </w:tc>
      </w:tr>
      <w:tr w:rsidR="00B24083" w14:paraId="1E67076B" w14:textId="77777777" w:rsidTr="00F63878">
        <w:tc>
          <w:tcPr>
            <w:tcW w:w="4957" w:type="dxa"/>
            <w:vAlign w:val="center"/>
          </w:tcPr>
          <w:p w14:paraId="2E4FD074" w14:textId="07647D44" w:rsidR="008417B8" w:rsidRDefault="00B24083" w:rsidP="00B24083">
            <w:pPr>
              <w:pStyle w:val="TableFigureHeading"/>
              <w:rPr>
                <w:b w:val="0"/>
                <w:bCs w:val="0"/>
              </w:rPr>
            </w:pPr>
            <w:r w:rsidRPr="00B24083">
              <w:rPr>
                <w:b w:val="0"/>
                <w:bCs w:val="0"/>
              </w:rPr>
              <w:t>BISF-W Domain 1 (Thoughts/desire)</w:t>
            </w:r>
            <w:r>
              <w:rPr>
                <w:b w:val="0"/>
                <w:bCs w:val="0"/>
              </w:rPr>
              <w:t xml:space="preserve"> at 12 weeks</w:t>
            </w:r>
          </w:p>
          <w:p w14:paraId="380321DA" w14:textId="04E5D7E7" w:rsidR="00B24083" w:rsidRPr="00B24083" w:rsidRDefault="00A37B38" w:rsidP="00B24083">
            <w:pPr>
              <w:pStyle w:val="TableFigureHeading"/>
              <w:rPr>
                <w:b w:val="0"/>
                <w:bCs w:val="0"/>
              </w:rPr>
            </w:pPr>
            <w:r>
              <w:rPr>
                <w:b w:val="0"/>
                <w:bCs w:val="0"/>
              </w:rPr>
              <w:t>Mean (SD)</w:t>
            </w:r>
          </w:p>
        </w:tc>
        <w:tc>
          <w:tcPr>
            <w:tcW w:w="2030" w:type="dxa"/>
            <w:vAlign w:val="center"/>
          </w:tcPr>
          <w:p w14:paraId="6B368CAC" w14:textId="55D886EB" w:rsidR="00B24083" w:rsidRPr="00B24083" w:rsidRDefault="00B24083" w:rsidP="00AD3449">
            <w:pPr>
              <w:pStyle w:val="TableFigureHeading"/>
              <w:jc w:val="center"/>
              <w:rPr>
                <w:b w:val="0"/>
                <w:bCs w:val="0"/>
              </w:rPr>
            </w:pPr>
            <w:r>
              <w:rPr>
                <w:b w:val="0"/>
                <w:bCs w:val="0"/>
              </w:rPr>
              <w:t>2.55 (1.96)</w:t>
            </w:r>
          </w:p>
        </w:tc>
        <w:tc>
          <w:tcPr>
            <w:tcW w:w="2030" w:type="dxa"/>
            <w:vAlign w:val="center"/>
          </w:tcPr>
          <w:p w14:paraId="26BF9294" w14:textId="61BB3C38" w:rsidR="00B24083" w:rsidRPr="00B24083" w:rsidRDefault="00B24083" w:rsidP="00AD3449">
            <w:pPr>
              <w:pStyle w:val="TableFigureHeading"/>
              <w:jc w:val="center"/>
              <w:rPr>
                <w:b w:val="0"/>
                <w:bCs w:val="0"/>
              </w:rPr>
            </w:pPr>
            <w:r>
              <w:rPr>
                <w:b w:val="0"/>
                <w:bCs w:val="0"/>
              </w:rPr>
              <w:t>1.73 (1.95)</w:t>
            </w:r>
          </w:p>
        </w:tc>
      </w:tr>
      <w:tr w:rsidR="00B24083" w14:paraId="6DFF80ED" w14:textId="77777777" w:rsidTr="00F63878">
        <w:tc>
          <w:tcPr>
            <w:tcW w:w="4957" w:type="dxa"/>
            <w:vAlign w:val="center"/>
          </w:tcPr>
          <w:p w14:paraId="138417D4" w14:textId="1A5764C8" w:rsidR="00A11E0A" w:rsidRDefault="00A37B38" w:rsidP="00B24083">
            <w:pPr>
              <w:pStyle w:val="TableFigureHeading"/>
              <w:rPr>
                <w:b w:val="0"/>
                <w:bCs w:val="0"/>
              </w:rPr>
            </w:pPr>
            <w:r>
              <w:rPr>
                <w:b w:val="0"/>
                <w:bCs w:val="0"/>
              </w:rPr>
              <w:t>Change from Baseline</w:t>
            </w:r>
            <w:r w:rsidR="00C72557" w:rsidRPr="00B24083">
              <w:rPr>
                <w:b w:val="0"/>
                <w:bCs w:val="0"/>
              </w:rPr>
              <w:t xml:space="preserve"> BISF-W Domain 1 (Thoughts/desire)</w:t>
            </w:r>
          </w:p>
          <w:p w14:paraId="71944A91" w14:textId="7595EBCD" w:rsidR="00B24083" w:rsidRPr="00B24083" w:rsidRDefault="00A37B38" w:rsidP="00B24083">
            <w:pPr>
              <w:pStyle w:val="TableFigureHeading"/>
              <w:rPr>
                <w:b w:val="0"/>
                <w:bCs w:val="0"/>
              </w:rPr>
            </w:pPr>
            <w:r>
              <w:rPr>
                <w:b w:val="0"/>
                <w:bCs w:val="0"/>
              </w:rPr>
              <w:t>Mean (SD)</w:t>
            </w:r>
          </w:p>
        </w:tc>
        <w:tc>
          <w:tcPr>
            <w:tcW w:w="2030" w:type="dxa"/>
            <w:vAlign w:val="center"/>
          </w:tcPr>
          <w:p w14:paraId="60FD8D71" w14:textId="48E8B378" w:rsidR="00B24083" w:rsidRPr="00B24083" w:rsidRDefault="00A37B38" w:rsidP="00AD3449">
            <w:pPr>
              <w:pStyle w:val="TableFigureHeading"/>
              <w:jc w:val="center"/>
              <w:rPr>
                <w:b w:val="0"/>
                <w:bCs w:val="0"/>
              </w:rPr>
            </w:pPr>
            <w:r>
              <w:rPr>
                <w:b w:val="0"/>
                <w:bCs w:val="0"/>
              </w:rPr>
              <w:t>1.41 (2.08)</w:t>
            </w:r>
          </w:p>
        </w:tc>
        <w:tc>
          <w:tcPr>
            <w:tcW w:w="2030" w:type="dxa"/>
            <w:vAlign w:val="center"/>
          </w:tcPr>
          <w:p w14:paraId="7A28101F" w14:textId="62BDD5C5" w:rsidR="00B24083" w:rsidRPr="00B24083" w:rsidRDefault="00A37B38" w:rsidP="00AD3449">
            <w:pPr>
              <w:pStyle w:val="TableFigureHeading"/>
              <w:jc w:val="center"/>
              <w:rPr>
                <w:b w:val="0"/>
                <w:bCs w:val="0"/>
              </w:rPr>
            </w:pPr>
            <w:r>
              <w:rPr>
                <w:b w:val="0"/>
                <w:bCs w:val="0"/>
              </w:rPr>
              <w:t>0.18 (2.17)</w:t>
            </w:r>
          </w:p>
        </w:tc>
      </w:tr>
      <w:tr w:rsidR="00EE429B" w14:paraId="2CF01712" w14:textId="77777777" w:rsidTr="00F63878">
        <w:tc>
          <w:tcPr>
            <w:tcW w:w="4957" w:type="dxa"/>
            <w:vAlign w:val="center"/>
          </w:tcPr>
          <w:p w14:paraId="7D97D5E2" w14:textId="7AB51E32" w:rsidR="00EE429B" w:rsidRDefault="00EE429B" w:rsidP="00B24083">
            <w:pPr>
              <w:pStyle w:val="TableFigureHeading"/>
              <w:rPr>
                <w:b w:val="0"/>
                <w:bCs w:val="0"/>
              </w:rPr>
            </w:pPr>
            <w:r>
              <w:rPr>
                <w:b w:val="0"/>
                <w:bCs w:val="0"/>
              </w:rPr>
              <w:t>P value for CFB</w:t>
            </w:r>
            <w:r w:rsidR="00C16F5F">
              <w:rPr>
                <w:b w:val="0"/>
                <w:bCs w:val="0"/>
              </w:rPr>
              <w:t xml:space="preserve"> </w:t>
            </w:r>
            <w:r w:rsidR="00C16F5F" w:rsidRPr="00B24083">
              <w:rPr>
                <w:b w:val="0"/>
                <w:bCs w:val="0"/>
              </w:rPr>
              <w:t>BISF-W Domain 1 (Thoughts/desire)</w:t>
            </w:r>
            <w:r>
              <w:rPr>
                <w:b w:val="0"/>
                <w:bCs w:val="0"/>
              </w:rPr>
              <w:t xml:space="preserve"> vs placebo</w:t>
            </w:r>
          </w:p>
          <w:p w14:paraId="7E01F41D" w14:textId="32061B90" w:rsidR="00F63878" w:rsidRPr="00B24083" w:rsidRDefault="00F63878" w:rsidP="00B24083">
            <w:pPr>
              <w:pStyle w:val="TableFigureHeading"/>
              <w:rPr>
                <w:b w:val="0"/>
                <w:bCs w:val="0"/>
              </w:rPr>
            </w:pPr>
          </w:p>
        </w:tc>
        <w:tc>
          <w:tcPr>
            <w:tcW w:w="4060" w:type="dxa"/>
            <w:gridSpan w:val="2"/>
            <w:vAlign w:val="center"/>
          </w:tcPr>
          <w:p w14:paraId="6DA34DE4" w14:textId="78390E73" w:rsidR="00EE429B" w:rsidRPr="00B24083" w:rsidRDefault="00EE429B" w:rsidP="00AD3449">
            <w:pPr>
              <w:pStyle w:val="TableFigureHeading"/>
              <w:jc w:val="center"/>
              <w:rPr>
                <w:b w:val="0"/>
                <w:bCs w:val="0"/>
              </w:rPr>
            </w:pPr>
            <w:r>
              <w:rPr>
                <w:b w:val="0"/>
                <w:bCs w:val="0"/>
              </w:rPr>
              <w:t>0.024</w:t>
            </w:r>
          </w:p>
        </w:tc>
      </w:tr>
      <w:tr w:rsidR="00B24083" w14:paraId="392F6678" w14:textId="77777777" w:rsidTr="00F63878">
        <w:tc>
          <w:tcPr>
            <w:tcW w:w="4957" w:type="dxa"/>
            <w:vAlign w:val="center"/>
          </w:tcPr>
          <w:p w14:paraId="17F6E402" w14:textId="1E8BB467" w:rsidR="00A11E0A" w:rsidRDefault="00081FDF" w:rsidP="00B24083">
            <w:pPr>
              <w:pStyle w:val="TableFigureHeading"/>
              <w:rPr>
                <w:b w:val="0"/>
                <w:bCs w:val="0"/>
              </w:rPr>
            </w:pPr>
            <w:r>
              <w:rPr>
                <w:b w:val="0"/>
                <w:bCs w:val="0"/>
              </w:rPr>
              <w:t xml:space="preserve">Baseline </w:t>
            </w:r>
            <w:r w:rsidR="00A37B38">
              <w:rPr>
                <w:b w:val="0"/>
                <w:bCs w:val="0"/>
              </w:rPr>
              <w:t>BISF</w:t>
            </w:r>
            <w:r w:rsidR="009B18B9">
              <w:rPr>
                <w:b w:val="0"/>
                <w:bCs w:val="0"/>
              </w:rPr>
              <w:t>-W</w:t>
            </w:r>
            <w:r w:rsidR="00A37B38">
              <w:rPr>
                <w:b w:val="0"/>
                <w:bCs w:val="0"/>
              </w:rPr>
              <w:t xml:space="preserve"> Total Score</w:t>
            </w:r>
          </w:p>
          <w:p w14:paraId="11B1CEF4" w14:textId="61230800" w:rsidR="00B24083" w:rsidRPr="00B24083" w:rsidRDefault="00A37B38" w:rsidP="00B24083">
            <w:pPr>
              <w:pStyle w:val="TableFigureHeading"/>
              <w:rPr>
                <w:b w:val="0"/>
                <w:bCs w:val="0"/>
              </w:rPr>
            </w:pPr>
            <w:r>
              <w:rPr>
                <w:b w:val="0"/>
                <w:bCs w:val="0"/>
              </w:rPr>
              <w:t>Mean (SD)</w:t>
            </w:r>
          </w:p>
        </w:tc>
        <w:tc>
          <w:tcPr>
            <w:tcW w:w="2030" w:type="dxa"/>
            <w:vAlign w:val="center"/>
          </w:tcPr>
          <w:p w14:paraId="6D5D3011" w14:textId="08F6D0A2" w:rsidR="00B24083" w:rsidRPr="00B24083" w:rsidRDefault="00A37B38" w:rsidP="00AD3449">
            <w:pPr>
              <w:pStyle w:val="TableFigureHeading"/>
              <w:jc w:val="center"/>
              <w:rPr>
                <w:b w:val="0"/>
                <w:bCs w:val="0"/>
              </w:rPr>
            </w:pPr>
            <w:r>
              <w:rPr>
                <w:b w:val="0"/>
                <w:bCs w:val="0"/>
              </w:rPr>
              <w:t>19.85 (10.67)</w:t>
            </w:r>
          </w:p>
        </w:tc>
        <w:tc>
          <w:tcPr>
            <w:tcW w:w="2030" w:type="dxa"/>
            <w:vAlign w:val="center"/>
          </w:tcPr>
          <w:p w14:paraId="2B09FCAE" w14:textId="3B621E06" w:rsidR="00B24083" w:rsidRPr="00B24083" w:rsidRDefault="00A37B38" w:rsidP="00AD3449">
            <w:pPr>
              <w:pStyle w:val="TableFigureHeading"/>
              <w:jc w:val="center"/>
              <w:rPr>
                <w:b w:val="0"/>
                <w:bCs w:val="0"/>
              </w:rPr>
            </w:pPr>
            <w:r>
              <w:rPr>
                <w:b w:val="0"/>
                <w:bCs w:val="0"/>
              </w:rPr>
              <w:t>21.05 (10.41)</w:t>
            </w:r>
          </w:p>
        </w:tc>
      </w:tr>
      <w:tr w:rsidR="00B24083" w14:paraId="5E19B9CC" w14:textId="77777777" w:rsidTr="00F63878">
        <w:tc>
          <w:tcPr>
            <w:tcW w:w="4957" w:type="dxa"/>
            <w:vAlign w:val="center"/>
          </w:tcPr>
          <w:p w14:paraId="2BA60B23" w14:textId="302DB9D2" w:rsidR="008417B8" w:rsidRDefault="00A37B38" w:rsidP="00B24083">
            <w:pPr>
              <w:pStyle w:val="TableFigureHeading"/>
              <w:rPr>
                <w:b w:val="0"/>
                <w:bCs w:val="0"/>
              </w:rPr>
            </w:pPr>
            <w:r>
              <w:rPr>
                <w:b w:val="0"/>
                <w:bCs w:val="0"/>
              </w:rPr>
              <w:t>BISF</w:t>
            </w:r>
            <w:r w:rsidR="009B18B9">
              <w:rPr>
                <w:b w:val="0"/>
                <w:bCs w:val="0"/>
              </w:rPr>
              <w:t>-W</w:t>
            </w:r>
            <w:r>
              <w:rPr>
                <w:b w:val="0"/>
                <w:bCs w:val="0"/>
              </w:rPr>
              <w:t xml:space="preserve"> Total Score at 12 weeks</w:t>
            </w:r>
          </w:p>
          <w:p w14:paraId="6A7AD977" w14:textId="211B33FC" w:rsidR="00B24083" w:rsidRPr="00B24083" w:rsidRDefault="00A37B38" w:rsidP="00B24083">
            <w:pPr>
              <w:pStyle w:val="TableFigureHeading"/>
              <w:rPr>
                <w:b w:val="0"/>
                <w:bCs w:val="0"/>
              </w:rPr>
            </w:pPr>
            <w:r>
              <w:rPr>
                <w:b w:val="0"/>
                <w:bCs w:val="0"/>
              </w:rPr>
              <w:t>Mean (SD)</w:t>
            </w:r>
          </w:p>
        </w:tc>
        <w:tc>
          <w:tcPr>
            <w:tcW w:w="2030" w:type="dxa"/>
            <w:vAlign w:val="center"/>
          </w:tcPr>
          <w:p w14:paraId="05F59C33" w14:textId="50190FEC" w:rsidR="00B24083" w:rsidRPr="00B24083" w:rsidRDefault="00A37B38" w:rsidP="00AD3449">
            <w:pPr>
              <w:pStyle w:val="TableFigureHeading"/>
              <w:jc w:val="center"/>
              <w:rPr>
                <w:b w:val="0"/>
                <w:bCs w:val="0"/>
              </w:rPr>
            </w:pPr>
            <w:r>
              <w:rPr>
                <w:b w:val="0"/>
                <w:bCs w:val="0"/>
              </w:rPr>
              <w:t>28.45 (11.28)</w:t>
            </w:r>
          </w:p>
        </w:tc>
        <w:tc>
          <w:tcPr>
            <w:tcW w:w="2030" w:type="dxa"/>
            <w:vAlign w:val="center"/>
          </w:tcPr>
          <w:p w14:paraId="3A760E92" w14:textId="5B665851" w:rsidR="00B24083" w:rsidRPr="00B24083" w:rsidRDefault="00A37B38" w:rsidP="00AD3449">
            <w:pPr>
              <w:pStyle w:val="TableFigureHeading"/>
              <w:jc w:val="center"/>
              <w:rPr>
                <w:b w:val="0"/>
                <w:bCs w:val="0"/>
              </w:rPr>
            </w:pPr>
            <w:r>
              <w:rPr>
                <w:b w:val="0"/>
                <w:bCs w:val="0"/>
              </w:rPr>
              <w:t>21.52 (12.57)</w:t>
            </w:r>
          </w:p>
        </w:tc>
      </w:tr>
      <w:tr w:rsidR="00A37B38" w14:paraId="018F3FBE" w14:textId="77777777" w:rsidTr="00F63878">
        <w:tc>
          <w:tcPr>
            <w:tcW w:w="4957" w:type="dxa"/>
            <w:vAlign w:val="center"/>
          </w:tcPr>
          <w:p w14:paraId="67C0552B" w14:textId="2AFB0CDA" w:rsidR="008417B8" w:rsidRDefault="00A37B38" w:rsidP="00A37B38">
            <w:pPr>
              <w:pStyle w:val="TableFigureHeading"/>
              <w:rPr>
                <w:b w:val="0"/>
                <w:bCs w:val="0"/>
              </w:rPr>
            </w:pPr>
            <w:r>
              <w:rPr>
                <w:b w:val="0"/>
                <w:bCs w:val="0"/>
              </w:rPr>
              <w:t>Change from Baseline</w:t>
            </w:r>
            <w:r w:rsidR="00C47D24">
              <w:rPr>
                <w:b w:val="0"/>
                <w:bCs w:val="0"/>
              </w:rPr>
              <w:t xml:space="preserve"> BISF-W Total Score</w:t>
            </w:r>
          </w:p>
          <w:p w14:paraId="1BF9C13F" w14:textId="46FCB534" w:rsidR="00A37B38" w:rsidRPr="00B24083" w:rsidRDefault="00A37B38" w:rsidP="00A37B38">
            <w:pPr>
              <w:pStyle w:val="TableFigureHeading"/>
              <w:rPr>
                <w:b w:val="0"/>
                <w:bCs w:val="0"/>
              </w:rPr>
            </w:pPr>
            <w:r>
              <w:rPr>
                <w:b w:val="0"/>
                <w:bCs w:val="0"/>
              </w:rPr>
              <w:t>Mean (SD)</w:t>
            </w:r>
          </w:p>
        </w:tc>
        <w:tc>
          <w:tcPr>
            <w:tcW w:w="2030" w:type="dxa"/>
            <w:vAlign w:val="center"/>
          </w:tcPr>
          <w:p w14:paraId="57774435" w14:textId="38A1D76C" w:rsidR="00A37B38" w:rsidRPr="00B24083" w:rsidRDefault="00A37B38" w:rsidP="00AD3449">
            <w:pPr>
              <w:pStyle w:val="TableFigureHeading"/>
              <w:jc w:val="center"/>
              <w:rPr>
                <w:b w:val="0"/>
                <w:bCs w:val="0"/>
              </w:rPr>
            </w:pPr>
            <w:r>
              <w:rPr>
                <w:b w:val="0"/>
                <w:bCs w:val="0"/>
              </w:rPr>
              <w:t>8.76 (7.46)</w:t>
            </w:r>
          </w:p>
        </w:tc>
        <w:tc>
          <w:tcPr>
            <w:tcW w:w="2030" w:type="dxa"/>
            <w:vAlign w:val="center"/>
          </w:tcPr>
          <w:p w14:paraId="1580998C" w14:textId="715BFF93" w:rsidR="00A37B38" w:rsidRPr="00B24083" w:rsidRDefault="00A37B38" w:rsidP="00AD3449">
            <w:pPr>
              <w:pStyle w:val="TableFigureHeading"/>
              <w:jc w:val="center"/>
              <w:rPr>
                <w:b w:val="0"/>
                <w:bCs w:val="0"/>
              </w:rPr>
            </w:pPr>
            <w:r>
              <w:rPr>
                <w:b w:val="0"/>
                <w:bCs w:val="0"/>
              </w:rPr>
              <w:t>0.54 (9.16)</w:t>
            </w:r>
          </w:p>
        </w:tc>
      </w:tr>
      <w:tr w:rsidR="00EE429B" w14:paraId="73B14C68" w14:textId="77777777" w:rsidTr="00F63878">
        <w:tc>
          <w:tcPr>
            <w:tcW w:w="4957" w:type="dxa"/>
            <w:vAlign w:val="center"/>
          </w:tcPr>
          <w:p w14:paraId="6600B8AE" w14:textId="44570A15" w:rsidR="00EE429B" w:rsidRDefault="00EE429B" w:rsidP="00A37B38">
            <w:pPr>
              <w:pStyle w:val="TableFigureHeading"/>
              <w:rPr>
                <w:b w:val="0"/>
                <w:bCs w:val="0"/>
              </w:rPr>
            </w:pPr>
            <w:r>
              <w:rPr>
                <w:b w:val="0"/>
                <w:bCs w:val="0"/>
              </w:rPr>
              <w:t>P value for CFB</w:t>
            </w:r>
            <w:r w:rsidR="00C47D24">
              <w:rPr>
                <w:b w:val="0"/>
                <w:bCs w:val="0"/>
              </w:rPr>
              <w:t xml:space="preserve"> BISF-W Total Score</w:t>
            </w:r>
            <w:r>
              <w:rPr>
                <w:b w:val="0"/>
                <w:bCs w:val="0"/>
              </w:rPr>
              <w:t xml:space="preserve"> vs placebo</w:t>
            </w:r>
          </w:p>
          <w:p w14:paraId="6F8D121E" w14:textId="1FB2E4EA" w:rsidR="00EE429B" w:rsidRPr="00B24083" w:rsidRDefault="00EE429B" w:rsidP="00A37B38">
            <w:pPr>
              <w:pStyle w:val="TableFigureHeading"/>
              <w:rPr>
                <w:b w:val="0"/>
                <w:bCs w:val="0"/>
              </w:rPr>
            </w:pPr>
          </w:p>
        </w:tc>
        <w:tc>
          <w:tcPr>
            <w:tcW w:w="4060" w:type="dxa"/>
            <w:gridSpan w:val="2"/>
            <w:vAlign w:val="center"/>
          </w:tcPr>
          <w:p w14:paraId="3427BE03" w14:textId="39714110" w:rsidR="00EE429B" w:rsidRPr="00B24083" w:rsidRDefault="00EE429B" w:rsidP="00AD3449">
            <w:pPr>
              <w:pStyle w:val="TableFigureHeading"/>
              <w:jc w:val="center"/>
              <w:rPr>
                <w:b w:val="0"/>
                <w:bCs w:val="0"/>
              </w:rPr>
            </w:pPr>
            <w:r>
              <w:rPr>
                <w:b w:val="0"/>
                <w:bCs w:val="0"/>
              </w:rPr>
              <w:t>&lt;0.001</w:t>
            </w:r>
          </w:p>
        </w:tc>
      </w:tr>
      <w:tr w:rsidR="00A37B38" w14:paraId="3ED6DDA9" w14:textId="77777777" w:rsidTr="00F63878">
        <w:tc>
          <w:tcPr>
            <w:tcW w:w="4957" w:type="dxa"/>
            <w:vAlign w:val="center"/>
          </w:tcPr>
          <w:p w14:paraId="6B457361" w14:textId="63CAD886" w:rsidR="009B18B9" w:rsidRDefault="00A37B38" w:rsidP="00A37B38">
            <w:pPr>
              <w:pStyle w:val="TableFigureHeading"/>
              <w:rPr>
                <w:b w:val="0"/>
                <w:bCs w:val="0"/>
              </w:rPr>
            </w:pPr>
            <w:r>
              <w:rPr>
                <w:b w:val="0"/>
                <w:bCs w:val="0"/>
              </w:rPr>
              <w:t>Serum Testosterone, nmol/L</w:t>
            </w:r>
            <w:r w:rsidR="001C460E">
              <w:rPr>
                <w:b w:val="0"/>
                <w:bCs w:val="0"/>
                <w:vertAlign w:val="superscript"/>
              </w:rPr>
              <w:t>a</w:t>
            </w:r>
            <w:r>
              <w:rPr>
                <w:b w:val="0"/>
                <w:bCs w:val="0"/>
              </w:rPr>
              <w:t xml:space="preserve"> </w:t>
            </w:r>
          </w:p>
          <w:p w14:paraId="59FE4B3C" w14:textId="608F0F29" w:rsidR="00A37B38" w:rsidRDefault="00A37B38" w:rsidP="00A37B38">
            <w:pPr>
              <w:pStyle w:val="TableFigureHeading"/>
              <w:rPr>
                <w:b w:val="0"/>
                <w:bCs w:val="0"/>
              </w:rPr>
            </w:pPr>
            <w:r>
              <w:rPr>
                <w:b w:val="0"/>
                <w:bCs w:val="0"/>
              </w:rPr>
              <w:t xml:space="preserve">Mean (SD) </w:t>
            </w:r>
          </w:p>
          <w:p w14:paraId="239AADB6" w14:textId="77777777" w:rsidR="009B18B9" w:rsidRDefault="009B18B9" w:rsidP="009B18B9">
            <w:pPr>
              <w:pStyle w:val="TableFigureHeading"/>
              <w:jc w:val="right"/>
              <w:rPr>
                <w:b w:val="0"/>
                <w:bCs w:val="0"/>
              </w:rPr>
            </w:pPr>
            <w:r>
              <w:rPr>
                <w:b w:val="0"/>
                <w:bCs w:val="0"/>
              </w:rPr>
              <w:t>Baseline</w:t>
            </w:r>
          </w:p>
          <w:p w14:paraId="73CD3162" w14:textId="30BD7E9C" w:rsidR="009B18B9" w:rsidRPr="00B24083" w:rsidRDefault="009B18B9" w:rsidP="009B18B9">
            <w:pPr>
              <w:pStyle w:val="TableFigureHeading"/>
              <w:jc w:val="right"/>
              <w:rPr>
                <w:b w:val="0"/>
                <w:bCs w:val="0"/>
              </w:rPr>
            </w:pPr>
            <w:r>
              <w:rPr>
                <w:b w:val="0"/>
                <w:bCs w:val="0"/>
              </w:rPr>
              <w:t>12 weeks</w:t>
            </w:r>
          </w:p>
        </w:tc>
        <w:tc>
          <w:tcPr>
            <w:tcW w:w="2030" w:type="dxa"/>
            <w:vAlign w:val="center"/>
          </w:tcPr>
          <w:p w14:paraId="14D0B856" w14:textId="77777777" w:rsidR="00A37B38" w:rsidRDefault="00A37B38" w:rsidP="00AD3449">
            <w:pPr>
              <w:pStyle w:val="TableFigureHeading"/>
              <w:jc w:val="center"/>
              <w:rPr>
                <w:b w:val="0"/>
                <w:bCs w:val="0"/>
              </w:rPr>
            </w:pPr>
          </w:p>
          <w:p w14:paraId="780E7366" w14:textId="77777777" w:rsidR="009B18B9" w:rsidRDefault="009B18B9" w:rsidP="00AD3449">
            <w:pPr>
              <w:pStyle w:val="TableFigureHeading"/>
              <w:jc w:val="center"/>
              <w:rPr>
                <w:b w:val="0"/>
                <w:bCs w:val="0"/>
              </w:rPr>
            </w:pPr>
          </w:p>
          <w:p w14:paraId="32E6470D" w14:textId="77777777" w:rsidR="009B18B9" w:rsidRDefault="009B18B9" w:rsidP="00AD3449">
            <w:pPr>
              <w:pStyle w:val="TableFigureHeading"/>
              <w:jc w:val="center"/>
              <w:rPr>
                <w:b w:val="0"/>
                <w:bCs w:val="0"/>
              </w:rPr>
            </w:pPr>
            <w:r>
              <w:rPr>
                <w:b w:val="0"/>
                <w:bCs w:val="0"/>
              </w:rPr>
              <w:t>2.1 (1.2)</w:t>
            </w:r>
          </w:p>
          <w:p w14:paraId="21EC6355" w14:textId="18EF3CCE" w:rsidR="009B18B9" w:rsidRPr="00B24083" w:rsidRDefault="009B18B9" w:rsidP="00AD3449">
            <w:pPr>
              <w:pStyle w:val="TableFigureHeading"/>
              <w:jc w:val="center"/>
              <w:rPr>
                <w:b w:val="0"/>
                <w:bCs w:val="0"/>
              </w:rPr>
            </w:pPr>
            <w:r>
              <w:rPr>
                <w:b w:val="0"/>
                <w:bCs w:val="0"/>
              </w:rPr>
              <w:t>3.8 (2.5)</w:t>
            </w:r>
          </w:p>
        </w:tc>
        <w:tc>
          <w:tcPr>
            <w:tcW w:w="2030" w:type="dxa"/>
            <w:vAlign w:val="center"/>
          </w:tcPr>
          <w:p w14:paraId="6CFC63B8" w14:textId="77777777" w:rsidR="00A37B38" w:rsidRDefault="00A37B38" w:rsidP="00AD3449">
            <w:pPr>
              <w:pStyle w:val="TableFigureHeading"/>
              <w:jc w:val="center"/>
              <w:rPr>
                <w:b w:val="0"/>
                <w:bCs w:val="0"/>
              </w:rPr>
            </w:pPr>
          </w:p>
          <w:p w14:paraId="3EB45003" w14:textId="77777777" w:rsidR="009B18B9" w:rsidRDefault="009B18B9" w:rsidP="00AD3449">
            <w:pPr>
              <w:pStyle w:val="TableFigureHeading"/>
              <w:jc w:val="center"/>
              <w:rPr>
                <w:b w:val="0"/>
                <w:bCs w:val="0"/>
              </w:rPr>
            </w:pPr>
          </w:p>
          <w:p w14:paraId="4A2E28F5" w14:textId="77777777" w:rsidR="009B18B9" w:rsidRDefault="009B18B9" w:rsidP="00AD3449">
            <w:pPr>
              <w:pStyle w:val="TableFigureHeading"/>
              <w:jc w:val="center"/>
              <w:rPr>
                <w:b w:val="0"/>
                <w:bCs w:val="0"/>
              </w:rPr>
            </w:pPr>
            <w:r>
              <w:rPr>
                <w:b w:val="0"/>
                <w:bCs w:val="0"/>
              </w:rPr>
              <w:t>1.6 (0.5)</w:t>
            </w:r>
          </w:p>
          <w:p w14:paraId="04AB688F" w14:textId="71FEF0BE" w:rsidR="009B18B9" w:rsidRPr="00B24083" w:rsidRDefault="009B18B9" w:rsidP="00AD3449">
            <w:pPr>
              <w:pStyle w:val="TableFigureHeading"/>
              <w:jc w:val="center"/>
              <w:rPr>
                <w:b w:val="0"/>
                <w:bCs w:val="0"/>
              </w:rPr>
            </w:pPr>
            <w:r>
              <w:rPr>
                <w:b w:val="0"/>
                <w:bCs w:val="0"/>
              </w:rPr>
              <w:t>1.7 (0.4)</w:t>
            </w:r>
          </w:p>
        </w:tc>
      </w:tr>
      <w:tr w:rsidR="00E260A7" w14:paraId="35645B21" w14:textId="77777777" w:rsidTr="00F63878">
        <w:tc>
          <w:tcPr>
            <w:tcW w:w="4957" w:type="dxa"/>
            <w:vAlign w:val="center"/>
          </w:tcPr>
          <w:p w14:paraId="6189C45B" w14:textId="07EB17E1" w:rsidR="00AD3449" w:rsidRDefault="00E260A7" w:rsidP="00A37B38">
            <w:pPr>
              <w:pStyle w:val="TableFigureHeading"/>
              <w:rPr>
                <w:b w:val="0"/>
                <w:bCs w:val="0"/>
              </w:rPr>
            </w:pPr>
            <w:r>
              <w:rPr>
                <w:b w:val="0"/>
                <w:bCs w:val="0"/>
              </w:rPr>
              <w:t>Baseline POMS, Total Score</w:t>
            </w:r>
          </w:p>
          <w:p w14:paraId="4C6F3B57" w14:textId="16EB7239" w:rsidR="00E260A7" w:rsidRDefault="00E260A7" w:rsidP="00A37B38">
            <w:pPr>
              <w:pStyle w:val="TableFigureHeading"/>
              <w:rPr>
                <w:b w:val="0"/>
                <w:bCs w:val="0"/>
              </w:rPr>
            </w:pPr>
            <w:r>
              <w:rPr>
                <w:b w:val="0"/>
                <w:bCs w:val="0"/>
              </w:rPr>
              <w:t>Mean (SD)</w:t>
            </w:r>
          </w:p>
        </w:tc>
        <w:tc>
          <w:tcPr>
            <w:tcW w:w="2030" w:type="dxa"/>
            <w:vAlign w:val="center"/>
          </w:tcPr>
          <w:p w14:paraId="62444C73" w14:textId="73F19D6B" w:rsidR="00E260A7" w:rsidRDefault="00E260A7" w:rsidP="00AD3449">
            <w:pPr>
              <w:pStyle w:val="TableFigureHeading"/>
              <w:jc w:val="center"/>
              <w:rPr>
                <w:b w:val="0"/>
                <w:bCs w:val="0"/>
              </w:rPr>
            </w:pPr>
            <w:r>
              <w:rPr>
                <w:b w:val="0"/>
                <w:bCs w:val="0"/>
              </w:rPr>
              <w:t>166.63 (30.45)</w:t>
            </w:r>
          </w:p>
        </w:tc>
        <w:tc>
          <w:tcPr>
            <w:tcW w:w="2030" w:type="dxa"/>
            <w:vAlign w:val="center"/>
          </w:tcPr>
          <w:p w14:paraId="7135BB6E" w14:textId="0CCD61F1" w:rsidR="00E260A7" w:rsidRDefault="00E260A7" w:rsidP="00AD3449">
            <w:pPr>
              <w:pStyle w:val="TableFigureHeading"/>
              <w:jc w:val="center"/>
              <w:rPr>
                <w:b w:val="0"/>
                <w:bCs w:val="0"/>
              </w:rPr>
            </w:pPr>
            <w:r>
              <w:rPr>
                <w:b w:val="0"/>
                <w:bCs w:val="0"/>
              </w:rPr>
              <w:t>171.93 (31.96)</w:t>
            </w:r>
          </w:p>
        </w:tc>
      </w:tr>
      <w:tr w:rsidR="00E260A7" w14:paraId="629878C1" w14:textId="77777777" w:rsidTr="00F63878">
        <w:tc>
          <w:tcPr>
            <w:tcW w:w="4957" w:type="dxa"/>
            <w:vAlign w:val="center"/>
          </w:tcPr>
          <w:p w14:paraId="6990D3AA" w14:textId="4D86D31F" w:rsidR="00AD3449" w:rsidRDefault="00E260A7" w:rsidP="00A37B38">
            <w:pPr>
              <w:pStyle w:val="TableFigureHeading"/>
              <w:rPr>
                <w:b w:val="0"/>
                <w:bCs w:val="0"/>
              </w:rPr>
            </w:pPr>
            <w:r>
              <w:rPr>
                <w:b w:val="0"/>
                <w:bCs w:val="0"/>
              </w:rPr>
              <w:t>POMS, Total Score at 12 weeks</w:t>
            </w:r>
          </w:p>
          <w:p w14:paraId="262F9625" w14:textId="7D3EB41E" w:rsidR="00E260A7" w:rsidRDefault="00E260A7" w:rsidP="00A37B38">
            <w:pPr>
              <w:pStyle w:val="TableFigureHeading"/>
              <w:rPr>
                <w:b w:val="0"/>
                <w:bCs w:val="0"/>
              </w:rPr>
            </w:pPr>
            <w:r>
              <w:rPr>
                <w:b w:val="0"/>
                <w:bCs w:val="0"/>
              </w:rPr>
              <w:t>Mean (SD)</w:t>
            </w:r>
          </w:p>
        </w:tc>
        <w:tc>
          <w:tcPr>
            <w:tcW w:w="2030" w:type="dxa"/>
            <w:vAlign w:val="center"/>
          </w:tcPr>
          <w:p w14:paraId="0A9FD13A" w14:textId="63C7E4F5" w:rsidR="00E260A7" w:rsidRDefault="00E260A7" w:rsidP="00F63878">
            <w:pPr>
              <w:pStyle w:val="TableFigureHeading"/>
              <w:jc w:val="center"/>
              <w:rPr>
                <w:b w:val="0"/>
                <w:bCs w:val="0"/>
              </w:rPr>
            </w:pPr>
            <w:r>
              <w:rPr>
                <w:b w:val="0"/>
                <w:bCs w:val="0"/>
              </w:rPr>
              <w:t>177.42 (30.21)</w:t>
            </w:r>
          </w:p>
        </w:tc>
        <w:tc>
          <w:tcPr>
            <w:tcW w:w="2030" w:type="dxa"/>
            <w:vAlign w:val="center"/>
          </w:tcPr>
          <w:p w14:paraId="302A51FF" w14:textId="3EABF73D" w:rsidR="00E260A7" w:rsidRDefault="00E260A7" w:rsidP="00F63878">
            <w:pPr>
              <w:pStyle w:val="TableFigureHeading"/>
              <w:jc w:val="center"/>
              <w:rPr>
                <w:b w:val="0"/>
                <w:bCs w:val="0"/>
              </w:rPr>
            </w:pPr>
            <w:r>
              <w:rPr>
                <w:b w:val="0"/>
                <w:bCs w:val="0"/>
              </w:rPr>
              <w:t>178.62 (33.52)</w:t>
            </w:r>
          </w:p>
        </w:tc>
      </w:tr>
      <w:tr w:rsidR="00E260A7" w14:paraId="7DE4E7B9" w14:textId="77777777" w:rsidTr="00F63878">
        <w:tc>
          <w:tcPr>
            <w:tcW w:w="4957" w:type="dxa"/>
            <w:vAlign w:val="center"/>
          </w:tcPr>
          <w:p w14:paraId="54673D73" w14:textId="5DE01103" w:rsidR="00A11E0A" w:rsidRDefault="00E260A7" w:rsidP="00A37B38">
            <w:pPr>
              <w:pStyle w:val="TableFigureHeading"/>
              <w:rPr>
                <w:b w:val="0"/>
                <w:bCs w:val="0"/>
              </w:rPr>
            </w:pPr>
            <w:r>
              <w:rPr>
                <w:b w:val="0"/>
                <w:bCs w:val="0"/>
              </w:rPr>
              <w:t>Baseline DASS Total Score</w:t>
            </w:r>
          </w:p>
          <w:p w14:paraId="525A1BB9" w14:textId="1DDD7892" w:rsidR="00E260A7" w:rsidRDefault="00E260A7" w:rsidP="00A37B38">
            <w:pPr>
              <w:pStyle w:val="TableFigureHeading"/>
              <w:rPr>
                <w:b w:val="0"/>
                <w:bCs w:val="0"/>
              </w:rPr>
            </w:pPr>
            <w:r>
              <w:rPr>
                <w:b w:val="0"/>
                <w:bCs w:val="0"/>
              </w:rPr>
              <w:t>Mean (SD)</w:t>
            </w:r>
          </w:p>
        </w:tc>
        <w:tc>
          <w:tcPr>
            <w:tcW w:w="2030" w:type="dxa"/>
            <w:vAlign w:val="center"/>
          </w:tcPr>
          <w:p w14:paraId="65E67440" w14:textId="0F39BBB5" w:rsidR="00E260A7" w:rsidRDefault="00E260A7" w:rsidP="00AD3449">
            <w:pPr>
              <w:pStyle w:val="TableFigureHeading"/>
              <w:jc w:val="center"/>
              <w:rPr>
                <w:b w:val="0"/>
                <w:bCs w:val="0"/>
              </w:rPr>
            </w:pPr>
            <w:r>
              <w:rPr>
                <w:b w:val="0"/>
                <w:bCs w:val="0"/>
              </w:rPr>
              <w:t>8.21 (9.74)</w:t>
            </w:r>
          </w:p>
        </w:tc>
        <w:tc>
          <w:tcPr>
            <w:tcW w:w="2030" w:type="dxa"/>
            <w:vAlign w:val="center"/>
          </w:tcPr>
          <w:p w14:paraId="5506B89B" w14:textId="244423C1" w:rsidR="00E260A7" w:rsidRDefault="00E260A7" w:rsidP="00AD3449">
            <w:pPr>
              <w:pStyle w:val="TableFigureHeading"/>
              <w:jc w:val="center"/>
              <w:rPr>
                <w:b w:val="0"/>
                <w:bCs w:val="0"/>
              </w:rPr>
            </w:pPr>
            <w:r>
              <w:rPr>
                <w:b w:val="0"/>
                <w:bCs w:val="0"/>
              </w:rPr>
              <w:t>6.64 (7.81)</w:t>
            </w:r>
          </w:p>
        </w:tc>
      </w:tr>
      <w:tr w:rsidR="00E260A7" w14:paraId="7760AEF7" w14:textId="77777777" w:rsidTr="00F63878">
        <w:tc>
          <w:tcPr>
            <w:tcW w:w="4957" w:type="dxa"/>
            <w:vAlign w:val="center"/>
          </w:tcPr>
          <w:p w14:paraId="6B596FCD" w14:textId="3DC97774" w:rsidR="00A11E0A" w:rsidRDefault="00E260A7" w:rsidP="00A37B38">
            <w:pPr>
              <w:pStyle w:val="TableFigureHeading"/>
              <w:rPr>
                <w:b w:val="0"/>
                <w:bCs w:val="0"/>
              </w:rPr>
            </w:pPr>
            <w:r>
              <w:rPr>
                <w:b w:val="0"/>
                <w:bCs w:val="0"/>
              </w:rPr>
              <w:t>DASS Total Score at 12 weeks</w:t>
            </w:r>
          </w:p>
          <w:p w14:paraId="12312AD8" w14:textId="17AD3866" w:rsidR="00E260A7" w:rsidRDefault="00E260A7" w:rsidP="00A37B38">
            <w:pPr>
              <w:pStyle w:val="TableFigureHeading"/>
              <w:rPr>
                <w:b w:val="0"/>
                <w:bCs w:val="0"/>
              </w:rPr>
            </w:pPr>
            <w:r>
              <w:rPr>
                <w:b w:val="0"/>
                <w:bCs w:val="0"/>
              </w:rPr>
              <w:t>Mean (SD)</w:t>
            </w:r>
          </w:p>
        </w:tc>
        <w:tc>
          <w:tcPr>
            <w:tcW w:w="2030" w:type="dxa"/>
            <w:vAlign w:val="center"/>
          </w:tcPr>
          <w:p w14:paraId="034560E9" w14:textId="725090F3" w:rsidR="00E260A7" w:rsidRDefault="00E260A7" w:rsidP="00AD3449">
            <w:pPr>
              <w:pStyle w:val="TableFigureHeading"/>
              <w:jc w:val="center"/>
              <w:rPr>
                <w:b w:val="0"/>
                <w:bCs w:val="0"/>
              </w:rPr>
            </w:pPr>
            <w:r>
              <w:rPr>
                <w:b w:val="0"/>
                <w:bCs w:val="0"/>
              </w:rPr>
              <w:t>4.34 (7.43)</w:t>
            </w:r>
          </w:p>
        </w:tc>
        <w:tc>
          <w:tcPr>
            <w:tcW w:w="2030" w:type="dxa"/>
            <w:vAlign w:val="center"/>
          </w:tcPr>
          <w:p w14:paraId="17A38637" w14:textId="034892FF" w:rsidR="00E260A7" w:rsidRDefault="00E260A7" w:rsidP="00AD3449">
            <w:pPr>
              <w:pStyle w:val="TableFigureHeading"/>
              <w:jc w:val="center"/>
              <w:rPr>
                <w:b w:val="0"/>
                <w:bCs w:val="0"/>
              </w:rPr>
            </w:pPr>
            <w:r>
              <w:rPr>
                <w:b w:val="0"/>
                <w:bCs w:val="0"/>
              </w:rPr>
              <w:t>5.77 (9.48)</w:t>
            </w:r>
          </w:p>
        </w:tc>
      </w:tr>
    </w:tbl>
    <w:p w14:paraId="795C2511" w14:textId="73494758" w:rsidR="00842EDE" w:rsidRDefault="009B18B9" w:rsidP="00842EDE">
      <w:pPr>
        <w:pStyle w:val="TableFigureFooter"/>
      </w:pPr>
      <w:r w:rsidRPr="009D1129">
        <w:t>Source: El-Hage et al. Climacteric 2007; 10:335-343</w:t>
      </w:r>
      <w:r w:rsidR="00194923">
        <w:t xml:space="preserve">, </w:t>
      </w:r>
      <w:r w:rsidR="00D362CF">
        <w:t>Table 2 and Table 3</w:t>
      </w:r>
      <w:r w:rsidR="00842EDE">
        <w:t>.</w:t>
      </w:r>
    </w:p>
    <w:p w14:paraId="7A74D7BE" w14:textId="75A1A4B4" w:rsidR="009B18B9" w:rsidRPr="009D1129" w:rsidRDefault="00842EDE" w:rsidP="00842EDE">
      <w:pPr>
        <w:pStyle w:val="TableFigureFooter"/>
      </w:pPr>
      <w:r w:rsidRPr="009D1129">
        <w:t>BISF-W = Brief Index of Sexual Functioning for Women; CFB = change from baseline; DASS = depression-anxiety-stress score - higher scores = greater psychological distress; POMS = profile of mood states - higher scores = greater mood disturbance; SD = standard deviation.</w:t>
      </w:r>
    </w:p>
    <w:p w14:paraId="5CF1F93B" w14:textId="21D29831" w:rsidR="009B18B9" w:rsidRPr="009D1129" w:rsidRDefault="001C460E" w:rsidP="00842EDE">
      <w:pPr>
        <w:pStyle w:val="TableFigureFooter"/>
      </w:pPr>
      <w:r w:rsidRPr="001C460E">
        <w:rPr>
          <w:vertAlign w:val="superscript"/>
        </w:rPr>
        <w:t>a</w:t>
      </w:r>
      <w:r w:rsidR="009B18B9" w:rsidRPr="009D1129">
        <w:t xml:space="preserve"> Testosterone nmol/L / 3.467 = ng/</w:t>
      </w:r>
      <w:proofErr w:type="spellStart"/>
      <w:r w:rsidR="009B18B9" w:rsidRPr="009D1129">
        <w:t>mL.</w:t>
      </w:r>
      <w:proofErr w:type="spellEnd"/>
      <w:r w:rsidR="009B18B9" w:rsidRPr="009D1129">
        <w:t xml:space="preserve"> </w:t>
      </w:r>
    </w:p>
    <w:p w14:paraId="2D9294E4" w14:textId="2BDF90A4" w:rsidR="00B24083" w:rsidRPr="009D1129" w:rsidRDefault="00B24083" w:rsidP="00842EDE">
      <w:pPr>
        <w:pStyle w:val="TableFigureFooter"/>
      </w:pPr>
    </w:p>
    <w:p w14:paraId="14214920" w14:textId="6FDCDA3C" w:rsidR="00DA3167" w:rsidRPr="002356A5" w:rsidRDefault="00501BB9" w:rsidP="00EC5836">
      <w:pPr>
        <w:pStyle w:val="3-BodyText"/>
        <w:rPr>
          <w:color w:val="0066FF"/>
        </w:rPr>
      </w:pPr>
      <w:r w:rsidRPr="002356A5">
        <w:rPr>
          <w:color w:val="000000" w:themeColor="text1"/>
        </w:rPr>
        <w:t>No minimum clinically</w:t>
      </w:r>
      <w:r w:rsidR="003B6419" w:rsidRPr="002356A5">
        <w:rPr>
          <w:color w:val="000000" w:themeColor="text1"/>
        </w:rPr>
        <w:t xml:space="preserve"> </w:t>
      </w:r>
      <w:r w:rsidRPr="002356A5">
        <w:rPr>
          <w:color w:val="000000" w:themeColor="text1"/>
        </w:rPr>
        <w:t>important difference</w:t>
      </w:r>
      <w:r w:rsidR="002E6F65">
        <w:rPr>
          <w:color w:val="000000" w:themeColor="text1"/>
        </w:rPr>
        <w:t xml:space="preserve"> (MCID)</w:t>
      </w:r>
      <w:r w:rsidRPr="002356A5">
        <w:rPr>
          <w:color w:val="000000" w:themeColor="text1"/>
        </w:rPr>
        <w:t xml:space="preserve"> has been defined for the BISF-W</w:t>
      </w:r>
      <w:r w:rsidR="00DB2237" w:rsidRPr="002356A5">
        <w:rPr>
          <w:color w:val="000000" w:themeColor="text1"/>
        </w:rPr>
        <w:t xml:space="preserve"> or its domains</w:t>
      </w:r>
      <w:r w:rsidRPr="002356A5">
        <w:rPr>
          <w:color w:val="000000" w:themeColor="text1"/>
        </w:rPr>
        <w:t xml:space="preserve">, so it is not clear whether the changes associated with testosterone treatment were clinically meaningful. </w:t>
      </w:r>
      <w:r w:rsidR="003D14CD" w:rsidRPr="002356A5">
        <w:rPr>
          <w:color w:val="000000" w:themeColor="text1"/>
        </w:rPr>
        <w:t>However, t</w:t>
      </w:r>
      <w:r w:rsidR="003B173E" w:rsidRPr="002356A5">
        <w:rPr>
          <w:color w:val="000000" w:themeColor="text1"/>
        </w:rPr>
        <w:t>he normative mean (SD) and median (range) scores for Domain 1 of the BISF-W defined by Mazer (2000) were 5.31 (2.16) and 5.29 (0.29, 11.29)</w:t>
      </w:r>
      <w:r w:rsidR="009464E2">
        <w:rPr>
          <w:color w:val="000000" w:themeColor="text1"/>
        </w:rPr>
        <w:t>,</w:t>
      </w:r>
      <w:r w:rsidRPr="002356A5">
        <w:rPr>
          <w:color w:val="000000" w:themeColor="text1"/>
        </w:rPr>
        <w:t xml:space="preserve"> </w:t>
      </w:r>
      <w:r w:rsidR="003B173E" w:rsidRPr="002356A5">
        <w:rPr>
          <w:color w:val="000000" w:themeColor="text1"/>
        </w:rPr>
        <w:t>respectively</w:t>
      </w:r>
      <w:r w:rsidR="003D14CD" w:rsidRPr="002356A5">
        <w:rPr>
          <w:color w:val="000000" w:themeColor="text1"/>
        </w:rPr>
        <w:t>. T</w:t>
      </w:r>
      <w:r w:rsidR="003B173E" w:rsidRPr="002356A5">
        <w:rPr>
          <w:color w:val="000000" w:themeColor="text1"/>
        </w:rPr>
        <w:t>he increase</w:t>
      </w:r>
      <w:r w:rsidR="008D47F1" w:rsidRPr="002356A5">
        <w:rPr>
          <w:color w:val="000000" w:themeColor="text1"/>
        </w:rPr>
        <w:t xml:space="preserve"> in the Domain 1 score</w:t>
      </w:r>
      <w:r w:rsidR="003B173E" w:rsidRPr="002356A5">
        <w:rPr>
          <w:color w:val="000000" w:themeColor="text1"/>
        </w:rPr>
        <w:t xml:space="preserve"> </w:t>
      </w:r>
      <w:r w:rsidR="003D14CD" w:rsidRPr="002356A5">
        <w:rPr>
          <w:color w:val="000000" w:themeColor="text1"/>
        </w:rPr>
        <w:t>seen</w:t>
      </w:r>
      <w:r w:rsidR="003B173E" w:rsidRPr="002356A5">
        <w:rPr>
          <w:color w:val="000000" w:themeColor="text1"/>
        </w:rPr>
        <w:t xml:space="preserve"> with </w:t>
      </w:r>
      <w:r w:rsidR="003B173E" w:rsidRPr="002356A5">
        <w:rPr>
          <w:color w:val="000000" w:themeColor="text1"/>
        </w:rPr>
        <w:lastRenderedPageBreak/>
        <w:t xml:space="preserve">testosterone treatment </w:t>
      </w:r>
      <w:r w:rsidR="003D14CD" w:rsidRPr="002356A5">
        <w:rPr>
          <w:color w:val="000000" w:themeColor="text1"/>
        </w:rPr>
        <w:t>in the trial</w:t>
      </w:r>
      <w:r w:rsidR="008D47F1" w:rsidRPr="002356A5">
        <w:rPr>
          <w:color w:val="000000" w:themeColor="text1"/>
        </w:rPr>
        <w:t xml:space="preserve"> was less than one standard deviation of the normative Domain 1 score and</w:t>
      </w:r>
      <w:r w:rsidR="003D14CD" w:rsidRPr="002356A5">
        <w:rPr>
          <w:color w:val="000000" w:themeColor="text1"/>
        </w:rPr>
        <w:t xml:space="preserve"> </w:t>
      </w:r>
      <w:r w:rsidR="003B173E" w:rsidRPr="002356A5">
        <w:rPr>
          <w:color w:val="000000" w:themeColor="text1"/>
        </w:rPr>
        <w:t xml:space="preserve">left most women </w:t>
      </w:r>
      <w:r w:rsidR="003D14CD" w:rsidRPr="002356A5">
        <w:rPr>
          <w:color w:val="000000" w:themeColor="text1"/>
        </w:rPr>
        <w:t xml:space="preserve">well below the mean and median </w:t>
      </w:r>
      <w:r w:rsidR="008D47F1" w:rsidRPr="002356A5">
        <w:rPr>
          <w:color w:val="000000" w:themeColor="text1"/>
        </w:rPr>
        <w:t xml:space="preserve">normative </w:t>
      </w:r>
      <w:r w:rsidR="003D14CD" w:rsidRPr="002356A5">
        <w:rPr>
          <w:color w:val="000000" w:themeColor="text1"/>
        </w:rPr>
        <w:t xml:space="preserve">values. </w:t>
      </w:r>
    </w:p>
    <w:p w14:paraId="4EB81378" w14:textId="5B9CC1DF" w:rsidR="00662EC3" w:rsidRPr="002356A5" w:rsidRDefault="00662EC3" w:rsidP="00EC5836">
      <w:pPr>
        <w:pStyle w:val="3-BodyText"/>
        <w:rPr>
          <w:color w:val="0066FF"/>
        </w:rPr>
      </w:pPr>
      <w:r w:rsidRPr="002356A5">
        <w:rPr>
          <w:color w:val="000000" w:themeColor="text1"/>
        </w:rPr>
        <w:t xml:space="preserve">There was no beneficial effect of testosterone on mood or energy, as measured by the </w:t>
      </w:r>
      <w:r w:rsidR="003B6D8B" w:rsidRPr="002356A5">
        <w:rPr>
          <w:color w:val="000000" w:themeColor="text1"/>
        </w:rPr>
        <w:t>profile of mood states (</w:t>
      </w:r>
      <w:r w:rsidRPr="002356A5">
        <w:rPr>
          <w:color w:val="000000" w:themeColor="text1"/>
        </w:rPr>
        <w:t>POMS</w:t>
      </w:r>
      <w:r w:rsidR="003B6D8B" w:rsidRPr="002356A5">
        <w:rPr>
          <w:color w:val="000000" w:themeColor="text1"/>
        </w:rPr>
        <w:t>)</w:t>
      </w:r>
      <w:r w:rsidRPr="002356A5">
        <w:rPr>
          <w:color w:val="000000" w:themeColor="text1"/>
        </w:rPr>
        <w:t xml:space="preserve"> and </w:t>
      </w:r>
      <w:r w:rsidR="003B6D8B" w:rsidRPr="002356A5">
        <w:rPr>
          <w:color w:val="000000" w:themeColor="text1"/>
        </w:rPr>
        <w:t>depression-anxiety-stress score (</w:t>
      </w:r>
      <w:r w:rsidRPr="002356A5">
        <w:rPr>
          <w:color w:val="000000" w:themeColor="text1"/>
        </w:rPr>
        <w:t>DASS</w:t>
      </w:r>
      <w:r w:rsidR="003B6D8B" w:rsidRPr="002356A5">
        <w:rPr>
          <w:color w:val="000000" w:themeColor="text1"/>
        </w:rPr>
        <w:t>)</w:t>
      </w:r>
      <w:r w:rsidRPr="002356A5">
        <w:rPr>
          <w:color w:val="000000" w:themeColor="text1"/>
        </w:rPr>
        <w:t>. Although the DASS declined more in the testosterone treatment period than in the placebo treatment period</w:t>
      </w:r>
      <w:r w:rsidR="00265160">
        <w:rPr>
          <w:color w:val="000000" w:themeColor="text1"/>
        </w:rPr>
        <w:t>,</w:t>
      </w:r>
      <w:r w:rsidRPr="002356A5">
        <w:rPr>
          <w:color w:val="000000" w:themeColor="text1"/>
        </w:rPr>
        <w:t xml:space="preserve"> the difference was not statistically significant (P = 0.528). </w:t>
      </w:r>
      <w:r w:rsidR="00DA3D8E">
        <w:rPr>
          <w:color w:val="000000" w:themeColor="text1"/>
        </w:rPr>
        <w:t>The PBAC noted that th</w:t>
      </w:r>
      <w:r w:rsidR="00AB1D22">
        <w:rPr>
          <w:color w:val="000000" w:themeColor="text1"/>
        </w:rPr>
        <w:t>e difference in the POMS between testosterone and placebo treated patients was not statistically significant (P = 0.</w:t>
      </w:r>
      <w:r w:rsidR="00B86453">
        <w:rPr>
          <w:color w:val="000000" w:themeColor="text1"/>
        </w:rPr>
        <w:t>763).</w:t>
      </w:r>
    </w:p>
    <w:p w14:paraId="028F50CB" w14:textId="4D19E1AA" w:rsidR="00501BB9" w:rsidRPr="002356A5" w:rsidRDefault="00501BB9" w:rsidP="00EC5836">
      <w:pPr>
        <w:pStyle w:val="3-BodyText"/>
        <w:rPr>
          <w:color w:val="0066FF"/>
        </w:rPr>
      </w:pPr>
      <w:r w:rsidRPr="002356A5">
        <w:rPr>
          <w:color w:val="000000" w:themeColor="text1"/>
        </w:rPr>
        <w:t>Testosterone levels were measured by radio-</w:t>
      </w:r>
      <w:proofErr w:type="spellStart"/>
      <w:r w:rsidRPr="002356A5">
        <w:rPr>
          <w:color w:val="000000" w:themeColor="text1"/>
        </w:rPr>
        <w:t>immuno</w:t>
      </w:r>
      <w:proofErr w:type="spellEnd"/>
      <w:r w:rsidRPr="002356A5">
        <w:rPr>
          <w:color w:val="000000" w:themeColor="text1"/>
        </w:rPr>
        <w:t xml:space="preserve"> assay. This method is considered unreliable in the </w:t>
      </w:r>
      <w:r w:rsidR="002A773C" w:rsidRPr="002356A5">
        <w:rPr>
          <w:color w:val="000000" w:themeColor="text1"/>
        </w:rPr>
        <w:t xml:space="preserve">female range (Davis, Baber, 2019). However, the results were </w:t>
      </w:r>
      <w:r w:rsidR="00A87203" w:rsidRPr="002356A5">
        <w:rPr>
          <w:color w:val="000000" w:themeColor="text1"/>
        </w:rPr>
        <w:t xml:space="preserve">broadly </w:t>
      </w:r>
      <w:r w:rsidR="002A773C" w:rsidRPr="002356A5">
        <w:rPr>
          <w:color w:val="000000" w:themeColor="text1"/>
        </w:rPr>
        <w:t xml:space="preserve">consistent with those reported by </w:t>
      </w:r>
      <w:proofErr w:type="spellStart"/>
      <w:r w:rsidR="002A773C" w:rsidRPr="002356A5">
        <w:rPr>
          <w:color w:val="000000" w:themeColor="text1"/>
        </w:rPr>
        <w:t>Fooladi</w:t>
      </w:r>
      <w:proofErr w:type="spellEnd"/>
      <w:r w:rsidR="002A773C" w:rsidRPr="002356A5">
        <w:rPr>
          <w:color w:val="000000" w:themeColor="text1"/>
        </w:rPr>
        <w:t xml:space="preserve"> (2015) using liquid chromatography tandem mass spectroscopy (LC-MS/MS). </w:t>
      </w:r>
    </w:p>
    <w:p w14:paraId="5AC3A2B2" w14:textId="6EAAFB41" w:rsidR="002A773C" w:rsidRPr="002356A5" w:rsidRDefault="002A773C" w:rsidP="00EC5836">
      <w:pPr>
        <w:pStyle w:val="3-BodyText"/>
        <w:rPr>
          <w:color w:val="0066FF"/>
        </w:rPr>
      </w:pPr>
      <w:r w:rsidRPr="002356A5">
        <w:rPr>
          <w:color w:val="000000" w:themeColor="text1"/>
        </w:rPr>
        <w:t xml:space="preserve">Mean testosterone levels </w:t>
      </w:r>
      <w:r w:rsidR="00684CE2" w:rsidRPr="002356A5">
        <w:rPr>
          <w:color w:val="000000" w:themeColor="text1"/>
        </w:rPr>
        <w:t xml:space="preserve">at baseline were </w:t>
      </w:r>
      <w:r w:rsidR="00A87203" w:rsidRPr="002356A5">
        <w:rPr>
          <w:color w:val="000000" w:themeColor="text1"/>
        </w:rPr>
        <w:t>below the upper limit of normal</w:t>
      </w:r>
      <w:r w:rsidR="00194A65">
        <w:rPr>
          <w:color w:val="000000" w:themeColor="text1"/>
        </w:rPr>
        <w:t xml:space="preserve"> (ULN)</w:t>
      </w:r>
      <w:r w:rsidR="00A87203" w:rsidRPr="002356A5">
        <w:rPr>
          <w:color w:val="000000" w:themeColor="text1"/>
        </w:rPr>
        <w:t xml:space="preserve"> defined by the study</w:t>
      </w:r>
      <w:r w:rsidR="00E01CE0">
        <w:rPr>
          <w:color w:val="000000" w:themeColor="text1"/>
        </w:rPr>
        <w:t>:</w:t>
      </w:r>
      <w:r w:rsidR="00A87203" w:rsidRPr="002356A5">
        <w:rPr>
          <w:color w:val="000000" w:themeColor="text1"/>
        </w:rPr>
        <w:t xml:space="preserve"> &lt;2.</w:t>
      </w:r>
      <w:r w:rsidR="008D47F1" w:rsidRPr="002356A5">
        <w:rPr>
          <w:color w:val="000000" w:themeColor="text1"/>
        </w:rPr>
        <w:t>6</w:t>
      </w:r>
      <w:r w:rsidR="00A87203" w:rsidRPr="002356A5">
        <w:rPr>
          <w:color w:val="000000" w:themeColor="text1"/>
        </w:rPr>
        <w:t xml:space="preserve"> nmol/L = 0.75 ng/mL</w:t>
      </w:r>
      <w:r w:rsidR="0024218D" w:rsidRPr="002356A5">
        <w:rPr>
          <w:color w:val="000000" w:themeColor="text1"/>
        </w:rPr>
        <w:t xml:space="preserve"> (</w:t>
      </w:r>
      <w:r w:rsidR="001C149A" w:rsidRPr="002356A5">
        <w:rPr>
          <w:color w:val="000000" w:themeColor="text1"/>
        </w:rPr>
        <w:t>this</w:t>
      </w:r>
      <w:r w:rsidR="00A87203" w:rsidRPr="002356A5">
        <w:rPr>
          <w:color w:val="000000" w:themeColor="text1"/>
        </w:rPr>
        <w:t xml:space="preserve"> was higher than</w:t>
      </w:r>
      <w:r w:rsidR="00684CE2" w:rsidRPr="002356A5">
        <w:rPr>
          <w:color w:val="000000" w:themeColor="text1"/>
        </w:rPr>
        <w:t xml:space="preserve"> the </w:t>
      </w:r>
      <w:r w:rsidR="00F672DD">
        <w:rPr>
          <w:color w:val="000000" w:themeColor="text1"/>
        </w:rPr>
        <w:t>ULN</w:t>
      </w:r>
      <w:r w:rsidR="00684CE2" w:rsidRPr="002356A5">
        <w:rPr>
          <w:color w:val="000000" w:themeColor="text1"/>
        </w:rPr>
        <w:t xml:space="preserve"> for healthy premenopausal women</w:t>
      </w:r>
      <w:r w:rsidR="00A87203" w:rsidRPr="002356A5">
        <w:rPr>
          <w:color w:val="000000" w:themeColor="text1"/>
        </w:rPr>
        <w:t xml:space="preserve"> defined by </w:t>
      </w:r>
      <w:proofErr w:type="spellStart"/>
      <w:r w:rsidR="00A87203" w:rsidRPr="002356A5">
        <w:rPr>
          <w:color w:val="000000" w:themeColor="text1"/>
        </w:rPr>
        <w:t>Fooladi</w:t>
      </w:r>
      <w:proofErr w:type="spellEnd"/>
      <w:r w:rsidR="00A87203" w:rsidRPr="002356A5">
        <w:rPr>
          <w:color w:val="000000" w:themeColor="text1"/>
        </w:rPr>
        <w:t xml:space="preserve"> (2015)</w:t>
      </w:r>
      <w:r w:rsidR="00CC3E1B">
        <w:rPr>
          <w:color w:val="000000" w:themeColor="text1"/>
        </w:rPr>
        <w:t>:</w:t>
      </w:r>
      <w:r w:rsidR="00A87203" w:rsidRPr="002356A5">
        <w:rPr>
          <w:color w:val="000000" w:themeColor="text1"/>
        </w:rPr>
        <w:t xml:space="preserve"> </w:t>
      </w:r>
      <w:r w:rsidR="00684CE2" w:rsidRPr="002356A5">
        <w:rPr>
          <w:color w:val="000000" w:themeColor="text1"/>
        </w:rPr>
        <w:t>1.70 nmol/L</w:t>
      </w:r>
      <w:r w:rsidR="00443237" w:rsidRPr="002356A5">
        <w:rPr>
          <w:color w:val="000000" w:themeColor="text1"/>
        </w:rPr>
        <w:t xml:space="preserve"> = 0.</w:t>
      </w:r>
      <w:r w:rsidR="00827558" w:rsidRPr="002356A5">
        <w:rPr>
          <w:color w:val="000000" w:themeColor="text1"/>
        </w:rPr>
        <w:t>49 ng/mL</w:t>
      </w:r>
      <w:r w:rsidR="008D47F1" w:rsidRPr="002356A5">
        <w:rPr>
          <w:color w:val="000000" w:themeColor="text1"/>
        </w:rPr>
        <w:t>; El-Hage, 2007 does not give the source of its reference value or the population it refers to</w:t>
      </w:r>
      <w:r w:rsidR="0024218D" w:rsidRPr="002356A5">
        <w:rPr>
          <w:color w:val="000000" w:themeColor="text1"/>
        </w:rPr>
        <w:t>)</w:t>
      </w:r>
      <w:r w:rsidR="00684CE2" w:rsidRPr="002356A5">
        <w:rPr>
          <w:color w:val="000000" w:themeColor="text1"/>
        </w:rPr>
        <w:t xml:space="preserve">. Mean testosterone levels </w:t>
      </w:r>
      <w:r w:rsidRPr="002356A5">
        <w:rPr>
          <w:color w:val="000000" w:themeColor="text1"/>
        </w:rPr>
        <w:t xml:space="preserve">during treatment were </w:t>
      </w:r>
      <w:r w:rsidR="00A87203" w:rsidRPr="002356A5">
        <w:rPr>
          <w:color w:val="000000" w:themeColor="text1"/>
        </w:rPr>
        <w:t>above</w:t>
      </w:r>
      <w:r w:rsidRPr="002356A5">
        <w:rPr>
          <w:color w:val="000000" w:themeColor="text1"/>
        </w:rPr>
        <w:t xml:space="preserve"> the </w:t>
      </w:r>
      <w:r w:rsidR="005207A4">
        <w:rPr>
          <w:color w:val="000000" w:themeColor="text1"/>
        </w:rPr>
        <w:t>ULN</w:t>
      </w:r>
      <w:r w:rsidRPr="002356A5">
        <w:rPr>
          <w:color w:val="000000" w:themeColor="text1"/>
        </w:rPr>
        <w:t xml:space="preserve"> </w:t>
      </w:r>
      <w:r w:rsidR="001C149A" w:rsidRPr="002356A5">
        <w:rPr>
          <w:color w:val="000000" w:themeColor="text1"/>
        </w:rPr>
        <w:t>defined by the study</w:t>
      </w:r>
      <w:r w:rsidR="00684CE2" w:rsidRPr="002356A5">
        <w:rPr>
          <w:color w:val="000000" w:themeColor="text1"/>
        </w:rPr>
        <w:t>, and s</w:t>
      </w:r>
      <w:r w:rsidR="00BE0DFF" w:rsidRPr="002356A5">
        <w:rPr>
          <w:color w:val="000000" w:themeColor="text1"/>
        </w:rPr>
        <w:t>ome women must have had levels</w:t>
      </w:r>
      <w:r w:rsidR="001C149A" w:rsidRPr="002356A5">
        <w:rPr>
          <w:color w:val="000000" w:themeColor="text1"/>
        </w:rPr>
        <w:t xml:space="preserve"> several times the </w:t>
      </w:r>
      <w:r w:rsidR="00307EA4">
        <w:rPr>
          <w:color w:val="000000" w:themeColor="text1"/>
        </w:rPr>
        <w:t>ULN</w:t>
      </w:r>
      <w:r w:rsidR="00BE0DFF" w:rsidRPr="002356A5">
        <w:rPr>
          <w:color w:val="000000" w:themeColor="text1"/>
        </w:rPr>
        <w:t>. This is not consistent with the proposed restriction or with the international consensus statement, which recommends dosing t</w:t>
      </w:r>
      <w:r w:rsidR="001C149A" w:rsidRPr="002356A5">
        <w:rPr>
          <w:color w:val="000000" w:themeColor="text1"/>
        </w:rPr>
        <w:t>hat</w:t>
      </w:r>
      <w:r w:rsidR="00BE0DFF" w:rsidRPr="002356A5">
        <w:rPr>
          <w:color w:val="000000" w:themeColor="text1"/>
        </w:rPr>
        <w:t xml:space="preserve"> approximate</w:t>
      </w:r>
      <w:r w:rsidR="001C149A" w:rsidRPr="002356A5">
        <w:rPr>
          <w:color w:val="000000" w:themeColor="text1"/>
        </w:rPr>
        <w:t>s</w:t>
      </w:r>
      <w:r w:rsidR="00BE0DFF" w:rsidRPr="002356A5">
        <w:rPr>
          <w:color w:val="000000" w:themeColor="text1"/>
        </w:rPr>
        <w:t xml:space="preserve"> levels of testosterone in healthy premenopausal women. </w:t>
      </w:r>
    </w:p>
    <w:p w14:paraId="78DA2993" w14:textId="66487CF3" w:rsidR="00BE0DFF" w:rsidRPr="002356A5" w:rsidRDefault="00BE0DFF" w:rsidP="00EC5836">
      <w:pPr>
        <w:pStyle w:val="3-BodyText"/>
        <w:rPr>
          <w:color w:val="0066FF"/>
        </w:rPr>
      </w:pPr>
      <w:proofErr w:type="spellStart"/>
      <w:r w:rsidRPr="002356A5">
        <w:rPr>
          <w:color w:val="000000" w:themeColor="text1"/>
        </w:rPr>
        <w:t>Fooladi</w:t>
      </w:r>
      <w:proofErr w:type="spellEnd"/>
      <w:r w:rsidRPr="002356A5">
        <w:rPr>
          <w:color w:val="000000" w:themeColor="text1"/>
        </w:rPr>
        <w:t xml:space="preserve"> (2015) </w:t>
      </w:r>
      <w:r w:rsidR="00684CE2" w:rsidRPr="002356A5">
        <w:rPr>
          <w:color w:val="000000" w:themeColor="text1"/>
        </w:rPr>
        <w:t xml:space="preserve">reported that testosterone 5 mg produced a mean level slightly above the </w:t>
      </w:r>
      <w:r w:rsidR="00307EA4">
        <w:rPr>
          <w:color w:val="000000" w:themeColor="text1"/>
        </w:rPr>
        <w:t>ULN</w:t>
      </w:r>
      <w:r w:rsidR="00684CE2" w:rsidRPr="002356A5">
        <w:rPr>
          <w:color w:val="000000" w:themeColor="text1"/>
        </w:rPr>
        <w:t xml:space="preserve"> for premenopausal women</w:t>
      </w:r>
      <w:r w:rsidR="00443237" w:rsidRPr="002356A5">
        <w:rPr>
          <w:color w:val="000000" w:themeColor="text1"/>
        </w:rPr>
        <w:t xml:space="preserve"> (0.52 ng/mL vs 0.49 ng/mL)</w:t>
      </w:r>
      <w:r w:rsidR="00684CE2" w:rsidRPr="002356A5">
        <w:rPr>
          <w:color w:val="000000" w:themeColor="text1"/>
        </w:rPr>
        <w:t xml:space="preserve">, and </w:t>
      </w:r>
      <w:r w:rsidR="00443237" w:rsidRPr="002356A5">
        <w:rPr>
          <w:color w:val="000000" w:themeColor="text1"/>
        </w:rPr>
        <w:t xml:space="preserve">a median level within the normal range (0.38 ng/mL). However, the range was 0.37-1.10 ng/mL, so some women receiving 5 mg doses </w:t>
      </w:r>
      <w:r w:rsidR="0024218D" w:rsidRPr="002356A5">
        <w:rPr>
          <w:color w:val="000000" w:themeColor="text1"/>
        </w:rPr>
        <w:t>had</w:t>
      </w:r>
      <w:r w:rsidR="00443237" w:rsidRPr="002356A5">
        <w:rPr>
          <w:color w:val="000000" w:themeColor="text1"/>
        </w:rPr>
        <w:t xml:space="preserve"> levels twice the </w:t>
      </w:r>
      <w:r w:rsidR="005A5ECF">
        <w:rPr>
          <w:color w:val="000000" w:themeColor="text1"/>
        </w:rPr>
        <w:t>ULN</w:t>
      </w:r>
      <w:r w:rsidR="00443237" w:rsidRPr="002356A5">
        <w:rPr>
          <w:color w:val="000000" w:themeColor="text1"/>
        </w:rPr>
        <w:t xml:space="preserve">. After </w:t>
      </w:r>
      <w:r w:rsidR="00684CE2" w:rsidRPr="002356A5">
        <w:rPr>
          <w:color w:val="000000" w:themeColor="text1"/>
        </w:rPr>
        <w:t xml:space="preserve">a 10 mg dose </w:t>
      </w:r>
      <w:r w:rsidR="00443237" w:rsidRPr="002356A5">
        <w:rPr>
          <w:color w:val="000000" w:themeColor="text1"/>
        </w:rPr>
        <w:t>the</w:t>
      </w:r>
      <w:r w:rsidR="00684CE2" w:rsidRPr="002356A5">
        <w:rPr>
          <w:color w:val="000000" w:themeColor="text1"/>
        </w:rPr>
        <w:t xml:space="preserve"> me</w:t>
      </w:r>
      <w:r w:rsidR="00443237" w:rsidRPr="002356A5">
        <w:rPr>
          <w:color w:val="000000" w:themeColor="text1"/>
        </w:rPr>
        <w:t>dian</w:t>
      </w:r>
      <w:r w:rsidR="00684CE2" w:rsidRPr="002356A5">
        <w:rPr>
          <w:color w:val="000000" w:themeColor="text1"/>
        </w:rPr>
        <w:t xml:space="preserve"> level </w:t>
      </w:r>
      <w:r w:rsidR="00443237" w:rsidRPr="002356A5">
        <w:rPr>
          <w:color w:val="000000" w:themeColor="text1"/>
        </w:rPr>
        <w:t xml:space="preserve">was </w:t>
      </w:r>
      <w:r w:rsidR="00684CE2" w:rsidRPr="002356A5">
        <w:rPr>
          <w:color w:val="000000" w:themeColor="text1"/>
        </w:rPr>
        <w:t xml:space="preserve">almost twice the </w:t>
      </w:r>
      <w:r w:rsidR="00EE56A5">
        <w:rPr>
          <w:color w:val="000000" w:themeColor="text1"/>
        </w:rPr>
        <w:t>ULN</w:t>
      </w:r>
      <w:r w:rsidR="00684CE2" w:rsidRPr="002356A5">
        <w:rPr>
          <w:color w:val="000000" w:themeColor="text1"/>
        </w:rPr>
        <w:t xml:space="preserve"> for premenopausal women</w:t>
      </w:r>
      <w:r w:rsidR="00443237" w:rsidRPr="002356A5">
        <w:rPr>
          <w:color w:val="000000" w:themeColor="text1"/>
        </w:rPr>
        <w:t xml:space="preserve">, consistent with the results from El-Hage (2007). </w:t>
      </w:r>
      <w:r w:rsidR="00DB2237" w:rsidRPr="002356A5">
        <w:rPr>
          <w:color w:val="000000" w:themeColor="text1"/>
        </w:rPr>
        <w:t xml:space="preserve"> </w:t>
      </w:r>
    </w:p>
    <w:p w14:paraId="5B848EEE" w14:textId="164ECE89" w:rsidR="00827558" w:rsidRPr="002356A5" w:rsidRDefault="00827558" w:rsidP="00EC5836">
      <w:pPr>
        <w:pStyle w:val="3-BodyText"/>
        <w:rPr>
          <w:color w:val="0066FF"/>
        </w:rPr>
      </w:pPr>
      <w:r w:rsidRPr="002356A5">
        <w:rPr>
          <w:color w:val="000000" w:themeColor="text1"/>
        </w:rPr>
        <w:t xml:space="preserve">The submission stated that the results of </w:t>
      </w:r>
      <w:proofErr w:type="spellStart"/>
      <w:r w:rsidRPr="002356A5">
        <w:rPr>
          <w:color w:val="000000" w:themeColor="text1"/>
        </w:rPr>
        <w:t>Fooladi</w:t>
      </w:r>
      <w:proofErr w:type="spellEnd"/>
      <w:r w:rsidRPr="002356A5">
        <w:rPr>
          <w:color w:val="000000" w:themeColor="text1"/>
        </w:rPr>
        <w:t xml:space="preserve"> (2015) "</w:t>
      </w:r>
      <w:r w:rsidRPr="002356A5">
        <w:rPr>
          <w:rFonts w:eastAsia="Times New Roman" w:cstheme="minorHAnsi"/>
        </w:rPr>
        <w:t xml:space="preserve">confirm the dose-response relationship without compromising safety". </w:t>
      </w:r>
      <w:r w:rsidR="00DB2237" w:rsidRPr="00320580">
        <w:rPr>
          <w:rFonts w:eastAsia="Times New Roman" w:cstheme="minorHAnsi"/>
          <w:iCs/>
        </w:rPr>
        <w:t>Th</w:t>
      </w:r>
      <w:r w:rsidR="0094034D" w:rsidRPr="00320580">
        <w:rPr>
          <w:rFonts w:eastAsia="Times New Roman" w:cstheme="minorHAnsi"/>
          <w:iCs/>
        </w:rPr>
        <w:t>e ESC agreed with the evaluation that th</w:t>
      </w:r>
      <w:r w:rsidR="00DB2237" w:rsidRPr="00320580">
        <w:rPr>
          <w:rFonts w:eastAsia="Times New Roman" w:cstheme="minorHAnsi"/>
          <w:iCs/>
        </w:rPr>
        <w:t>is</w:t>
      </w:r>
      <w:r w:rsidRPr="00320580">
        <w:rPr>
          <w:rFonts w:eastAsia="Times New Roman" w:cstheme="minorHAnsi"/>
          <w:iCs/>
        </w:rPr>
        <w:t xml:space="preserve"> claim </w:t>
      </w:r>
      <w:r w:rsidR="008D0832" w:rsidRPr="00320580">
        <w:rPr>
          <w:rFonts w:eastAsia="Times New Roman" w:cstheme="minorHAnsi"/>
          <w:iCs/>
        </w:rPr>
        <w:t>wa</w:t>
      </w:r>
      <w:r w:rsidRPr="00320580">
        <w:rPr>
          <w:rFonts w:eastAsia="Times New Roman" w:cstheme="minorHAnsi"/>
          <w:iCs/>
        </w:rPr>
        <w:t xml:space="preserve">s </w:t>
      </w:r>
      <w:r w:rsidR="00DB2237" w:rsidRPr="00320580">
        <w:rPr>
          <w:rFonts w:eastAsia="Times New Roman" w:cstheme="minorHAnsi"/>
          <w:iCs/>
        </w:rPr>
        <w:t xml:space="preserve">not </w:t>
      </w:r>
      <w:r w:rsidRPr="00320580">
        <w:rPr>
          <w:rFonts w:eastAsia="Times New Roman" w:cstheme="minorHAnsi"/>
          <w:iCs/>
        </w:rPr>
        <w:t>justified</w:t>
      </w:r>
      <w:r w:rsidR="00DB2237" w:rsidRPr="00320580">
        <w:rPr>
          <w:rFonts w:eastAsia="Times New Roman" w:cstheme="minorHAnsi"/>
          <w:iCs/>
        </w:rPr>
        <w:t xml:space="preserve"> by the data. </w:t>
      </w:r>
    </w:p>
    <w:p w14:paraId="3523E019" w14:textId="03C42D36" w:rsidR="00827558" w:rsidRPr="002356A5" w:rsidRDefault="00827558" w:rsidP="00827558">
      <w:pPr>
        <w:pStyle w:val="5-SubsectionSubheading"/>
      </w:pPr>
      <w:bookmarkStart w:id="48" w:name="_Toc208926781"/>
      <w:r w:rsidRPr="002356A5">
        <w:t>Results of the systematic review and meta-analysis</w:t>
      </w:r>
      <w:bookmarkEnd w:id="48"/>
    </w:p>
    <w:p w14:paraId="03B04582" w14:textId="650803F1" w:rsidR="005A2838" w:rsidRPr="002356A5" w:rsidRDefault="0018327E" w:rsidP="005A2838">
      <w:pPr>
        <w:pStyle w:val="3-BodyText"/>
      </w:pPr>
      <w:r w:rsidRPr="00320580">
        <w:rPr>
          <w:iCs/>
        </w:rPr>
        <w:t xml:space="preserve">The </w:t>
      </w:r>
      <w:r w:rsidR="006C2A2C" w:rsidRPr="00320580">
        <w:rPr>
          <w:iCs/>
        </w:rPr>
        <w:t xml:space="preserve">ESC agreed with the evaluation that the </w:t>
      </w:r>
      <w:r w:rsidR="008B11CF" w:rsidRPr="00320580">
        <w:rPr>
          <w:iCs/>
        </w:rPr>
        <w:t xml:space="preserve">results of the </w:t>
      </w:r>
      <w:r w:rsidRPr="00320580">
        <w:rPr>
          <w:iCs/>
        </w:rPr>
        <w:t>systematic review and meta-analysis should be interpreted with caution.</w:t>
      </w:r>
      <w:r w:rsidRPr="002356A5">
        <w:t xml:space="preserve"> </w:t>
      </w:r>
      <w:r w:rsidR="005A2838" w:rsidRPr="002356A5">
        <w:t xml:space="preserve">Most of the studies included in the systematic review </w:t>
      </w:r>
      <w:r w:rsidR="007851C9" w:rsidRPr="002356A5">
        <w:t xml:space="preserve">appropriately </w:t>
      </w:r>
      <w:r w:rsidR="005A2838" w:rsidRPr="002356A5">
        <w:t xml:space="preserve">excluded women with identifiable causes of reduced sexual function, such as </w:t>
      </w:r>
      <w:r w:rsidR="00BD3F3E" w:rsidRPr="002356A5">
        <w:t xml:space="preserve">a dysfunctional relationship, </w:t>
      </w:r>
      <w:r w:rsidR="005A2838" w:rsidRPr="002356A5">
        <w:t>dyspareunia, depression, or antidepressant use</w:t>
      </w:r>
      <w:r w:rsidR="00776D62" w:rsidRPr="002356A5">
        <w:t>,</w:t>
      </w:r>
      <w:r w:rsidR="008B11CF" w:rsidRPr="002356A5">
        <w:t xml:space="preserve"> but did</w:t>
      </w:r>
      <w:r w:rsidR="00776D62" w:rsidRPr="002356A5">
        <w:t xml:space="preserve"> </w:t>
      </w:r>
      <w:r w:rsidRPr="002356A5">
        <w:t xml:space="preserve">not </w:t>
      </w:r>
      <w:r w:rsidR="008B11CF" w:rsidRPr="002356A5">
        <w:t>otherwise use</w:t>
      </w:r>
      <w:r w:rsidRPr="002356A5">
        <w:t xml:space="preserve"> a </w:t>
      </w:r>
      <w:r w:rsidR="00776D62" w:rsidRPr="002356A5">
        <w:t>consistent definition of sexual dysfunction</w:t>
      </w:r>
      <w:r w:rsidRPr="002356A5">
        <w:t xml:space="preserve">, and many patients in the trials </w:t>
      </w:r>
      <w:r w:rsidR="009F7E59" w:rsidRPr="002356A5">
        <w:t>may not have had HSDD by the criteria of the ISSWSH pathway of care</w:t>
      </w:r>
      <w:r w:rsidRPr="002356A5">
        <w:t xml:space="preserve">. </w:t>
      </w:r>
      <w:r w:rsidR="00E91EA2" w:rsidRPr="002356A5">
        <w:t>Further, n</w:t>
      </w:r>
      <w:r w:rsidR="008B11CF" w:rsidRPr="002356A5">
        <w:t>early half the included studies were graded as having a high risk of attrition bias</w:t>
      </w:r>
      <w:r w:rsidRPr="002356A5">
        <w:t xml:space="preserve">. Finally, </w:t>
      </w:r>
      <w:r w:rsidR="00E91EA2" w:rsidRPr="002356A5">
        <w:t xml:space="preserve">the results may be compromised by </w:t>
      </w:r>
      <w:r w:rsidR="00E91EA2" w:rsidRPr="002356A5">
        <w:lastRenderedPageBreak/>
        <w:t xml:space="preserve">publication bias, since </w:t>
      </w:r>
      <w:r w:rsidRPr="002356A5">
        <w:t xml:space="preserve">two </w:t>
      </w:r>
      <w:r w:rsidR="008B11CF" w:rsidRPr="002356A5">
        <w:t xml:space="preserve">large, </w:t>
      </w:r>
      <w:r w:rsidRPr="002356A5">
        <w:t xml:space="preserve">randomised, placebo-controlled trials of </w:t>
      </w:r>
      <w:r w:rsidR="00E91EA2" w:rsidRPr="002356A5">
        <w:t xml:space="preserve">a </w:t>
      </w:r>
      <w:r w:rsidRPr="002356A5">
        <w:t xml:space="preserve">testosterone gel </w:t>
      </w:r>
      <w:r w:rsidR="00E91EA2" w:rsidRPr="002356A5">
        <w:t>(</w:t>
      </w:r>
      <w:proofErr w:type="spellStart"/>
      <w:r w:rsidR="00E91EA2" w:rsidRPr="002356A5">
        <w:t>Libigel</w:t>
      </w:r>
      <w:proofErr w:type="spellEnd"/>
      <w:r w:rsidR="00E91EA2" w:rsidRPr="002356A5">
        <w:rPr>
          <w:vertAlign w:val="superscript"/>
        </w:rPr>
        <w:sym w:font="Symbol" w:char="F0D2"/>
      </w:r>
      <w:r w:rsidR="00E91EA2" w:rsidRPr="002356A5">
        <w:t xml:space="preserve">) </w:t>
      </w:r>
      <w:r w:rsidRPr="002356A5">
        <w:t xml:space="preserve">that failed to show any benefit </w:t>
      </w:r>
      <w:r w:rsidR="00E409F4" w:rsidRPr="002356A5">
        <w:t>to</w:t>
      </w:r>
      <w:r w:rsidRPr="002356A5">
        <w:t xml:space="preserve"> sexual function were excluded because they have been published only in abstract</w:t>
      </w:r>
      <w:r w:rsidR="002C7770" w:rsidRPr="002356A5">
        <w:t xml:space="preserve">. </w:t>
      </w:r>
      <w:r w:rsidR="006A32D1" w:rsidRPr="00320580">
        <w:rPr>
          <w:iCs/>
        </w:rPr>
        <w:t xml:space="preserve">The ESC additionally noted that </w:t>
      </w:r>
      <w:r w:rsidR="00E71F7E" w:rsidRPr="00320580">
        <w:rPr>
          <w:iCs/>
        </w:rPr>
        <w:t xml:space="preserve">most of the trials </w:t>
      </w:r>
      <w:r w:rsidR="00A80011" w:rsidRPr="00320580">
        <w:rPr>
          <w:iCs/>
        </w:rPr>
        <w:t xml:space="preserve">investigated the </w:t>
      </w:r>
      <w:r w:rsidR="00E71F7E" w:rsidRPr="00320580">
        <w:rPr>
          <w:iCs/>
        </w:rPr>
        <w:t xml:space="preserve">use </w:t>
      </w:r>
      <w:r w:rsidR="00A80011" w:rsidRPr="00320580">
        <w:rPr>
          <w:iCs/>
        </w:rPr>
        <w:t xml:space="preserve">of products other than </w:t>
      </w:r>
      <w:r w:rsidR="00E71F7E" w:rsidRPr="00320580">
        <w:rPr>
          <w:iCs/>
        </w:rPr>
        <w:t>1% testosterone cream.</w:t>
      </w:r>
      <w:r w:rsidR="009F7E59" w:rsidRPr="002356A5">
        <w:t xml:space="preserve">  </w:t>
      </w:r>
    </w:p>
    <w:p w14:paraId="1BEAE2D5" w14:textId="140C4F74" w:rsidR="00827558" w:rsidRPr="002356A5" w:rsidRDefault="00331501" w:rsidP="00827558">
      <w:pPr>
        <w:pStyle w:val="3-BodyText"/>
      </w:pPr>
      <w:r w:rsidRPr="002356A5">
        <w:t>The Forest plot for the frequency of satisfying sexual events, by menopausal status</w:t>
      </w:r>
      <w:r w:rsidR="00EC1056" w:rsidRPr="002356A5">
        <w:t xml:space="preserve"> (surgical or natural)</w:t>
      </w:r>
      <w:r w:rsidRPr="002356A5">
        <w:t xml:space="preserve">, is shown in </w:t>
      </w:r>
      <w:r w:rsidR="000E18BE" w:rsidRPr="002356A5">
        <w:fldChar w:fldCharType="begin"/>
      </w:r>
      <w:r w:rsidR="000E18BE" w:rsidRPr="002356A5">
        <w:instrText xml:space="preserve"> REF _Ref206235450 \h </w:instrText>
      </w:r>
      <w:r w:rsidR="002356A5" w:rsidRPr="002356A5">
        <w:instrText xml:space="preserve"> \* MERGEFORMAT </w:instrText>
      </w:r>
      <w:r w:rsidR="000E18BE" w:rsidRPr="002356A5">
        <w:fldChar w:fldCharType="separate"/>
      </w:r>
      <w:r w:rsidR="00374A89" w:rsidRPr="002356A5">
        <w:t xml:space="preserve">Figure </w:t>
      </w:r>
      <w:r w:rsidR="00374A89">
        <w:rPr>
          <w:noProof/>
        </w:rPr>
        <w:t>1</w:t>
      </w:r>
      <w:r w:rsidR="000E18BE" w:rsidRPr="002356A5">
        <w:fldChar w:fldCharType="end"/>
      </w:r>
      <w:r w:rsidR="000E18BE" w:rsidRPr="002356A5">
        <w:t>.</w:t>
      </w:r>
    </w:p>
    <w:p w14:paraId="109E7778" w14:textId="5D92A361" w:rsidR="00880CCE" w:rsidRPr="002356A5" w:rsidRDefault="000E18BE" w:rsidP="009A6462">
      <w:pPr>
        <w:pStyle w:val="Caption"/>
        <w:ind w:left="720" w:hanging="720"/>
      </w:pPr>
      <w:bookmarkStart w:id="49" w:name="_Ref206235450"/>
      <w:r w:rsidRPr="002356A5">
        <w:t xml:space="preserve">Figure </w:t>
      </w:r>
      <w:r w:rsidR="00F03188">
        <w:fldChar w:fldCharType="begin"/>
      </w:r>
      <w:r w:rsidR="00F03188">
        <w:instrText xml:space="preserve"> SEQ Figure \* ARABIC </w:instrText>
      </w:r>
      <w:r w:rsidR="00F03188">
        <w:fldChar w:fldCharType="separate"/>
      </w:r>
      <w:r w:rsidR="00374A89">
        <w:rPr>
          <w:noProof/>
        </w:rPr>
        <w:t>1</w:t>
      </w:r>
      <w:r w:rsidR="00F03188">
        <w:rPr>
          <w:noProof/>
        </w:rPr>
        <w:fldChar w:fldCharType="end"/>
      </w:r>
      <w:bookmarkEnd w:id="49"/>
      <w:r w:rsidR="00331501" w:rsidRPr="002356A5">
        <w:t>:</w:t>
      </w:r>
      <w:r w:rsidR="009A6462" w:rsidRPr="002356A5">
        <w:tab/>
      </w:r>
      <w:r w:rsidR="00331501" w:rsidRPr="002356A5">
        <w:t>Effect of testosterone versus comparator on satisfying sexual events, by menopausal status</w:t>
      </w:r>
      <w:r w:rsidR="00EC1056" w:rsidRPr="002356A5">
        <w:t xml:space="preserve"> (surgical or natural)</w:t>
      </w:r>
    </w:p>
    <w:p w14:paraId="1FEAA9B1" w14:textId="7BB19F71" w:rsidR="00880CCE" w:rsidRPr="002356A5" w:rsidRDefault="00E80EA5" w:rsidP="00842EDE">
      <w:pPr>
        <w:pStyle w:val="TableFigureFooter"/>
      </w:pPr>
      <w:r w:rsidRPr="002356A5">
        <w:rPr>
          <w:noProof/>
        </w:rPr>
        <w:drawing>
          <wp:inline distT="0" distB="0" distL="0" distR="0" wp14:anchorId="683EADD5" wp14:editId="340A186D">
            <wp:extent cx="5732145" cy="3533140"/>
            <wp:effectExtent l="0" t="0" r="1905" b="0"/>
            <wp:docPr id="1813018005" name="Picture 1" descr="Figure 1: Effect of testosterone versus comparator on satisfying sexual events, by menopausal status (surgical or nat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18005" name="Picture 1" descr="Figure 1: Effect of testosterone versus comparator on satisfying sexual events, by menopausal status (surgical or natural)"/>
                    <pic:cNvPicPr/>
                  </pic:nvPicPr>
                  <pic:blipFill>
                    <a:blip r:embed="rId11"/>
                    <a:stretch>
                      <a:fillRect/>
                    </a:stretch>
                  </pic:blipFill>
                  <pic:spPr>
                    <a:xfrm>
                      <a:off x="0" y="0"/>
                      <a:ext cx="5732145" cy="3533140"/>
                    </a:xfrm>
                    <a:prstGeom prst="rect">
                      <a:avLst/>
                    </a:prstGeom>
                  </pic:spPr>
                </pic:pic>
              </a:graphicData>
            </a:graphic>
          </wp:inline>
        </w:drawing>
      </w:r>
    </w:p>
    <w:p w14:paraId="68BA43EC" w14:textId="4632A4D7" w:rsidR="00686F53" w:rsidRPr="002356A5" w:rsidRDefault="00686F53" w:rsidP="00842EDE">
      <w:pPr>
        <w:pStyle w:val="TableFigureFooter"/>
        <w:rPr>
          <w:rFonts w:eastAsiaTheme="majorEastAsia"/>
        </w:rPr>
      </w:pPr>
      <w:r w:rsidRPr="002356A5">
        <w:t xml:space="preserve">Source: Islam R, et al. </w:t>
      </w:r>
      <w:r w:rsidRPr="002356A5">
        <w:rPr>
          <w:rFonts w:eastAsiaTheme="majorEastAsia"/>
        </w:rPr>
        <w:t>Safety and efficacy of testosterone for women: a systematic review and meta-analysis of randomised controlled trial data</w:t>
      </w:r>
      <w:r w:rsidRPr="002356A5">
        <w:t xml:space="preserve">. </w:t>
      </w:r>
      <w:r w:rsidRPr="002356A5">
        <w:rPr>
          <w:rFonts w:eastAsia="ヒラギノ角ゴ Pro W3"/>
        </w:rPr>
        <w:t>Lancet Diabetes Endocrinol 2019; 7:754-766.</w:t>
      </w:r>
    </w:p>
    <w:p w14:paraId="5F8B6F42" w14:textId="4CCC9EE9" w:rsidR="00686F53" w:rsidRPr="002356A5" w:rsidRDefault="00686F53" w:rsidP="00686F53">
      <w:pPr>
        <w:pStyle w:val="TableFigureHeading"/>
      </w:pPr>
    </w:p>
    <w:p w14:paraId="1A936076" w14:textId="77777777" w:rsidR="00686F53" w:rsidRPr="002356A5" w:rsidRDefault="00686F53" w:rsidP="00686F53">
      <w:pPr>
        <w:pStyle w:val="TableFigureHeading"/>
      </w:pPr>
    </w:p>
    <w:p w14:paraId="0AE8B71E" w14:textId="715A6A26" w:rsidR="008E3DCF" w:rsidRPr="002356A5" w:rsidRDefault="00445CB6" w:rsidP="008E3DCF">
      <w:pPr>
        <w:pStyle w:val="3-BodyText"/>
      </w:pPr>
      <w:r w:rsidRPr="002356A5">
        <w:t>The Forest plot for effects on sexual desire, by menopausal status</w:t>
      </w:r>
      <w:r w:rsidR="008E3E1B" w:rsidRPr="002356A5">
        <w:t xml:space="preserve"> (surgical or natural)</w:t>
      </w:r>
      <w:r w:rsidRPr="002356A5">
        <w:t>, is shown in</w:t>
      </w:r>
      <w:r w:rsidR="000E18BE" w:rsidRPr="002356A5">
        <w:t xml:space="preserve"> </w:t>
      </w:r>
      <w:r w:rsidR="008E3DCF" w:rsidRPr="002356A5">
        <w:fldChar w:fldCharType="begin"/>
      </w:r>
      <w:r w:rsidR="008E3DCF" w:rsidRPr="002356A5">
        <w:instrText xml:space="preserve"> REF _Ref206235652 \h </w:instrText>
      </w:r>
      <w:r w:rsidR="002356A5" w:rsidRPr="002356A5">
        <w:instrText xml:space="preserve"> \* MERGEFORMAT </w:instrText>
      </w:r>
      <w:r w:rsidR="008E3DCF" w:rsidRPr="002356A5">
        <w:fldChar w:fldCharType="separate"/>
      </w:r>
      <w:r w:rsidR="00374A89" w:rsidRPr="008E3DCF">
        <w:t xml:space="preserve">Figure </w:t>
      </w:r>
      <w:r w:rsidR="00374A89">
        <w:rPr>
          <w:noProof/>
        </w:rPr>
        <w:t>2</w:t>
      </w:r>
      <w:r w:rsidR="008E3DCF" w:rsidRPr="002356A5">
        <w:fldChar w:fldCharType="end"/>
      </w:r>
      <w:r w:rsidR="00BD3F3E" w:rsidRPr="002356A5">
        <w:t>.</w:t>
      </w:r>
    </w:p>
    <w:p w14:paraId="5CA17290" w14:textId="29FBE47A" w:rsidR="00760C4E" w:rsidRPr="00EC1056" w:rsidRDefault="008E3DCF" w:rsidP="00EC1056">
      <w:pPr>
        <w:pStyle w:val="TableFigureHeading"/>
      </w:pPr>
      <w:bookmarkStart w:id="50" w:name="_Ref206235652"/>
      <w:r w:rsidRPr="008E3DCF">
        <w:lastRenderedPageBreak/>
        <w:t xml:space="preserve">Figure </w:t>
      </w:r>
      <w:r w:rsidR="00F03188">
        <w:fldChar w:fldCharType="begin"/>
      </w:r>
      <w:r w:rsidR="00F03188">
        <w:instrText xml:space="preserve"> SEQ Figure \* ARABIC </w:instrText>
      </w:r>
      <w:r w:rsidR="00F03188">
        <w:fldChar w:fldCharType="separate"/>
      </w:r>
      <w:r w:rsidR="00374A89">
        <w:rPr>
          <w:noProof/>
        </w:rPr>
        <w:t>2</w:t>
      </w:r>
      <w:r w:rsidR="00F03188">
        <w:rPr>
          <w:noProof/>
        </w:rPr>
        <w:fldChar w:fldCharType="end"/>
      </w:r>
      <w:bookmarkEnd w:id="50"/>
      <w:r w:rsidRPr="008E3DCF">
        <w:t>: Effect of testosterone on level of sexual desire, by menopausal status</w:t>
      </w:r>
      <w:r w:rsidR="008E3E1B">
        <w:t xml:space="preserve"> (surgical or natural)</w:t>
      </w:r>
    </w:p>
    <w:p w14:paraId="08C582D4" w14:textId="7A188B0C" w:rsidR="00165617" w:rsidRDefault="00165617" w:rsidP="00842EDE">
      <w:pPr>
        <w:pStyle w:val="TableFigureFooter"/>
      </w:pPr>
      <w:r w:rsidRPr="00165617">
        <w:rPr>
          <w:noProof/>
        </w:rPr>
        <w:drawing>
          <wp:inline distT="0" distB="0" distL="0" distR="0" wp14:anchorId="1A9B4439" wp14:editId="7A2E962E">
            <wp:extent cx="5732145" cy="4858385"/>
            <wp:effectExtent l="0" t="0" r="1905" b="0"/>
            <wp:docPr id="1952519717" name="Picture 1" descr="Figure 2: Effect of testosterone on level of sexual desire, by menopausal status (surgical or nat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519717" name="Picture 1" descr="Figure 2: Effect of testosterone on level of sexual desire, by menopausal status (surgical or natural)"/>
                    <pic:cNvPicPr/>
                  </pic:nvPicPr>
                  <pic:blipFill>
                    <a:blip r:embed="rId12"/>
                    <a:stretch>
                      <a:fillRect/>
                    </a:stretch>
                  </pic:blipFill>
                  <pic:spPr>
                    <a:xfrm>
                      <a:off x="0" y="0"/>
                      <a:ext cx="5732145" cy="4858385"/>
                    </a:xfrm>
                    <a:prstGeom prst="rect">
                      <a:avLst/>
                    </a:prstGeom>
                  </pic:spPr>
                </pic:pic>
              </a:graphicData>
            </a:graphic>
          </wp:inline>
        </w:drawing>
      </w:r>
    </w:p>
    <w:p w14:paraId="19157F05" w14:textId="77777777" w:rsidR="00165617" w:rsidRDefault="00165617" w:rsidP="00842EDE">
      <w:pPr>
        <w:pStyle w:val="TableFigureFooter"/>
      </w:pPr>
    </w:p>
    <w:p w14:paraId="471881C5" w14:textId="093A3525" w:rsidR="00686F53" w:rsidRPr="009758A6" w:rsidRDefault="00686F53" w:rsidP="00842EDE">
      <w:pPr>
        <w:pStyle w:val="TableFigureFooter"/>
        <w:rPr>
          <w:rFonts w:eastAsiaTheme="majorEastAsia"/>
        </w:rPr>
      </w:pPr>
      <w:r w:rsidRPr="009758A6">
        <w:t xml:space="preserve">Source: Islam R, et al. </w:t>
      </w:r>
      <w:r w:rsidRPr="009758A6">
        <w:rPr>
          <w:rFonts w:eastAsiaTheme="majorEastAsia"/>
        </w:rPr>
        <w:t>Safety and efficacy of testosterone for women: a systematic review and meta-analysis of randomised controlled trial data</w:t>
      </w:r>
      <w:r w:rsidRPr="009758A6">
        <w:t xml:space="preserve">. </w:t>
      </w:r>
      <w:r w:rsidRPr="009758A6">
        <w:rPr>
          <w:rFonts w:eastAsia="ヒラギノ角ゴ Pro W3"/>
        </w:rPr>
        <w:t>Lancet Diabetes Endocrinol 2019; 7:754-766.</w:t>
      </w:r>
    </w:p>
    <w:p w14:paraId="0ADB1F7D" w14:textId="3C821173" w:rsidR="007F6A91" w:rsidRPr="002356A5" w:rsidRDefault="000C00ED" w:rsidP="000C00ED">
      <w:pPr>
        <w:pStyle w:val="3-BodyText"/>
      </w:pPr>
      <w:r w:rsidRPr="002356A5">
        <w:t>Although the pooled effect of testosterone on the frequency of satisfying sexual events was statistically significant</w:t>
      </w:r>
      <w:r w:rsidR="00420249" w:rsidRPr="002356A5">
        <w:t>,</w:t>
      </w:r>
      <w:r w:rsidRPr="002356A5">
        <w:t xml:space="preserve"> it w</w:t>
      </w:r>
      <w:r w:rsidR="00BD3F3E" w:rsidRPr="002356A5">
        <w:t>as</w:t>
      </w:r>
      <w:r w:rsidRPr="002356A5">
        <w:t xml:space="preserve"> less than one additional satisfying sexual event per month</w:t>
      </w:r>
      <w:r w:rsidR="002E3740" w:rsidRPr="002356A5">
        <w:t xml:space="preserve"> above a baseline frequency of about three events per month</w:t>
      </w:r>
      <w:r w:rsidRPr="002356A5">
        <w:t xml:space="preserve">. </w:t>
      </w:r>
      <w:r w:rsidR="005A5A8F" w:rsidRPr="00320580">
        <w:rPr>
          <w:iCs/>
        </w:rPr>
        <w:t>The ESC noted that</w:t>
      </w:r>
      <w:r w:rsidR="005A5A8F">
        <w:t xml:space="preserve"> n</w:t>
      </w:r>
      <w:r w:rsidR="00BD3F3E" w:rsidRPr="002356A5">
        <w:t xml:space="preserve">o </w:t>
      </w:r>
      <w:r w:rsidR="00B51604">
        <w:t>MCID</w:t>
      </w:r>
      <w:r w:rsidR="00BD3F3E" w:rsidRPr="002356A5">
        <w:t xml:space="preserve"> for this outcome has been agreed. </w:t>
      </w:r>
    </w:p>
    <w:p w14:paraId="44320087" w14:textId="77777777" w:rsidR="002E3740" w:rsidRPr="002356A5" w:rsidRDefault="005A2838" w:rsidP="000C00ED">
      <w:pPr>
        <w:pStyle w:val="3-BodyText"/>
      </w:pPr>
      <w:r w:rsidRPr="002356A5">
        <w:t>Because of the relatively high level of heterogeneity among the studies, the 95% confidence intervals for the predicted effects in future studies included zero</w:t>
      </w:r>
      <w:r w:rsidR="000A6778" w:rsidRPr="002356A5">
        <w:t xml:space="preserve"> for both surgically menopausal and naturally menopausal women</w:t>
      </w:r>
      <w:r w:rsidRPr="002356A5">
        <w:t xml:space="preserve">. </w:t>
      </w:r>
    </w:p>
    <w:p w14:paraId="0FED9366" w14:textId="611DF8D3" w:rsidR="00516FAD" w:rsidRPr="002356A5" w:rsidRDefault="00A4311F" w:rsidP="000C00ED">
      <w:pPr>
        <w:pStyle w:val="3-BodyText"/>
      </w:pPr>
      <w:r w:rsidRPr="002356A5">
        <w:t xml:space="preserve">In 2000, </w:t>
      </w:r>
      <w:r w:rsidR="002E3740" w:rsidRPr="002356A5">
        <w:t>the US Food and Drug Admin</w:t>
      </w:r>
      <w:r w:rsidRPr="002356A5">
        <w:t>i</w:t>
      </w:r>
      <w:r w:rsidR="002E3740" w:rsidRPr="002356A5">
        <w:t>stration</w:t>
      </w:r>
      <w:r w:rsidRPr="002356A5">
        <w:t xml:space="preserve"> issued guidance recommending the frequency of satisfying sexual events as an outcome measure in trials of treatment for </w:t>
      </w:r>
      <w:r w:rsidRPr="002356A5">
        <w:lastRenderedPageBreak/>
        <w:t>female sexual dysfunction.</w:t>
      </w:r>
      <w:r w:rsidRPr="002356A5">
        <w:rPr>
          <w:rStyle w:val="FootnoteReference"/>
        </w:rPr>
        <w:footnoteReference w:id="8"/>
      </w:r>
      <w:r w:rsidRPr="002356A5">
        <w:t xml:space="preserve"> </w:t>
      </w:r>
      <w:r w:rsidR="00E91EA2" w:rsidRPr="002356A5">
        <w:t>For this reason, the frequency of satisfying sexual events was widely used as an outcome measure in trials done between 2000 and 2010. However, t</w:t>
      </w:r>
      <w:r w:rsidR="00516FAD" w:rsidRPr="002356A5">
        <w:t>h</w:t>
      </w:r>
      <w:r w:rsidRPr="002356A5">
        <w:t>is is no longer the FDA's recommendation and the</w:t>
      </w:r>
      <w:r w:rsidR="00516FAD" w:rsidRPr="002356A5">
        <w:t xml:space="preserve"> international consensus statement on testosterone therapy for women recommended that the frequency of satisfying sexual events should not be a primary efficacy measure in </w:t>
      </w:r>
      <w:r w:rsidR="00686F53" w:rsidRPr="002356A5">
        <w:t xml:space="preserve">future </w:t>
      </w:r>
      <w:r w:rsidR="00516FAD" w:rsidRPr="002356A5">
        <w:t xml:space="preserve">trials </w:t>
      </w:r>
      <w:r w:rsidR="007F6A91" w:rsidRPr="002356A5">
        <w:t xml:space="preserve">of treatment for female sexual dysfunction </w:t>
      </w:r>
      <w:r w:rsidR="00516FAD" w:rsidRPr="002356A5">
        <w:t xml:space="preserve">(Davis, Baber, 2019). </w:t>
      </w:r>
      <w:r w:rsidR="00E91EA2" w:rsidRPr="002356A5">
        <w:t>Th</w:t>
      </w:r>
      <w:r w:rsidR="0035155A">
        <w:t>e evaluation considered that th</w:t>
      </w:r>
      <w:r w:rsidR="00E14019" w:rsidRPr="002356A5">
        <w:t xml:space="preserve">is casts doubt on the usefulness of most of the trials in the systematic review.  </w:t>
      </w:r>
    </w:p>
    <w:p w14:paraId="61C121A4" w14:textId="6EA41F10" w:rsidR="00E5435A" w:rsidRPr="002356A5" w:rsidRDefault="005A2838" w:rsidP="000C00ED">
      <w:pPr>
        <w:pStyle w:val="3-BodyText"/>
      </w:pPr>
      <w:r w:rsidRPr="002356A5">
        <w:t xml:space="preserve">Although the pooled effect of testosterone on sexual desire was significant, there is no agreed </w:t>
      </w:r>
      <w:r w:rsidR="002D0417">
        <w:t>MCID</w:t>
      </w:r>
      <w:r w:rsidRPr="002356A5">
        <w:t xml:space="preserve"> for this outcome, so the clinical significance of this result c</w:t>
      </w:r>
      <w:r w:rsidR="008E3DCF" w:rsidRPr="002356A5">
        <w:t>ould not</w:t>
      </w:r>
      <w:r w:rsidRPr="002356A5">
        <w:t xml:space="preserve"> be assessed. Because of the relatively high level of heterogeneity among the studies, the 95% confidence intervals for the predicted effects in future studies included zero for this outcome</w:t>
      </w:r>
      <w:r w:rsidR="00CD1527" w:rsidRPr="002356A5">
        <w:t xml:space="preserve"> for naturally menopausal women</w:t>
      </w:r>
      <w:r w:rsidRPr="002356A5">
        <w:t xml:space="preserve">. </w:t>
      </w:r>
    </w:p>
    <w:p w14:paraId="746A1C4E" w14:textId="21FEBE78" w:rsidR="00E5435A" w:rsidRPr="002356A5" w:rsidRDefault="00E5435A" w:rsidP="000C00ED">
      <w:pPr>
        <w:pStyle w:val="3-BodyText"/>
      </w:pPr>
      <w:r w:rsidRPr="00320580">
        <w:rPr>
          <w:iCs/>
        </w:rPr>
        <w:t>The</w:t>
      </w:r>
      <w:r w:rsidR="003A7012" w:rsidRPr="00320580">
        <w:rPr>
          <w:iCs/>
        </w:rPr>
        <w:t xml:space="preserve"> ESC noted that</w:t>
      </w:r>
      <w:r w:rsidR="003A7012">
        <w:t xml:space="preserve"> the</w:t>
      </w:r>
      <w:r w:rsidRPr="002356A5">
        <w:t xml:space="preserve">re was no evidence that testosterone improved mood or well-being. </w:t>
      </w:r>
    </w:p>
    <w:p w14:paraId="3DCF0571" w14:textId="3FD6C52F" w:rsidR="00E5435A" w:rsidRPr="002356A5" w:rsidRDefault="00E5435A" w:rsidP="000C00ED">
      <w:pPr>
        <w:pStyle w:val="3-BodyText"/>
      </w:pPr>
      <w:r w:rsidRPr="002356A5">
        <w:t>Serum testosterone levels</w:t>
      </w:r>
      <w:r w:rsidR="00962591" w:rsidRPr="002356A5">
        <w:t xml:space="preserve"> on treatment</w:t>
      </w:r>
      <w:r w:rsidRPr="002356A5">
        <w:t xml:space="preserve"> </w:t>
      </w:r>
      <w:r w:rsidR="00962591" w:rsidRPr="002356A5">
        <w:t>in trials reporting them are shown in</w:t>
      </w:r>
      <w:r w:rsidR="008E3DCF" w:rsidRPr="002356A5">
        <w:t xml:space="preserve"> </w:t>
      </w:r>
      <w:r w:rsidR="008E3DCF" w:rsidRPr="002356A5">
        <w:fldChar w:fldCharType="begin"/>
      </w:r>
      <w:r w:rsidR="008E3DCF" w:rsidRPr="002356A5">
        <w:instrText xml:space="preserve"> REF _Ref206235722 \h </w:instrText>
      </w:r>
      <w:r w:rsidR="002356A5">
        <w:instrText xml:space="preserve"> \* MERGEFORMAT </w:instrText>
      </w:r>
      <w:r w:rsidR="008E3DCF" w:rsidRPr="002356A5">
        <w:fldChar w:fldCharType="separate"/>
      </w:r>
      <w:r w:rsidR="00374A89">
        <w:t xml:space="preserve">Table </w:t>
      </w:r>
      <w:r w:rsidR="00374A89">
        <w:rPr>
          <w:noProof/>
        </w:rPr>
        <w:t>5</w:t>
      </w:r>
      <w:r w:rsidR="008E3DCF" w:rsidRPr="002356A5">
        <w:fldChar w:fldCharType="end"/>
      </w:r>
      <w:r w:rsidR="00962591" w:rsidRPr="002356A5">
        <w:t xml:space="preserve">. </w:t>
      </w:r>
      <w:r w:rsidR="0024513D" w:rsidRPr="002356A5">
        <w:t xml:space="preserve">The </w:t>
      </w:r>
      <w:r w:rsidR="00B51604">
        <w:t>ULN</w:t>
      </w:r>
      <w:r w:rsidR="0024513D" w:rsidRPr="002356A5">
        <w:t xml:space="preserve"> for serum testosterone in premenopausal women </w:t>
      </w:r>
      <w:r w:rsidR="00A05486" w:rsidRPr="002356A5">
        <w:t xml:space="preserve">used by </w:t>
      </w:r>
      <w:proofErr w:type="spellStart"/>
      <w:r w:rsidR="00A05486" w:rsidRPr="002356A5">
        <w:t>Fooladi</w:t>
      </w:r>
      <w:proofErr w:type="spellEnd"/>
      <w:r w:rsidR="00A05486" w:rsidRPr="002356A5">
        <w:t xml:space="preserve"> (2015) was 0.49 ng/mL</w:t>
      </w:r>
      <w:r w:rsidR="00DF4357" w:rsidRPr="002356A5">
        <w:t>, and th</w:t>
      </w:r>
      <w:r w:rsidR="00501E58" w:rsidRPr="002356A5">
        <w:t>e upper limit of the reference range used</w:t>
      </w:r>
      <w:r w:rsidR="00DF4357" w:rsidRPr="002356A5">
        <w:t xml:space="preserve"> by El-Hage (2007) was 0.75 ng/mL</w:t>
      </w:r>
      <w:r w:rsidR="00501E58" w:rsidRPr="002356A5">
        <w:t xml:space="preserve"> (</w:t>
      </w:r>
      <w:r w:rsidR="008150D4">
        <w:t>the</w:t>
      </w:r>
      <w:r w:rsidR="00501E58" w:rsidRPr="002356A5">
        <w:t xml:space="preserve"> group</w:t>
      </w:r>
      <w:r w:rsidR="008150D4">
        <w:t xml:space="preserve"> for which</w:t>
      </w:r>
      <w:r w:rsidR="00501E58" w:rsidRPr="002356A5">
        <w:t xml:space="preserve"> that reference range </w:t>
      </w:r>
      <w:r w:rsidR="00F35A4E">
        <w:t>pertained to</w:t>
      </w:r>
      <w:r w:rsidR="00501E58" w:rsidRPr="002356A5">
        <w:t xml:space="preserve"> was not stated)</w:t>
      </w:r>
      <w:r w:rsidR="00DF4357" w:rsidRPr="002356A5">
        <w:t xml:space="preserve">. </w:t>
      </w:r>
    </w:p>
    <w:p w14:paraId="7FC032A0" w14:textId="70FDBA3D" w:rsidR="00DF4357" w:rsidRPr="002356A5" w:rsidRDefault="00DE0DA1">
      <w:pPr>
        <w:pStyle w:val="3-BodyText"/>
      </w:pPr>
      <w:r w:rsidRPr="002356A5">
        <w:t xml:space="preserve">Mean or median testosterone levels were below the </w:t>
      </w:r>
      <w:r w:rsidR="00B51604">
        <w:t>ULN</w:t>
      </w:r>
      <w:r w:rsidRPr="002356A5">
        <w:t xml:space="preserve"> </w:t>
      </w:r>
      <w:r w:rsidR="00DD7D70" w:rsidRPr="002356A5">
        <w:t>for premenopausal women for the assay used</w:t>
      </w:r>
      <w:r w:rsidRPr="002356A5">
        <w:t xml:space="preserve"> in </w:t>
      </w:r>
      <w:proofErr w:type="spellStart"/>
      <w:r w:rsidRPr="002356A5">
        <w:t>Shifren</w:t>
      </w:r>
      <w:proofErr w:type="spellEnd"/>
      <w:r w:rsidRPr="002356A5">
        <w:t xml:space="preserve"> (2006) and in women receiving the lower testosterone dose in </w:t>
      </w:r>
      <w:proofErr w:type="spellStart"/>
      <w:r w:rsidRPr="002356A5">
        <w:t>Shifren</w:t>
      </w:r>
      <w:proofErr w:type="spellEnd"/>
      <w:r w:rsidRPr="002356A5">
        <w:t xml:space="preserve"> (2000). In all other trials, most women had testosterone levels </w:t>
      </w:r>
      <w:r w:rsidR="00516FAD" w:rsidRPr="002356A5">
        <w:t xml:space="preserve">above the </w:t>
      </w:r>
      <w:r w:rsidR="00B51604">
        <w:t>ULN</w:t>
      </w:r>
      <w:r w:rsidR="00501E58" w:rsidRPr="002356A5">
        <w:t xml:space="preserve">. </w:t>
      </w:r>
    </w:p>
    <w:p w14:paraId="47654B7D" w14:textId="0C3F1443" w:rsidR="00962591" w:rsidRDefault="008E3DCF" w:rsidP="008E3DCF">
      <w:pPr>
        <w:pStyle w:val="Caption"/>
      </w:pPr>
      <w:bookmarkStart w:id="51" w:name="_Ref206235722"/>
      <w:r>
        <w:lastRenderedPageBreak/>
        <w:t xml:space="preserve">Table </w:t>
      </w:r>
      <w:r w:rsidR="00F03188">
        <w:fldChar w:fldCharType="begin"/>
      </w:r>
      <w:r w:rsidR="00F03188">
        <w:instrText xml:space="preserve"> SEQ Table \* ARABIC </w:instrText>
      </w:r>
      <w:r w:rsidR="00F03188">
        <w:fldChar w:fldCharType="separate"/>
      </w:r>
      <w:r w:rsidR="00374A89">
        <w:rPr>
          <w:noProof/>
        </w:rPr>
        <w:t>5</w:t>
      </w:r>
      <w:r w:rsidR="00F03188">
        <w:rPr>
          <w:noProof/>
        </w:rPr>
        <w:fldChar w:fldCharType="end"/>
      </w:r>
      <w:bookmarkEnd w:id="51"/>
      <w:r>
        <w:t xml:space="preserve">: </w:t>
      </w:r>
      <w:r w:rsidR="00962591">
        <w:t xml:space="preserve">Serum testosterone levels in testosterone </w:t>
      </w:r>
      <w:proofErr w:type="gramStart"/>
      <w:r w:rsidR="00962591">
        <w:t>treated-patients</w:t>
      </w:r>
      <w:proofErr w:type="gramEnd"/>
      <w:r w:rsidR="00962591">
        <w:t xml:space="preserve"> in the trials included in the systematic review and meta-analysis and reporting serum testosterone</w:t>
      </w:r>
      <w:r w:rsidR="002177F8">
        <w:t xml:space="preserve">, and in </w:t>
      </w:r>
      <w:proofErr w:type="spellStart"/>
      <w:r w:rsidR="002177F8">
        <w:t>Fooladi</w:t>
      </w:r>
      <w:proofErr w:type="spellEnd"/>
      <w:r w:rsidR="002177F8">
        <w:t xml:space="preserve"> (2015)</w:t>
      </w:r>
      <w:r w:rsidR="00962591">
        <w:t xml:space="preserve">. </w:t>
      </w:r>
    </w:p>
    <w:tbl>
      <w:tblPr>
        <w:tblStyle w:val="TableGrid"/>
        <w:tblW w:w="9067" w:type="dxa"/>
        <w:tblLook w:val="04A0" w:firstRow="1" w:lastRow="0" w:firstColumn="1" w:lastColumn="0" w:noHBand="0" w:noVBand="1"/>
        <w:tblCaption w:val="Table 5: Serum testosterone levels in testosterone treated-patients in the trials included in the systematic review and meta-analysis and reporting serum testosterone, and in Fooladi (2015). "/>
      </w:tblPr>
      <w:tblGrid>
        <w:gridCol w:w="4390"/>
        <w:gridCol w:w="4677"/>
      </w:tblGrid>
      <w:tr w:rsidR="00E81313" w14:paraId="2BE3B86E" w14:textId="77777777" w:rsidTr="00C62071">
        <w:tc>
          <w:tcPr>
            <w:tcW w:w="4390" w:type="dxa"/>
          </w:tcPr>
          <w:p w14:paraId="145BA295" w14:textId="2A307A41" w:rsidR="00E81313" w:rsidRDefault="0064353D" w:rsidP="00962591">
            <w:pPr>
              <w:pStyle w:val="TableFigureHeading"/>
            </w:pPr>
            <w:r>
              <w:t>Study</w:t>
            </w:r>
          </w:p>
        </w:tc>
        <w:tc>
          <w:tcPr>
            <w:tcW w:w="4677" w:type="dxa"/>
          </w:tcPr>
          <w:p w14:paraId="1A78EB33" w14:textId="4AF2CE15" w:rsidR="00E81313" w:rsidRDefault="00E81313" w:rsidP="00962591">
            <w:pPr>
              <w:pStyle w:val="TableFigureHeading"/>
            </w:pPr>
            <w:r>
              <w:t>Serum testosterone at end-of-treatment, ng/mL</w:t>
            </w:r>
          </w:p>
        </w:tc>
      </w:tr>
      <w:tr w:rsidR="00E81313" w14:paraId="39158A79" w14:textId="77777777" w:rsidTr="00C62071">
        <w:tc>
          <w:tcPr>
            <w:tcW w:w="4390" w:type="dxa"/>
          </w:tcPr>
          <w:p w14:paraId="307EEE92" w14:textId="77777777" w:rsidR="00E81313" w:rsidRPr="00962591" w:rsidRDefault="00E81313" w:rsidP="00962591">
            <w:pPr>
              <w:pStyle w:val="TableFigureHeading"/>
              <w:rPr>
                <w:b w:val="0"/>
                <w:bCs w:val="0"/>
              </w:rPr>
            </w:pPr>
            <w:r w:rsidRPr="00962591">
              <w:rPr>
                <w:b w:val="0"/>
                <w:bCs w:val="0"/>
              </w:rPr>
              <w:t xml:space="preserve">Buster, 2005 </w:t>
            </w:r>
          </w:p>
          <w:p w14:paraId="7A34347E" w14:textId="77777777" w:rsidR="00E81313" w:rsidRPr="00962591" w:rsidRDefault="00E81313" w:rsidP="00962591">
            <w:pPr>
              <w:pStyle w:val="TableFigureHeading"/>
              <w:rPr>
                <w:b w:val="0"/>
                <w:bCs w:val="0"/>
              </w:rPr>
            </w:pPr>
            <w:r w:rsidRPr="00962591">
              <w:rPr>
                <w:b w:val="0"/>
                <w:bCs w:val="0"/>
              </w:rPr>
              <w:t>N = 252</w:t>
            </w:r>
          </w:p>
          <w:p w14:paraId="6A3ACAD7" w14:textId="77777777" w:rsidR="00E81313" w:rsidRDefault="00E81313" w:rsidP="00962591">
            <w:pPr>
              <w:pStyle w:val="TableFigureHeading"/>
              <w:rPr>
                <w:b w:val="0"/>
                <w:bCs w:val="0"/>
              </w:rPr>
            </w:pPr>
            <w:r w:rsidRPr="00962591">
              <w:rPr>
                <w:b w:val="0"/>
                <w:bCs w:val="0"/>
              </w:rPr>
              <w:t>Median (10th, 90th centiles)</w:t>
            </w:r>
          </w:p>
          <w:p w14:paraId="5A271094" w14:textId="41A565C1" w:rsidR="004D060D" w:rsidRPr="004D060D" w:rsidRDefault="004D060D" w:rsidP="00962591">
            <w:pPr>
              <w:pStyle w:val="TableFigureHeading"/>
              <w:rPr>
                <w:b w:val="0"/>
                <w:bCs w:val="0"/>
              </w:rPr>
            </w:pPr>
            <w:r w:rsidRPr="004D060D">
              <w:rPr>
                <w:b w:val="0"/>
                <w:bCs w:val="0"/>
              </w:rPr>
              <w:t>[</w:t>
            </w:r>
            <w:r w:rsidR="000A1CD8">
              <w:rPr>
                <w:b w:val="0"/>
                <w:bCs w:val="0"/>
              </w:rPr>
              <w:t>ULN</w:t>
            </w:r>
            <w:r w:rsidRPr="004D060D">
              <w:rPr>
                <w:b w:val="0"/>
                <w:bCs w:val="0"/>
              </w:rPr>
              <w:t xml:space="preserve"> for the assay used, ng/mL]</w:t>
            </w:r>
          </w:p>
        </w:tc>
        <w:tc>
          <w:tcPr>
            <w:tcW w:w="4677" w:type="dxa"/>
          </w:tcPr>
          <w:p w14:paraId="3D40886C" w14:textId="351968F8" w:rsidR="00E81313" w:rsidRPr="00962591" w:rsidRDefault="00E81313" w:rsidP="00962591">
            <w:pPr>
              <w:pStyle w:val="TableFigureHeading"/>
              <w:rPr>
                <w:b w:val="0"/>
                <w:bCs w:val="0"/>
              </w:rPr>
            </w:pPr>
          </w:p>
          <w:p w14:paraId="756F9551" w14:textId="77777777" w:rsidR="00E81313" w:rsidRPr="00962591" w:rsidRDefault="00E81313" w:rsidP="00962591">
            <w:pPr>
              <w:pStyle w:val="TableFigureHeading"/>
              <w:rPr>
                <w:b w:val="0"/>
                <w:bCs w:val="0"/>
              </w:rPr>
            </w:pPr>
          </w:p>
          <w:p w14:paraId="0F2D6EA6" w14:textId="77777777" w:rsidR="00E81313" w:rsidRDefault="00E81313" w:rsidP="00962591">
            <w:pPr>
              <w:pStyle w:val="TableFigureHeading"/>
              <w:rPr>
                <w:b w:val="0"/>
                <w:bCs w:val="0"/>
              </w:rPr>
            </w:pPr>
            <w:r w:rsidRPr="00962591">
              <w:rPr>
                <w:b w:val="0"/>
                <w:bCs w:val="0"/>
              </w:rPr>
              <w:t>0.66 (0.23, 1.46)</w:t>
            </w:r>
          </w:p>
          <w:p w14:paraId="27B3D595" w14:textId="794AE3E2" w:rsidR="00E81313" w:rsidRPr="00962591" w:rsidRDefault="00E81313" w:rsidP="00962591">
            <w:pPr>
              <w:pStyle w:val="TableFigureHeading"/>
              <w:rPr>
                <w:b w:val="0"/>
                <w:bCs w:val="0"/>
              </w:rPr>
            </w:pPr>
            <w:r>
              <w:rPr>
                <w:b w:val="0"/>
                <w:bCs w:val="0"/>
              </w:rPr>
              <w:t>[0.5</w:t>
            </w:r>
            <w:r w:rsidR="00DB2237">
              <w:rPr>
                <w:b w:val="0"/>
                <w:bCs w:val="0"/>
              </w:rPr>
              <w:t>0</w:t>
            </w:r>
            <w:r>
              <w:rPr>
                <w:b w:val="0"/>
                <w:bCs w:val="0"/>
              </w:rPr>
              <w:t>]</w:t>
            </w:r>
          </w:p>
        </w:tc>
      </w:tr>
      <w:tr w:rsidR="00E81313" w14:paraId="7BCFFA46" w14:textId="77777777" w:rsidTr="00C62071">
        <w:tc>
          <w:tcPr>
            <w:tcW w:w="4390" w:type="dxa"/>
          </w:tcPr>
          <w:p w14:paraId="1DF59958" w14:textId="0D2E526B" w:rsidR="00E81313" w:rsidRDefault="00E81313" w:rsidP="00962591">
            <w:pPr>
              <w:pStyle w:val="TableFigureHeading"/>
              <w:rPr>
                <w:b w:val="0"/>
                <w:bCs w:val="0"/>
              </w:rPr>
            </w:pPr>
            <w:r>
              <w:rPr>
                <w:b w:val="0"/>
                <w:bCs w:val="0"/>
              </w:rPr>
              <w:t>El-Hage, 2007</w:t>
            </w:r>
          </w:p>
          <w:p w14:paraId="77559DFE" w14:textId="41070773" w:rsidR="00E81313" w:rsidRDefault="00E81313" w:rsidP="00962591">
            <w:pPr>
              <w:pStyle w:val="TableFigureHeading"/>
              <w:rPr>
                <w:b w:val="0"/>
                <w:bCs w:val="0"/>
              </w:rPr>
            </w:pPr>
            <w:r>
              <w:rPr>
                <w:b w:val="0"/>
                <w:bCs w:val="0"/>
              </w:rPr>
              <w:t>N = 36</w:t>
            </w:r>
          </w:p>
          <w:p w14:paraId="779F0A97" w14:textId="77777777" w:rsidR="00E81313" w:rsidRDefault="00E81313" w:rsidP="00962591">
            <w:pPr>
              <w:pStyle w:val="TableFigureHeading"/>
              <w:rPr>
                <w:b w:val="0"/>
                <w:bCs w:val="0"/>
              </w:rPr>
            </w:pPr>
            <w:r>
              <w:rPr>
                <w:b w:val="0"/>
                <w:bCs w:val="0"/>
              </w:rPr>
              <w:t>Mean (SD)</w:t>
            </w:r>
          </w:p>
          <w:p w14:paraId="0A6E1987" w14:textId="3C89B660" w:rsidR="004D7176" w:rsidRPr="004D7176" w:rsidRDefault="000A1CD8" w:rsidP="00962591">
            <w:pPr>
              <w:pStyle w:val="TableFigureHeading"/>
              <w:rPr>
                <w:b w:val="0"/>
                <w:bCs w:val="0"/>
              </w:rPr>
            </w:pPr>
            <w:r w:rsidRPr="004D060D">
              <w:rPr>
                <w:b w:val="0"/>
                <w:bCs w:val="0"/>
              </w:rPr>
              <w:t>[</w:t>
            </w:r>
            <w:r>
              <w:rPr>
                <w:b w:val="0"/>
                <w:bCs w:val="0"/>
              </w:rPr>
              <w:t>ULN</w:t>
            </w:r>
            <w:r w:rsidRPr="004D060D">
              <w:rPr>
                <w:b w:val="0"/>
                <w:bCs w:val="0"/>
              </w:rPr>
              <w:t xml:space="preserve"> for the assay used, ng/mL]</w:t>
            </w:r>
          </w:p>
        </w:tc>
        <w:tc>
          <w:tcPr>
            <w:tcW w:w="4677" w:type="dxa"/>
          </w:tcPr>
          <w:p w14:paraId="55195511" w14:textId="6FA8AE1C" w:rsidR="00E81313" w:rsidRDefault="00E81313" w:rsidP="00962591">
            <w:pPr>
              <w:pStyle w:val="TableFigureHeading"/>
              <w:rPr>
                <w:b w:val="0"/>
                <w:bCs w:val="0"/>
              </w:rPr>
            </w:pPr>
          </w:p>
          <w:p w14:paraId="2C36EA8B" w14:textId="77777777" w:rsidR="00E81313" w:rsidRDefault="00E81313" w:rsidP="00962591">
            <w:pPr>
              <w:pStyle w:val="TableFigureHeading"/>
              <w:rPr>
                <w:b w:val="0"/>
                <w:bCs w:val="0"/>
              </w:rPr>
            </w:pPr>
          </w:p>
          <w:p w14:paraId="1E8A411D" w14:textId="77777777" w:rsidR="00E81313" w:rsidRDefault="00E81313" w:rsidP="00962591">
            <w:pPr>
              <w:pStyle w:val="TableFigureHeading"/>
              <w:rPr>
                <w:b w:val="0"/>
                <w:bCs w:val="0"/>
              </w:rPr>
            </w:pPr>
            <w:r>
              <w:rPr>
                <w:b w:val="0"/>
                <w:bCs w:val="0"/>
              </w:rPr>
              <w:t>1.09 (0.72)</w:t>
            </w:r>
          </w:p>
          <w:p w14:paraId="3CD61427" w14:textId="46DCF5A6" w:rsidR="00E81313" w:rsidRPr="00962591" w:rsidRDefault="00E81313" w:rsidP="00962591">
            <w:pPr>
              <w:pStyle w:val="TableFigureHeading"/>
              <w:rPr>
                <w:b w:val="0"/>
                <w:bCs w:val="0"/>
              </w:rPr>
            </w:pPr>
            <w:r>
              <w:rPr>
                <w:b w:val="0"/>
                <w:bCs w:val="0"/>
              </w:rPr>
              <w:t>[</w:t>
            </w:r>
            <w:r w:rsidR="00DD7D70">
              <w:rPr>
                <w:b w:val="0"/>
                <w:bCs w:val="0"/>
              </w:rPr>
              <w:t>0.75</w:t>
            </w:r>
            <w:r>
              <w:rPr>
                <w:b w:val="0"/>
                <w:bCs w:val="0"/>
              </w:rPr>
              <w:t>]</w:t>
            </w:r>
          </w:p>
        </w:tc>
      </w:tr>
      <w:tr w:rsidR="00E81313" w14:paraId="51155524" w14:textId="77777777" w:rsidTr="00C62071">
        <w:tc>
          <w:tcPr>
            <w:tcW w:w="4390" w:type="dxa"/>
          </w:tcPr>
          <w:p w14:paraId="5C32D616" w14:textId="77777777" w:rsidR="00E81313" w:rsidRDefault="00E81313" w:rsidP="00962591">
            <w:pPr>
              <w:pStyle w:val="TableFigureHeading"/>
              <w:rPr>
                <w:b w:val="0"/>
                <w:bCs w:val="0"/>
              </w:rPr>
            </w:pPr>
            <w:proofErr w:type="spellStart"/>
            <w:r>
              <w:rPr>
                <w:b w:val="0"/>
                <w:bCs w:val="0"/>
              </w:rPr>
              <w:t>Shifren</w:t>
            </w:r>
            <w:proofErr w:type="spellEnd"/>
            <w:r>
              <w:rPr>
                <w:b w:val="0"/>
                <w:bCs w:val="0"/>
              </w:rPr>
              <w:t>, 2000</w:t>
            </w:r>
          </w:p>
          <w:p w14:paraId="67B000E2" w14:textId="77777777" w:rsidR="00E81313" w:rsidRDefault="00E81313" w:rsidP="00962591">
            <w:pPr>
              <w:pStyle w:val="TableFigureHeading"/>
              <w:rPr>
                <w:b w:val="0"/>
                <w:bCs w:val="0"/>
              </w:rPr>
            </w:pPr>
            <w:r>
              <w:rPr>
                <w:b w:val="0"/>
                <w:bCs w:val="0"/>
              </w:rPr>
              <w:t>N = 65</w:t>
            </w:r>
          </w:p>
          <w:p w14:paraId="7695A8D3" w14:textId="77777777" w:rsidR="00E81313" w:rsidRDefault="00E81313" w:rsidP="00962591">
            <w:pPr>
              <w:pStyle w:val="TableFigureHeading"/>
              <w:rPr>
                <w:b w:val="0"/>
                <w:bCs w:val="0"/>
              </w:rPr>
            </w:pPr>
            <w:r>
              <w:rPr>
                <w:b w:val="0"/>
                <w:bCs w:val="0"/>
              </w:rPr>
              <w:t>Mean (SD)</w:t>
            </w:r>
          </w:p>
          <w:p w14:paraId="45FC49F6" w14:textId="77777777" w:rsidR="00E81313" w:rsidRDefault="00E81313" w:rsidP="00CD1527">
            <w:pPr>
              <w:pStyle w:val="TableFigureHeading"/>
              <w:jc w:val="right"/>
              <w:rPr>
                <w:b w:val="0"/>
                <w:bCs w:val="0"/>
              </w:rPr>
            </w:pPr>
            <w:r>
              <w:rPr>
                <w:b w:val="0"/>
                <w:bCs w:val="0"/>
              </w:rPr>
              <w:t>Testosterone 150 mcg/day</w:t>
            </w:r>
          </w:p>
          <w:p w14:paraId="09CE5F83" w14:textId="77777777" w:rsidR="00E81313" w:rsidRDefault="00E81313" w:rsidP="00CD1527">
            <w:pPr>
              <w:pStyle w:val="TableFigureHeading"/>
              <w:jc w:val="right"/>
              <w:rPr>
                <w:b w:val="0"/>
                <w:bCs w:val="0"/>
              </w:rPr>
            </w:pPr>
            <w:r>
              <w:rPr>
                <w:b w:val="0"/>
                <w:bCs w:val="0"/>
              </w:rPr>
              <w:t>Testosterone 300 mcg/day</w:t>
            </w:r>
          </w:p>
          <w:p w14:paraId="74C15506" w14:textId="5721AA37" w:rsidR="004D7176" w:rsidRPr="00962591" w:rsidRDefault="000A1CD8" w:rsidP="004D7176">
            <w:pPr>
              <w:pStyle w:val="TableFigureHeading"/>
              <w:rPr>
                <w:b w:val="0"/>
                <w:bCs w:val="0"/>
              </w:rPr>
            </w:pPr>
            <w:r w:rsidRPr="004D060D">
              <w:rPr>
                <w:b w:val="0"/>
                <w:bCs w:val="0"/>
              </w:rPr>
              <w:t>[</w:t>
            </w:r>
            <w:r>
              <w:rPr>
                <w:b w:val="0"/>
                <w:bCs w:val="0"/>
              </w:rPr>
              <w:t>ULN</w:t>
            </w:r>
            <w:r w:rsidRPr="004D060D">
              <w:rPr>
                <w:b w:val="0"/>
                <w:bCs w:val="0"/>
              </w:rPr>
              <w:t xml:space="preserve"> for the assay used, ng/mL]</w:t>
            </w:r>
          </w:p>
        </w:tc>
        <w:tc>
          <w:tcPr>
            <w:tcW w:w="4677" w:type="dxa"/>
          </w:tcPr>
          <w:p w14:paraId="0CD1579C" w14:textId="03F4D951" w:rsidR="00E81313" w:rsidRDefault="00E81313" w:rsidP="00962591">
            <w:pPr>
              <w:pStyle w:val="TableFigureHeading"/>
              <w:rPr>
                <w:b w:val="0"/>
                <w:bCs w:val="0"/>
              </w:rPr>
            </w:pPr>
          </w:p>
          <w:p w14:paraId="56A78586" w14:textId="77777777" w:rsidR="00E81313" w:rsidRDefault="00E81313" w:rsidP="00962591">
            <w:pPr>
              <w:pStyle w:val="TableFigureHeading"/>
              <w:rPr>
                <w:b w:val="0"/>
                <w:bCs w:val="0"/>
              </w:rPr>
            </w:pPr>
          </w:p>
          <w:p w14:paraId="4D0F2CE0" w14:textId="77777777" w:rsidR="00E81313" w:rsidRDefault="00E81313" w:rsidP="00962591">
            <w:pPr>
              <w:pStyle w:val="TableFigureHeading"/>
              <w:rPr>
                <w:b w:val="0"/>
                <w:bCs w:val="0"/>
              </w:rPr>
            </w:pPr>
          </w:p>
          <w:p w14:paraId="17CD5FF3" w14:textId="77777777" w:rsidR="00E81313" w:rsidRDefault="00E81313" w:rsidP="00962591">
            <w:pPr>
              <w:pStyle w:val="TableFigureHeading"/>
              <w:rPr>
                <w:b w:val="0"/>
                <w:bCs w:val="0"/>
              </w:rPr>
            </w:pPr>
            <w:r>
              <w:rPr>
                <w:b w:val="0"/>
                <w:bCs w:val="0"/>
              </w:rPr>
              <w:t>0.64 (0.25)</w:t>
            </w:r>
          </w:p>
          <w:p w14:paraId="7EF7B28D" w14:textId="77777777" w:rsidR="00E81313" w:rsidRDefault="00E81313" w:rsidP="00962591">
            <w:pPr>
              <w:pStyle w:val="TableFigureHeading"/>
              <w:rPr>
                <w:b w:val="0"/>
                <w:bCs w:val="0"/>
              </w:rPr>
            </w:pPr>
            <w:r>
              <w:rPr>
                <w:b w:val="0"/>
                <w:bCs w:val="0"/>
              </w:rPr>
              <w:t>1.02 (0.39)</w:t>
            </w:r>
          </w:p>
          <w:p w14:paraId="37E7C24A" w14:textId="40436855" w:rsidR="00DE0DA1" w:rsidRPr="00962591" w:rsidRDefault="00DE0DA1" w:rsidP="00962591">
            <w:pPr>
              <w:pStyle w:val="TableFigureHeading"/>
              <w:rPr>
                <w:b w:val="0"/>
                <w:bCs w:val="0"/>
              </w:rPr>
            </w:pPr>
            <w:r>
              <w:rPr>
                <w:b w:val="0"/>
                <w:bCs w:val="0"/>
              </w:rPr>
              <w:t>[0.68]</w:t>
            </w:r>
          </w:p>
        </w:tc>
      </w:tr>
      <w:tr w:rsidR="00E81313" w14:paraId="13999ED2" w14:textId="77777777" w:rsidTr="00C62071">
        <w:tc>
          <w:tcPr>
            <w:tcW w:w="4390" w:type="dxa"/>
          </w:tcPr>
          <w:p w14:paraId="1A7D286F" w14:textId="0ACC9CC1" w:rsidR="00E81313" w:rsidRDefault="00E81313" w:rsidP="00962591">
            <w:pPr>
              <w:pStyle w:val="TableFigureHeading"/>
              <w:rPr>
                <w:b w:val="0"/>
                <w:bCs w:val="0"/>
              </w:rPr>
            </w:pPr>
            <w:r>
              <w:rPr>
                <w:b w:val="0"/>
                <w:bCs w:val="0"/>
              </w:rPr>
              <w:t>Simon, 2005</w:t>
            </w:r>
          </w:p>
          <w:p w14:paraId="79BFBF2E" w14:textId="5A60D091" w:rsidR="00E81313" w:rsidRDefault="00E81313" w:rsidP="00962591">
            <w:pPr>
              <w:pStyle w:val="TableFigureHeading"/>
              <w:rPr>
                <w:b w:val="0"/>
                <w:bCs w:val="0"/>
              </w:rPr>
            </w:pPr>
            <w:r>
              <w:rPr>
                <w:b w:val="0"/>
                <w:bCs w:val="0"/>
              </w:rPr>
              <w:t>N = 269</w:t>
            </w:r>
          </w:p>
          <w:p w14:paraId="10CE2BB4" w14:textId="77777777" w:rsidR="00E81313" w:rsidRDefault="00E81313" w:rsidP="00962591">
            <w:pPr>
              <w:pStyle w:val="TableFigureHeading"/>
              <w:rPr>
                <w:b w:val="0"/>
                <w:bCs w:val="0"/>
              </w:rPr>
            </w:pPr>
            <w:r>
              <w:rPr>
                <w:b w:val="0"/>
                <w:bCs w:val="0"/>
              </w:rPr>
              <w:t>Median (10th, 90th centile)</w:t>
            </w:r>
          </w:p>
          <w:p w14:paraId="3A703220" w14:textId="2D9499CF" w:rsidR="004D7176" w:rsidRPr="00962591" w:rsidRDefault="00587326" w:rsidP="00962591">
            <w:pPr>
              <w:pStyle w:val="TableFigureHeading"/>
              <w:rPr>
                <w:b w:val="0"/>
                <w:bCs w:val="0"/>
              </w:rPr>
            </w:pPr>
            <w:r w:rsidRPr="004D060D">
              <w:rPr>
                <w:b w:val="0"/>
                <w:bCs w:val="0"/>
              </w:rPr>
              <w:t>[</w:t>
            </w:r>
            <w:r>
              <w:rPr>
                <w:b w:val="0"/>
                <w:bCs w:val="0"/>
              </w:rPr>
              <w:t>ULN</w:t>
            </w:r>
            <w:r w:rsidRPr="004D060D">
              <w:rPr>
                <w:b w:val="0"/>
                <w:bCs w:val="0"/>
              </w:rPr>
              <w:t xml:space="preserve"> for the assay used, ng/mL]</w:t>
            </w:r>
          </w:p>
        </w:tc>
        <w:tc>
          <w:tcPr>
            <w:tcW w:w="4677" w:type="dxa"/>
          </w:tcPr>
          <w:p w14:paraId="39F099F8" w14:textId="6B2A1A8B" w:rsidR="00E81313" w:rsidRDefault="00E81313" w:rsidP="00962591">
            <w:pPr>
              <w:pStyle w:val="TableFigureHeading"/>
              <w:rPr>
                <w:b w:val="0"/>
                <w:bCs w:val="0"/>
              </w:rPr>
            </w:pPr>
          </w:p>
          <w:p w14:paraId="2CB6B100" w14:textId="77777777" w:rsidR="00E81313" w:rsidRDefault="00E81313" w:rsidP="00962591">
            <w:pPr>
              <w:pStyle w:val="TableFigureHeading"/>
              <w:rPr>
                <w:b w:val="0"/>
                <w:bCs w:val="0"/>
              </w:rPr>
            </w:pPr>
          </w:p>
          <w:p w14:paraId="777A25D6" w14:textId="77777777" w:rsidR="00E81313" w:rsidRDefault="00E81313" w:rsidP="00962591">
            <w:pPr>
              <w:pStyle w:val="TableFigureHeading"/>
              <w:rPr>
                <w:b w:val="0"/>
                <w:bCs w:val="0"/>
              </w:rPr>
            </w:pPr>
            <w:r>
              <w:rPr>
                <w:b w:val="0"/>
                <w:bCs w:val="0"/>
              </w:rPr>
              <w:t>0.70 (0.33, 1.39)</w:t>
            </w:r>
          </w:p>
          <w:p w14:paraId="7D3FCC9D" w14:textId="58C4C9D7" w:rsidR="00DE0DA1" w:rsidRPr="00962591" w:rsidRDefault="00DE0DA1" w:rsidP="00962591">
            <w:pPr>
              <w:pStyle w:val="TableFigureHeading"/>
              <w:rPr>
                <w:b w:val="0"/>
                <w:bCs w:val="0"/>
              </w:rPr>
            </w:pPr>
            <w:r>
              <w:rPr>
                <w:b w:val="0"/>
                <w:bCs w:val="0"/>
              </w:rPr>
              <w:t>[0.50]</w:t>
            </w:r>
          </w:p>
        </w:tc>
      </w:tr>
      <w:tr w:rsidR="00E81313" w14:paraId="646597D4" w14:textId="77777777" w:rsidTr="00C62071">
        <w:tc>
          <w:tcPr>
            <w:tcW w:w="4390" w:type="dxa"/>
          </w:tcPr>
          <w:p w14:paraId="78495079" w14:textId="77777777" w:rsidR="00E81313" w:rsidRDefault="00E81313" w:rsidP="00962591">
            <w:pPr>
              <w:pStyle w:val="TableFigureHeading"/>
              <w:rPr>
                <w:b w:val="0"/>
                <w:bCs w:val="0"/>
              </w:rPr>
            </w:pPr>
            <w:r>
              <w:rPr>
                <w:b w:val="0"/>
                <w:bCs w:val="0"/>
              </w:rPr>
              <w:t>Panay, 2010</w:t>
            </w:r>
          </w:p>
          <w:p w14:paraId="41135819" w14:textId="1AFB7494" w:rsidR="00E81313" w:rsidRDefault="00E81313" w:rsidP="00962591">
            <w:pPr>
              <w:pStyle w:val="TableFigureHeading"/>
              <w:rPr>
                <w:b w:val="0"/>
                <w:bCs w:val="0"/>
              </w:rPr>
            </w:pPr>
            <w:r>
              <w:rPr>
                <w:b w:val="0"/>
                <w:bCs w:val="0"/>
              </w:rPr>
              <w:t>N = 130</w:t>
            </w:r>
          </w:p>
          <w:p w14:paraId="22EE9428" w14:textId="77777777" w:rsidR="00E81313" w:rsidRDefault="00E81313" w:rsidP="00962591">
            <w:pPr>
              <w:pStyle w:val="TableFigureHeading"/>
              <w:rPr>
                <w:b w:val="0"/>
                <w:bCs w:val="0"/>
              </w:rPr>
            </w:pPr>
            <w:r>
              <w:rPr>
                <w:b w:val="0"/>
                <w:bCs w:val="0"/>
              </w:rPr>
              <w:t>Mean</w:t>
            </w:r>
          </w:p>
          <w:p w14:paraId="076E9477" w14:textId="31C5C984" w:rsidR="004D7176" w:rsidRPr="00962591" w:rsidRDefault="00587326" w:rsidP="00962591">
            <w:pPr>
              <w:pStyle w:val="TableFigureHeading"/>
              <w:rPr>
                <w:b w:val="0"/>
                <w:bCs w:val="0"/>
              </w:rPr>
            </w:pPr>
            <w:r w:rsidRPr="004D060D">
              <w:rPr>
                <w:b w:val="0"/>
                <w:bCs w:val="0"/>
              </w:rPr>
              <w:t>[</w:t>
            </w:r>
            <w:r>
              <w:rPr>
                <w:b w:val="0"/>
                <w:bCs w:val="0"/>
              </w:rPr>
              <w:t>ULN</w:t>
            </w:r>
            <w:r w:rsidRPr="004D060D">
              <w:rPr>
                <w:b w:val="0"/>
                <w:bCs w:val="0"/>
              </w:rPr>
              <w:t xml:space="preserve"> for the assay used, ng/mL]</w:t>
            </w:r>
          </w:p>
        </w:tc>
        <w:tc>
          <w:tcPr>
            <w:tcW w:w="4677" w:type="dxa"/>
          </w:tcPr>
          <w:p w14:paraId="04A72849" w14:textId="175B9E8B" w:rsidR="00E81313" w:rsidRDefault="00E81313" w:rsidP="00962591">
            <w:pPr>
              <w:pStyle w:val="TableFigureHeading"/>
              <w:rPr>
                <w:b w:val="0"/>
                <w:bCs w:val="0"/>
              </w:rPr>
            </w:pPr>
          </w:p>
          <w:p w14:paraId="5C37AD84" w14:textId="77777777" w:rsidR="00E81313" w:rsidRDefault="00E81313" w:rsidP="00962591">
            <w:pPr>
              <w:pStyle w:val="TableFigureHeading"/>
              <w:rPr>
                <w:b w:val="0"/>
                <w:bCs w:val="0"/>
              </w:rPr>
            </w:pPr>
          </w:p>
          <w:p w14:paraId="2EEA224E" w14:textId="77777777" w:rsidR="00E81313" w:rsidRDefault="00E81313" w:rsidP="00962591">
            <w:pPr>
              <w:pStyle w:val="TableFigureHeading"/>
              <w:rPr>
                <w:b w:val="0"/>
                <w:bCs w:val="0"/>
              </w:rPr>
            </w:pPr>
            <w:r>
              <w:rPr>
                <w:b w:val="0"/>
                <w:bCs w:val="0"/>
              </w:rPr>
              <w:t>0.68</w:t>
            </w:r>
          </w:p>
          <w:p w14:paraId="38425938" w14:textId="3F786D04" w:rsidR="00DE0DA1" w:rsidRPr="00962591" w:rsidRDefault="00DE0DA1" w:rsidP="00962591">
            <w:pPr>
              <w:pStyle w:val="TableFigureHeading"/>
              <w:rPr>
                <w:b w:val="0"/>
                <w:bCs w:val="0"/>
              </w:rPr>
            </w:pPr>
            <w:r>
              <w:rPr>
                <w:b w:val="0"/>
                <w:bCs w:val="0"/>
              </w:rPr>
              <w:t>[0.50]</w:t>
            </w:r>
          </w:p>
        </w:tc>
      </w:tr>
      <w:tr w:rsidR="00E81313" w14:paraId="775E4016" w14:textId="77777777" w:rsidTr="00C62071">
        <w:tc>
          <w:tcPr>
            <w:tcW w:w="4390" w:type="dxa"/>
          </w:tcPr>
          <w:p w14:paraId="2B14D109" w14:textId="77777777" w:rsidR="00E81313" w:rsidRDefault="00E81313" w:rsidP="00962591">
            <w:pPr>
              <w:pStyle w:val="TableFigureHeading"/>
              <w:rPr>
                <w:b w:val="0"/>
                <w:bCs w:val="0"/>
              </w:rPr>
            </w:pPr>
            <w:proofErr w:type="spellStart"/>
            <w:r>
              <w:rPr>
                <w:b w:val="0"/>
                <w:bCs w:val="0"/>
              </w:rPr>
              <w:t>Shifren</w:t>
            </w:r>
            <w:proofErr w:type="spellEnd"/>
            <w:r>
              <w:rPr>
                <w:b w:val="0"/>
                <w:bCs w:val="0"/>
              </w:rPr>
              <w:t>, 2006</w:t>
            </w:r>
          </w:p>
          <w:p w14:paraId="101A1866" w14:textId="77777777" w:rsidR="00E81313" w:rsidRDefault="00E81313" w:rsidP="00962591">
            <w:pPr>
              <w:pStyle w:val="TableFigureHeading"/>
              <w:rPr>
                <w:b w:val="0"/>
                <w:bCs w:val="0"/>
              </w:rPr>
            </w:pPr>
            <w:r>
              <w:rPr>
                <w:b w:val="0"/>
                <w:bCs w:val="0"/>
              </w:rPr>
              <w:t>N = 270</w:t>
            </w:r>
          </w:p>
          <w:p w14:paraId="47FCA842" w14:textId="77777777" w:rsidR="00E81313" w:rsidRDefault="00E81313" w:rsidP="00962591">
            <w:pPr>
              <w:pStyle w:val="TableFigureHeading"/>
              <w:rPr>
                <w:b w:val="0"/>
                <w:bCs w:val="0"/>
              </w:rPr>
            </w:pPr>
            <w:r>
              <w:rPr>
                <w:b w:val="0"/>
                <w:bCs w:val="0"/>
              </w:rPr>
              <w:t>Median (10th, 90th centile)</w:t>
            </w:r>
          </w:p>
          <w:p w14:paraId="287E7BBB" w14:textId="0DA95FAD" w:rsidR="00107851" w:rsidRPr="00962591" w:rsidRDefault="00587326" w:rsidP="00962591">
            <w:pPr>
              <w:pStyle w:val="TableFigureHeading"/>
              <w:rPr>
                <w:b w:val="0"/>
                <w:bCs w:val="0"/>
              </w:rPr>
            </w:pPr>
            <w:r w:rsidRPr="004D060D">
              <w:rPr>
                <w:b w:val="0"/>
                <w:bCs w:val="0"/>
              </w:rPr>
              <w:t>[</w:t>
            </w:r>
            <w:r>
              <w:rPr>
                <w:b w:val="0"/>
                <w:bCs w:val="0"/>
              </w:rPr>
              <w:t>ULN</w:t>
            </w:r>
            <w:r w:rsidRPr="004D060D">
              <w:rPr>
                <w:b w:val="0"/>
                <w:bCs w:val="0"/>
              </w:rPr>
              <w:t xml:space="preserve"> for the assay used, ng/mL]</w:t>
            </w:r>
          </w:p>
        </w:tc>
        <w:tc>
          <w:tcPr>
            <w:tcW w:w="4677" w:type="dxa"/>
          </w:tcPr>
          <w:p w14:paraId="757FBFFF" w14:textId="4F52405C" w:rsidR="00E81313" w:rsidRDefault="00E81313" w:rsidP="00962591">
            <w:pPr>
              <w:pStyle w:val="TableFigureHeading"/>
              <w:rPr>
                <w:b w:val="0"/>
                <w:bCs w:val="0"/>
              </w:rPr>
            </w:pPr>
          </w:p>
          <w:p w14:paraId="2A4F3C7B" w14:textId="77777777" w:rsidR="00E81313" w:rsidRDefault="00E81313" w:rsidP="00962591">
            <w:pPr>
              <w:pStyle w:val="TableFigureHeading"/>
              <w:rPr>
                <w:b w:val="0"/>
                <w:bCs w:val="0"/>
              </w:rPr>
            </w:pPr>
          </w:p>
          <w:p w14:paraId="0EBD5DEB" w14:textId="77777777" w:rsidR="00E81313" w:rsidRDefault="00E81313" w:rsidP="00962591">
            <w:pPr>
              <w:pStyle w:val="TableFigureHeading"/>
              <w:rPr>
                <w:b w:val="0"/>
                <w:bCs w:val="0"/>
              </w:rPr>
            </w:pPr>
            <w:r>
              <w:rPr>
                <w:b w:val="0"/>
                <w:bCs w:val="0"/>
              </w:rPr>
              <w:t>0.54 (0.20, 1.19)</w:t>
            </w:r>
          </w:p>
          <w:p w14:paraId="175D7500" w14:textId="43816809" w:rsidR="00DE0DA1" w:rsidRPr="00962591" w:rsidRDefault="00DE0DA1" w:rsidP="00962591">
            <w:pPr>
              <w:pStyle w:val="TableFigureHeading"/>
              <w:rPr>
                <w:b w:val="0"/>
                <w:bCs w:val="0"/>
              </w:rPr>
            </w:pPr>
            <w:r>
              <w:rPr>
                <w:b w:val="0"/>
                <w:bCs w:val="0"/>
              </w:rPr>
              <w:t>[0.73]</w:t>
            </w:r>
          </w:p>
        </w:tc>
      </w:tr>
      <w:tr w:rsidR="00E81313" w14:paraId="3FDD81B8" w14:textId="77777777" w:rsidTr="00C62071">
        <w:tc>
          <w:tcPr>
            <w:tcW w:w="4390" w:type="dxa"/>
          </w:tcPr>
          <w:p w14:paraId="5EB77218" w14:textId="77777777" w:rsidR="00E81313" w:rsidRDefault="00E81313" w:rsidP="00962591">
            <w:pPr>
              <w:pStyle w:val="TableFigureHeading"/>
              <w:rPr>
                <w:b w:val="0"/>
                <w:bCs w:val="0"/>
              </w:rPr>
            </w:pPr>
          </w:p>
        </w:tc>
        <w:tc>
          <w:tcPr>
            <w:tcW w:w="4677" w:type="dxa"/>
          </w:tcPr>
          <w:p w14:paraId="3EA0F4D6" w14:textId="275D4370" w:rsidR="00E81313" w:rsidRPr="003108DE" w:rsidRDefault="00E81313" w:rsidP="00962591">
            <w:pPr>
              <w:pStyle w:val="TableFigureHeading"/>
            </w:pPr>
            <w:r w:rsidRPr="003108DE">
              <w:t>Serum testosterone at 21 days, ng/mL</w:t>
            </w:r>
          </w:p>
        </w:tc>
      </w:tr>
      <w:tr w:rsidR="00E81313" w14:paraId="7C74756E" w14:textId="77777777" w:rsidTr="00C62071">
        <w:tc>
          <w:tcPr>
            <w:tcW w:w="4390" w:type="dxa"/>
          </w:tcPr>
          <w:p w14:paraId="52CC0328" w14:textId="04DB30D3" w:rsidR="00E81313" w:rsidRDefault="00E81313" w:rsidP="003108DE">
            <w:pPr>
              <w:pStyle w:val="TableFigureHeading"/>
              <w:rPr>
                <w:b w:val="0"/>
                <w:bCs w:val="0"/>
              </w:rPr>
            </w:pPr>
            <w:proofErr w:type="spellStart"/>
            <w:r>
              <w:rPr>
                <w:b w:val="0"/>
                <w:bCs w:val="0"/>
              </w:rPr>
              <w:t>Fooladi</w:t>
            </w:r>
            <w:proofErr w:type="spellEnd"/>
            <w:r>
              <w:rPr>
                <w:b w:val="0"/>
                <w:bCs w:val="0"/>
              </w:rPr>
              <w:t xml:space="preserve"> (2015), 5</w:t>
            </w:r>
            <w:r w:rsidR="00D91F1E">
              <w:rPr>
                <w:b w:val="0"/>
                <w:bCs w:val="0"/>
              </w:rPr>
              <w:t xml:space="preserve"> </w:t>
            </w:r>
            <w:r>
              <w:rPr>
                <w:b w:val="0"/>
                <w:bCs w:val="0"/>
              </w:rPr>
              <w:t>mg dose</w:t>
            </w:r>
          </w:p>
          <w:p w14:paraId="639737D0" w14:textId="77777777" w:rsidR="00E81313" w:rsidRDefault="00E81313" w:rsidP="0019373F">
            <w:pPr>
              <w:pStyle w:val="TableFigureHeading"/>
              <w:rPr>
                <w:b w:val="0"/>
                <w:bCs w:val="0"/>
              </w:rPr>
            </w:pPr>
            <w:r>
              <w:rPr>
                <w:b w:val="0"/>
                <w:bCs w:val="0"/>
              </w:rPr>
              <w:t>Mean (SD)</w:t>
            </w:r>
          </w:p>
          <w:p w14:paraId="303AD4BF" w14:textId="77777777" w:rsidR="00E81313" w:rsidRDefault="00E81313" w:rsidP="0019373F">
            <w:pPr>
              <w:pStyle w:val="TableFigureHeading"/>
              <w:rPr>
                <w:b w:val="0"/>
                <w:bCs w:val="0"/>
              </w:rPr>
            </w:pPr>
            <w:r>
              <w:rPr>
                <w:b w:val="0"/>
                <w:bCs w:val="0"/>
              </w:rPr>
              <w:t>Median (range)</w:t>
            </w:r>
          </w:p>
          <w:p w14:paraId="68E1B67F" w14:textId="4D654F10" w:rsidR="00107851" w:rsidRDefault="00587326" w:rsidP="0019373F">
            <w:pPr>
              <w:pStyle w:val="TableFigureHeading"/>
              <w:rPr>
                <w:b w:val="0"/>
                <w:bCs w:val="0"/>
              </w:rPr>
            </w:pPr>
            <w:r w:rsidRPr="004D060D">
              <w:rPr>
                <w:b w:val="0"/>
                <w:bCs w:val="0"/>
              </w:rPr>
              <w:t>[</w:t>
            </w:r>
            <w:r>
              <w:rPr>
                <w:b w:val="0"/>
                <w:bCs w:val="0"/>
              </w:rPr>
              <w:t>ULN</w:t>
            </w:r>
            <w:r w:rsidRPr="004D060D">
              <w:rPr>
                <w:b w:val="0"/>
                <w:bCs w:val="0"/>
              </w:rPr>
              <w:t xml:space="preserve"> for the assay used, ng/mL]</w:t>
            </w:r>
          </w:p>
        </w:tc>
        <w:tc>
          <w:tcPr>
            <w:tcW w:w="4677" w:type="dxa"/>
          </w:tcPr>
          <w:p w14:paraId="07B44A0A" w14:textId="18823A29" w:rsidR="00E81313" w:rsidRDefault="00E81313" w:rsidP="00962591">
            <w:pPr>
              <w:pStyle w:val="TableFigureHeading"/>
            </w:pPr>
          </w:p>
          <w:p w14:paraId="3F319884" w14:textId="77777777" w:rsidR="00E81313" w:rsidRPr="003108DE" w:rsidRDefault="00E81313" w:rsidP="00962591">
            <w:pPr>
              <w:pStyle w:val="TableFigureHeading"/>
              <w:rPr>
                <w:b w:val="0"/>
                <w:bCs w:val="0"/>
              </w:rPr>
            </w:pPr>
            <w:r w:rsidRPr="003108DE">
              <w:rPr>
                <w:b w:val="0"/>
                <w:bCs w:val="0"/>
              </w:rPr>
              <w:t>0.52 (0.32)</w:t>
            </w:r>
          </w:p>
          <w:p w14:paraId="2B960536" w14:textId="77777777" w:rsidR="00E81313" w:rsidRDefault="00E81313" w:rsidP="00962591">
            <w:pPr>
              <w:pStyle w:val="TableFigureHeading"/>
              <w:rPr>
                <w:b w:val="0"/>
                <w:bCs w:val="0"/>
              </w:rPr>
            </w:pPr>
            <w:r w:rsidRPr="003108DE">
              <w:rPr>
                <w:b w:val="0"/>
                <w:bCs w:val="0"/>
              </w:rPr>
              <w:t>0.38 (0.37, 1.10)</w:t>
            </w:r>
          </w:p>
          <w:p w14:paraId="36231F4C" w14:textId="27507FA0" w:rsidR="00DE0DA1" w:rsidRPr="00DE0DA1" w:rsidRDefault="00DE0DA1" w:rsidP="00962591">
            <w:pPr>
              <w:pStyle w:val="TableFigureHeading"/>
              <w:rPr>
                <w:b w:val="0"/>
                <w:bCs w:val="0"/>
              </w:rPr>
            </w:pPr>
            <w:r w:rsidRPr="00DE0DA1">
              <w:rPr>
                <w:b w:val="0"/>
                <w:bCs w:val="0"/>
              </w:rPr>
              <w:t>[0.49]</w:t>
            </w:r>
          </w:p>
        </w:tc>
      </w:tr>
    </w:tbl>
    <w:p w14:paraId="2F9B3568" w14:textId="77777777" w:rsidR="00587326" w:rsidRDefault="00CD1527" w:rsidP="00842EDE">
      <w:pPr>
        <w:pStyle w:val="TableFigureFooter"/>
      </w:pPr>
      <w:r>
        <w:t xml:space="preserve">Source: Constructed during the evaluation from published reports. </w:t>
      </w:r>
    </w:p>
    <w:p w14:paraId="416A75A8" w14:textId="53787D0B" w:rsidR="00962591" w:rsidRDefault="00CD1527" w:rsidP="00842EDE">
      <w:pPr>
        <w:pStyle w:val="TableFigureFooter"/>
      </w:pPr>
      <w:r>
        <w:t>SD = standard deviation</w:t>
      </w:r>
      <w:r w:rsidR="00587326">
        <w:t>; ULN = u</w:t>
      </w:r>
      <w:r w:rsidR="00587326" w:rsidRPr="004D7176">
        <w:t xml:space="preserve">pper </w:t>
      </w:r>
      <w:r w:rsidR="00587326">
        <w:t>l</w:t>
      </w:r>
      <w:r w:rsidR="00587326" w:rsidRPr="004D7176">
        <w:t xml:space="preserve">imit of </w:t>
      </w:r>
      <w:r w:rsidR="00587326">
        <w:t>n</w:t>
      </w:r>
      <w:r w:rsidR="00587326" w:rsidRPr="004D7176">
        <w:t>ormal</w:t>
      </w:r>
      <w:r>
        <w:t xml:space="preserve">. </w:t>
      </w:r>
    </w:p>
    <w:p w14:paraId="32C55990" w14:textId="78339951" w:rsidR="00DD7D70" w:rsidRPr="002356A5" w:rsidRDefault="00686F53">
      <w:pPr>
        <w:pStyle w:val="3-BodyText"/>
      </w:pPr>
      <w:r w:rsidRPr="00DD7D70">
        <w:rPr>
          <w:iCs/>
        </w:rPr>
        <w:t xml:space="preserve">The mean and median levels reported by </w:t>
      </w:r>
      <w:proofErr w:type="spellStart"/>
      <w:r w:rsidRPr="00DD7D70">
        <w:rPr>
          <w:iCs/>
        </w:rPr>
        <w:t>Fooladi</w:t>
      </w:r>
      <w:proofErr w:type="spellEnd"/>
      <w:r w:rsidRPr="00DD7D70">
        <w:rPr>
          <w:iCs/>
        </w:rPr>
        <w:t xml:space="preserve"> (2014) for a 5 mg dose were below the level</w:t>
      </w:r>
      <w:r w:rsidR="00526D61" w:rsidRPr="00DD7D70">
        <w:rPr>
          <w:iCs/>
        </w:rPr>
        <w:t>s</w:t>
      </w:r>
      <w:r w:rsidRPr="00DD7D70">
        <w:rPr>
          <w:iCs/>
        </w:rPr>
        <w:t xml:space="preserve"> reported in</w:t>
      </w:r>
      <w:r w:rsidR="00DD7D70">
        <w:rPr>
          <w:iCs/>
        </w:rPr>
        <w:t xml:space="preserve"> the</w:t>
      </w:r>
      <w:r w:rsidR="00DD7D70" w:rsidRPr="00DD7D70">
        <w:rPr>
          <w:iCs/>
        </w:rPr>
        <w:t xml:space="preserve"> </w:t>
      </w:r>
      <w:r w:rsidRPr="00DD7D70">
        <w:rPr>
          <w:iCs/>
        </w:rPr>
        <w:t>trials</w:t>
      </w:r>
      <w:r w:rsidR="00DD7D70" w:rsidRPr="00DD7D70">
        <w:rPr>
          <w:iCs/>
        </w:rPr>
        <w:t xml:space="preserve"> included in the systematic review.</w:t>
      </w:r>
      <w:r w:rsidR="00DD7D70">
        <w:rPr>
          <w:iCs/>
        </w:rPr>
        <w:t xml:space="preserve"> </w:t>
      </w:r>
      <w:r w:rsidR="000A6778" w:rsidRPr="002356A5">
        <w:t xml:space="preserve">Based on these results, the beneficial effects of a 5 mg dose of testosterone 1% cream may be smaller than those observed in </w:t>
      </w:r>
      <w:r w:rsidR="00693E37" w:rsidRPr="002356A5">
        <w:t>the</w:t>
      </w:r>
      <w:r w:rsidR="00DB2237" w:rsidRPr="002356A5">
        <w:t xml:space="preserve"> trials</w:t>
      </w:r>
      <w:r w:rsidR="00693E37" w:rsidRPr="002356A5">
        <w:t>.</w:t>
      </w:r>
      <w:r w:rsidR="000A6778" w:rsidRPr="002356A5">
        <w:t xml:space="preserve"> </w:t>
      </w:r>
      <w:bookmarkStart w:id="52" w:name="_Toc22897642"/>
    </w:p>
    <w:p w14:paraId="1452C351" w14:textId="75CC1EC5" w:rsidR="00B60939" w:rsidRPr="00DD7D70" w:rsidRDefault="00B60939" w:rsidP="00DD7D70">
      <w:pPr>
        <w:pStyle w:val="4-SubsectionHeading"/>
        <w:rPr>
          <w:iCs/>
        </w:rPr>
      </w:pPr>
      <w:bookmarkStart w:id="53" w:name="_Toc208926782"/>
      <w:r w:rsidRPr="0098262F">
        <w:t>Comparative harms</w:t>
      </w:r>
      <w:bookmarkEnd w:id="52"/>
      <w:bookmarkEnd w:id="53"/>
    </w:p>
    <w:p w14:paraId="7D8221AB" w14:textId="7457AC8B" w:rsidR="003108DE" w:rsidRDefault="003108DE">
      <w:pPr>
        <w:pStyle w:val="3-BodyText"/>
      </w:pPr>
      <w:r>
        <w:t>No serious adverse events were reported in the submitted trial (El-Hage, 2007). Neither acne nor hirsutism w</w:t>
      </w:r>
      <w:r w:rsidR="00072426">
        <w:t>ere</w:t>
      </w:r>
      <w:r>
        <w:t xml:space="preserve"> reported</w:t>
      </w:r>
      <w:r w:rsidR="00B07C1B">
        <w:t xml:space="preserve"> as an adverse event</w:t>
      </w:r>
      <w:r>
        <w:t xml:space="preserve">. </w:t>
      </w:r>
    </w:p>
    <w:p w14:paraId="78BCB336" w14:textId="277262CF" w:rsidR="0024513D" w:rsidRDefault="001D740B" w:rsidP="0024513D">
      <w:pPr>
        <w:pStyle w:val="3-BodyText"/>
      </w:pPr>
      <w:bookmarkStart w:id="54" w:name="_Ref206236258"/>
      <w:r>
        <w:t>In the systematic review and meta-analysis (Islam, 2019), s</w:t>
      </w:r>
      <w:r w:rsidR="0024513D">
        <w:t>erious adverse events were not more frequent with testosterone</w:t>
      </w:r>
      <w:r>
        <w:t xml:space="preserve">. However, </w:t>
      </w:r>
      <w:r w:rsidR="0024513D">
        <w:t>data from 3</w:t>
      </w:r>
      <w:r w:rsidR="007B18F5">
        <w:t>,</w:t>
      </w:r>
      <w:r w:rsidR="0024513D">
        <w:t>264 patients in 11 studies showed that testosterone was associated with a greater likelihood of acne, with a relative risk (95% CI) of 1.46 (1.11, 1.92), and data from 4178 patients in 11 studies showed a greater likelihood of increased hair growth, with a relative risk (95% CI) of 1.69 (1.32, 2.14).</w:t>
      </w:r>
      <w:bookmarkEnd w:id="54"/>
      <w:r w:rsidR="0024513D">
        <w:t xml:space="preserve"> </w:t>
      </w:r>
    </w:p>
    <w:p w14:paraId="56470CB0" w14:textId="639E29EB" w:rsidR="00EF7A26" w:rsidRDefault="00EF7A26" w:rsidP="0024513D">
      <w:pPr>
        <w:pStyle w:val="3-BodyText"/>
      </w:pPr>
      <w:r>
        <w:lastRenderedPageBreak/>
        <w:t>There were no long</w:t>
      </w:r>
      <w:r w:rsidR="006A5158">
        <w:t>-</w:t>
      </w:r>
      <w:r>
        <w:t>term safety data (</w:t>
      </w:r>
      <w:r w:rsidR="000F070D">
        <w:t>i.e.</w:t>
      </w:r>
      <w:r>
        <w:t xml:space="preserve"> more than 2 years) provided.</w:t>
      </w:r>
    </w:p>
    <w:p w14:paraId="04908C7F" w14:textId="415B9B7D" w:rsidR="007F1017" w:rsidRPr="0098262F" w:rsidRDefault="007F1017" w:rsidP="00D86231">
      <w:pPr>
        <w:pStyle w:val="4-SubsectionHeading"/>
      </w:pPr>
      <w:bookmarkStart w:id="55" w:name="_Toc22897643"/>
      <w:bookmarkStart w:id="56" w:name="_Toc208926783"/>
      <w:r w:rsidRPr="0098262F">
        <w:t>Benefits/harms</w:t>
      </w:r>
      <w:bookmarkEnd w:id="55"/>
      <w:bookmarkEnd w:id="56"/>
    </w:p>
    <w:p w14:paraId="0E7F12DC" w14:textId="62699A3A" w:rsidR="00FE4AF8" w:rsidRPr="0098262F" w:rsidRDefault="00FE4AF8" w:rsidP="008F1C03">
      <w:pPr>
        <w:pStyle w:val="3-BodyText"/>
      </w:pPr>
      <w:r w:rsidRPr="0098262F">
        <w:t xml:space="preserve">The </w:t>
      </w:r>
      <w:r w:rsidR="008407FD">
        <w:t xml:space="preserve">data </w:t>
      </w:r>
      <w:r w:rsidRPr="0098262F">
        <w:t xml:space="preserve">presented in the submission did not allow for a quantitative comparison of the benefits and harms of </w:t>
      </w:r>
      <w:r w:rsidR="008407FD">
        <w:t xml:space="preserve">testosterone 1% cream </w:t>
      </w:r>
      <w:r w:rsidRPr="0098262F">
        <w:t>and</w:t>
      </w:r>
      <w:r w:rsidR="008407FD">
        <w:t xml:space="preserve"> placebo in the PBS eligible population.</w:t>
      </w:r>
      <w:r w:rsidRPr="0098262F">
        <w:t xml:space="preserve"> Accordingly, a benefits/harms table has not been presented.</w:t>
      </w:r>
    </w:p>
    <w:p w14:paraId="7A1772B6" w14:textId="23BB3145" w:rsidR="00B60939" w:rsidRPr="0098262F" w:rsidRDefault="00B60939" w:rsidP="00E9094A">
      <w:pPr>
        <w:pStyle w:val="4-SubsectionHeading"/>
      </w:pPr>
      <w:bookmarkStart w:id="57" w:name="_Toc22897644"/>
      <w:bookmarkStart w:id="58" w:name="_Toc208926784"/>
      <w:r w:rsidRPr="0098262F">
        <w:t>Clinical claim</w:t>
      </w:r>
      <w:bookmarkEnd w:id="57"/>
      <w:bookmarkEnd w:id="58"/>
    </w:p>
    <w:p w14:paraId="168A79DE" w14:textId="371726F1" w:rsidR="002B5472" w:rsidRPr="00B92881" w:rsidRDefault="005F7588" w:rsidP="00B92881">
      <w:pPr>
        <w:pStyle w:val="3-BodyText"/>
        <w:rPr>
          <w:rFonts w:eastAsia="Calibri"/>
        </w:rPr>
      </w:pPr>
      <w:r w:rsidRPr="0098262F">
        <w:rPr>
          <w:rFonts w:eastAsia="Calibri"/>
        </w:rPr>
        <w:t xml:space="preserve">The submission described </w:t>
      </w:r>
      <w:r w:rsidR="00167300">
        <w:rPr>
          <w:rFonts w:eastAsia="Calibri"/>
        </w:rPr>
        <w:t>testosterone 1% cream</w:t>
      </w:r>
      <w:r w:rsidRPr="0098262F">
        <w:rPr>
          <w:rFonts w:eastAsia="Calibri"/>
        </w:rPr>
        <w:t xml:space="preserve"> as superior in terms of effectiveness compared to </w:t>
      </w:r>
      <w:r w:rsidR="00167300">
        <w:rPr>
          <w:rFonts w:eastAsia="Calibri"/>
        </w:rPr>
        <w:t>placebo</w:t>
      </w:r>
      <w:r w:rsidRPr="0098262F">
        <w:rPr>
          <w:rFonts w:eastAsia="Calibri"/>
        </w:rPr>
        <w:t xml:space="preserve">. </w:t>
      </w:r>
      <w:r w:rsidRPr="002356A5">
        <w:rPr>
          <w:rFonts w:eastAsia="Calibri"/>
        </w:rPr>
        <w:t>Th</w:t>
      </w:r>
      <w:r w:rsidR="007042FA">
        <w:rPr>
          <w:rFonts w:eastAsia="Calibri"/>
        </w:rPr>
        <w:t>e evaluation considered that th</w:t>
      </w:r>
      <w:r w:rsidRPr="002356A5">
        <w:rPr>
          <w:rFonts w:eastAsia="Calibri"/>
        </w:rPr>
        <w:t>is claim was not adequately supported</w:t>
      </w:r>
      <w:r w:rsidR="007C70FF" w:rsidRPr="002356A5">
        <w:rPr>
          <w:rFonts w:eastAsia="Calibri"/>
        </w:rPr>
        <w:t xml:space="preserve"> </w:t>
      </w:r>
      <w:r w:rsidR="00167300" w:rsidRPr="002356A5">
        <w:rPr>
          <w:rFonts w:eastAsia="Calibri"/>
        </w:rPr>
        <w:t>by the evidence presented, because the only trial presented was small</w:t>
      </w:r>
      <w:r w:rsidR="007979EB" w:rsidRPr="002356A5">
        <w:rPr>
          <w:rFonts w:eastAsia="Calibri"/>
        </w:rPr>
        <w:t xml:space="preserve"> (N=</w:t>
      </w:r>
      <w:r w:rsidR="000A3315" w:rsidRPr="002356A5">
        <w:rPr>
          <w:rFonts w:eastAsia="Calibri"/>
        </w:rPr>
        <w:t>36)</w:t>
      </w:r>
      <w:r w:rsidR="00167300" w:rsidRPr="002356A5">
        <w:rPr>
          <w:rFonts w:eastAsia="Calibri"/>
        </w:rPr>
        <w:t>, used a higher dose</w:t>
      </w:r>
      <w:r w:rsidR="003E07B2" w:rsidRPr="002356A5">
        <w:rPr>
          <w:rFonts w:eastAsia="Calibri"/>
        </w:rPr>
        <w:t xml:space="preserve"> (10 m</w:t>
      </w:r>
      <w:r w:rsidR="00297772" w:rsidRPr="002356A5">
        <w:rPr>
          <w:rFonts w:eastAsia="Calibri"/>
        </w:rPr>
        <w:t>g/day</w:t>
      </w:r>
      <w:r w:rsidR="003E07B2" w:rsidRPr="002356A5">
        <w:rPr>
          <w:rFonts w:eastAsia="Calibri"/>
        </w:rPr>
        <w:t>)</w:t>
      </w:r>
      <w:r w:rsidR="00167300" w:rsidRPr="002356A5">
        <w:rPr>
          <w:rFonts w:eastAsia="Calibri"/>
        </w:rPr>
        <w:t xml:space="preserve"> than proposed</w:t>
      </w:r>
      <w:r w:rsidR="00297772" w:rsidRPr="002356A5">
        <w:rPr>
          <w:rFonts w:eastAsia="Calibri"/>
        </w:rPr>
        <w:t xml:space="preserve"> (5 mg/day)</w:t>
      </w:r>
      <w:r w:rsidR="00167300" w:rsidRPr="002356A5">
        <w:rPr>
          <w:rFonts w:eastAsia="Calibri"/>
        </w:rPr>
        <w:t xml:space="preserve"> for initial treatment, </w:t>
      </w:r>
      <w:r w:rsidR="00526D61" w:rsidRPr="002356A5">
        <w:rPr>
          <w:rFonts w:eastAsia="Calibri"/>
        </w:rPr>
        <w:t>and enrolled only menopausal women</w:t>
      </w:r>
      <w:r w:rsidR="00167300" w:rsidRPr="002356A5">
        <w:rPr>
          <w:rFonts w:eastAsia="Calibri"/>
        </w:rPr>
        <w:t xml:space="preserve"> who </w:t>
      </w:r>
      <w:r w:rsidR="00AB001E" w:rsidRPr="002356A5">
        <w:rPr>
          <w:rFonts w:eastAsia="Calibri"/>
        </w:rPr>
        <w:t xml:space="preserve">had undergone hysterectomy and </w:t>
      </w:r>
      <w:r w:rsidR="00167300" w:rsidRPr="002356A5">
        <w:rPr>
          <w:rFonts w:eastAsia="Calibri"/>
        </w:rPr>
        <w:t xml:space="preserve">did not meet the </w:t>
      </w:r>
      <w:r w:rsidR="00526D61" w:rsidRPr="002356A5">
        <w:rPr>
          <w:rFonts w:eastAsia="Calibri"/>
        </w:rPr>
        <w:t xml:space="preserve">diagnostic </w:t>
      </w:r>
      <w:r w:rsidR="00167300" w:rsidRPr="002356A5">
        <w:rPr>
          <w:rFonts w:eastAsia="Calibri"/>
        </w:rPr>
        <w:t xml:space="preserve">criteria for the condition </w:t>
      </w:r>
      <w:r w:rsidR="00693E37" w:rsidRPr="002356A5">
        <w:rPr>
          <w:rFonts w:eastAsia="Calibri"/>
        </w:rPr>
        <w:t>specified in the restriction</w:t>
      </w:r>
      <w:r w:rsidR="00167300" w:rsidRPr="002356A5">
        <w:rPr>
          <w:rFonts w:eastAsia="Calibri"/>
        </w:rPr>
        <w:t xml:space="preserve">. </w:t>
      </w:r>
      <w:r w:rsidR="00632D55" w:rsidRPr="00320580">
        <w:rPr>
          <w:rFonts w:eastAsia="Calibri"/>
          <w:iCs/>
        </w:rPr>
        <w:t>The PSCR stated that the TGA considered “the dosage recommendations were made on the basis of the totality of available evidence, i.e. that a 5</w:t>
      </w:r>
      <w:r w:rsidR="00266238" w:rsidRPr="00320580">
        <w:rPr>
          <w:rFonts w:eastAsia="Calibri"/>
          <w:iCs/>
        </w:rPr>
        <w:t xml:space="preserve"> </w:t>
      </w:r>
      <w:r w:rsidR="00632D55" w:rsidRPr="00320580">
        <w:rPr>
          <w:rFonts w:eastAsia="Calibri"/>
          <w:iCs/>
        </w:rPr>
        <w:t>mg dose will deliver testosterone in female physiological concentrations in most patients, with 10</w:t>
      </w:r>
      <w:r w:rsidR="00266238" w:rsidRPr="00320580">
        <w:rPr>
          <w:rFonts w:eastAsia="Calibri"/>
          <w:iCs/>
        </w:rPr>
        <w:t xml:space="preserve"> </w:t>
      </w:r>
      <w:r w:rsidR="00632D55" w:rsidRPr="00320580">
        <w:rPr>
          <w:rFonts w:eastAsia="Calibri"/>
          <w:iCs/>
        </w:rPr>
        <w:t>mg reserved for patients who remain symptomatic and have not exceeded female physiological levels of testosterone by more than 50% after a 12-week trial”.</w:t>
      </w:r>
      <w:r w:rsidR="00632D55" w:rsidRPr="00B92881">
        <w:rPr>
          <w:rFonts w:eastAsia="Calibri"/>
        </w:rPr>
        <w:t xml:space="preserve"> </w:t>
      </w:r>
      <w:r w:rsidR="00655974">
        <w:rPr>
          <w:rFonts w:eastAsia="Calibri"/>
        </w:rPr>
        <w:t>The Pre-PBAC Response stated that t</w:t>
      </w:r>
      <w:r w:rsidR="00655974" w:rsidRPr="00655974">
        <w:rPr>
          <w:rFonts w:eastAsia="Calibri"/>
        </w:rPr>
        <w:t xml:space="preserve">he TGA approved </w:t>
      </w:r>
      <w:r w:rsidR="00655974">
        <w:rPr>
          <w:rFonts w:eastAsia="Calibri"/>
        </w:rPr>
        <w:t xml:space="preserve">testosterone 1% cream </w:t>
      </w:r>
      <w:r w:rsidR="00655974" w:rsidRPr="00655974">
        <w:rPr>
          <w:rFonts w:eastAsia="Calibri"/>
        </w:rPr>
        <w:t xml:space="preserve">for the treatment of </w:t>
      </w:r>
      <w:r w:rsidR="00655974">
        <w:rPr>
          <w:rFonts w:eastAsia="Calibri"/>
        </w:rPr>
        <w:t>HSDD</w:t>
      </w:r>
      <w:r w:rsidR="00655974" w:rsidRPr="00655974">
        <w:rPr>
          <w:rFonts w:eastAsia="Calibri"/>
        </w:rPr>
        <w:t xml:space="preserve"> based on </w:t>
      </w:r>
      <w:r w:rsidR="00655974">
        <w:rPr>
          <w:rFonts w:eastAsia="Calibri"/>
        </w:rPr>
        <w:t>“</w:t>
      </w:r>
      <w:r w:rsidR="00655974" w:rsidRPr="00655974">
        <w:rPr>
          <w:rFonts w:eastAsia="Calibri"/>
        </w:rPr>
        <w:t>a comprehensive set of clinical data, including supportive bridging data from testosterone patch trials and broader transdermal studies</w:t>
      </w:r>
      <w:r w:rsidR="00655974">
        <w:rPr>
          <w:rFonts w:eastAsia="Calibri"/>
        </w:rPr>
        <w:t>”</w:t>
      </w:r>
      <w:r w:rsidR="00655974" w:rsidRPr="00655974">
        <w:rPr>
          <w:rFonts w:eastAsia="Calibri"/>
        </w:rPr>
        <w:t xml:space="preserve">. The </w:t>
      </w:r>
      <w:r w:rsidR="00655974">
        <w:rPr>
          <w:rFonts w:eastAsia="Calibri"/>
        </w:rPr>
        <w:t xml:space="preserve">Response asserted that “the </w:t>
      </w:r>
      <w:r w:rsidR="00655974" w:rsidRPr="00655974">
        <w:rPr>
          <w:rFonts w:eastAsia="Calibri"/>
        </w:rPr>
        <w:t>entirety of this body of evidence must be considered in the evaluation. This includes studies that enrolled women with and without estrogen use and across both surgical and natural menopause, reflecting the same population intended for PBS access</w:t>
      </w:r>
      <w:r w:rsidR="00655974">
        <w:rPr>
          <w:rFonts w:eastAsia="Calibri"/>
        </w:rPr>
        <w:t>”</w:t>
      </w:r>
      <w:r w:rsidR="00655974" w:rsidRPr="00655974">
        <w:rPr>
          <w:rFonts w:eastAsia="Calibri"/>
        </w:rPr>
        <w:t>.</w:t>
      </w:r>
    </w:p>
    <w:p w14:paraId="54D3A82D" w14:textId="0E3DBC67" w:rsidR="005F7588" w:rsidRDefault="00CC3786" w:rsidP="00E9094A">
      <w:pPr>
        <w:pStyle w:val="3-BodyText"/>
        <w:rPr>
          <w:rFonts w:eastAsia="Calibri"/>
        </w:rPr>
      </w:pPr>
      <w:r w:rsidRPr="00320580">
        <w:rPr>
          <w:rFonts w:eastAsia="Calibri"/>
          <w:iCs/>
        </w:rPr>
        <w:t>The evaluation f</w:t>
      </w:r>
      <w:r w:rsidR="00F92BFF" w:rsidRPr="00320580">
        <w:rPr>
          <w:rFonts w:eastAsia="Calibri"/>
          <w:iCs/>
        </w:rPr>
        <w:t>urther</w:t>
      </w:r>
      <w:r w:rsidRPr="00320580">
        <w:rPr>
          <w:rFonts w:eastAsia="Calibri"/>
          <w:iCs/>
        </w:rPr>
        <w:t xml:space="preserve"> </w:t>
      </w:r>
      <w:r w:rsidR="00710259" w:rsidRPr="00320580">
        <w:rPr>
          <w:rFonts w:eastAsia="Calibri"/>
          <w:iCs/>
        </w:rPr>
        <w:t>noted</w:t>
      </w:r>
      <w:r>
        <w:rPr>
          <w:rFonts w:eastAsia="Calibri"/>
        </w:rPr>
        <w:t xml:space="preserve"> that</w:t>
      </w:r>
      <w:r w:rsidR="00F92BFF" w:rsidRPr="002356A5">
        <w:rPr>
          <w:rFonts w:eastAsia="Calibri"/>
        </w:rPr>
        <w:t xml:space="preserve">, </w:t>
      </w:r>
      <w:r w:rsidR="00B336C5" w:rsidRPr="002356A5">
        <w:rPr>
          <w:rFonts w:eastAsia="Calibri"/>
        </w:rPr>
        <w:t xml:space="preserve">while </w:t>
      </w:r>
      <w:r w:rsidR="004A12B0" w:rsidRPr="002356A5">
        <w:t xml:space="preserve">the </w:t>
      </w:r>
      <w:r w:rsidR="00B336C5" w:rsidRPr="002356A5">
        <w:t>pooled effect of testosterone on the frequency of satisfying sexual events was statistically significant</w:t>
      </w:r>
      <w:r w:rsidR="007E28E6" w:rsidRPr="002356A5">
        <w:t>,</w:t>
      </w:r>
      <w:r w:rsidR="00B336C5" w:rsidRPr="002356A5">
        <w:rPr>
          <w:rFonts w:eastAsia="Calibri"/>
        </w:rPr>
        <w:t xml:space="preserve"> </w:t>
      </w:r>
      <w:r w:rsidR="00257EFF" w:rsidRPr="002356A5">
        <w:rPr>
          <w:rFonts w:eastAsia="Calibri"/>
        </w:rPr>
        <w:t xml:space="preserve">this </w:t>
      </w:r>
      <w:r w:rsidR="0012366C" w:rsidRPr="002356A5">
        <w:rPr>
          <w:rFonts w:eastAsia="Calibri"/>
        </w:rPr>
        <w:t xml:space="preserve">outcome </w:t>
      </w:r>
      <w:r w:rsidR="00257EFF" w:rsidRPr="002356A5">
        <w:rPr>
          <w:rFonts w:eastAsia="Calibri"/>
        </w:rPr>
        <w:t xml:space="preserve">is no longer recommended </w:t>
      </w:r>
      <w:r w:rsidR="0012366C" w:rsidRPr="002356A5">
        <w:t>as</w:t>
      </w:r>
      <w:r w:rsidR="007535C5" w:rsidRPr="002356A5">
        <w:t xml:space="preserve"> a primary efficacy measure </w:t>
      </w:r>
      <w:r w:rsidR="000468AD" w:rsidRPr="002356A5">
        <w:t>for</w:t>
      </w:r>
      <w:r w:rsidR="007535C5" w:rsidRPr="002356A5">
        <w:t xml:space="preserve"> female sexual dysfunction (Davis, Baber, 2019). </w:t>
      </w:r>
      <w:r w:rsidR="006B2880" w:rsidRPr="002356A5">
        <w:rPr>
          <w:rFonts w:eastAsia="Calibri"/>
        </w:rPr>
        <w:t xml:space="preserve">Taking all </w:t>
      </w:r>
      <w:r w:rsidR="00167300" w:rsidRPr="002356A5">
        <w:rPr>
          <w:rFonts w:eastAsia="Calibri"/>
        </w:rPr>
        <w:t>the available evidence</w:t>
      </w:r>
      <w:r w:rsidR="006B2880" w:rsidRPr="002356A5">
        <w:rPr>
          <w:rFonts w:eastAsia="Calibri"/>
        </w:rPr>
        <w:t xml:space="preserve"> into consideration</w:t>
      </w:r>
      <w:r w:rsidR="00167300" w:rsidRPr="002356A5">
        <w:rPr>
          <w:rFonts w:eastAsia="Calibri"/>
        </w:rPr>
        <w:t xml:space="preserve">, </w:t>
      </w:r>
      <w:r w:rsidR="007042FA">
        <w:rPr>
          <w:rFonts w:eastAsia="Calibri"/>
        </w:rPr>
        <w:t xml:space="preserve">the evaluation considered </w:t>
      </w:r>
      <w:r w:rsidR="00167300" w:rsidRPr="002356A5">
        <w:rPr>
          <w:rFonts w:eastAsia="Calibri"/>
        </w:rPr>
        <w:t>it reasonable to conclude that testosterone 1% cream</w:t>
      </w:r>
      <w:r w:rsidR="00693E37" w:rsidRPr="002356A5">
        <w:rPr>
          <w:rFonts w:eastAsia="Calibri"/>
        </w:rPr>
        <w:t xml:space="preserve"> is likely to</w:t>
      </w:r>
      <w:r w:rsidR="006B2880" w:rsidRPr="002356A5">
        <w:rPr>
          <w:rFonts w:eastAsia="Calibri"/>
        </w:rPr>
        <w:t xml:space="preserve"> </w:t>
      </w:r>
      <w:r w:rsidR="00167300" w:rsidRPr="002356A5">
        <w:rPr>
          <w:rFonts w:eastAsia="Calibri"/>
        </w:rPr>
        <w:t xml:space="preserve">benefit some women, </w:t>
      </w:r>
      <w:r w:rsidR="007C70FF" w:rsidRPr="002356A5">
        <w:rPr>
          <w:rFonts w:eastAsia="Calibri"/>
        </w:rPr>
        <w:t xml:space="preserve">but the magnitude of the effect was </w:t>
      </w:r>
      <w:r w:rsidR="00693E37" w:rsidRPr="002356A5">
        <w:rPr>
          <w:rFonts w:eastAsia="Calibri"/>
        </w:rPr>
        <w:t xml:space="preserve">probably </w:t>
      </w:r>
      <w:r w:rsidR="007C70FF" w:rsidRPr="002356A5">
        <w:rPr>
          <w:rFonts w:eastAsia="Calibri"/>
        </w:rPr>
        <w:t>overestimated</w:t>
      </w:r>
      <w:r w:rsidR="00167300" w:rsidRPr="002356A5">
        <w:rPr>
          <w:rFonts w:eastAsia="Calibri"/>
        </w:rPr>
        <w:t xml:space="preserve"> because the proposed dose (5 mg/day) </w:t>
      </w:r>
      <w:r w:rsidR="00AB001E" w:rsidRPr="002356A5">
        <w:rPr>
          <w:rFonts w:eastAsia="Calibri"/>
        </w:rPr>
        <w:t xml:space="preserve">leads to serum testosterone levels </w:t>
      </w:r>
      <w:r w:rsidR="00167300" w:rsidRPr="002356A5">
        <w:rPr>
          <w:rFonts w:eastAsia="Calibri"/>
        </w:rPr>
        <w:t>low</w:t>
      </w:r>
      <w:r w:rsidR="00526D61" w:rsidRPr="002356A5">
        <w:rPr>
          <w:rFonts w:eastAsia="Calibri"/>
        </w:rPr>
        <w:t xml:space="preserve">er than </w:t>
      </w:r>
      <w:r w:rsidR="00AB001E" w:rsidRPr="002356A5">
        <w:rPr>
          <w:rFonts w:eastAsia="Calibri"/>
        </w:rPr>
        <w:t>those</w:t>
      </w:r>
      <w:r w:rsidR="00167300" w:rsidRPr="002356A5">
        <w:rPr>
          <w:rFonts w:eastAsia="Calibri"/>
        </w:rPr>
        <w:t xml:space="preserve"> seen in trials</w:t>
      </w:r>
      <w:r w:rsidR="00AB001E" w:rsidRPr="002356A5">
        <w:rPr>
          <w:rFonts w:eastAsia="Calibri"/>
        </w:rPr>
        <w:t xml:space="preserve"> with positive results</w:t>
      </w:r>
      <w:r w:rsidR="005F7588" w:rsidRPr="002356A5">
        <w:rPr>
          <w:rFonts w:eastAsia="Calibri"/>
        </w:rPr>
        <w:t>.</w:t>
      </w:r>
      <w:r w:rsidR="00167300" w:rsidRPr="002356A5">
        <w:rPr>
          <w:rFonts w:eastAsia="Calibri"/>
        </w:rPr>
        <w:t xml:space="preserve"> </w:t>
      </w:r>
      <w:r w:rsidR="007C70FF" w:rsidRPr="002356A5">
        <w:rPr>
          <w:rFonts w:eastAsia="Calibri"/>
        </w:rPr>
        <w:t xml:space="preserve"> </w:t>
      </w:r>
      <w:r w:rsidR="006F2AD7" w:rsidRPr="00320580">
        <w:rPr>
          <w:rFonts w:eastAsia="Calibri"/>
          <w:iCs/>
        </w:rPr>
        <w:t>I</w:t>
      </w:r>
      <w:r w:rsidR="008358A6" w:rsidRPr="00320580">
        <w:rPr>
          <w:rFonts w:eastAsia="Calibri"/>
          <w:iCs/>
        </w:rPr>
        <w:t xml:space="preserve">n relation to the </w:t>
      </w:r>
      <w:r w:rsidR="006449C4" w:rsidRPr="00320580">
        <w:rPr>
          <w:rFonts w:eastAsia="Calibri"/>
          <w:iCs/>
        </w:rPr>
        <w:t xml:space="preserve">degree </w:t>
      </w:r>
      <w:r w:rsidR="001E3E9B" w:rsidRPr="00320580">
        <w:rPr>
          <w:rFonts w:eastAsia="Calibri"/>
          <w:iCs/>
        </w:rPr>
        <w:t>and magnitude of benefit</w:t>
      </w:r>
      <w:r w:rsidR="006F2AD7" w:rsidRPr="00320580">
        <w:rPr>
          <w:rFonts w:eastAsia="Calibri"/>
          <w:iCs/>
        </w:rPr>
        <w:t>,</w:t>
      </w:r>
      <w:r w:rsidR="001E3E9B" w:rsidRPr="00320580">
        <w:rPr>
          <w:rFonts w:eastAsia="Calibri"/>
          <w:iCs/>
        </w:rPr>
        <w:t xml:space="preserve"> t</w:t>
      </w:r>
      <w:r w:rsidR="008358A6" w:rsidRPr="00320580">
        <w:rPr>
          <w:rFonts w:eastAsia="Calibri"/>
          <w:iCs/>
        </w:rPr>
        <w:t xml:space="preserve">he PSCR </w:t>
      </w:r>
      <w:r w:rsidR="001E3E9B" w:rsidRPr="00320580">
        <w:rPr>
          <w:rFonts w:eastAsia="Calibri"/>
          <w:iCs/>
        </w:rPr>
        <w:t>highlight</w:t>
      </w:r>
      <w:r w:rsidR="008358A6" w:rsidRPr="00320580">
        <w:rPr>
          <w:rFonts w:eastAsia="Calibri"/>
          <w:iCs/>
        </w:rPr>
        <w:t>ed that dispensing records from two Western Australian pharmacies covering 8,924 women show</w:t>
      </w:r>
      <w:r w:rsidR="00853580" w:rsidRPr="00320580">
        <w:rPr>
          <w:rFonts w:eastAsia="Calibri"/>
          <w:iCs/>
        </w:rPr>
        <w:t>ed</w:t>
      </w:r>
      <w:r w:rsidR="008358A6" w:rsidRPr="00320580">
        <w:rPr>
          <w:rFonts w:eastAsia="Calibri"/>
          <w:iCs/>
        </w:rPr>
        <w:t xml:space="preserve"> a typical trial-of-therapy pattern with a substantial long-term cohort.</w:t>
      </w:r>
      <w:r w:rsidR="007E18A8" w:rsidRPr="00320580">
        <w:rPr>
          <w:rFonts w:eastAsia="Calibri"/>
          <w:iCs/>
        </w:rPr>
        <w:t xml:space="preserve"> </w:t>
      </w:r>
      <w:r w:rsidR="00356D39" w:rsidRPr="00320580">
        <w:rPr>
          <w:rFonts w:eastAsia="Calibri"/>
          <w:iCs/>
        </w:rPr>
        <w:t>The PSCR stated that from this dataset, “60.8% continued for ≥3 months, 46.2% for ≥6 months, 30.7% for ≥12 months, 18.9% for ≥24 months, 13.8% for ≥36 months, and 7.22% for ≥60 months. 375 women (4.2%) remained on therapy for &gt;7 years, underscoring sustained real-world use among responders”.</w:t>
      </w:r>
      <w:r w:rsidR="00B40B65" w:rsidRPr="00320580">
        <w:rPr>
          <w:rFonts w:eastAsia="Calibri"/>
          <w:iCs/>
        </w:rPr>
        <w:t xml:space="preserve">  </w:t>
      </w:r>
    </w:p>
    <w:p w14:paraId="60C78C9C" w14:textId="1E37B6FC" w:rsidR="00331985" w:rsidRPr="00320580" w:rsidRDefault="00331985" w:rsidP="00331985">
      <w:pPr>
        <w:pStyle w:val="3-BodyText"/>
        <w:rPr>
          <w:rFonts w:eastAsia="Calibri"/>
          <w:iCs/>
        </w:rPr>
      </w:pPr>
      <w:r w:rsidRPr="00320580">
        <w:rPr>
          <w:rFonts w:eastAsia="Calibri"/>
          <w:iCs/>
        </w:rPr>
        <w:lastRenderedPageBreak/>
        <w:t xml:space="preserve">The ESC </w:t>
      </w:r>
      <w:r w:rsidR="004D3B71" w:rsidRPr="00320580">
        <w:rPr>
          <w:rFonts w:eastAsia="Calibri"/>
          <w:iCs/>
        </w:rPr>
        <w:t>considered</w:t>
      </w:r>
      <w:r w:rsidRPr="00320580">
        <w:rPr>
          <w:rFonts w:eastAsia="Calibri"/>
          <w:iCs/>
        </w:rPr>
        <w:t xml:space="preserve"> that for </w:t>
      </w:r>
      <w:r w:rsidR="004F7E23" w:rsidRPr="00320580">
        <w:rPr>
          <w:rFonts w:eastAsia="Calibri"/>
          <w:iCs/>
        </w:rPr>
        <w:t>some</w:t>
      </w:r>
      <w:r w:rsidRPr="00320580">
        <w:rPr>
          <w:rFonts w:eastAsia="Calibri"/>
          <w:iCs/>
        </w:rPr>
        <w:t xml:space="preserve"> women, testosterone 1% cream may be superior to placebo. </w:t>
      </w:r>
      <w:r w:rsidR="001B1161" w:rsidRPr="00320580">
        <w:rPr>
          <w:rFonts w:eastAsia="Calibri"/>
          <w:iCs/>
        </w:rPr>
        <w:t>However, t</w:t>
      </w:r>
      <w:r w:rsidRPr="00320580">
        <w:rPr>
          <w:rFonts w:eastAsia="Calibri"/>
          <w:iCs/>
        </w:rPr>
        <w:t>he ESC</w:t>
      </w:r>
      <w:r w:rsidR="001B1161" w:rsidRPr="00320580">
        <w:rPr>
          <w:rFonts w:eastAsia="Calibri"/>
          <w:iCs/>
        </w:rPr>
        <w:t xml:space="preserve"> also</w:t>
      </w:r>
      <w:r w:rsidRPr="00320580">
        <w:rPr>
          <w:rFonts w:eastAsia="Calibri"/>
          <w:iCs/>
        </w:rPr>
        <w:t xml:space="preserve"> </w:t>
      </w:r>
      <w:r w:rsidR="006046C8" w:rsidRPr="00320580">
        <w:rPr>
          <w:rFonts w:eastAsia="Calibri"/>
          <w:iCs/>
        </w:rPr>
        <w:t xml:space="preserve">considered </w:t>
      </w:r>
      <w:r w:rsidRPr="00320580">
        <w:rPr>
          <w:rFonts w:eastAsia="Calibri"/>
          <w:iCs/>
        </w:rPr>
        <w:t xml:space="preserve">that the </w:t>
      </w:r>
      <w:r w:rsidR="004A07A4" w:rsidRPr="00320580">
        <w:rPr>
          <w:rFonts w:eastAsia="Calibri"/>
          <w:iCs/>
        </w:rPr>
        <w:t>proportion</w:t>
      </w:r>
      <w:r w:rsidRPr="00320580">
        <w:rPr>
          <w:rFonts w:eastAsia="Calibri"/>
          <w:iCs/>
        </w:rPr>
        <w:t xml:space="preserve"> of women who might benefit and the degree of benefit they might attain is </w:t>
      </w:r>
      <w:r w:rsidR="00F67B32" w:rsidRPr="00320580">
        <w:rPr>
          <w:rFonts w:eastAsia="Calibri"/>
          <w:iCs/>
        </w:rPr>
        <w:t xml:space="preserve">highly </w:t>
      </w:r>
      <w:r w:rsidRPr="00320580">
        <w:rPr>
          <w:rFonts w:eastAsia="Calibri"/>
          <w:iCs/>
        </w:rPr>
        <w:t>uncertain based on the clinical evidence presented.</w:t>
      </w:r>
      <w:r w:rsidR="001559AF">
        <w:rPr>
          <w:rFonts w:eastAsia="Calibri"/>
          <w:iCs/>
        </w:rPr>
        <w:t xml:space="preserve"> </w:t>
      </w:r>
      <w:r w:rsidR="001559AF" w:rsidRPr="00655974">
        <w:rPr>
          <w:iCs/>
          <w:snapToGrid w:val="0"/>
        </w:rPr>
        <w:t>The</w:t>
      </w:r>
      <w:r w:rsidR="001559AF" w:rsidRPr="00655974">
        <w:rPr>
          <w:snapToGrid w:val="0"/>
          <w:szCs w:val="20"/>
        </w:rPr>
        <w:t xml:space="preserve"> PBAC </w:t>
      </w:r>
      <w:r w:rsidR="001A7C47">
        <w:rPr>
          <w:snapToGrid w:val="0"/>
          <w:szCs w:val="20"/>
        </w:rPr>
        <w:t>noted</w:t>
      </w:r>
      <w:r w:rsidR="006F1E47">
        <w:rPr>
          <w:snapToGrid w:val="0"/>
          <w:szCs w:val="20"/>
        </w:rPr>
        <w:t xml:space="preserve"> that </w:t>
      </w:r>
      <w:r w:rsidR="002C552D">
        <w:rPr>
          <w:snapToGrid w:val="0"/>
          <w:szCs w:val="20"/>
        </w:rPr>
        <w:t xml:space="preserve">while </w:t>
      </w:r>
      <w:r w:rsidR="006F1E47">
        <w:rPr>
          <w:snapToGrid w:val="0"/>
          <w:szCs w:val="20"/>
        </w:rPr>
        <w:t>some women may benefit</w:t>
      </w:r>
      <w:r w:rsidR="00684CFC">
        <w:rPr>
          <w:snapToGrid w:val="0"/>
          <w:szCs w:val="20"/>
        </w:rPr>
        <w:t xml:space="preserve"> from testosterone,</w:t>
      </w:r>
      <w:r w:rsidR="00406461">
        <w:rPr>
          <w:snapToGrid w:val="0"/>
          <w:szCs w:val="20"/>
        </w:rPr>
        <w:t xml:space="preserve"> </w:t>
      </w:r>
      <w:r w:rsidR="00684CFC">
        <w:rPr>
          <w:snapToGrid w:val="0"/>
          <w:szCs w:val="20"/>
        </w:rPr>
        <w:t xml:space="preserve">it considered </w:t>
      </w:r>
      <w:r w:rsidR="00543FDD">
        <w:rPr>
          <w:snapToGrid w:val="0"/>
          <w:szCs w:val="20"/>
        </w:rPr>
        <w:t>on balance</w:t>
      </w:r>
      <w:r w:rsidR="00406461">
        <w:rPr>
          <w:snapToGrid w:val="0"/>
          <w:szCs w:val="20"/>
        </w:rPr>
        <w:t xml:space="preserve"> </w:t>
      </w:r>
      <w:r w:rsidR="001559AF" w:rsidRPr="00655974">
        <w:rPr>
          <w:snapToGrid w:val="0"/>
          <w:szCs w:val="20"/>
        </w:rPr>
        <w:t>that the claim of superior comparative effectiveness was not adequately supported by the data.</w:t>
      </w:r>
    </w:p>
    <w:p w14:paraId="7AE78EC4" w14:textId="71716E84" w:rsidR="00996E44" w:rsidRPr="001611DE" w:rsidRDefault="005F7588" w:rsidP="001611DE">
      <w:pPr>
        <w:pStyle w:val="3-BodyText"/>
      </w:pPr>
      <w:bookmarkStart w:id="59" w:name="_Ref208925384"/>
      <w:r w:rsidRPr="002356A5">
        <w:rPr>
          <w:rFonts w:eastAsia="Calibri"/>
        </w:rPr>
        <w:t xml:space="preserve">The submission described </w:t>
      </w:r>
      <w:r w:rsidR="001039A7" w:rsidRPr="002356A5">
        <w:rPr>
          <w:rFonts w:eastAsia="Calibri"/>
        </w:rPr>
        <w:t>testosterone 1% cream as</w:t>
      </w:r>
      <w:r w:rsidRPr="002356A5">
        <w:rPr>
          <w:rFonts w:eastAsia="Calibri"/>
        </w:rPr>
        <w:t xml:space="preserve"> non-inferior in term</w:t>
      </w:r>
      <w:r w:rsidR="00156F8F" w:rsidRPr="002356A5">
        <w:rPr>
          <w:rFonts w:eastAsia="Calibri"/>
        </w:rPr>
        <w:t>s</w:t>
      </w:r>
      <w:r w:rsidRPr="002356A5">
        <w:rPr>
          <w:rFonts w:eastAsia="Calibri"/>
        </w:rPr>
        <w:t xml:space="preserve"> of safety compared to </w:t>
      </w:r>
      <w:r w:rsidR="001039A7" w:rsidRPr="002356A5">
        <w:rPr>
          <w:rFonts w:eastAsia="Calibri"/>
        </w:rPr>
        <w:t>placebo</w:t>
      </w:r>
      <w:r w:rsidRPr="002356A5">
        <w:rPr>
          <w:rFonts w:eastAsia="Calibri"/>
        </w:rPr>
        <w:t xml:space="preserve">. </w:t>
      </w:r>
      <w:r w:rsidRPr="00320580">
        <w:rPr>
          <w:rFonts w:eastAsia="Calibri"/>
          <w:iCs/>
        </w:rPr>
        <w:t>Th</w:t>
      </w:r>
      <w:r w:rsidR="00E756CA" w:rsidRPr="00320580">
        <w:rPr>
          <w:rFonts w:eastAsia="Calibri"/>
          <w:iCs/>
        </w:rPr>
        <w:t>e ESC agreed with the evaluation that</w:t>
      </w:r>
      <w:r w:rsidR="00E756CA">
        <w:rPr>
          <w:rFonts w:eastAsia="Calibri"/>
        </w:rPr>
        <w:t xml:space="preserve"> th</w:t>
      </w:r>
      <w:r w:rsidRPr="002356A5">
        <w:rPr>
          <w:rFonts w:eastAsia="Calibri"/>
        </w:rPr>
        <w:t xml:space="preserve">is claim was </w:t>
      </w:r>
      <w:r w:rsidR="007C70FF" w:rsidRPr="002356A5">
        <w:rPr>
          <w:rFonts w:eastAsia="Calibri"/>
        </w:rPr>
        <w:t xml:space="preserve">not </w:t>
      </w:r>
      <w:r w:rsidRPr="002356A5">
        <w:rPr>
          <w:rFonts w:eastAsia="Calibri"/>
        </w:rPr>
        <w:t>adequately supported</w:t>
      </w:r>
      <w:r w:rsidR="00E756CA">
        <w:rPr>
          <w:rFonts w:eastAsia="Calibri"/>
        </w:rPr>
        <w:t xml:space="preserve">. </w:t>
      </w:r>
      <w:r w:rsidR="00E756CA" w:rsidRPr="00320580">
        <w:rPr>
          <w:rFonts w:eastAsia="Calibri"/>
          <w:iCs/>
        </w:rPr>
        <w:t>The</w:t>
      </w:r>
      <w:r w:rsidR="00D03A07" w:rsidRPr="00320580">
        <w:rPr>
          <w:rFonts w:eastAsia="Calibri"/>
          <w:iCs/>
        </w:rPr>
        <w:t>re</w:t>
      </w:r>
      <w:r w:rsidR="00465A21" w:rsidRPr="00320580">
        <w:rPr>
          <w:rFonts w:eastAsia="Calibri"/>
          <w:iCs/>
        </w:rPr>
        <w:t xml:space="preserve"> was a lack of </w:t>
      </w:r>
      <w:r w:rsidR="00D03A07" w:rsidRPr="00320580">
        <w:rPr>
          <w:rFonts w:eastAsia="Calibri"/>
          <w:iCs/>
        </w:rPr>
        <w:t xml:space="preserve">safety </w:t>
      </w:r>
      <w:r w:rsidR="00465A21" w:rsidRPr="00320580">
        <w:rPr>
          <w:rFonts w:eastAsia="Calibri"/>
          <w:iCs/>
        </w:rPr>
        <w:t xml:space="preserve">data </w:t>
      </w:r>
      <w:r w:rsidR="0054102B" w:rsidRPr="00320580">
        <w:rPr>
          <w:rFonts w:eastAsia="Calibri"/>
          <w:iCs/>
        </w:rPr>
        <w:t>presented</w:t>
      </w:r>
      <w:r w:rsidR="008C1387" w:rsidRPr="00320580">
        <w:rPr>
          <w:rFonts w:eastAsia="Calibri"/>
          <w:iCs/>
        </w:rPr>
        <w:t>,</w:t>
      </w:r>
      <w:r w:rsidR="0054102B" w:rsidRPr="00320580">
        <w:rPr>
          <w:rFonts w:eastAsia="Calibri"/>
          <w:iCs/>
        </w:rPr>
        <w:t xml:space="preserve"> </w:t>
      </w:r>
      <w:r w:rsidR="00465A21" w:rsidRPr="00320580">
        <w:rPr>
          <w:rFonts w:eastAsia="Calibri"/>
          <w:iCs/>
        </w:rPr>
        <w:t>with</w:t>
      </w:r>
      <w:r w:rsidR="001039A7" w:rsidRPr="002356A5">
        <w:rPr>
          <w:rFonts w:eastAsia="Calibri"/>
        </w:rPr>
        <w:t xml:space="preserve"> the submitted trial</w:t>
      </w:r>
      <w:r w:rsidR="00F3789E">
        <w:rPr>
          <w:rFonts w:eastAsia="Calibri"/>
        </w:rPr>
        <w:t xml:space="preserve"> (</w:t>
      </w:r>
      <w:r w:rsidR="00F3789E">
        <w:t>El-Hage, 2007</w:t>
      </w:r>
      <w:r w:rsidR="00F3789E">
        <w:rPr>
          <w:rFonts w:eastAsia="Calibri"/>
        </w:rPr>
        <w:t>)</w:t>
      </w:r>
      <w:r w:rsidR="001039A7" w:rsidRPr="002356A5">
        <w:rPr>
          <w:rFonts w:eastAsia="Calibri"/>
        </w:rPr>
        <w:t xml:space="preserve"> </w:t>
      </w:r>
      <w:r w:rsidR="00465A21">
        <w:rPr>
          <w:rFonts w:eastAsia="Calibri"/>
        </w:rPr>
        <w:t>being</w:t>
      </w:r>
      <w:r w:rsidR="001039A7" w:rsidRPr="002356A5">
        <w:rPr>
          <w:rFonts w:eastAsia="Calibri"/>
        </w:rPr>
        <w:t xml:space="preserve"> small and </w:t>
      </w:r>
      <w:r w:rsidR="00D03A07">
        <w:rPr>
          <w:rFonts w:eastAsia="Calibri"/>
        </w:rPr>
        <w:t xml:space="preserve">conducted </w:t>
      </w:r>
      <w:r w:rsidR="006406B4">
        <w:rPr>
          <w:rFonts w:eastAsia="Calibri"/>
        </w:rPr>
        <w:t xml:space="preserve">over </w:t>
      </w:r>
      <w:r w:rsidR="0054102B">
        <w:rPr>
          <w:rFonts w:eastAsia="Calibri"/>
        </w:rPr>
        <w:t>a</w:t>
      </w:r>
      <w:r w:rsidR="001039A7" w:rsidRPr="002356A5">
        <w:rPr>
          <w:rFonts w:eastAsia="Calibri"/>
        </w:rPr>
        <w:t xml:space="preserve"> short</w:t>
      </w:r>
      <w:r w:rsidR="00D03A07">
        <w:rPr>
          <w:rFonts w:eastAsia="Calibri"/>
        </w:rPr>
        <w:t xml:space="preserve"> period</w:t>
      </w:r>
      <w:r w:rsidR="00E55B3F">
        <w:rPr>
          <w:rFonts w:eastAsia="Calibri"/>
        </w:rPr>
        <w:t xml:space="preserve"> of time</w:t>
      </w:r>
      <w:r w:rsidR="00CA4A59">
        <w:rPr>
          <w:rFonts w:eastAsia="Calibri"/>
        </w:rPr>
        <w:t xml:space="preserve"> [only 2 years]</w:t>
      </w:r>
      <w:r w:rsidR="0054102B">
        <w:rPr>
          <w:rFonts w:eastAsia="Calibri"/>
        </w:rPr>
        <w:t>.</w:t>
      </w:r>
      <w:r w:rsidR="00E55B3F">
        <w:rPr>
          <w:rFonts w:eastAsia="Calibri"/>
        </w:rPr>
        <w:t xml:space="preserve"> </w:t>
      </w:r>
      <w:r w:rsidR="00A2063C" w:rsidRPr="002356A5">
        <w:t xml:space="preserve">While testosterone increases sexual interest over a few weeks, </w:t>
      </w:r>
      <w:r w:rsidR="00E55B3F" w:rsidRPr="00320580">
        <w:rPr>
          <w:iCs/>
        </w:rPr>
        <w:t>the evaluation and the ESC noted that</w:t>
      </w:r>
      <w:r w:rsidR="00E55B3F">
        <w:t xml:space="preserve"> </w:t>
      </w:r>
      <w:r w:rsidR="00A2063C" w:rsidRPr="002356A5">
        <w:t>other</w:t>
      </w:r>
      <w:r w:rsidR="00752FD0" w:rsidRPr="002356A5">
        <w:t xml:space="preserve"> (potentially negative)</w:t>
      </w:r>
      <w:r w:rsidR="00A2063C" w:rsidRPr="002356A5">
        <w:t xml:space="preserve"> effects may take much longer</w:t>
      </w:r>
      <w:r w:rsidR="0099476C" w:rsidRPr="002356A5">
        <w:t xml:space="preserve"> to appear</w:t>
      </w:r>
      <w:r w:rsidR="00A2063C" w:rsidRPr="002356A5">
        <w:t>.</w:t>
      </w:r>
      <w:bookmarkEnd w:id="59"/>
      <w:r w:rsidR="00A2063C" w:rsidRPr="002356A5">
        <w:t xml:space="preserve"> </w:t>
      </w:r>
      <w:r w:rsidR="000830E1">
        <w:t>The Pre-PBAC Response stated that “</w:t>
      </w:r>
      <w:r w:rsidR="000830E1" w:rsidRPr="000830E1">
        <w:t xml:space="preserve">Whilst formal clinical trial safety data beyond 2 years is limited, </w:t>
      </w:r>
      <w:proofErr w:type="spellStart"/>
      <w:r w:rsidR="000830E1" w:rsidRPr="000830E1">
        <w:t>AndroFeme</w:t>
      </w:r>
      <w:proofErr w:type="spellEnd"/>
      <w:r w:rsidR="000830E1" w:rsidRPr="000830E1">
        <w:t> 1 has been prescribed in Australia for over 25 years and the UK since 2017. In that time only three adverse drug reactions have been recorded in the TGA Database of Adverse Event Notifications (skin rash, elevated T level and suspected UTI) and none in the MHRA Yellow Cards database</w:t>
      </w:r>
      <w:r w:rsidR="001E4315">
        <w:t>”</w:t>
      </w:r>
      <w:r w:rsidR="000830E1" w:rsidRPr="000830E1">
        <w:t>.</w:t>
      </w:r>
      <w:bookmarkStart w:id="60" w:name="_Hlk76376200"/>
      <w:r w:rsidR="001611DE">
        <w:t xml:space="preserve"> </w:t>
      </w:r>
      <w:r w:rsidR="001611DE" w:rsidRPr="001611DE">
        <w:rPr>
          <w:snapToGrid w:val="0"/>
          <w:szCs w:val="20"/>
        </w:rPr>
        <w:t>However, t</w:t>
      </w:r>
      <w:r w:rsidR="00996E44" w:rsidRPr="001611DE">
        <w:rPr>
          <w:snapToGrid w:val="0"/>
          <w:szCs w:val="20"/>
        </w:rPr>
        <w:t>he PBAC considered that the claim of non-inferior comparative safety was not adequately supported by the data.</w:t>
      </w:r>
    </w:p>
    <w:p w14:paraId="74A1172E" w14:textId="528778A9" w:rsidR="00B60939" w:rsidRPr="0098262F" w:rsidRDefault="00B60939" w:rsidP="00FD347A">
      <w:pPr>
        <w:pStyle w:val="4-SubsectionHeading"/>
      </w:pPr>
      <w:bookmarkStart w:id="61" w:name="_Toc22897645"/>
      <w:bookmarkStart w:id="62" w:name="_Toc208926785"/>
      <w:bookmarkEnd w:id="60"/>
      <w:r w:rsidRPr="0098262F">
        <w:t>Economic analysis</w:t>
      </w:r>
      <w:bookmarkEnd w:id="61"/>
      <w:bookmarkEnd w:id="62"/>
      <w:r w:rsidR="00491B3A" w:rsidRPr="0098262F">
        <w:t xml:space="preserve"> </w:t>
      </w:r>
    </w:p>
    <w:p w14:paraId="6C85B326" w14:textId="54370B36" w:rsidR="008E6F73" w:rsidRPr="00176AA7" w:rsidRDefault="008E6F73" w:rsidP="00641FB3">
      <w:pPr>
        <w:pStyle w:val="3-BodyText"/>
      </w:pPr>
      <w:r w:rsidRPr="00176AA7">
        <w:t>The submission did not present an economic analysis of testosterone against the proposed comparator of placebo.</w:t>
      </w:r>
    </w:p>
    <w:p w14:paraId="513AB558" w14:textId="3ACF366E" w:rsidR="0050069D" w:rsidRPr="002356A5" w:rsidRDefault="0050069D" w:rsidP="00641FB3">
      <w:pPr>
        <w:pStyle w:val="3-BodyText"/>
        <w:rPr>
          <w:b/>
          <w:bCs/>
        </w:rPr>
      </w:pPr>
      <w:r w:rsidRPr="004056B5">
        <w:t xml:space="preserve">The submission proposed a </w:t>
      </w:r>
      <w:r w:rsidR="00FD347A" w:rsidRPr="004056B5">
        <w:t>‘</w:t>
      </w:r>
      <w:r w:rsidRPr="004056B5">
        <w:t>cost minimisation approach</w:t>
      </w:r>
      <w:r w:rsidR="00FD347A" w:rsidRPr="004056B5">
        <w:t>’</w:t>
      </w:r>
      <w:r w:rsidR="00D676E4" w:rsidRPr="004056B5">
        <w:t xml:space="preserve"> (CMA)</w:t>
      </w:r>
      <w:r w:rsidRPr="004056B5">
        <w:t xml:space="preserve"> for the listing of testosterone 1% cream, comparing the price to </w:t>
      </w:r>
      <w:r w:rsidR="00024FA6" w:rsidRPr="004056B5">
        <w:t xml:space="preserve">an </w:t>
      </w:r>
      <w:r w:rsidRPr="004056B5">
        <w:t>existing PBS listed product, testosterone 5% cream</w:t>
      </w:r>
      <w:r w:rsidR="007636A5" w:rsidRPr="004056B5">
        <w:t xml:space="preserve"> (</w:t>
      </w:r>
      <w:proofErr w:type="spellStart"/>
      <w:r w:rsidR="007636A5" w:rsidRPr="004056B5">
        <w:t>AndroForte</w:t>
      </w:r>
      <w:proofErr w:type="spellEnd"/>
      <w:r w:rsidR="007636A5" w:rsidRPr="004056B5">
        <w:t xml:space="preserve"> 5)</w:t>
      </w:r>
      <w:r w:rsidRPr="004056B5">
        <w:t>. The submission stated that this was based on the lowest cost per day that the government is willing to pay for male testosterone products, which it estimated as between $1.07</w:t>
      </w:r>
      <w:r w:rsidR="00200032" w:rsidRPr="004056B5">
        <w:t xml:space="preserve"> (for </w:t>
      </w:r>
      <w:proofErr w:type="spellStart"/>
      <w:r w:rsidR="00200032" w:rsidRPr="004056B5">
        <w:t>Andro</w:t>
      </w:r>
      <w:r w:rsidR="00B7786C" w:rsidRPr="004056B5">
        <w:t>F</w:t>
      </w:r>
      <w:r w:rsidR="00200032" w:rsidRPr="004056B5">
        <w:t>orte</w:t>
      </w:r>
      <w:proofErr w:type="spellEnd"/>
      <w:r w:rsidR="00200032" w:rsidRPr="004056B5">
        <w:t xml:space="preserve"> 5)</w:t>
      </w:r>
      <w:r w:rsidRPr="004056B5">
        <w:t xml:space="preserve"> and $2.63</w:t>
      </w:r>
      <w:r w:rsidR="00CC7806" w:rsidRPr="004056B5">
        <w:t xml:space="preserve"> (for </w:t>
      </w:r>
      <w:proofErr w:type="spellStart"/>
      <w:r w:rsidR="00CC7806" w:rsidRPr="004056B5">
        <w:t>Testogel</w:t>
      </w:r>
      <w:proofErr w:type="spellEnd"/>
      <w:r w:rsidR="00CC7806" w:rsidRPr="004056B5">
        <w:t xml:space="preserve"> pump pack)</w:t>
      </w:r>
      <w:r w:rsidRPr="004056B5">
        <w:t xml:space="preserve"> per day.</w:t>
      </w:r>
      <w:r w:rsidR="008407FD" w:rsidRPr="00320580">
        <w:rPr>
          <w:iCs/>
        </w:rPr>
        <w:t xml:space="preserve"> </w:t>
      </w:r>
      <w:r w:rsidR="008407FD" w:rsidRPr="002356A5">
        <w:t xml:space="preserve">As no </w:t>
      </w:r>
      <w:proofErr w:type="spellStart"/>
      <w:r w:rsidR="008407FD" w:rsidRPr="002356A5">
        <w:t>equi</w:t>
      </w:r>
      <w:proofErr w:type="spellEnd"/>
      <w:r w:rsidR="008407FD" w:rsidRPr="002356A5">
        <w:t>-effective dose was proposed,</w:t>
      </w:r>
      <w:r w:rsidR="00E65D5F">
        <w:t xml:space="preserve"> </w:t>
      </w:r>
      <w:r w:rsidR="003F01EE" w:rsidRPr="00320580">
        <w:rPr>
          <w:iCs/>
        </w:rPr>
        <w:t>t</w:t>
      </w:r>
      <w:r w:rsidR="008407FD" w:rsidRPr="00320580">
        <w:rPr>
          <w:iCs/>
        </w:rPr>
        <w:t xml:space="preserve">he </w:t>
      </w:r>
      <w:r w:rsidR="001D54A5" w:rsidRPr="00320580">
        <w:rPr>
          <w:iCs/>
        </w:rPr>
        <w:t xml:space="preserve">ESC agreed with the evaluation </w:t>
      </w:r>
      <w:r w:rsidR="001D54A5">
        <w:t xml:space="preserve">that the </w:t>
      </w:r>
      <w:r w:rsidR="008407FD" w:rsidRPr="002356A5">
        <w:t xml:space="preserve">analysis was in fact a cost comparison. </w:t>
      </w:r>
      <w:r w:rsidRPr="002356A5">
        <w:t xml:space="preserve">The key components of the approach are shown in </w:t>
      </w:r>
      <w:r w:rsidR="00FD347A" w:rsidRPr="002356A5">
        <w:fldChar w:fldCharType="begin"/>
      </w:r>
      <w:r w:rsidR="00FD347A" w:rsidRPr="002356A5">
        <w:instrText xml:space="preserve"> REF _Ref206235916 \h </w:instrText>
      </w:r>
      <w:r w:rsidR="002356A5">
        <w:instrText xml:space="preserve"> \* MERGEFORMAT </w:instrText>
      </w:r>
      <w:r w:rsidR="00FD347A" w:rsidRPr="002356A5">
        <w:fldChar w:fldCharType="separate"/>
      </w:r>
      <w:r w:rsidR="00374A89">
        <w:t xml:space="preserve">Table </w:t>
      </w:r>
      <w:r w:rsidR="00374A89">
        <w:rPr>
          <w:noProof/>
        </w:rPr>
        <w:t>6</w:t>
      </w:r>
      <w:r w:rsidR="00FD347A" w:rsidRPr="002356A5">
        <w:fldChar w:fldCharType="end"/>
      </w:r>
      <w:r w:rsidR="003D4873" w:rsidRPr="002356A5">
        <w:t>.</w:t>
      </w:r>
      <w:r w:rsidRPr="002356A5">
        <w:t xml:space="preserve"> </w:t>
      </w:r>
    </w:p>
    <w:p w14:paraId="69A1635B" w14:textId="1C88B7F0" w:rsidR="00D65D0D" w:rsidRPr="0098262F" w:rsidRDefault="00FD347A" w:rsidP="00FD347A">
      <w:pPr>
        <w:pStyle w:val="Caption"/>
        <w:rPr>
          <w:rStyle w:val="CommentReference"/>
          <w:b/>
          <w:szCs w:val="24"/>
        </w:rPr>
      </w:pPr>
      <w:bookmarkStart w:id="63" w:name="_Ref206235916"/>
      <w:r>
        <w:lastRenderedPageBreak/>
        <w:t xml:space="preserve">Table </w:t>
      </w:r>
      <w:r w:rsidR="00F03188">
        <w:fldChar w:fldCharType="begin"/>
      </w:r>
      <w:r w:rsidR="00F03188">
        <w:instrText xml:space="preserve"> SEQ Table \* ARABIC </w:instrText>
      </w:r>
      <w:r w:rsidR="00F03188">
        <w:fldChar w:fldCharType="separate"/>
      </w:r>
      <w:r w:rsidR="00374A89">
        <w:rPr>
          <w:noProof/>
        </w:rPr>
        <w:t>6</w:t>
      </w:r>
      <w:r w:rsidR="00F03188">
        <w:rPr>
          <w:noProof/>
        </w:rPr>
        <w:fldChar w:fldCharType="end"/>
      </w:r>
      <w:bookmarkEnd w:id="63"/>
      <w:r>
        <w:t xml:space="preserve">: </w:t>
      </w:r>
      <w:r w:rsidR="00D65D0D" w:rsidRPr="0098262F">
        <w:rPr>
          <w:rStyle w:val="CommentReference"/>
          <w:b/>
          <w:szCs w:val="24"/>
        </w:rPr>
        <w:t>Key components and assumptions of the cost</w:t>
      </w:r>
      <w:r w:rsidR="00FD10E1">
        <w:rPr>
          <w:rStyle w:val="CommentReference"/>
          <w:b/>
          <w:szCs w:val="24"/>
        </w:rPr>
        <w:t xml:space="preserve"> </w:t>
      </w:r>
      <w:r w:rsidR="00B86E47">
        <w:rPr>
          <w:rStyle w:val="CommentReference"/>
          <w:b/>
          <w:szCs w:val="24"/>
        </w:rPr>
        <w:t>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Key components and assumptions of the cost comparison"/>
      </w:tblPr>
      <w:tblGrid>
        <w:gridCol w:w="2613"/>
        <w:gridCol w:w="6404"/>
      </w:tblGrid>
      <w:tr w:rsidR="00D65D0D" w:rsidRPr="0098262F" w14:paraId="411732DF" w14:textId="77777777" w:rsidTr="00EE389F">
        <w:tc>
          <w:tcPr>
            <w:tcW w:w="1449" w:type="pct"/>
            <w:vAlign w:val="center"/>
          </w:tcPr>
          <w:p w14:paraId="6F6D7BD6" w14:textId="77777777" w:rsidR="00D65D0D" w:rsidRPr="0098262F" w:rsidRDefault="00D65D0D">
            <w:pPr>
              <w:pStyle w:val="In-tableHeading"/>
              <w:rPr>
                <w:lang w:val="en-AU"/>
              </w:rPr>
            </w:pPr>
            <w:r w:rsidRPr="0098262F">
              <w:rPr>
                <w:lang w:val="en-AU"/>
              </w:rPr>
              <w:t>Component</w:t>
            </w:r>
          </w:p>
        </w:tc>
        <w:tc>
          <w:tcPr>
            <w:tcW w:w="3551" w:type="pct"/>
            <w:vAlign w:val="center"/>
          </w:tcPr>
          <w:p w14:paraId="5634C284" w14:textId="77777777" w:rsidR="00D65D0D" w:rsidRPr="0098262F" w:rsidRDefault="00D65D0D">
            <w:pPr>
              <w:pStyle w:val="In-tableHeading"/>
              <w:rPr>
                <w:lang w:val="en-AU"/>
              </w:rPr>
            </w:pPr>
            <w:r w:rsidRPr="0098262F">
              <w:rPr>
                <w:lang w:val="en-AU"/>
              </w:rPr>
              <w:t>Claim or assumption</w:t>
            </w:r>
          </w:p>
        </w:tc>
      </w:tr>
      <w:tr w:rsidR="00D65D0D" w:rsidRPr="0098262F" w14:paraId="0D78DD05" w14:textId="77777777" w:rsidTr="00EE389F">
        <w:tc>
          <w:tcPr>
            <w:tcW w:w="1449" w:type="pct"/>
            <w:vAlign w:val="center"/>
          </w:tcPr>
          <w:p w14:paraId="32076496" w14:textId="77777777" w:rsidR="00D65D0D" w:rsidRPr="0098262F" w:rsidRDefault="00D65D0D">
            <w:pPr>
              <w:pStyle w:val="TableText0"/>
            </w:pPr>
            <w:r w:rsidRPr="0098262F">
              <w:t>Therapeutic claim: effectiveness</w:t>
            </w:r>
          </w:p>
        </w:tc>
        <w:tc>
          <w:tcPr>
            <w:tcW w:w="3551" w:type="pct"/>
            <w:vAlign w:val="center"/>
          </w:tcPr>
          <w:p w14:paraId="60AAA495" w14:textId="5406B5E6" w:rsidR="00D65D0D" w:rsidRPr="0098262F" w:rsidRDefault="00B72C21">
            <w:pPr>
              <w:pStyle w:val="TableText0"/>
            </w:pPr>
            <w:r>
              <w:t>E</w:t>
            </w:r>
            <w:r w:rsidR="00D65D0D" w:rsidRPr="0098262F">
              <w:t xml:space="preserve">ffectiveness is assumed to be </w:t>
            </w:r>
            <w:r w:rsidR="00D65D0D">
              <w:t>superior to placebo</w:t>
            </w:r>
          </w:p>
        </w:tc>
      </w:tr>
      <w:tr w:rsidR="00D65D0D" w:rsidRPr="0098262F" w14:paraId="1717DEA5" w14:textId="77777777" w:rsidTr="00EE389F">
        <w:tc>
          <w:tcPr>
            <w:tcW w:w="1449" w:type="pct"/>
            <w:vAlign w:val="center"/>
          </w:tcPr>
          <w:p w14:paraId="70C3CA14" w14:textId="77777777" w:rsidR="00D65D0D" w:rsidRPr="0098262F" w:rsidRDefault="00D65D0D">
            <w:pPr>
              <w:pStyle w:val="TableText0"/>
            </w:pPr>
            <w:r w:rsidRPr="0098262F">
              <w:t>Therapeutic claim: safety</w:t>
            </w:r>
          </w:p>
        </w:tc>
        <w:tc>
          <w:tcPr>
            <w:tcW w:w="3551" w:type="pct"/>
            <w:vAlign w:val="center"/>
          </w:tcPr>
          <w:p w14:paraId="222C4320" w14:textId="7876E706" w:rsidR="00D65D0D" w:rsidRPr="0098262F" w:rsidRDefault="00B72C21">
            <w:pPr>
              <w:pStyle w:val="TableText0"/>
            </w:pPr>
            <w:r>
              <w:t>S</w:t>
            </w:r>
            <w:r w:rsidR="00D65D0D" w:rsidRPr="0098262F">
              <w:t>afety is assumed to be non-inferior</w:t>
            </w:r>
            <w:r w:rsidR="00D65D0D">
              <w:t xml:space="preserve"> to placebo.</w:t>
            </w:r>
          </w:p>
        </w:tc>
      </w:tr>
      <w:tr w:rsidR="00D65D0D" w:rsidRPr="0098262F" w14:paraId="1052713A" w14:textId="77777777" w:rsidTr="00EE389F">
        <w:tc>
          <w:tcPr>
            <w:tcW w:w="1449" w:type="pct"/>
            <w:vAlign w:val="center"/>
          </w:tcPr>
          <w:p w14:paraId="09C52661" w14:textId="77777777" w:rsidR="00D65D0D" w:rsidRPr="0098262F" w:rsidRDefault="00D65D0D">
            <w:pPr>
              <w:pStyle w:val="TableText0"/>
            </w:pPr>
            <w:r w:rsidRPr="0098262F">
              <w:t>Evidence base</w:t>
            </w:r>
          </w:p>
        </w:tc>
        <w:tc>
          <w:tcPr>
            <w:tcW w:w="3551" w:type="pct"/>
            <w:vAlign w:val="center"/>
          </w:tcPr>
          <w:p w14:paraId="776F55E3" w14:textId="34A9808C" w:rsidR="00D65D0D" w:rsidRDefault="00D65D0D" w:rsidP="00D65D0D">
            <w:pPr>
              <w:pStyle w:val="TableText0"/>
            </w:pPr>
            <w:r>
              <w:t xml:space="preserve">Direct randomised trials and meta-analyses from Section 2: </w:t>
            </w:r>
          </w:p>
          <w:p w14:paraId="748B5638" w14:textId="77777777" w:rsidR="00D65D0D" w:rsidRDefault="00D65D0D" w:rsidP="00D65D0D">
            <w:pPr>
              <w:pStyle w:val="TableText0"/>
            </w:pPr>
          </w:p>
          <w:p w14:paraId="053EDE41" w14:textId="65B53A52" w:rsidR="00D65D0D" w:rsidRDefault="00D65D0D" w:rsidP="00D65D0D">
            <w:pPr>
              <w:pStyle w:val="TableText0"/>
            </w:pPr>
            <w:r w:rsidRPr="0010396F">
              <w:rPr>
                <w:lang w:val="de-DE"/>
              </w:rPr>
              <w:t xml:space="preserve">El-Hage G, Eden JA, Manga RZ. </w:t>
            </w:r>
            <w:r>
              <w:t>A double-blind, randomized, placebo-controlled trial of the effect of testosterone cream on the sexual motivation of menopausal hysterectomized women with hypoactive sexual desire disorder. Climacteric. 2007 Aug;10(4):335-43.</w:t>
            </w:r>
          </w:p>
          <w:p w14:paraId="57E10F98" w14:textId="77777777" w:rsidR="00D65D0D" w:rsidRDefault="00D65D0D" w:rsidP="00D65D0D">
            <w:pPr>
              <w:pStyle w:val="TableText0"/>
            </w:pPr>
          </w:p>
          <w:p w14:paraId="70202BF5" w14:textId="77777777" w:rsidR="00D65D0D" w:rsidRDefault="00D65D0D" w:rsidP="00D65D0D">
            <w:pPr>
              <w:pStyle w:val="TableText0"/>
            </w:pPr>
            <w:proofErr w:type="spellStart"/>
            <w:r>
              <w:t>Fooladi</w:t>
            </w:r>
            <w:proofErr w:type="spellEnd"/>
            <w:r>
              <w:t xml:space="preserve"> E, Reuter SE, Bell RJ, Robinson PJ, Davis SR. Pharmacokinetics of a transdermal testosterone cream in healthy postmenopausal women. Menopause. 2015 Jan;22(1):44-9.</w:t>
            </w:r>
          </w:p>
          <w:p w14:paraId="277E73CD" w14:textId="77777777" w:rsidR="00D65D0D" w:rsidRDefault="00D65D0D" w:rsidP="00D65D0D">
            <w:pPr>
              <w:pStyle w:val="TableText0"/>
            </w:pPr>
          </w:p>
          <w:p w14:paraId="6B5E00D2" w14:textId="1D434BDE" w:rsidR="00D65D0D" w:rsidRPr="0098262F" w:rsidRDefault="00D65D0D" w:rsidP="00D65D0D">
            <w:pPr>
              <w:pStyle w:val="TableText0"/>
            </w:pPr>
            <w:r>
              <w:t>Islam RM, Bell RJ, Green S, Page MJ, Davis SR. Safety and efficacy of testosterone for women: a systematic review and meta-analysis of randomised controlled trial data. Lancet Diabetes Endocrinol. 2019 Oct;7(10):754-766.</w:t>
            </w:r>
          </w:p>
        </w:tc>
      </w:tr>
      <w:tr w:rsidR="00D65D0D" w:rsidRPr="0098262F" w14:paraId="0DDBA265" w14:textId="77777777" w:rsidTr="00EE389F">
        <w:tc>
          <w:tcPr>
            <w:tcW w:w="1449" w:type="pct"/>
            <w:vAlign w:val="center"/>
          </w:tcPr>
          <w:p w14:paraId="45CE77FD" w14:textId="77777777" w:rsidR="00D65D0D" w:rsidRPr="0098262F" w:rsidRDefault="00D65D0D">
            <w:pPr>
              <w:pStyle w:val="TableText0"/>
            </w:pPr>
            <w:r w:rsidRPr="0098262F">
              <w:t>Equi-effective doses</w:t>
            </w:r>
          </w:p>
        </w:tc>
        <w:tc>
          <w:tcPr>
            <w:tcW w:w="3551" w:type="pct"/>
            <w:vAlign w:val="center"/>
          </w:tcPr>
          <w:p w14:paraId="1CDE0E69" w14:textId="25D2F945" w:rsidR="00D65D0D" w:rsidRPr="00D65D0D" w:rsidRDefault="00D65D0D">
            <w:pPr>
              <w:pStyle w:val="TableText0"/>
              <w:rPr>
                <w:i/>
                <w:iCs/>
              </w:rPr>
            </w:pPr>
            <w:r w:rsidRPr="007C4278">
              <w:t>Not calculated.</w:t>
            </w:r>
            <w:r w:rsidRPr="00320580">
              <w:rPr>
                <w:iCs/>
              </w:rPr>
              <w:t xml:space="preserve"> </w:t>
            </w:r>
            <w:r>
              <w:t>P</w:t>
            </w:r>
            <w:r w:rsidRPr="00037672">
              <w:t>rice calculated as the daily cost per day for male testosterone</w:t>
            </w:r>
            <w:r>
              <w:t xml:space="preserve"> supplementation.</w:t>
            </w:r>
          </w:p>
        </w:tc>
      </w:tr>
      <w:tr w:rsidR="00D65D0D" w:rsidRPr="0098262F" w14:paraId="24605D92" w14:textId="77777777" w:rsidTr="00EE389F">
        <w:tc>
          <w:tcPr>
            <w:tcW w:w="1449" w:type="pct"/>
            <w:vAlign w:val="center"/>
          </w:tcPr>
          <w:p w14:paraId="3DF1C4C6" w14:textId="77777777" w:rsidR="00D65D0D" w:rsidRPr="0098262F" w:rsidRDefault="00D65D0D">
            <w:pPr>
              <w:pStyle w:val="TableText0"/>
            </w:pPr>
            <w:r w:rsidRPr="0098262F">
              <w:t>Direct medicine costs</w:t>
            </w:r>
          </w:p>
        </w:tc>
        <w:tc>
          <w:tcPr>
            <w:tcW w:w="3551" w:type="pct"/>
            <w:vAlign w:val="center"/>
          </w:tcPr>
          <w:p w14:paraId="041DB0AB" w14:textId="4E819B93" w:rsidR="00D65D0D" w:rsidRDefault="00D65D0D" w:rsidP="00D65D0D">
            <w:pPr>
              <w:pStyle w:val="TableText0"/>
            </w:pPr>
            <w:proofErr w:type="spellStart"/>
            <w:r>
              <w:t>AndroForte</w:t>
            </w:r>
            <w:proofErr w:type="spellEnd"/>
            <w:r>
              <w:t xml:space="preserve"> 5 50</w:t>
            </w:r>
            <w:r w:rsidR="002A3AB0">
              <w:t xml:space="preserve"> </w:t>
            </w:r>
            <w:r>
              <w:t>mL tube DPMQ = $107.87</w:t>
            </w:r>
          </w:p>
          <w:p w14:paraId="020F5309" w14:textId="77777777" w:rsidR="00D65D0D" w:rsidRDefault="00D65D0D" w:rsidP="00D65D0D">
            <w:pPr>
              <w:pStyle w:val="TableText0"/>
            </w:pPr>
            <w:proofErr w:type="spellStart"/>
            <w:r>
              <w:t>Testogel</w:t>
            </w:r>
            <w:proofErr w:type="spellEnd"/>
            <w:r>
              <w:t xml:space="preserve"> 2x60 pump actuations DPMQ = $79.29</w:t>
            </w:r>
          </w:p>
          <w:p w14:paraId="20F13B9D" w14:textId="77777777" w:rsidR="00D65D0D" w:rsidRDefault="00D65D0D" w:rsidP="00D65D0D">
            <w:pPr>
              <w:pStyle w:val="TableText0"/>
            </w:pPr>
            <w:proofErr w:type="spellStart"/>
            <w:r>
              <w:t>Testavan</w:t>
            </w:r>
            <w:proofErr w:type="spellEnd"/>
            <w:r>
              <w:t xml:space="preserve"> 56 pump actuations DPMQ = $84.74</w:t>
            </w:r>
          </w:p>
          <w:p w14:paraId="7F16AFBA" w14:textId="5D3A236D" w:rsidR="00D65D0D" w:rsidRPr="0098262F" w:rsidRDefault="00D65D0D" w:rsidP="00D65D0D">
            <w:pPr>
              <w:pStyle w:val="TableText0"/>
            </w:pPr>
            <w:proofErr w:type="spellStart"/>
            <w:r>
              <w:t>AndroFeme</w:t>
            </w:r>
            <w:proofErr w:type="spellEnd"/>
            <w:r>
              <w:t xml:space="preserve"> 1 50</w:t>
            </w:r>
            <w:r w:rsidR="002A3AB0">
              <w:t xml:space="preserve"> </w:t>
            </w:r>
            <w:r>
              <w:t>mL tube DPMQ = $107.87</w:t>
            </w:r>
          </w:p>
        </w:tc>
      </w:tr>
      <w:tr w:rsidR="00D65D0D" w:rsidRPr="0098262F" w14:paraId="218F8016" w14:textId="77777777" w:rsidTr="00EE389F">
        <w:tc>
          <w:tcPr>
            <w:tcW w:w="1449" w:type="pct"/>
            <w:vAlign w:val="center"/>
          </w:tcPr>
          <w:p w14:paraId="1FF26C34" w14:textId="77777777" w:rsidR="00D65D0D" w:rsidRPr="0098262F" w:rsidRDefault="00D65D0D">
            <w:pPr>
              <w:pStyle w:val="TableText0"/>
            </w:pPr>
            <w:r w:rsidRPr="0098262F">
              <w:t>Other costs or cost offsets</w:t>
            </w:r>
          </w:p>
        </w:tc>
        <w:tc>
          <w:tcPr>
            <w:tcW w:w="3551" w:type="pct"/>
            <w:vAlign w:val="center"/>
          </w:tcPr>
          <w:p w14:paraId="322DC947" w14:textId="59BEA3E3" w:rsidR="00D65D0D" w:rsidRPr="0098262F" w:rsidRDefault="00D65D0D">
            <w:pPr>
              <w:pStyle w:val="TableText0"/>
            </w:pPr>
            <w:r>
              <w:t xml:space="preserve">Not </w:t>
            </w:r>
            <w:r w:rsidR="00BF2B19">
              <w:t>included</w:t>
            </w:r>
          </w:p>
        </w:tc>
      </w:tr>
    </w:tbl>
    <w:p w14:paraId="7B31930C" w14:textId="7DDFF2D6" w:rsidR="0050069D" w:rsidRPr="00AC0AA9" w:rsidRDefault="00D65D0D" w:rsidP="00AC0AA9">
      <w:pPr>
        <w:pStyle w:val="FooterTableFigure"/>
        <w:rPr>
          <w:sz w:val="20"/>
        </w:rPr>
      </w:pPr>
      <w:r w:rsidRPr="0098262F">
        <w:t>Source: Table</w:t>
      </w:r>
      <w:r>
        <w:t xml:space="preserve"> 3.1</w:t>
      </w:r>
      <w:r w:rsidRPr="0098262F">
        <w:t>, pp</w:t>
      </w:r>
      <w:r>
        <w:t>96-7</w:t>
      </w:r>
      <w:r w:rsidRPr="0098262F">
        <w:t xml:space="preserve"> of the submission.</w:t>
      </w:r>
    </w:p>
    <w:p w14:paraId="7CEFF068" w14:textId="5786ED5C" w:rsidR="007A0E48" w:rsidRPr="002356A5" w:rsidRDefault="007A0E48" w:rsidP="00402B5B">
      <w:pPr>
        <w:pStyle w:val="3-BodyText"/>
      </w:pPr>
      <w:r w:rsidRPr="002356A5">
        <w:t xml:space="preserve">The submission did not present any evidence to </w:t>
      </w:r>
      <w:r w:rsidR="006B042F" w:rsidRPr="002356A5">
        <w:t>support the view that the</w:t>
      </w:r>
      <w:r w:rsidR="00344FBF">
        <w:t xml:space="preserve"> ‘value’ of the</w:t>
      </w:r>
      <w:r w:rsidR="006B042F" w:rsidRPr="002356A5">
        <w:t xml:space="preserve"> outcomes of testosterone therapy in postmenopausal women would be the same as</w:t>
      </w:r>
      <w:r w:rsidR="00AE2C47">
        <w:t xml:space="preserve"> that for</w:t>
      </w:r>
      <w:r w:rsidR="006B042F" w:rsidRPr="002356A5">
        <w:t xml:space="preserve"> </w:t>
      </w:r>
      <w:r w:rsidR="00F5471F" w:rsidRPr="002356A5">
        <w:t>th</w:t>
      </w:r>
      <w:r w:rsidR="00B87905" w:rsidRPr="002356A5">
        <w:t xml:space="preserve">e outcomes </w:t>
      </w:r>
      <w:r w:rsidR="00FF52AE" w:rsidRPr="002356A5">
        <w:t xml:space="preserve">for </w:t>
      </w:r>
      <w:r w:rsidR="00DB3293">
        <w:t>men</w:t>
      </w:r>
      <w:r w:rsidR="00FF52AE" w:rsidRPr="002356A5">
        <w:t xml:space="preserve"> </w:t>
      </w:r>
      <w:r w:rsidR="007D57EB" w:rsidRPr="002356A5">
        <w:t>with</w:t>
      </w:r>
      <w:r w:rsidR="00A93E34" w:rsidRPr="002356A5">
        <w:t xml:space="preserve"> </w:t>
      </w:r>
      <w:r w:rsidR="007D57EB" w:rsidRPr="002356A5">
        <w:t xml:space="preserve">androgen deficiency </w:t>
      </w:r>
      <w:r w:rsidR="00FF52AE" w:rsidRPr="002356A5">
        <w:t xml:space="preserve">who would qualify for </w:t>
      </w:r>
      <w:r w:rsidR="007D57EB" w:rsidRPr="002356A5">
        <w:t xml:space="preserve">one of the currently </w:t>
      </w:r>
      <w:r w:rsidR="00FF52AE" w:rsidRPr="002356A5">
        <w:t>PBS-listed testosterone product</w:t>
      </w:r>
      <w:r w:rsidR="00275A08" w:rsidRPr="002356A5">
        <w:t>s</w:t>
      </w:r>
      <w:r w:rsidR="00FF52AE" w:rsidRPr="002356A5">
        <w:t>.</w:t>
      </w:r>
      <w:r w:rsidR="00BA0CE2">
        <w:t xml:space="preserve"> </w:t>
      </w:r>
      <w:r w:rsidR="00B1026E" w:rsidRPr="00320580">
        <w:rPr>
          <w:iCs/>
        </w:rPr>
        <w:t>T</w:t>
      </w:r>
      <w:r w:rsidR="00BA0CE2" w:rsidRPr="00320580">
        <w:rPr>
          <w:iCs/>
        </w:rPr>
        <w:t xml:space="preserve">he </w:t>
      </w:r>
      <w:r w:rsidR="00B1026E" w:rsidRPr="00320580">
        <w:rPr>
          <w:iCs/>
        </w:rPr>
        <w:t xml:space="preserve">ESC noted that the </w:t>
      </w:r>
      <w:r w:rsidR="00BA0CE2" w:rsidRPr="00320580">
        <w:rPr>
          <w:iCs/>
        </w:rPr>
        <w:t xml:space="preserve">submission did not provide </w:t>
      </w:r>
      <w:r w:rsidR="00966E1E" w:rsidRPr="00320580">
        <w:rPr>
          <w:iCs/>
        </w:rPr>
        <w:t>justi</w:t>
      </w:r>
      <w:r w:rsidR="00A147F6" w:rsidRPr="00320580">
        <w:rPr>
          <w:iCs/>
        </w:rPr>
        <w:t>fication</w:t>
      </w:r>
      <w:r w:rsidR="00BA0CE2" w:rsidRPr="00320580">
        <w:rPr>
          <w:iCs/>
        </w:rPr>
        <w:t xml:space="preserve"> that the price of testosterone products for male hypogonadism could be used as a benchmark for </w:t>
      </w:r>
      <w:r w:rsidR="00C86F98" w:rsidRPr="00320580">
        <w:rPr>
          <w:iCs/>
        </w:rPr>
        <w:t xml:space="preserve">the price of </w:t>
      </w:r>
      <w:r w:rsidR="00BA0CE2" w:rsidRPr="00320580">
        <w:rPr>
          <w:iCs/>
        </w:rPr>
        <w:t xml:space="preserve">testosterone in women </w:t>
      </w:r>
      <w:r w:rsidR="008056F6" w:rsidRPr="00320580">
        <w:rPr>
          <w:iCs/>
        </w:rPr>
        <w:t>with HSDD</w:t>
      </w:r>
      <w:r w:rsidR="00005E6C" w:rsidRPr="00320580">
        <w:rPr>
          <w:iCs/>
        </w:rPr>
        <w:t xml:space="preserve">. The ESC </w:t>
      </w:r>
      <w:r w:rsidR="00BA0CE2" w:rsidRPr="00320580">
        <w:rPr>
          <w:iCs/>
        </w:rPr>
        <w:t>consider</w:t>
      </w:r>
      <w:r w:rsidR="00005E6C" w:rsidRPr="00320580">
        <w:rPr>
          <w:iCs/>
        </w:rPr>
        <w:t>ed</w:t>
      </w:r>
      <w:r w:rsidR="00BA0CE2" w:rsidRPr="00320580">
        <w:rPr>
          <w:iCs/>
        </w:rPr>
        <w:t xml:space="preserve"> that the value of using testosterone in those </w:t>
      </w:r>
      <w:r w:rsidR="00BC63CA" w:rsidRPr="00320580">
        <w:rPr>
          <w:iCs/>
        </w:rPr>
        <w:t>two</w:t>
      </w:r>
      <w:r w:rsidR="00BA0CE2" w:rsidRPr="00320580">
        <w:rPr>
          <w:iCs/>
        </w:rPr>
        <w:t xml:space="preserve"> populations m</w:t>
      </w:r>
      <w:r w:rsidR="00AB7ECC" w:rsidRPr="00320580">
        <w:rPr>
          <w:iCs/>
        </w:rPr>
        <w:t>ay</w:t>
      </w:r>
      <w:r w:rsidR="00BA0CE2" w:rsidRPr="00320580">
        <w:rPr>
          <w:iCs/>
        </w:rPr>
        <w:t xml:space="preserve"> be completely different</w:t>
      </w:r>
      <w:r w:rsidR="001117F6" w:rsidRPr="00320580">
        <w:rPr>
          <w:iCs/>
        </w:rPr>
        <w:t>; therefore</w:t>
      </w:r>
      <w:r w:rsidR="002E77F2" w:rsidRPr="00320580">
        <w:rPr>
          <w:iCs/>
        </w:rPr>
        <w:t>,</w:t>
      </w:r>
      <w:r w:rsidR="002258D2" w:rsidRPr="00320580">
        <w:rPr>
          <w:iCs/>
        </w:rPr>
        <w:t xml:space="preserve"> the </w:t>
      </w:r>
      <w:r w:rsidR="001D419E" w:rsidRPr="00320580">
        <w:rPr>
          <w:iCs/>
        </w:rPr>
        <w:t xml:space="preserve">economic analysis presented by the submission </w:t>
      </w:r>
      <w:r w:rsidR="008C19EF" w:rsidRPr="00320580">
        <w:rPr>
          <w:iCs/>
        </w:rPr>
        <w:t>(</w:t>
      </w:r>
      <w:r w:rsidR="002258D2" w:rsidRPr="00320580">
        <w:rPr>
          <w:iCs/>
        </w:rPr>
        <w:t>price per day of treatment</w:t>
      </w:r>
      <w:r w:rsidR="008C19EF" w:rsidRPr="00320580">
        <w:rPr>
          <w:iCs/>
        </w:rPr>
        <w:t>)</w:t>
      </w:r>
      <w:r w:rsidR="002258D2" w:rsidRPr="00320580">
        <w:rPr>
          <w:iCs/>
        </w:rPr>
        <w:t xml:space="preserve">, was not </w:t>
      </w:r>
      <w:r w:rsidR="00FE41D7" w:rsidRPr="00320580">
        <w:rPr>
          <w:iCs/>
        </w:rPr>
        <w:t xml:space="preserve">an </w:t>
      </w:r>
      <w:r w:rsidR="002258D2" w:rsidRPr="00320580">
        <w:rPr>
          <w:iCs/>
        </w:rPr>
        <w:t>appropriate</w:t>
      </w:r>
      <w:r w:rsidR="00FE41D7" w:rsidRPr="00320580">
        <w:rPr>
          <w:iCs/>
        </w:rPr>
        <w:t xml:space="preserve"> method to determine cost-effectiveness</w:t>
      </w:r>
      <w:r w:rsidR="001117F6" w:rsidRPr="00320580">
        <w:rPr>
          <w:iCs/>
        </w:rPr>
        <w:t xml:space="preserve"> for HSDD</w:t>
      </w:r>
      <w:r w:rsidR="002258D2" w:rsidRPr="00320580">
        <w:rPr>
          <w:iCs/>
        </w:rPr>
        <w:t>.</w:t>
      </w:r>
    </w:p>
    <w:p w14:paraId="118F7926" w14:textId="0402A09C" w:rsidR="00FE41D7" w:rsidRDefault="00A86E8B" w:rsidP="00F950FA">
      <w:pPr>
        <w:pStyle w:val="3-BodyText"/>
      </w:pPr>
      <w:r w:rsidRPr="002356A5">
        <w:t xml:space="preserve">The </w:t>
      </w:r>
      <w:r w:rsidR="00135D10" w:rsidRPr="002356A5">
        <w:t xml:space="preserve">submission </w:t>
      </w:r>
      <w:r w:rsidR="00A924B0">
        <w:t>proposed a price</w:t>
      </w:r>
      <w:r w:rsidR="00135D10" w:rsidRPr="002356A5">
        <w:t xml:space="preserve"> </w:t>
      </w:r>
      <w:proofErr w:type="gramStart"/>
      <w:r w:rsidR="00135D10" w:rsidRPr="002356A5">
        <w:t>on the basis of</w:t>
      </w:r>
      <w:proofErr w:type="gramEnd"/>
      <w:r w:rsidR="00135D10" w:rsidRPr="002356A5">
        <w:t xml:space="preserve"> a comparison with the existing price for </w:t>
      </w:r>
      <w:r w:rsidR="00B1500D" w:rsidRPr="002356A5">
        <w:t>the testosterone 5% cream, 50</w:t>
      </w:r>
      <w:r w:rsidR="000D4C56" w:rsidRPr="002356A5">
        <w:t xml:space="preserve"> </w:t>
      </w:r>
      <w:r w:rsidR="00B1500D" w:rsidRPr="002356A5">
        <w:t>mg/mL, 50</w:t>
      </w:r>
      <w:r w:rsidR="0053651B" w:rsidRPr="002356A5">
        <w:t xml:space="preserve"> </w:t>
      </w:r>
      <w:proofErr w:type="spellStart"/>
      <w:r w:rsidR="00C1617F" w:rsidRPr="002356A5">
        <w:t>mL</w:t>
      </w:r>
      <w:r w:rsidR="00B1500D" w:rsidRPr="002356A5">
        <w:t>.</w:t>
      </w:r>
      <w:proofErr w:type="spellEnd"/>
      <w:r w:rsidR="00B1500D" w:rsidRPr="002356A5">
        <w:t xml:space="preserve"> </w:t>
      </w:r>
      <w:r w:rsidR="00FE41D7" w:rsidRPr="00320580">
        <w:rPr>
          <w:iCs/>
        </w:rPr>
        <w:t>The ESC considered this was not appropriate.</w:t>
      </w:r>
      <w:r w:rsidR="00FE41D7">
        <w:t xml:space="preserve"> </w:t>
      </w:r>
      <w:r w:rsidR="00B1500D" w:rsidRPr="002356A5">
        <w:t xml:space="preserve">The PBAC last considered this product in March 2021, when the sponsor (also Lawley Pharmaceuticals) applied for an increase </w:t>
      </w:r>
      <w:r w:rsidR="00087359" w:rsidRPr="002356A5">
        <w:t>in</w:t>
      </w:r>
      <w:r w:rsidR="00B1500D" w:rsidRPr="002356A5">
        <w:t xml:space="preserve"> the</w:t>
      </w:r>
      <w:r w:rsidR="00AC5E29" w:rsidRPr="002356A5">
        <w:t xml:space="preserve"> Approved Ex-Manufacturer Price</w:t>
      </w:r>
      <w:r w:rsidR="00B1500D" w:rsidRPr="002356A5">
        <w:t xml:space="preserve"> </w:t>
      </w:r>
      <w:r w:rsidR="00AC5E29" w:rsidRPr="002356A5">
        <w:t>(</w:t>
      </w:r>
      <w:r w:rsidR="00B1500D" w:rsidRPr="002356A5">
        <w:t>AEMP</w:t>
      </w:r>
      <w:r w:rsidR="00AC5E29" w:rsidRPr="002356A5">
        <w:t>)</w:t>
      </w:r>
      <w:r w:rsidR="00B1500D" w:rsidRPr="002356A5">
        <w:t xml:space="preserve"> compared to other topical testosterone products. The </w:t>
      </w:r>
      <w:r w:rsidR="00C717BB">
        <w:t>basis</w:t>
      </w:r>
      <w:r w:rsidR="00B1500D" w:rsidRPr="002356A5">
        <w:t xml:space="preserve"> for the requested increase in price w</w:t>
      </w:r>
      <w:r w:rsidR="00C717BB">
        <w:t>as</w:t>
      </w:r>
      <w:r w:rsidR="00B1500D" w:rsidRPr="002356A5">
        <w:t xml:space="preserve"> a reduction in daily dose due to a change in application site (from torso to scrotum) so that the 50</w:t>
      </w:r>
      <w:r w:rsidR="000D4C56" w:rsidRPr="002356A5">
        <w:t xml:space="preserve"> </w:t>
      </w:r>
      <w:r w:rsidR="00B1500D" w:rsidRPr="002356A5">
        <w:t xml:space="preserve">mL tube would provide up to 100 treatments. </w:t>
      </w:r>
      <w:bookmarkStart w:id="64" w:name="_Ref206253964"/>
    </w:p>
    <w:p w14:paraId="6CDF31AC" w14:textId="1246AC84" w:rsidR="00A065ED" w:rsidRPr="002356A5" w:rsidRDefault="00BF656D" w:rsidP="00FC1D08">
      <w:pPr>
        <w:pStyle w:val="3-BodyText"/>
      </w:pPr>
      <w:r w:rsidRPr="002356A5">
        <w:t>A comparison of</w:t>
      </w:r>
      <w:r w:rsidR="00AE3C24" w:rsidRPr="002356A5">
        <w:t xml:space="preserve"> </w:t>
      </w:r>
      <w:proofErr w:type="spellStart"/>
      <w:r w:rsidR="00AE3C24" w:rsidRPr="002356A5">
        <w:t>AndroFeme</w:t>
      </w:r>
      <w:proofErr w:type="spellEnd"/>
      <w:r w:rsidR="00AE3C24" w:rsidRPr="002356A5">
        <w:t xml:space="preserve"> 1 with</w:t>
      </w:r>
      <w:r w:rsidRPr="002356A5">
        <w:t xml:space="preserve"> the existing topical testosterone products</w:t>
      </w:r>
      <w:r w:rsidR="00A91C9D" w:rsidRPr="002356A5">
        <w:t xml:space="preserve"> for male hypogonadism</w:t>
      </w:r>
      <w:r w:rsidR="00CE59DA" w:rsidRPr="002356A5">
        <w:t>,</w:t>
      </w:r>
      <w:r w:rsidRPr="002356A5">
        <w:t xml:space="preserve"> including </w:t>
      </w:r>
      <w:r w:rsidR="00233B6D">
        <w:t xml:space="preserve">the </w:t>
      </w:r>
      <w:r w:rsidRPr="002356A5">
        <w:t>recommended dose</w:t>
      </w:r>
      <w:r w:rsidR="00300069" w:rsidRPr="002356A5">
        <w:t xml:space="preserve"> based on Product Information documents</w:t>
      </w:r>
      <w:r w:rsidRPr="002356A5">
        <w:t>, price per day based on dose</w:t>
      </w:r>
      <w:r w:rsidR="00574D70" w:rsidRPr="002356A5">
        <w:t>,</w:t>
      </w:r>
      <w:r w:rsidRPr="002356A5">
        <w:t xml:space="preserve"> and price per mg</w:t>
      </w:r>
      <w:r w:rsidR="00574D70" w:rsidRPr="002356A5">
        <w:t>,</w:t>
      </w:r>
      <w:r w:rsidRPr="002356A5">
        <w:t xml:space="preserve"> is shown in</w:t>
      </w:r>
      <w:r w:rsidR="00FD347A" w:rsidRPr="002356A5">
        <w:t xml:space="preserve"> </w:t>
      </w:r>
      <w:r w:rsidR="00FD347A" w:rsidRPr="002356A5">
        <w:fldChar w:fldCharType="begin"/>
      </w:r>
      <w:r w:rsidR="00FD347A" w:rsidRPr="002356A5">
        <w:instrText xml:space="preserve"> REF _Ref206236180 \h  \* MERGEFORMAT </w:instrText>
      </w:r>
      <w:r w:rsidR="00FD347A" w:rsidRPr="002356A5">
        <w:fldChar w:fldCharType="separate"/>
      </w:r>
      <w:r w:rsidR="00374A89" w:rsidRPr="00B74C01">
        <w:t xml:space="preserve">Table </w:t>
      </w:r>
      <w:r w:rsidR="00374A89">
        <w:rPr>
          <w:noProof/>
        </w:rPr>
        <w:t>7</w:t>
      </w:r>
      <w:r w:rsidR="00FD347A" w:rsidRPr="002356A5">
        <w:fldChar w:fldCharType="end"/>
      </w:r>
      <w:r w:rsidR="00300069" w:rsidRPr="002356A5">
        <w:t>.</w:t>
      </w:r>
      <w:bookmarkEnd w:id="64"/>
      <w:r w:rsidR="00FC1D08">
        <w:t xml:space="preserve"> </w:t>
      </w:r>
      <w:r w:rsidR="00A065ED" w:rsidRPr="002356A5">
        <w:t xml:space="preserve">The </w:t>
      </w:r>
      <w:r w:rsidR="00A065ED" w:rsidRPr="002356A5">
        <w:lastRenderedPageBreak/>
        <w:t xml:space="preserve">submission indicated that based on the comparison of daily drug cost based on DPMQ, the least expensive of the available currently listed testosterone products is </w:t>
      </w:r>
      <w:proofErr w:type="spellStart"/>
      <w:r w:rsidR="00A065ED" w:rsidRPr="002356A5">
        <w:t>AndroForte</w:t>
      </w:r>
      <w:proofErr w:type="spellEnd"/>
      <w:r w:rsidR="00A065ED" w:rsidRPr="002356A5">
        <w:t xml:space="preserve"> 5, which like </w:t>
      </w:r>
      <w:proofErr w:type="spellStart"/>
      <w:r w:rsidR="00A065ED" w:rsidRPr="002356A5">
        <w:t>AndroFeme</w:t>
      </w:r>
      <w:proofErr w:type="spellEnd"/>
      <w:r w:rsidR="00A065ED" w:rsidRPr="002356A5">
        <w:t xml:space="preserve"> 1, has a 50 mL pack size and a recommended daily dose of 0.5 </w:t>
      </w:r>
      <w:proofErr w:type="spellStart"/>
      <w:r w:rsidR="00A065ED" w:rsidRPr="002356A5">
        <w:t>mL.</w:t>
      </w:r>
      <w:proofErr w:type="spellEnd"/>
      <w:r w:rsidR="00A065ED" w:rsidRPr="002356A5">
        <w:t xml:space="preserve"> The submission stated that price parity between the 2 products would result in a DPMQ for </w:t>
      </w:r>
      <w:proofErr w:type="spellStart"/>
      <w:r w:rsidR="00A065ED" w:rsidRPr="002356A5">
        <w:t>AndroFeme</w:t>
      </w:r>
      <w:proofErr w:type="spellEnd"/>
      <w:r w:rsidR="00A065ED" w:rsidRPr="002356A5">
        <w:t xml:space="preserve"> 1 at the same price as </w:t>
      </w:r>
      <w:proofErr w:type="spellStart"/>
      <w:r w:rsidR="00A065ED" w:rsidRPr="002356A5">
        <w:t>AndroForte</w:t>
      </w:r>
      <w:proofErr w:type="spellEnd"/>
      <w:r w:rsidR="00A065ED" w:rsidRPr="002356A5">
        <w:t xml:space="preserve"> 5 (currently $107.87 for 1 pack). However, the submission assumed a maximum number of days coverage based on the minimum recommended daily doses </w:t>
      </w:r>
      <w:proofErr w:type="gramStart"/>
      <w:r w:rsidR="00A065ED" w:rsidRPr="002356A5">
        <w:t>in order to</w:t>
      </w:r>
      <w:proofErr w:type="gramEnd"/>
      <w:r w:rsidR="00A065ED" w:rsidRPr="002356A5">
        <w:t xml:space="preserve"> calculate a daily drug cost; instead, the </w:t>
      </w:r>
      <w:r w:rsidR="00FE41D7">
        <w:t xml:space="preserve">evaluation considered that the </w:t>
      </w:r>
      <w:r w:rsidR="00A065ED" w:rsidRPr="002356A5">
        <w:t>comparison should reflect a price per mg based on pack size and AEMP.</w:t>
      </w:r>
    </w:p>
    <w:p w14:paraId="49818B72" w14:textId="27A9B983" w:rsidR="00A065ED" w:rsidRPr="005E46A3" w:rsidRDefault="00A065ED" w:rsidP="00A065ED">
      <w:pPr>
        <w:pStyle w:val="3-BodyText"/>
        <w:rPr>
          <w:color w:val="0066FF"/>
        </w:rPr>
      </w:pPr>
      <w:r w:rsidRPr="002356A5">
        <w:t xml:space="preserve">Based on the comparison of price per mg based on pack size, the </w:t>
      </w:r>
      <w:r w:rsidR="00FE41D7">
        <w:t xml:space="preserve">evaluation calculated that the </w:t>
      </w:r>
      <w:r w:rsidRPr="002356A5">
        <w:t>sponsor requested a price per mg</w:t>
      </w:r>
      <w:r w:rsidR="00AF2519">
        <w:t xml:space="preserve"> of </w:t>
      </w:r>
      <w:r w:rsidRPr="002356A5">
        <w:t xml:space="preserve">testosterone </w:t>
      </w:r>
      <w:r w:rsidR="00AF2519">
        <w:t xml:space="preserve">that was </w:t>
      </w:r>
      <w:r w:rsidRPr="002356A5">
        <w:t xml:space="preserve">up to five times higher for HSDD in postmenopausal women compared to existing testosterone products that </w:t>
      </w:r>
      <w:r w:rsidR="00FE41D7">
        <w:t>may</w:t>
      </w:r>
      <w:r w:rsidR="00FE41D7" w:rsidRPr="002356A5">
        <w:t xml:space="preserve"> </w:t>
      </w:r>
      <w:r w:rsidRPr="002356A5">
        <w:t xml:space="preserve">potentially </w:t>
      </w:r>
      <w:r w:rsidR="00FE41D7">
        <w:t xml:space="preserve">be </w:t>
      </w:r>
      <w:r w:rsidRPr="002356A5">
        <w:t xml:space="preserve">being used for HSDD. </w:t>
      </w:r>
      <w:r w:rsidR="009137E8" w:rsidRPr="00320580">
        <w:rPr>
          <w:iCs/>
        </w:rPr>
        <w:t xml:space="preserve"> The PSCR </w:t>
      </w:r>
      <w:r w:rsidR="00BE6471" w:rsidRPr="00320580">
        <w:rPr>
          <w:iCs/>
        </w:rPr>
        <w:t>assert</w:t>
      </w:r>
      <w:r w:rsidR="009137E8" w:rsidRPr="00320580">
        <w:rPr>
          <w:iCs/>
        </w:rPr>
        <w:t>ed</w:t>
      </w:r>
      <w:r w:rsidR="00844AB0" w:rsidRPr="00320580">
        <w:rPr>
          <w:iCs/>
        </w:rPr>
        <w:t xml:space="preserve"> that</w:t>
      </w:r>
      <w:r w:rsidR="003C4F4E" w:rsidRPr="00320580">
        <w:rPr>
          <w:iCs/>
        </w:rPr>
        <w:t>, “</w:t>
      </w:r>
      <w:r w:rsidR="00552BC4" w:rsidRPr="00320580">
        <w:rPr>
          <w:iCs/>
        </w:rPr>
        <w:t>m</w:t>
      </w:r>
      <w:r w:rsidR="003C4F4E" w:rsidRPr="00320580">
        <w:rPr>
          <w:iCs/>
        </w:rPr>
        <w:t>g-for-mg pricing is not a valid or safe basis for evaluating transdermal testosterone</w:t>
      </w:r>
      <w:r w:rsidR="006B20F5" w:rsidRPr="00320580">
        <w:rPr>
          <w:iCs/>
        </w:rPr>
        <w:t>”</w:t>
      </w:r>
      <w:r w:rsidR="003C4F4E" w:rsidRPr="00320580">
        <w:rPr>
          <w:iCs/>
        </w:rPr>
        <w:t xml:space="preserve">. </w:t>
      </w:r>
      <w:r w:rsidR="006B20F5" w:rsidRPr="00320580">
        <w:rPr>
          <w:iCs/>
        </w:rPr>
        <w:t xml:space="preserve">The PSCR </w:t>
      </w:r>
      <w:r w:rsidR="00C65001" w:rsidRPr="00320580">
        <w:rPr>
          <w:iCs/>
        </w:rPr>
        <w:t>highlighted that “s</w:t>
      </w:r>
      <w:r w:rsidR="003C4F4E" w:rsidRPr="00320580">
        <w:rPr>
          <w:iCs/>
        </w:rPr>
        <w:t>ystemic exposure from skin delivery depends on formulation pharmacokinetics and site of application, not just nominal milligrams</w:t>
      </w:r>
      <w:r w:rsidR="0056298F" w:rsidRPr="00320580">
        <w:rPr>
          <w:iCs/>
        </w:rPr>
        <w:t>” and stated that “</w:t>
      </w:r>
      <w:r w:rsidR="004B4D5B" w:rsidRPr="00320580">
        <w:rPr>
          <w:iCs/>
        </w:rPr>
        <w:t>t</w:t>
      </w:r>
      <w:r w:rsidR="003C4F4E" w:rsidRPr="00320580">
        <w:rPr>
          <w:iCs/>
        </w:rPr>
        <w:t>estosterone creams/gels demonstrate non-linear absorption; therefore, “mg” does not translate proportionally to effect or cost-effectiveness</w:t>
      </w:r>
      <w:r w:rsidR="00BE6471" w:rsidRPr="00320580">
        <w:rPr>
          <w:iCs/>
        </w:rPr>
        <w:t>”</w:t>
      </w:r>
      <w:r w:rsidR="003C4F4E" w:rsidRPr="00320580">
        <w:rPr>
          <w:iCs/>
        </w:rPr>
        <w:t xml:space="preserve">. </w:t>
      </w:r>
    </w:p>
    <w:p w14:paraId="3CC82240" w14:textId="073324D9" w:rsidR="005E46A3" w:rsidRPr="00320580" w:rsidRDefault="005E46A3" w:rsidP="005E46A3">
      <w:pPr>
        <w:pStyle w:val="3-BodyText"/>
        <w:rPr>
          <w:iCs/>
        </w:rPr>
      </w:pPr>
      <w:r w:rsidRPr="00320580">
        <w:rPr>
          <w:iCs/>
        </w:rPr>
        <w:t xml:space="preserve">The ESC </w:t>
      </w:r>
      <w:r w:rsidR="007C77A9" w:rsidRPr="00320580">
        <w:rPr>
          <w:iCs/>
        </w:rPr>
        <w:t xml:space="preserve">was of the view </w:t>
      </w:r>
      <w:r w:rsidRPr="00320580">
        <w:rPr>
          <w:iCs/>
        </w:rPr>
        <w:t xml:space="preserve">that a </w:t>
      </w:r>
      <w:r w:rsidR="007C77A9" w:rsidRPr="00320580">
        <w:rPr>
          <w:iCs/>
        </w:rPr>
        <w:t>“</w:t>
      </w:r>
      <w:r w:rsidRPr="00320580">
        <w:rPr>
          <w:iCs/>
        </w:rPr>
        <w:t>mg per mg</w:t>
      </w:r>
      <w:r w:rsidR="007C77A9" w:rsidRPr="00320580">
        <w:rPr>
          <w:iCs/>
        </w:rPr>
        <w:t>”</w:t>
      </w:r>
      <w:r w:rsidRPr="00320580">
        <w:rPr>
          <w:iCs/>
        </w:rPr>
        <w:t xml:space="preserve"> </w:t>
      </w:r>
      <w:r w:rsidR="00AF2519" w:rsidRPr="00320580">
        <w:rPr>
          <w:iCs/>
        </w:rPr>
        <w:t xml:space="preserve">price </w:t>
      </w:r>
      <w:r w:rsidRPr="00320580">
        <w:rPr>
          <w:iCs/>
        </w:rPr>
        <w:t xml:space="preserve">comparison was a </w:t>
      </w:r>
      <w:r w:rsidR="00C14146" w:rsidRPr="00320580">
        <w:rPr>
          <w:iCs/>
        </w:rPr>
        <w:t xml:space="preserve">more </w:t>
      </w:r>
      <w:r w:rsidRPr="00320580">
        <w:rPr>
          <w:iCs/>
        </w:rPr>
        <w:t>reasonable approach to determining cost-effectiveness</w:t>
      </w:r>
      <w:r w:rsidR="00C14146" w:rsidRPr="00320580">
        <w:rPr>
          <w:iCs/>
        </w:rPr>
        <w:t xml:space="preserve"> than the approach used by the submission</w:t>
      </w:r>
      <w:r w:rsidR="00867E47" w:rsidRPr="00320580">
        <w:rPr>
          <w:iCs/>
        </w:rPr>
        <w:t xml:space="preserve"> (price per day of treatment)</w:t>
      </w:r>
      <w:r w:rsidRPr="00320580">
        <w:rPr>
          <w:iCs/>
        </w:rPr>
        <w:t xml:space="preserve">, noting that while the submission argued that this comparison was not appropriate given the different formulations, </w:t>
      </w:r>
      <w:r w:rsidR="00494643" w:rsidRPr="00320580">
        <w:rPr>
          <w:iCs/>
        </w:rPr>
        <w:t xml:space="preserve">it </w:t>
      </w:r>
      <w:r w:rsidRPr="00320580">
        <w:rPr>
          <w:iCs/>
        </w:rPr>
        <w:t xml:space="preserve">contradicted this argument by relying on data from trials that had used different topical testosterone preparations to support there being </w:t>
      </w:r>
      <w:r w:rsidR="00F2761D" w:rsidRPr="00320580">
        <w:rPr>
          <w:iCs/>
        </w:rPr>
        <w:t>“</w:t>
      </w:r>
      <w:r w:rsidRPr="00320580">
        <w:rPr>
          <w:iCs/>
        </w:rPr>
        <w:t>a class effect of testosterone which can be assumed to apply to 1% testosterone cream given similar serum testosterone levels were demonstrated in a pharmacokinetic study</w:t>
      </w:r>
      <w:r w:rsidR="00F2761D" w:rsidRPr="00320580">
        <w:rPr>
          <w:iCs/>
        </w:rPr>
        <w:t>”</w:t>
      </w:r>
      <w:r w:rsidRPr="00320580">
        <w:rPr>
          <w:iCs/>
        </w:rPr>
        <w:t xml:space="preserve">. The ESC further noted that the excipients used in the formulation of 1% testosterone cream were the same as those used in the formulation of </w:t>
      </w:r>
      <w:proofErr w:type="spellStart"/>
      <w:r w:rsidRPr="00320580">
        <w:rPr>
          <w:iCs/>
        </w:rPr>
        <w:t>AndroForte</w:t>
      </w:r>
      <w:proofErr w:type="spellEnd"/>
      <w:r w:rsidRPr="00320580">
        <w:rPr>
          <w:iCs/>
        </w:rPr>
        <w:t xml:space="preserve"> 5. </w:t>
      </w:r>
    </w:p>
    <w:p w14:paraId="352B6C9A" w14:textId="353E9E4C" w:rsidR="00CB6BF8" w:rsidRPr="00CB6BF8" w:rsidRDefault="00A065ED" w:rsidP="00402B5B">
      <w:pPr>
        <w:pStyle w:val="3-BodyText"/>
        <w:rPr>
          <w:color w:val="0066FF"/>
        </w:rPr>
      </w:pPr>
      <w:r w:rsidRPr="002356A5">
        <w:t>The</w:t>
      </w:r>
      <w:r w:rsidR="00F37301">
        <w:t xml:space="preserve"> evaluation noted that the</w:t>
      </w:r>
      <w:r w:rsidRPr="002356A5">
        <w:t xml:space="preserve"> comparison presented did not include the cost of non-oral estrogen therapy. </w:t>
      </w:r>
      <w:r w:rsidR="00CF7095" w:rsidRPr="00320580">
        <w:rPr>
          <w:iCs/>
        </w:rPr>
        <w:t>The PSCR stated that</w:t>
      </w:r>
      <w:r w:rsidR="008F18DE" w:rsidRPr="00320580">
        <w:rPr>
          <w:iCs/>
        </w:rPr>
        <w:t xml:space="preserve"> “Evidence underlying the registration and dosing shows </w:t>
      </w:r>
      <w:proofErr w:type="spellStart"/>
      <w:r w:rsidR="008F18DE" w:rsidRPr="00320580">
        <w:rPr>
          <w:iCs/>
        </w:rPr>
        <w:t>AndroFeme</w:t>
      </w:r>
      <w:proofErr w:type="spellEnd"/>
      <w:r w:rsidR="008F18DE" w:rsidRPr="00320580">
        <w:rPr>
          <w:iCs/>
        </w:rPr>
        <w:t xml:space="preserve"> 1 achieves physiologic female testosterone levels without systemic estrogen” and that</w:t>
      </w:r>
      <w:r w:rsidR="00CF7095" w:rsidRPr="00320580">
        <w:rPr>
          <w:iCs/>
        </w:rPr>
        <w:t xml:space="preserve"> “the use of estrogen therapy is standard for postmenopausal women requiring hormone replacement therapy and is not specific to the treatment of HSDD”.</w:t>
      </w:r>
      <w:r w:rsidR="00CF7095">
        <w:t xml:space="preserve">  </w:t>
      </w:r>
    </w:p>
    <w:p w14:paraId="09CF66EA" w14:textId="0FAD4618" w:rsidR="00A065ED" w:rsidRPr="007C3C88" w:rsidRDefault="00CB6BF8" w:rsidP="00402B5B">
      <w:pPr>
        <w:pStyle w:val="3-BodyText"/>
        <w:rPr>
          <w:color w:val="0066FF"/>
          <w:szCs w:val="24"/>
        </w:rPr>
      </w:pPr>
      <w:r>
        <w:t xml:space="preserve">The comparison presented did not include the cost of monitoring of testosterone levels. </w:t>
      </w:r>
      <w:r w:rsidR="00A065ED" w:rsidRPr="002356A5">
        <w:t xml:space="preserve">The Product Information </w:t>
      </w:r>
      <w:r w:rsidR="0005588D">
        <w:t xml:space="preserve">(PI) </w:t>
      </w:r>
      <w:r w:rsidR="00A065ED" w:rsidRPr="002356A5">
        <w:t>states that baseline testosterone and sex hormone binding globulin (SHBG) levels should be obtained and that the test should be repeated at 3 to 6 weeks following therapy. The PI additionally states that the serum concentration of total testosterone should be maintained within the approximate physiological range for premenopausal women</w:t>
      </w:r>
      <w:r w:rsidR="00A065ED" w:rsidRPr="000D3CB8">
        <w:rPr>
          <w:sz w:val="23"/>
          <w:szCs w:val="23"/>
        </w:rPr>
        <w:t>.</w:t>
      </w:r>
      <w:r w:rsidR="00924F39" w:rsidRPr="000D3CB8">
        <w:rPr>
          <w:sz w:val="23"/>
          <w:szCs w:val="23"/>
        </w:rPr>
        <w:t xml:space="preserve"> </w:t>
      </w:r>
      <w:r w:rsidR="00924F39" w:rsidRPr="00320580">
        <w:rPr>
          <w:iCs/>
          <w:szCs w:val="24"/>
        </w:rPr>
        <w:t xml:space="preserve">The ESC considered that the cost of </w:t>
      </w:r>
      <w:r w:rsidR="004261F2" w:rsidRPr="00320580">
        <w:rPr>
          <w:iCs/>
          <w:szCs w:val="24"/>
        </w:rPr>
        <w:t xml:space="preserve">measuring </w:t>
      </w:r>
      <w:r w:rsidR="003443F4" w:rsidRPr="00320580">
        <w:rPr>
          <w:iCs/>
          <w:szCs w:val="24"/>
        </w:rPr>
        <w:t xml:space="preserve">testosterone </w:t>
      </w:r>
      <w:r w:rsidR="00DE09BF" w:rsidRPr="00320580">
        <w:rPr>
          <w:iCs/>
          <w:szCs w:val="24"/>
        </w:rPr>
        <w:t>levels</w:t>
      </w:r>
      <w:r w:rsidR="003443F4" w:rsidRPr="00320580">
        <w:rPr>
          <w:iCs/>
          <w:szCs w:val="24"/>
        </w:rPr>
        <w:t xml:space="preserve"> at: baseline, 3-6 weeks after initiating </w:t>
      </w:r>
      <w:r w:rsidR="003443F4" w:rsidRPr="00320580">
        <w:rPr>
          <w:iCs/>
          <w:szCs w:val="24"/>
        </w:rPr>
        <w:lastRenderedPageBreak/>
        <w:t xml:space="preserve">treatment, at 12 weeks (“full assessment”) </w:t>
      </w:r>
      <w:r w:rsidR="00DE09BF" w:rsidRPr="00320580">
        <w:rPr>
          <w:iCs/>
          <w:szCs w:val="24"/>
        </w:rPr>
        <w:t xml:space="preserve">and </w:t>
      </w:r>
      <w:r w:rsidR="003443F4" w:rsidRPr="00320580">
        <w:rPr>
          <w:iCs/>
          <w:szCs w:val="24"/>
        </w:rPr>
        <w:t>then 6-monthly</w:t>
      </w:r>
      <w:r w:rsidR="004261F2" w:rsidRPr="00320580">
        <w:rPr>
          <w:iCs/>
          <w:szCs w:val="24"/>
        </w:rPr>
        <w:t>, should be included in the economic evaluat</w:t>
      </w:r>
      <w:r w:rsidR="007B6D37" w:rsidRPr="00320580">
        <w:rPr>
          <w:iCs/>
          <w:szCs w:val="24"/>
        </w:rPr>
        <w:t>ion</w:t>
      </w:r>
      <w:r w:rsidR="003443F4" w:rsidRPr="00320580">
        <w:rPr>
          <w:iCs/>
          <w:szCs w:val="24"/>
        </w:rPr>
        <w:t>.</w:t>
      </w:r>
    </w:p>
    <w:p w14:paraId="23DF8F62" w14:textId="3E4B9CEE" w:rsidR="00366B5A" w:rsidRPr="007C3C88" w:rsidRDefault="00366B5A" w:rsidP="00A065ED">
      <w:pPr>
        <w:pStyle w:val="3-BodyText"/>
        <w:rPr>
          <w:color w:val="0066FF"/>
          <w:szCs w:val="24"/>
        </w:rPr>
      </w:pPr>
      <w:r w:rsidRPr="00320580">
        <w:rPr>
          <w:iCs/>
          <w:szCs w:val="24"/>
        </w:rPr>
        <w:t xml:space="preserve">The ESC noted that the </w:t>
      </w:r>
      <w:r w:rsidR="0056604B" w:rsidRPr="00320580">
        <w:rPr>
          <w:iCs/>
          <w:szCs w:val="24"/>
        </w:rPr>
        <w:t>economic analysis had not captured the cost of diagnosis and assessment of women for HSDD.</w:t>
      </w:r>
      <w:r w:rsidR="0056604B" w:rsidRPr="007C3C88">
        <w:rPr>
          <w:szCs w:val="24"/>
        </w:rPr>
        <w:t xml:space="preserve"> </w:t>
      </w:r>
      <w:r w:rsidR="0056604B" w:rsidRPr="00320580">
        <w:rPr>
          <w:iCs/>
          <w:szCs w:val="24"/>
        </w:rPr>
        <w:t xml:space="preserve">The PSCR stated that, “sexual assessment is now a standard, funded part of menopause management in Australia: from 1 July 2025, new MBS menopause/perimenopause health-assessment items commenced … to support comprehensive clinical assessment (including sexual function), meaning these professional time costs are already covered and not specific to </w:t>
      </w:r>
      <w:proofErr w:type="spellStart"/>
      <w:r w:rsidR="0056604B" w:rsidRPr="00320580">
        <w:rPr>
          <w:iCs/>
          <w:szCs w:val="24"/>
        </w:rPr>
        <w:t>AndroFeme</w:t>
      </w:r>
      <w:proofErr w:type="spellEnd"/>
      <w:r w:rsidR="0056604B" w:rsidRPr="00320580">
        <w:rPr>
          <w:iCs/>
          <w:szCs w:val="24"/>
        </w:rPr>
        <w:t xml:space="preserve"> 1”. The ESC considered that HSDD is explicitly not a condition of menopause</w:t>
      </w:r>
      <w:r w:rsidR="00173FEA" w:rsidRPr="00320580">
        <w:rPr>
          <w:iCs/>
          <w:szCs w:val="24"/>
        </w:rPr>
        <w:t xml:space="preserve"> and that the economic evaluation should include the cost of assessment</w:t>
      </w:r>
      <w:r w:rsidR="0056604B" w:rsidRPr="00320580">
        <w:rPr>
          <w:iCs/>
          <w:szCs w:val="24"/>
        </w:rPr>
        <w:t>.</w:t>
      </w:r>
    </w:p>
    <w:p w14:paraId="74ABD1F5" w14:textId="49908F9C" w:rsidR="00A065ED" w:rsidRPr="002356A5" w:rsidRDefault="00A065ED" w:rsidP="00A065ED">
      <w:pPr>
        <w:pStyle w:val="3-BodyText"/>
        <w:rPr>
          <w:color w:val="0066FF"/>
        </w:rPr>
      </w:pPr>
      <w:r w:rsidRPr="00B56864">
        <w:t xml:space="preserve">The submission stated that women using currently listed testosterone products are at greater risk of adverse events than men but argued that the 1% cream product would have fewer adverse events and would therefore be more cost-effective. No evidence to support this claim was provided. As described in paragraphs </w:t>
      </w:r>
      <w:r w:rsidRPr="00B56864">
        <w:fldChar w:fldCharType="begin"/>
      </w:r>
      <w:r w:rsidRPr="00B56864">
        <w:instrText xml:space="preserve"> REF _Ref206236258 \r \h  \* MERGEFORMAT </w:instrText>
      </w:r>
      <w:r w:rsidRPr="00B56864">
        <w:fldChar w:fldCharType="separate"/>
      </w:r>
      <w:r w:rsidR="00374A89">
        <w:t>6.37</w:t>
      </w:r>
      <w:r w:rsidRPr="00B56864">
        <w:fldChar w:fldCharType="end"/>
      </w:r>
      <w:r w:rsidRPr="00B56864">
        <w:t xml:space="preserve"> and </w:t>
      </w:r>
      <w:r w:rsidR="002D3229" w:rsidRPr="00B56864">
        <w:fldChar w:fldCharType="begin"/>
      </w:r>
      <w:r w:rsidR="002D3229" w:rsidRPr="00B56864">
        <w:instrText xml:space="preserve"> REF _Ref208925384 \r \h </w:instrText>
      </w:r>
      <w:r w:rsidR="002356A5" w:rsidRPr="00B56864">
        <w:instrText xml:space="preserve"> \* MERGEFORMAT </w:instrText>
      </w:r>
      <w:r w:rsidR="002D3229" w:rsidRPr="00B56864">
        <w:fldChar w:fldCharType="separate"/>
      </w:r>
      <w:r w:rsidR="00374A89">
        <w:t>6.43</w:t>
      </w:r>
      <w:r w:rsidR="002D3229" w:rsidRPr="00B56864">
        <w:fldChar w:fldCharType="end"/>
      </w:r>
      <w:r w:rsidRPr="00B56864">
        <w:t>, adverse events observed in clinical trials of testosterone patches and gels in women with HSDD suggest</w:t>
      </w:r>
      <w:r w:rsidRPr="002356A5">
        <w:t xml:space="preserve"> that troublesome acne and hirsutism are likely to occur with use of 1% testosterone cream. </w:t>
      </w:r>
    </w:p>
    <w:p w14:paraId="536B2885" w14:textId="1D7AD99A" w:rsidR="00A065ED" w:rsidRPr="002356A5" w:rsidRDefault="00A065ED" w:rsidP="00D975ED">
      <w:pPr>
        <w:pStyle w:val="3-BodyText"/>
        <w:rPr>
          <w:color w:val="0066FF"/>
        </w:rPr>
      </w:pPr>
      <w:r w:rsidRPr="002356A5">
        <w:t xml:space="preserve">The submission </w:t>
      </w:r>
      <w:r w:rsidR="00D97336">
        <w:t>stated</w:t>
      </w:r>
      <w:r w:rsidRPr="002356A5">
        <w:t xml:space="preserve"> that the price requested would provide price parity and gender equity compared to existing products. </w:t>
      </w:r>
    </w:p>
    <w:p w14:paraId="5C09AC58" w14:textId="77777777" w:rsidR="006A0066" w:rsidRDefault="006A0066" w:rsidP="00A065ED">
      <w:pPr>
        <w:pStyle w:val="TableFigureHeading"/>
        <w:sectPr w:rsidR="006A0066" w:rsidSect="00F950FA">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pPr>
    </w:p>
    <w:p w14:paraId="253E8143" w14:textId="6C1B4DD8" w:rsidR="00F950FA" w:rsidRPr="00A065ED" w:rsidRDefault="00F950FA" w:rsidP="00A065ED">
      <w:pPr>
        <w:pStyle w:val="TableFigureHeading"/>
      </w:pPr>
    </w:p>
    <w:p w14:paraId="56CE5BCD" w14:textId="0216F4B1" w:rsidR="00FD347A" w:rsidRDefault="00FD347A" w:rsidP="00A065ED">
      <w:pPr>
        <w:pStyle w:val="TableFigureHeading"/>
      </w:pPr>
      <w:bookmarkStart w:id="65" w:name="_Ref206236180"/>
      <w:r w:rsidRPr="00B74C01">
        <w:t xml:space="preserve">Table </w:t>
      </w:r>
      <w:r w:rsidR="00F03188">
        <w:fldChar w:fldCharType="begin"/>
      </w:r>
      <w:r w:rsidR="00F03188">
        <w:instrText xml:space="preserve"> SEQ Table \* ARABIC </w:instrText>
      </w:r>
      <w:r w:rsidR="00F03188">
        <w:fldChar w:fldCharType="separate"/>
      </w:r>
      <w:r w:rsidR="00374A89">
        <w:rPr>
          <w:noProof/>
        </w:rPr>
        <w:t>7</w:t>
      </w:r>
      <w:r w:rsidR="00F03188">
        <w:rPr>
          <w:noProof/>
        </w:rPr>
        <w:fldChar w:fldCharType="end"/>
      </w:r>
      <w:bookmarkEnd w:id="65"/>
      <w:r w:rsidRPr="00B74C01">
        <w:t xml:space="preserve">: Comparison of prices of PBS listed </w:t>
      </w:r>
      <w:r w:rsidR="00A065ED">
        <w:t xml:space="preserve">topical </w:t>
      </w:r>
      <w:r w:rsidRPr="00B74C01">
        <w:t>testosterone products</w:t>
      </w:r>
    </w:p>
    <w:tbl>
      <w:tblPr>
        <w:tblStyle w:val="TableGrid"/>
        <w:tblW w:w="5000" w:type="pct"/>
        <w:tblLook w:val="04A0" w:firstRow="1" w:lastRow="0" w:firstColumn="1" w:lastColumn="0" w:noHBand="0" w:noVBand="1"/>
        <w:tblCaption w:val="Table 7: Comparison of prices of PBS listed topical testosterone products"/>
      </w:tblPr>
      <w:tblGrid>
        <w:gridCol w:w="1296"/>
        <w:gridCol w:w="1358"/>
        <w:gridCol w:w="1228"/>
        <w:gridCol w:w="1423"/>
        <w:gridCol w:w="1119"/>
        <w:gridCol w:w="1016"/>
        <w:gridCol w:w="1253"/>
        <w:gridCol w:w="1348"/>
        <w:gridCol w:w="968"/>
        <w:gridCol w:w="1476"/>
        <w:gridCol w:w="1465"/>
      </w:tblGrid>
      <w:tr w:rsidR="00C6492C" w:rsidRPr="002356A5" w14:paraId="7EF28C5B" w14:textId="77777777" w:rsidTr="000835F8">
        <w:tc>
          <w:tcPr>
            <w:tcW w:w="465" w:type="pct"/>
          </w:tcPr>
          <w:p w14:paraId="79E8C349" w14:textId="77777777" w:rsidR="00C6492C" w:rsidRPr="002356A5" w:rsidRDefault="00C6492C">
            <w:pPr>
              <w:pStyle w:val="In-tableHeading"/>
            </w:pPr>
            <w:r w:rsidRPr="002356A5">
              <w:t>Product</w:t>
            </w:r>
          </w:p>
        </w:tc>
        <w:tc>
          <w:tcPr>
            <w:tcW w:w="487" w:type="pct"/>
          </w:tcPr>
          <w:p w14:paraId="7198B344" w14:textId="77777777" w:rsidR="00C6492C" w:rsidRPr="002356A5" w:rsidRDefault="00C6492C">
            <w:pPr>
              <w:pStyle w:val="In-tableHeading"/>
            </w:pPr>
            <w:r w:rsidRPr="002356A5">
              <w:t>Concentration</w:t>
            </w:r>
          </w:p>
        </w:tc>
        <w:tc>
          <w:tcPr>
            <w:tcW w:w="440" w:type="pct"/>
          </w:tcPr>
          <w:p w14:paraId="0A221957" w14:textId="77777777" w:rsidR="00C6492C" w:rsidRPr="002356A5" w:rsidRDefault="00C6492C">
            <w:pPr>
              <w:pStyle w:val="In-tableHeading"/>
            </w:pPr>
            <w:r w:rsidRPr="002356A5">
              <w:t>Total amount</w:t>
            </w:r>
          </w:p>
          <w:p w14:paraId="5932C5CB" w14:textId="77777777" w:rsidR="00C6492C" w:rsidRPr="002356A5" w:rsidRDefault="00C6492C">
            <w:pPr>
              <w:pStyle w:val="In-tableHeading"/>
            </w:pPr>
            <w:r w:rsidRPr="002356A5">
              <w:t>testosterone per pack</w:t>
            </w:r>
          </w:p>
        </w:tc>
        <w:tc>
          <w:tcPr>
            <w:tcW w:w="510" w:type="pct"/>
          </w:tcPr>
          <w:p w14:paraId="0BDAD684" w14:textId="77777777" w:rsidR="00C6492C" w:rsidRPr="002356A5" w:rsidRDefault="00C6492C">
            <w:pPr>
              <w:pStyle w:val="In-tableHeading"/>
            </w:pPr>
            <w:r w:rsidRPr="002356A5">
              <w:t>Recommended daily dose</w:t>
            </w:r>
          </w:p>
        </w:tc>
        <w:tc>
          <w:tcPr>
            <w:tcW w:w="401" w:type="pct"/>
          </w:tcPr>
          <w:p w14:paraId="65642A4B" w14:textId="79FCA3C8" w:rsidR="00C6492C" w:rsidRPr="002356A5" w:rsidRDefault="00C6492C">
            <w:pPr>
              <w:pStyle w:val="In-tableHeading"/>
            </w:pPr>
            <w:r w:rsidRPr="002356A5">
              <w:t xml:space="preserve">Number of </w:t>
            </w:r>
            <w:proofErr w:type="gramStart"/>
            <w:r w:rsidRPr="002356A5">
              <w:t>days/pack</w:t>
            </w:r>
            <w:proofErr w:type="gramEnd"/>
          </w:p>
          <w:p w14:paraId="4EB75CC2" w14:textId="77777777" w:rsidR="00C6492C" w:rsidRPr="002356A5" w:rsidRDefault="00C6492C">
            <w:pPr>
              <w:pStyle w:val="In-tableHeading"/>
            </w:pPr>
            <w:r w:rsidRPr="002356A5">
              <w:t>(max-min)</w:t>
            </w:r>
          </w:p>
        </w:tc>
        <w:tc>
          <w:tcPr>
            <w:tcW w:w="364" w:type="pct"/>
          </w:tcPr>
          <w:p w14:paraId="6B6E4C53" w14:textId="77777777" w:rsidR="00C6492C" w:rsidRPr="002356A5" w:rsidRDefault="00C6492C">
            <w:pPr>
              <w:pStyle w:val="In-tableHeading"/>
            </w:pPr>
            <w:r w:rsidRPr="002356A5">
              <w:t>DPMQ</w:t>
            </w:r>
          </w:p>
        </w:tc>
        <w:tc>
          <w:tcPr>
            <w:tcW w:w="449" w:type="pct"/>
          </w:tcPr>
          <w:p w14:paraId="017301CB" w14:textId="77777777" w:rsidR="00C6492C" w:rsidRPr="002356A5" w:rsidRDefault="00C6492C">
            <w:pPr>
              <w:pStyle w:val="In-tableHeading"/>
            </w:pPr>
            <w:r w:rsidRPr="002356A5">
              <w:t>Price/day based on dose</w:t>
            </w:r>
          </w:p>
        </w:tc>
        <w:tc>
          <w:tcPr>
            <w:tcW w:w="483" w:type="pct"/>
          </w:tcPr>
          <w:p w14:paraId="3418831E" w14:textId="77777777" w:rsidR="00C6492C" w:rsidRPr="002356A5" w:rsidRDefault="00C6492C">
            <w:pPr>
              <w:pStyle w:val="In-tableHeading"/>
            </w:pPr>
            <w:r w:rsidRPr="002356A5">
              <w:t>Price/mg based on pack size</w:t>
            </w:r>
          </w:p>
        </w:tc>
        <w:tc>
          <w:tcPr>
            <w:tcW w:w="347" w:type="pct"/>
          </w:tcPr>
          <w:p w14:paraId="2B6ADC7C" w14:textId="77777777" w:rsidR="00C6492C" w:rsidRPr="002356A5" w:rsidRDefault="00C6492C">
            <w:pPr>
              <w:pStyle w:val="In-tableHeading"/>
            </w:pPr>
            <w:r w:rsidRPr="002356A5">
              <w:t>AEMP</w:t>
            </w:r>
          </w:p>
        </w:tc>
        <w:tc>
          <w:tcPr>
            <w:tcW w:w="529" w:type="pct"/>
          </w:tcPr>
          <w:p w14:paraId="3D994412" w14:textId="0E359B27" w:rsidR="00C6492C" w:rsidRPr="002356A5" w:rsidRDefault="00C6492C">
            <w:pPr>
              <w:pStyle w:val="In-tableHeading"/>
            </w:pPr>
            <w:r w:rsidRPr="002356A5">
              <w:t>AEMP/day based on dose</w:t>
            </w:r>
          </w:p>
        </w:tc>
        <w:tc>
          <w:tcPr>
            <w:tcW w:w="525" w:type="pct"/>
          </w:tcPr>
          <w:p w14:paraId="3BD53F84" w14:textId="533A2DD2" w:rsidR="00C6492C" w:rsidRPr="002356A5" w:rsidRDefault="00C6492C">
            <w:pPr>
              <w:pStyle w:val="In-tableHeading"/>
            </w:pPr>
            <w:r w:rsidRPr="002356A5">
              <w:t>AEMP/mg based on pack size</w:t>
            </w:r>
          </w:p>
        </w:tc>
      </w:tr>
      <w:tr w:rsidR="00C6492C" w:rsidRPr="002356A5" w14:paraId="6DCBA25A" w14:textId="77777777" w:rsidTr="000835F8">
        <w:tc>
          <w:tcPr>
            <w:tcW w:w="465" w:type="pct"/>
          </w:tcPr>
          <w:p w14:paraId="39FF845B" w14:textId="77777777" w:rsidR="00C6492C" w:rsidRPr="002356A5" w:rsidRDefault="00C6492C">
            <w:pPr>
              <w:pStyle w:val="TableText0"/>
            </w:pPr>
            <w:proofErr w:type="spellStart"/>
            <w:r w:rsidRPr="002356A5">
              <w:t>AndroForte</w:t>
            </w:r>
            <w:proofErr w:type="spellEnd"/>
            <w:r w:rsidRPr="002356A5">
              <w:t xml:space="preserve"> 5 </w:t>
            </w:r>
          </w:p>
        </w:tc>
        <w:tc>
          <w:tcPr>
            <w:tcW w:w="487" w:type="pct"/>
          </w:tcPr>
          <w:p w14:paraId="1A85764C" w14:textId="77777777" w:rsidR="00C6492C" w:rsidRPr="002356A5" w:rsidRDefault="00C6492C">
            <w:pPr>
              <w:pStyle w:val="TableText0"/>
            </w:pPr>
            <w:r w:rsidRPr="002356A5">
              <w:t>50 mg/mL</w:t>
            </w:r>
          </w:p>
        </w:tc>
        <w:tc>
          <w:tcPr>
            <w:tcW w:w="440" w:type="pct"/>
          </w:tcPr>
          <w:p w14:paraId="0D17EFEB" w14:textId="77777777" w:rsidR="00C6492C" w:rsidRPr="002356A5" w:rsidRDefault="00C6492C">
            <w:pPr>
              <w:pStyle w:val="TableText0"/>
            </w:pPr>
            <w:r w:rsidRPr="002356A5">
              <w:t>50 mL = 2500 mg</w:t>
            </w:r>
          </w:p>
        </w:tc>
        <w:tc>
          <w:tcPr>
            <w:tcW w:w="510" w:type="pct"/>
          </w:tcPr>
          <w:p w14:paraId="6A5BC796" w14:textId="77777777" w:rsidR="00C6492C" w:rsidRPr="002356A5" w:rsidRDefault="00C6492C">
            <w:pPr>
              <w:pStyle w:val="TableText0"/>
            </w:pPr>
            <w:r w:rsidRPr="002356A5">
              <w:t>25-100 mg</w:t>
            </w:r>
          </w:p>
        </w:tc>
        <w:tc>
          <w:tcPr>
            <w:tcW w:w="401" w:type="pct"/>
          </w:tcPr>
          <w:p w14:paraId="5E04AEB1" w14:textId="77777777" w:rsidR="00C6492C" w:rsidRPr="002356A5" w:rsidRDefault="00C6492C">
            <w:pPr>
              <w:pStyle w:val="TableText0"/>
            </w:pPr>
            <w:r w:rsidRPr="002356A5">
              <w:t>100-25</w:t>
            </w:r>
          </w:p>
        </w:tc>
        <w:tc>
          <w:tcPr>
            <w:tcW w:w="364" w:type="pct"/>
          </w:tcPr>
          <w:p w14:paraId="74AE9709" w14:textId="77777777" w:rsidR="00C6492C" w:rsidRPr="002356A5" w:rsidRDefault="00C6492C">
            <w:pPr>
              <w:pStyle w:val="TableText0"/>
            </w:pPr>
            <w:r w:rsidRPr="002356A5">
              <w:t>$107.87</w:t>
            </w:r>
          </w:p>
        </w:tc>
        <w:tc>
          <w:tcPr>
            <w:tcW w:w="449" w:type="pct"/>
          </w:tcPr>
          <w:p w14:paraId="68E53332" w14:textId="77777777" w:rsidR="00C6492C" w:rsidRPr="002356A5" w:rsidRDefault="00C6492C">
            <w:pPr>
              <w:pStyle w:val="TableText0"/>
            </w:pPr>
            <w:r w:rsidRPr="002356A5">
              <w:t>$1.07–$4.28</w:t>
            </w:r>
          </w:p>
        </w:tc>
        <w:tc>
          <w:tcPr>
            <w:tcW w:w="483" w:type="pct"/>
          </w:tcPr>
          <w:p w14:paraId="3BE9F9FA" w14:textId="77777777" w:rsidR="00C6492C" w:rsidRPr="002356A5" w:rsidRDefault="00C6492C">
            <w:pPr>
              <w:pStyle w:val="TableText0"/>
            </w:pPr>
            <w:r w:rsidRPr="002356A5">
              <w:t>$0.043</w:t>
            </w:r>
          </w:p>
        </w:tc>
        <w:tc>
          <w:tcPr>
            <w:tcW w:w="347" w:type="pct"/>
          </w:tcPr>
          <w:p w14:paraId="1A27CC7B" w14:textId="77777777" w:rsidR="00C6492C" w:rsidRPr="002356A5" w:rsidRDefault="00C6492C">
            <w:pPr>
              <w:pStyle w:val="TableText0"/>
            </w:pPr>
            <w:r w:rsidRPr="002356A5">
              <w:t>$87.50</w:t>
            </w:r>
          </w:p>
        </w:tc>
        <w:tc>
          <w:tcPr>
            <w:tcW w:w="529" w:type="pct"/>
          </w:tcPr>
          <w:p w14:paraId="03DC4A4D" w14:textId="77777777" w:rsidR="00C6492C" w:rsidRPr="002356A5" w:rsidRDefault="00C6492C">
            <w:pPr>
              <w:pStyle w:val="TableText0"/>
            </w:pPr>
            <w:r w:rsidRPr="002356A5">
              <w:t>$0.875 - $3.50</w:t>
            </w:r>
          </w:p>
        </w:tc>
        <w:tc>
          <w:tcPr>
            <w:tcW w:w="525" w:type="pct"/>
          </w:tcPr>
          <w:p w14:paraId="351B279E" w14:textId="77777777" w:rsidR="00C6492C" w:rsidRPr="002356A5" w:rsidRDefault="00C6492C">
            <w:pPr>
              <w:pStyle w:val="TableText0"/>
            </w:pPr>
            <w:r w:rsidRPr="002356A5">
              <w:t>$0.035</w:t>
            </w:r>
          </w:p>
        </w:tc>
      </w:tr>
      <w:tr w:rsidR="00C6492C" w:rsidRPr="002356A5" w14:paraId="2CD7B6DC" w14:textId="77777777" w:rsidTr="000835F8">
        <w:tc>
          <w:tcPr>
            <w:tcW w:w="465" w:type="pct"/>
          </w:tcPr>
          <w:p w14:paraId="38203B40" w14:textId="77777777" w:rsidR="00C6492C" w:rsidRPr="002356A5" w:rsidRDefault="00C6492C">
            <w:pPr>
              <w:pStyle w:val="TableText0"/>
            </w:pPr>
            <w:proofErr w:type="spellStart"/>
            <w:r w:rsidRPr="002356A5">
              <w:t>Testogel</w:t>
            </w:r>
            <w:proofErr w:type="spellEnd"/>
            <w:r w:rsidRPr="002356A5">
              <w:t xml:space="preserve"> 1%</w:t>
            </w:r>
          </w:p>
        </w:tc>
        <w:tc>
          <w:tcPr>
            <w:tcW w:w="487" w:type="pct"/>
          </w:tcPr>
          <w:p w14:paraId="478DD719" w14:textId="77777777" w:rsidR="00C6492C" w:rsidRPr="002356A5" w:rsidRDefault="00C6492C">
            <w:pPr>
              <w:pStyle w:val="TableText0"/>
            </w:pPr>
            <w:r w:rsidRPr="002356A5">
              <w:t>12.5 mg per actuation</w:t>
            </w:r>
          </w:p>
        </w:tc>
        <w:tc>
          <w:tcPr>
            <w:tcW w:w="440" w:type="pct"/>
          </w:tcPr>
          <w:p w14:paraId="2781B38C" w14:textId="77777777" w:rsidR="00C6492C" w:rsidRPr="002356A5" w:rsidRDefault="00C6492C">
            <w:pPr>
              <w:pStyle w:val="TableText0"/>
            </w:pPr>
            <w:r w:rsidRPr="002356A5">
              <w:t>2 x</w:t>
            </w:r>
            <w:r w:rsidRPr="002356A5" w:rsidDel="00243812">
              <w:t xml:space="preserve"> </w:t>
            </w:r>
            <w:r w:rsidRPr="002356A5">
              <w:t>60 x</w:t>
            </w:r>
            <w:r w:rsidRPr="002356A5" w:rsidDel="00243812">
              <w:t xml:space="preserve"> </w:t>
            </w:r>
            <w:r w:rsidRPr="002356A5">
              <w:t>12.5 = 1500 mg</w:t>
            </w:r>
          </w:p>
        </w:tc>
        <w:tc>
          <w:tcPr>
            <w:tcW w:w="510" w:type="pct"/>
          </w:tcPr>
          <w:p w14:paraId="35D1D70E" w14:textId="77777777" w:rsidR="00C6492C" w:rsidRPr="002356A5" w:rsidRDefault="00C6492C">
            <w:pPr>
              <w:pStyle w:val="TableText0"/>
            </w:pPr>
            <w:r w:rsidRPr="002356A5">
              <w:t>50 mg/day = 4 actuations to 100 mg/day = 8 actuations</w:t>
            </w:r>
          </w:p>
        </w:tc>
        <w:tc>
          <w:tcPr>
            <w:tcW w:w="401" w:type="pct"/>
          </w:tcPr>
          <w:p w14:paraId="4E33FBB8" w14:textId="77777777" w:rsidR="00C6492C" w:rsidRPr="002356A5" w:rsidRDefault="00C6492C">
            <w:pPr>
              <w:pStyle w:val="TableText0"/>
            </w:pPr>
            <w:r w:rsidRPr="002356A5">
              <w:t xml:space="preserve">30-15 </w:t>
            </w:r>
          </w:p>
        </w:tc>
        <w:tc>
          <w:tcPr>
            <w:tcW w:w="364" w:type="pct"/>
          </w:tcPr>
          <w:p w14:paraId="3B4C8E32" w14:textId="77777777" w:rsidR="00C6492C" w:rsidRPr="002356A5" w:rsidRDefault="00C6492C">
            <w:pPr>
              <w:pStyle w:val="TableText0"/>
            </w:pPr>
            <w:r w:rsidRPr="002356A5">
              <w:t>$79.29</w:t>
            </w:r>
          </w:p>
        </w:tc>
        <w:tc>
          <w:tcPr>
            <w:tcW w:w="449" w:type="pct"/>
          </w:tcPr>
          <w:p w14:paraId="02F7F187" w14:textId="77777777" w:rsidR="00C6492C" w:rsidRPr="002356A5" w:rsidRDefault="00C6492C">
            <w:pPr>
              <w:pStyle w:val="TableText0"/>
            </w:pPr>
            <w:r w:rsidRPr="002356A5">
              <w:t>$2.63-$5.28</w:t>
            </w:r>
          </w:p>
        </w:tc>
        <w:tc>
          <w:tcPr>
            <w:tcW w:w="483" w:type="pct"/>
          </w:tcPr>
          <w:p w14:paraId="7CF987F4" w14:textId="77777777" w:rsidR="00C6492C" w:rsidRPr="002356A5" w:rsidRDefault="00C6492C">
            <w:pPr>
              <w:pStyle w:val="TableText0"/>
            </w:pPr>
            <w:r w:rsidRPr="002356A5">
              <w:t>$0.053</w:t>
            </w:r>
          </w:p>
        </w:tc>
        <w:tc>
          <w:tcPr>
            <w:tcW w:w="347" w:type="pct"/>
          </w:tcPr>
          <w:p w14:paraId="0BE19987" w14:textId="77777777" w:rsidR="00C6492C" w:rsidRPr="002356A5" w:rsidRDefault="00C6492C">
            <w:pPr>
              <w:pStyle w:val="TableText0"/>
            </w:pPr>
            <w:r w:rsidRPr="002356A5">
              <w:t>$60.92</w:t>
            </w:r>
          </w:p>
        </w:tc>
        <w:tc>
          <w:tcPr>
            <w:tcW w:w="529" w:type="pct"/>
          </w:tcPr>
          <w:p w14:paraId="68CB7A3A" w14:textId="77777777" w:rsidR="00C6492C" w:rsidRPr="002356A5" w:rsidRDefault="00C6492C">
            <w:pPr>
              <w:pStyle w:val="TableText0"/>
            </w:pPr>
            <w:r w:rsidRPr="002356A5">
              <w:t>$2.03 - $4.06</w:t>
            </w:r>
          </w:p>
        </w:tc>
        <w:tc>
          <w:tcPr>
            <w:tcW w:w="525" w:type="pct"/>
          </w:tcPr>
          <w:p w14:paraId="611CE706" w14:textId="77777777" w:rsidR="00C6492C" w:rsidRPr="002356A5" w:rsidRDefault="00C6492C">
            <w:pPr>
              <w:pStyle w:val="TableText0"/>
            </w:pPr>
            <w:r w:rsidRPr="002356A5">
              <w:t>$0.041</w:t>
            </w:r>
          </w:p>
        </w:tc>
      </w:tr>
      <w:tr w:rsidR="00C6492C" w:rsidRPr="002356A5" w14:paraId="2178E8D2" w14:textId="77777777" w:rsidTr="000835F8">
        <w:tc>
          <w:tcPr>
            <w:tcW w:w="465" w:type="pct"/>
          </w:tcPr>
          <w:p w14:paraId="6A8EDC0D" w14:textId="77777777" w:rsidR="00C6492C" w:rsidRPr="002356A5" w:rsidRDefault="00C6492C">
            <w:pPr>
              <w:pStyle w:val="TableText0"/>
            </w:pPr>
            <w:proofErr w:type="spellStart"/>
            <w:r w:rsidRPr="002356A5">
              <w:t>Testogel</w:t>
            </w:r>
            <w:proofErr w:type="spellEnd"/>
          </w:p>
        </w:tc>
        <w:tc>
          <w:tcPr>
            <w:tcW w:w="487" w:type="pct"/>
          </w:tcPr>
          <w:p w14:paraId="059CDF87" w14:textId="77777777" w:rsidR="00C6492C" w:rsidRPr="002356A5" w:rsidRDefault="00C6492C">
            <w:pPr>
              <w:pStyle w:val="TableText0"/>
            </w:pPr>
            <w:r w:rsidRPr="002356A5">
              <w:t>50 mg/5 g gel</w:t>
            </w:r>
          </w:p>
        </w:tc>
        <w:tc>
          <w:tcPr>
            <w:tcW w:w="440" w:type="pct"/>
          </w:tcPr>
          <w:p w14:paraId="6E37FABB" w14:textId="77777777" w:rsidR="00C6492C" w:rsidRPr="002356A5" w:rsidRDefault="00C6492C">
            <w:pPr>
              <w:pStyle w:val="TableText0"/>
            </w:pPr>
            <w:r w:rsidRPr="002356A5">
              <w:t>30 x 5 g sachets = 1500 mg</w:t>
            </w:r>
          </w:p>
        </w:tc>
        <w:tc>
          <w:tcPr>
            <w:tcW w:w="510" w:type="pct"/>
          </w:tcPr>
          <w:p w14:paraId="749ADD14" w14:textId="579CA3AA" w:rsidR="00C6492C" w:rsidRPr="002356A5" w:rsidRDefault="00C6492C">
            <w:pPr>
              <w:pStyle w:val="TableText0"/>
            </w:pPr>
            <w:r w:rsidRPr="002356A5">
              <w:t>50</w:t>
            </w:r>
            <w:r w:rsidR="009612EB" w:rsidRPr="002356A5">
              <w:t xml:space="preserve"> </w:t>
            </w:r>
            <w:r w:rsidRPr="002356A5">
              <w:t>mg/day = 1 sachet to 100</w:t>
            </w:r>
            <w:r w:rsidR="009612EB" w:rsidRPr="002356A5">
              <w:t> </w:t>
            </w:r>
            <w:r w:rsidRPr="002356A5">
              <w:t>mg/day =2 sachets</w:t>
            </w:r>
          </w:p>
        </w:tc>
        <w:tc>
          <w:tcPr>
            <w:tcW w:w="401" w:type="pct"/>
          </w:tcPr>
          <w:p w14:paraId="74203FEC" w14:textId="77777777" w:rsidR="00C6492C" w:rsidRPr="002356A5" w:rsidRDefault="00C6492C">
            <w:pPr>
              <w:pStyle w:val="TableText0"/>
            </w:pPr>
            <w:r w:rsidRPr="002356A5">
              <w:t>30-15</w:t>
            </w:r>
          </w:p>
        </w:tc>
        <w:tc>
          <w:tcPr>
            <w:tcW w:w="364" w:type="pct"/>
          </w:tcPr>
          <w:p w14:paraId="14414416" w14:textId="77777777" w:rsidR="00C6492C" w:rsidRPr="002356A5" w:rsidRDefault="00C6492C">
            <w:pPr>
              <w:pStyle w:val="TableText0"/>
            </w:pPr>
            <w:r w:rsidRPr="002356A5">
              <w:t>$79.29</w:t>
            </w:r>
          </w:p>
        </w:tc>
        <w:tc>
          <w:tcPr>
            <w:tcW w:w="449" w:type="pct"/>
          </w:tcPr>
          <w:p w14:paraId="26DDC381" w14:textId="77777777" w:rsidR="00C6492C" w:rsidRPr="002356A5" w:rsidRDefault="00C6492C">
            <w:pPr>
              <w:pStyle w:val="TableText0"/>
            </w:pPr>
            <w:r w:rsidRPr="002356A5">
              <w:t>$2.63-$5.28</w:t>
            </w:r>
          </w:p>
        </w:tc>
        <w:tc>
          <w:tcPr>
            <w:tcW w:w="483" w:type="pct"/>
          </w:tcPr>
          <w:p w14:paraId="24A1F898" w14:textId="77777777" w:rsidR="00C6492C" w:rsidRPr="002356A5" w:rsidRDefault="00C6492C">
            <w:pPr>
              <w:pStyle w:val="TableText0"/>
            </w:pPr>
            <w:r w:rsidRPr="002356A5">
              <w:t>$0.053</w:t>
            </w:r>
          </w:p>
        </w:tc>
        <w:tc>
          <w:tcPr>
            <w:tcW w:w="347" w:type="pct"/>
          </w:tcPr>
          <w:p w14:paraId="74CA92B1" w14:textId="77777777" w:rsidR="00C6492C" w:rsidRPr="002356A5" w:rsidRDefault="00C6492C">
            <w:pPr>
              <w:pStyle w:val="TableText0"/>
            </w:pPr>
            <w:r w:rsidRPr="002356A5">
              <w:t>$60.92</w:t>
            </w:r>
          </w:p>
        </w:tc>
        <w:tc>
          <w:tcPr>
            <w:tcW w:w="529" w:type="pct"/>
          </w:tcPr>
          <w:p w14:paraId="1A6A8857" w14:textId="77777777" w:rsidR="00C6492C" w:rsidRPr="002356A5" w:rsidRDefault="00C6492C">
            <w:pPr>
              <w:pStyle w:val="TableText0"/>
            </w:pPr>
            <w:r w:rsidRPr="002356A5">
              <w:t>$2.03 - $4.06</w:t>
            </w:r>
          </w:p>
        </w:tc>
        <w:tc>
          <w:tcPr>
            <w:tcW w:w="525" w:type="pct"/>
          </w:tcPr>
          <w:p w14:paraId="03FD24C9" w14:textId="77777777" w:rsidR="00C6492C" w:rsidRPr="002356A5" w:rsidRDefault="00C6492C">
            <w:pPr>
              <w:pStyle w:val="TableText0"/>
              <w:rPr>
                <w:highlight w:val="yellow"/>
              </w:rPr>
            </w:pPr>
            <w:r w:rsidRPr="002356A5">
              <w:t>$0.041</w:t>
            </w:r>
          </w:p>
        </w:tc>
      </w:tr>
      <w:tr w:rsidR="00C6492C" w:rsidRPr="002356A5" w14:paraId="2054BE78" w14:textId="77777777" w:rsidTr="000835F8">
        <w:tc>
          <w:tcPr>
            <w:tcW w:w="465" w:type="pct"/>
          </w:tcPr>
          <w:p w14:paraId="368883CD" w14:textId="77777777" w:rsidR="00C6492C" w:rsidRPr="002356A5" w:rsidRDefault="00C6492C">
            <w:pPr>
              <w:pStyle w:val="TableText0"/>
            </w:pPr>
            <w:proofErr w:type="spellStart"/>
            <w:r w:rsidRPr="002356A5">
              <w:t>Testavan</w:t>
            </w:r>
            <w:proofErr w:type="spellEnd"/>
            <w:r w:rsidRPr="002356A5">
              <w:t xml:space="preserve"> 2%</w:t>
            </w:r>
          </w:p>
        </w:tc>
        <w:tc>
          <w:tcPr>
            <w:tcW w:w="487" w:type="pct"/>
          </w:tcPr>
          <w:p w14:paraId="2E351C33" w14:textId="77777777" w:rsidR="00C6492C" w:rsidRPr="002356A5" w:rsidRDefault="00C6492C">
            <w:pPr>
              <w:pStyle w:val="TableText0"/>
            </w:pPr>
            <w:r w:rsidRPr="002356A5">
              <w:t>23 mg per actuation</w:t>
            </w:r>
          </w:p>
        </w:tc>
        <w:tc>
          <w:tcPr>
            <w:tcW w:w="440" w:type="pct"/>
          </w:tcPr>
          <w:p w14:paraId="4687AA5E" w14:textId="77777777" w:rsidR="00C6492C" w:rsidRPr="002356A5" w:rsidRDefault="00C6492C">
            <w:pPr>
              <w:pStyle w:val="TableText0"/>
            </w:pPr>
            <w:r w:rsidRPr="002356A5">
              <w:t>56 actuations = 1288 mg</w:t>
            </w:r>
          </w:p>
        </w:tc>
        <w:tc>
          <w:tcPr>
            <w:tcW w:w="510" w:type="pct"/>
          </w:tcPr>
          <w:p w14:paraId="5D9FA9D2" w14:textId="77777777" w:rsidR="00C6492C" w:rsidRPr="002356A5" w:rsidRDefault="00C6492C">
            <w:pPr>
              <w:pStyle w:val="TableText0"/>
            </w:pPr>
            <w:r w:rsidRPr="002356A5">
              <w:t>1-2 actuations/day</w:t>
            </w:r>
          </w:p>
        </w:tc>
        <w:tc>
          <w:tcPr>
            <w:tcW w:w="401" w:type="pct"/>
          </w:tcPr>
          <w:p w14:paraId="5142B6AE" w14:textId="77777777" w:rsidR="00C6492C" w:rsidRPr="002356A5" w:rsidRDefault="00C6492C">
            <w:pPr>
              <w:pStyle w:val="TableText0"/>
            </w:pPr>
            <w:r w:rsidRPr="002356A5">
              <w:t>56-28</w:t>
            </w:r>
          </w:p>
        </w:tc>
        <w:tc>
          <w:tcPr>
            <w:tcW w:w="364" w:type="pct"/>
          </w:tcPr>
          <w:p w14:paraId="0766FF71" w14:textId="77777777" w:rsidR="00C6492C" w:rsidRPr="002356A5" w:rsidRDefault="00C6492C">
            <w:pPr>
              <w:pStyle w:val="TableText0"/>
            </w:pPr>
            <w:r w:rsidRPr="002356A5">
              <w:t>$84.74</w:t>
            </w:r>
          </w:p>
        </w:tc>
        <w:tc>
          <w:tcPr>
            <w:tcW w:w="449" w:type="pct"/>
          </w:tcPr>
          <w:p w14:paraId="15623771" w14:textId="77777777" w:rsidR="00C6492C" w:rsidRPr="002356A5" w:rsidRDefault="00C6492C">
            <w:pPr>
              <w:pStyle w:val="TableText0"/>
            </w:pPr>
            <w:r w:rsidRPr="002356A5">
              <w:t>$1.51-$3.13</w:t>
            </w:r>
          </w:p>
        </w:tc>
        <w:tc>
          <w:tcPr>
            <w:tcW w:w="483" w:type="pct"/>
          </w:tcPr>
          <w:p w14:paraId="73F5B606" w14:textId="77777777" w:rsidR="00C6492C" w:rsidRPr="002356A5" w:rsidRDefault="00C6492C">
            <w:pPr>
              <w:pStyle w:val="TableText0"/>
            </w:pPr>
            <w:r w:rsidRPr="002356A5">
              <w:t>$0.066</w:t>
            </w:r>
          </w:p>
        </w:tc>
        <w:tc>
          <w:tcPr>
            <w:tcW w:w="347" w:type="pct"/>
          </w:tcPr>
          <w:p w14:paraId="34550B6D" w14:textId="77777777" w:rsidR="00C6492C" w:rsidRPr="002356A5" w:rsidRDefault="00C6492C">
            <w:pPr>
              <w:pStyle w:val="TableText0"/>
            </w:pPr>
            <w:r w:rsidRPr="002356A5">
              <w:t>$65.99</w:t>
            </w:r>
          </w:p>
        </w:tc>
        <w:tc>
          <w:tcPr>
            <w:tcW w:w="529" w:type="pct"/>
          </w:tcPr>
          <w:p w14:paraId="3DA42931" w14:textId="77777777" w:rsidR="00C6492C" w:rsidRPr="002356A5" w:rsidRDefault="00C6492C">
            <w:pPr>
              <w:pStyle w:val="TableText0"/>
            </w:pPr>
            <w:r w:rsidRPr="002356A5">
              <w:t>$1.18 - $2.36</w:t>
            </w:r>
          </w:p>
        </w:tc>
        <w:tc>
          <w:tcPr>
            <w:tcW w:w="525" w:type="pct"/>
          </w:tcPr>
          <w:p w14:paraId="5DCD1969" w14:textId="77777777" w:rsidR="00C6492C" w:rsidRPr="002356A5" w:rsidRDefault="00C6492C">
            <w:pPr>
              <w:pStyle w:val="TableText0"/>
            </w:pPr>
            <w:r w:rsidRPr="002356A5">
              <w:t>$0.051</w:t>
            </w:r>
          </w:p>
        </w:tc>
      </w:tr>
      <w:tr w:rsidR="00C6492C" w:rsidRPr="002356A5" w14:paraId="7D09FAA5" w14:textId="77777777" w:rsidTr="000835F8">
        <w:tc>
          <w:tcPr>
            <w:tcW w:w="465" w:type="pct"/>
          </w:tcPr>
          <w:p w14:paraId="6E1BB597" w14:textId="77777777" w:rsidR="00C6492C" w:rsidRPr="002356A5" w:rsidRDefault="00C6492C">
            <w:pPr>
              <w:pStyle w:val="TableText0"/>
            </w:pPr>
            <w:proofErr w:type="spellStart"/>
            <w:r w:rsidRPr="002356A5">
              <w:t>AndroFeme</w:t>
            </w:r>
            <w:proofErr w:type="spellEnd"/>
            <w:r w:rsidRPr="002356A5">
              <w:t xml:space="preserve"> 1</w:t>
            </w:r>
          </w:p>
        </w:tc>
        <w:tc>
          <w:tcPr>
            <w:tcW w:w="487" w:type="pct"/>
          </w:tcPr>
          <w:p w14:paraId="3812644E" w14:textId="77777777" w:rsidR="00C6492C" w:rsidRPr="002356A5" w:rsidRDefault="00C6492C">
            <w:pPr>
              <w:pStyle w:val="TableText0"/>
            </w:pPr>
            <w:r w:rsidRPr="002356A5">
              <w:t>10 mg/mL</w:t>
            </w:r>
          </w:p>
        </w:tc>
        <w:tc>
          <w:tcPr>
            <w:tcW w:w="440" w:type="pct"/>
          </w:tcPr>
          <w:p w14:paraId="349EE751" w14:textId="77777777" w:rsidR="00C6492C" w:rsidRPr="002356A5" w:rsidRDefault="00C6492C">
            <w:pPr>
              <w:pStyle w:val="TableText0"/>
            </w:pPr>
            <w:r w:rsidRPr="002356A5">
              <w:t>50 mL = 500 mg</w:t>
            </w:r>
          </w:p>
        </w:tc>
        <w:tc>
          <w:tcPr>
            <w:tcW w:w="510" w:type="pct"/>
          </w:tcPr>
          <w:p w14:paraId="4F1CE63E" w14:textId="77777777" w:rsidR="00C6492C" w:rsidRPr="002356A5" w:rsidRDefault="00C6492C">
            <w:pPr>
              <w:pStyle w:val="TableText0"/>
            </w:pPr>
            <w:r w:rsidRPr="002356A5">
              <w:t>5-10 mg/day</w:t>
            </w:r>
          </w:p>
        </w:tc>
        <w:tc>
          <w:tcPr>
            <w:tcW w:w="401" w:type="pct"/>
          </w:tcPr>
          <w:p w14:paraId="22B9ADDE" w14:textId="77777777" w:rsidR="00C6492C" w:rsidRPr="002356A5" w:rsidRDefault="00C6492C">
            <w:pPr>
              <w:pStyle w:val="TableText0"/>
            </w:pPr>
            <w:r w:rsidRPr="002356A5">
              <w:t>100-50</w:t>
            </w:r>
          </w:p>
        </w:tc>
        <w:tc>
          <w:tcPr>
            <w:tcW w:w="364" w:type="pct"/>
          </w:tcPr>
          <w:p w14:paraId="484FF337" w14:textId="77777777" w:rsidR="00C6492C" w:rsidRPr="002356A5" w:rsidRDefault="00C6492C">
            <w:pPr>
              <w:pStyle w:val="TableText0"/>
            </w:pPr>
            <w:r w:rsidRPr="002356A5">
              <w:t>$107.87</w:t>
            </w:r>
          </w:p>
        </w:tc>
        <w:tc>
          <w:tcPr>
            <w:tcW w:w="449" w:type="pct"/>
          </w:tcPr>
          <w:p w14:paraId="3E326F74" w14:textId="77777777" w:rsidR="00C6492C" w:rsidRPr="002356A5" w:rsidRDefault="00C6492C">
            <w:pPr>
              <w:pStyle w:val="TableText0"/>
            </w:pPr>
            <w:r w:rsidRPr="002356A5">
              <w:t>$1.07-$2.16</w:t>
            </w:r>
          </w:p>
        </w:tc>
        <w:tc>
          <w:tcPr>
            <w:tcW w:w="483" w:type="pct"/>
          </w:tcPr>
          <w:p w14:paraId="2FEA9340" w14:textId="77777777" w:rsidR="00C6492C" w:rsidRPr="002356A5" w:rsidRDefault="00C6492C">
            <w:pPr>
              <w:pStyle w:val="TableText0"/>
            </w:pPr>
            <w:r w:rsidRPr="002356A5">
              <w:t>$0.216</w:t>
            </w:r>
          </w:p>
        </w:tc>
        <w:tc>
          <w:tcPr>
            <w:tcW w:w="347" w:type="pct"/>
          </w:tcPr>
          <w:p w14:paraId="551FDD7C" w14:textId="77777777" w:rsidR="00C6492C" w:rsidRPr="002356A5" w:rsidRDefault="00C6492C">
            <w:pPr>
              <w:pStyle w:val="TableText0"/>
            </w:pPr>
            <w:r w:rsidRPr="002356A5">
              <w:t>$87.50</w:t>
            </w:r>
          </w:p>
        </w:tc>
        <w:tc>
          <w:tcPr>
            <w:tcW w:w="529" w:type="pct"/>
          </w:tcPr>
          <w:p w14:paraId="4280B2B7" w14:textId="77777777" w:rsidR="00C6492C" w:rsidRPr="002356A5" w:rsidRDefault="00C6492C">
            <w:pPr>
              <w:pStyle w:val="TableText0"/>
            </w:pPr>
            <w:r w:rsidRPr="002356A5">
              <w:t>$0.875-$1.75</w:t>
            </w:r>
          </w:p>
        </w:tc>
        <w:tc>
          <w:tcPr>
            <w:tcW w:w="525" w:type="pct"/>
          </w:tcPr>
          <w:p w14:paraId="5E54FA0F" w14:textId="77777777" w:rsidR="00C6492C" w:rsidRPr="002356A5" w:rsidRDefault="00C6492C">
            <w:pPr>
              <w:pStyle w:val="TableText0"/>
            </w:pPr>
            <w:r w:rsidRPr="002356A5">
              <w:t>$0.175</w:t>
            </w:r>
          </w:p>
        </w:tc>
      </w:tr>
    </w:tbl>
    <w:p w14:paraId="4D7CEF71" w14:textId="2E2766F5" w:rsidR="00ED2E3E" w:rsidRDefault="00ED2E3E" w:rsidP="00842EDE">
      <w:pPr>
        <w:pStyle w:val="TableFigureFooter"/>
      </w:pPr>
      <w:r>
        <w:t>Source: Compiled during the evaluation.</w:t>
      </w:r>
    </w:p>
    <w:p w14:paraId="2580976C" w14:textId="5A21606C" w:rsidR="00956735" w:rsidRDefault="00ED2E3E" w:rsidP="00842EDE">
      <w:pPr>
        <w:pStyle w:val="TableFigureFooter"/>
      </w:pPr>
      <w:r>
        <w:t>AEMP = approved ex-manufacturer price; DPMP = dispensed price for maximum quantity.</w:t>
      </w:r>
    </w:p>
    <w:p w14:paraId="37AADE28" w14:textId="77777777" w:rsidR="00956735" w:rsidRDefault="00956735" w:rsidP="00A065ED">
      <w:pPr>
        <w:pStyle w:val="TableFigureHeading"/>
      </w:pPr>
    </w:p>
    <w:p w14:paraId="46CB4B43" w14:textId="77777777" w:rsidR="00956735" w:rsidRDefault="00956735" w:rsidP="00A065ED">
      <w:pPr>
        <w:pStyle w:val="TableFigureHeading"/>
        <w:sectPr w:rsidR="00956735" w:rsidSect="00E80728">
          <w:pgSz w:w="16840" w:h="11907" w:orient="landscape" w:code="9"/>
          <w:pgMar w:top="1440" w:right="1440" w:bottom="1440" w:left="1440" w:header="1440" w:footer="1440" w:gutter="0"/>
          <w:cols w:space="708"/>
          <w:docGrid w:linePitch="360"/>
        </w:sectPr>
      </w:pPr>
    </w:p>
    <w:p w14:paraId="472842D7" w14:textId="23E9C0E7" w:rsidR="00C25D9C" w:rsidRPr="0098262F" w:rsidRDefault="00C25D9C" w:rsidP="00BB732D">
      <w:pPr>
        <w:pStyle w:val="4-SubsectionHeading"/>
      </w:pPr>
      <w:bookmarkStart w:id="66" w:name="_Toc22897646"/>
      <w:bookmarkStart w:id="67" w:name="_Toc208926786"/>
      <w:r w:rsidRPr="0098262F">
        <w:lastRenderedPageBreak/>
        <w:t>Drug cost/patient/year</w:t>
      </w:r>
      <w:bookmarkEnd w:id="66"/>
      <w:bookmarkEnd w:id="67"/>
    </w:p>
    <w:p w14:paraId="3DBFE151" w14:textId="3DF10C6E" w:rsidR="00494207" w:rsidRPr="0098262F" w:rsidRDefault="005D625C" w:rsidP="002B05A1">
      <w:pPr>
        <w:pStyle w:val="3-BodyText"/>
        <w:rPr>
          <w:color w:val="0066FF"/>
        </w:rPr>
      </w:pPr>
      <w:bookmarkStart w:id="68" w:name="_Hlk107307804"/>
      <w:r>
        <w:t>Based on the proposed price, if used at a dose of 5</w:t>
      </w:r>
      <w:r w:rsidR="006772FF">
        <w:t xml:space="preserve"> </w:t>
      </w:r>
      <w:r>
        <w:t>mg per day, the cost per patient per year would be $383.72 (3.65 packs per year *</w:t>
      </w:r>
      <w:r w:rsidR="00167B03">
        <w:t>$</w:t>
      </w:r>
      <w:r>
        <w:t xml:space="preserve">107.87 </w:t>
      </w:r>
      <w:r w:rsidR="00167B03">
        <w:t xml:space="preserve">per </w:t>
      </w:r>
      <w:r>
        <w:t>pack</w:t>
      </w:r>
      <w:r w:rsidR="00BF5C03">
        <w:t>)</w:t>
      </w:r>
      <w:r>
        <w:t xml:space="preserve">. </w:t>
      </w:r>
    </w:p>
    <w:p w14:paraId="268768EF" w14:textId="3626F292" w:rsidR="00B60939" w:rsidRPr="0098262F" w:rsidRDefault="00B60939" w:rsidP="002B05A1">
      <w:pPr>
        <w:pStyle w:val="4-SubsectionHeading"/>
      </w:pPr>
      <w:bookmarkStart w:id="69" w:name="_Toc22897647"/>
      <w:bookmarkStart w:id="70" w:name="_Toc208926787"/>
      <w:bookmarkEnd w:id="68"/>
      <w:r w:rsidRPr="0098262F">
        <w:t>Estimated PBS usage &amp; financial implications</w:t>
      </w:r>
      <w:bookmarkEnd w:id="69"/>
      <w:bookmarkEnd w:id="70"/>
    </w:p>
    <w:p w14:paraId="0B18E4D3" w14:textId="4511EC6A" w:rsidR="007E390E" w:rsidRDefault="007E390E" w:rsidP="007E390E">
      <w:pPr>
        <w:pStyle w:val="3-BodyText"/>
      </w:pPr>
      <w:r>
        <w:t>The submission used a market share approach to estimate the utilisation and cost of listing testosterone 1% cream on the PBS</w:t>
      </w:r>
      <w:r w:rsidRPr="00790AE8">
        <w:rPr>
          <w:color w:val="0066FF"/>
        </w:rPr>
        <w:t>.</w:t>
      </w:r>
      <w:r>
        <w:rPr>
          <w:color w:val="0066FF"/>
        </w:rPr>
        <w:t xml:space="preserve"> </w:t>
      </w:r>
      <w:r w:rsidRPr="00790AE8">
        <w:t>The</w:t>
      </w:r>
      <w:r>
        <w:t xml:space="preserve"> source </w:t>
      </w:r>
      <w:r w:rsidRPr="00790AE8">
        <w:t>o</w:t>
      </w:r>
      <w:r>
        <w:t>f</w:t>
      </w:r>
      <w:r w:rsidRPr="00790AE8">
        <w:t xml:space="preserve"> th</w:t>
      </w:r>
      <w:r>
        <w:t>e</w:t>
      </w:r>
      <w:r w:rsidRPr="00790AE8">
        <w:t xml:space="preserve"> market </w:t>
      </w:r>
      <w:r>
        <w:t xml:space="preserve">estimate was </w:t>
      </w:r>
      <w:r w:rsidRPr="00790AE8">
        <w:t>the current private prescription market for the product</w:t>
      </w:r>
      <w:r>
        <w:t xml:space="preserve">, derived from the sponsor’s sales data. The key inputs are shown in </w:t>
      </w:r>
      <w:r>
        <w:fldChar w:fldCharType="begin"/>
      </w:r>
      <w:r>
        <w:instrText xml:space="preserve"> REF _Ref206236847 \h </w:instrText>
      </w:r>
      <w:r>
        <w:fldChar w:fldCharType="separate"/>
      </w:r>
      <w:r w:rsidR="00374A89">
        <w:t xml:space="preserve">Table </w:t>
      </w:r>
      <w:r w:rsidR="00374A89">
        <w:rPr>
          <w:noProof/>
        </w:rPr>
        <w:t>8</w:t>
      </w:r>
      <w:r>
        <w:fldChar w:fldCharType="end"/>
      </w:r>
      <w:r>
        <w:t xml:space="preserve">. </w:t>
      </w:r>
    </w:p>
    <w:p w14:paraId="550F23E2" w14:textId="647EABA2" w:rsidR="007E390E" w:rsidRPr="0098262F" w:rsidRDefault="007E390E" w:rsidP="007E390E">
      <w:pPr>
        <w:pStyle w:val="Caption"/>
        <w:rPr>
          <w:rStyle w:val="CommentReference"/>
          <w:b/>
          <w:szCs w:val="24"/>
        </w:rPr>
      </w:pPr>
      <w:bookmarkStart w:id="71" w:name="_Ref206236847"/>
      <w:r>
        <w:t xml:space="preserve">Table </w:t>
      </w:r>
      <w:r>
        <w:fldChar w:fldCharType="begin"/>
      </w:r>
      <w:r>
        <w:instrText xml:space="preserve"> SEQ Table \* ARABIC </w:instrText>
      </w:r>
      <w:r>
        <w:fldChar w:fldCharType="separate"/>
      </w:r>
      <w:r w:rsidR="00374A89">
        <w:rPr>
          <w:noProof/>
        </w:rPr>
        <w:t>8</w:t>
      </w:r>
      <w:r>
        <w:rPr>
          <w:noProof/>
        </w:rPr>
        <w:fldChar w:fldCharType="end"/>
      </w:r>
      <w:bookmarkEnd w:id="71"/>
      <w:r>
        <w:t xml:space="preserve">: </w:t>
      </w:r>
      <w:r w:rsidRPr="0098262F">
        <w:rPr>
          <w:rStyle w:val="CommentReference"/>
          <w:b/>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Key inputs for financial estimates"/>
      </w:tblPr>
      <w:tblGrid>
        <w:gridCol w:w="1713"/>
        <w:gridCol w:w="4094"/>
        <w:gridCol w:w="3210"/>
      </w:tblGrid>
      <w:tr w:rsidR="007E390E" w:rsidRPr="0098262F" w14:paraId="4A90B629" w14:textId="77777777" w:rsidTr="00402B5B">
        <w:trPr>
          <w:tblHeader/>
        </w:trPr>
        <w:tc>
          <w:tcPr>
            <w:tcW w:w="950" w:type="pct"/>
            <w:vAlign w:val="center"/>
          </w:tcPr>
          <w:p w14:paraId="40E06C89" w14:textId="77777777" w:rsidR="007E390E" w:rsidRPr="0098262F" w:rsidRDefault="007E390E" w:rsidP="00402B5B">
            <w:pPr>
              <w:pStyle w:val="In-tableHeading"/>
              <w:rPr>
                <w:lang w:val="en-AU"/>
              </w:rPr>
            </w:pPr>
            <w:r w:rsidRPr="0098262F">
              <w:rPr>
                <w:lang w:val="en-AU"/>
              </w:rPr>
              <w:t>Parameter</w:t>
            </w:r>
          </w:p>
        </w:tc>
        <w:tc>
          <w:tcPr>
            <w:tcW w:w="2270" w:type="pct"/>
            <w:vAlign w:val="center"/>
          </w:tcPr>
          <w:p w14:paraId="7CB08D59" w14:textId="77777777" w:rsidR="007E390E" w:rsidRPr="0098262F" w:rsidRDefault="007E390E" w:rsidP="00402B5B">
            <w:pPr>
              <w:pStyle w:val="In-tableHeading"/>
              <w:rPr>
                <w:lang w:val="en-AU"/>
              </w:rPr>
            </w:pPr>
            <w:r w:rsidRPr="0098262F">
              <w:rPr>
                <w:lang w:val="en-AU"/>
              </w:rPr>
              <w:t>Value applied and source</w:t>
            </w:r>
          </w:p>
        </w:tc>
        <w:tc>
          <w:tcPr>
            <w:tcW w:w="1780" w:type="pct"/>
            <w:vAlign w:val="center"/>
          </w:tcPr>
          <w:p w14:paraId="1C2B7769" w14:textId="77777777" w:rsidR="007E390E" w:rsidRPr="0098262F" w:rsidRDefault="007E390E" w:rsidP="00402B5B">
            <w:pPr>
              <w:pStyle w:val="In-tableHeading"/>
              <w:rPr>
                <w:lang w:val="en-AU"/>
              </w:rPr>
            </w:pPr>
            <w:r w:rsidRPr="0098262F">
              <w:rPr>
                <w:lang w:val="en-AU"/>
              </w:rPr>
              <w:t>Comment</w:t>
            </w:r>
          </w:p>
        </w:tc>
      </w:tr>
      <w:tr w:rsidR="007E390E" w:rsidRPr="0098262F" w14:paraId="3D37227B" w14:textId="77777777" w:rsidTr="00402B5B">
        <w:tc>
          <w:tcPr>
            <w:tcW w:w="950" w:type="pct"/>
            <w:vAlign w:val="center"/>
          </w:tcPr>
          <w:p w14:paraId="2CA91385" w14:textId="77777777" w:rsidR="007E390E" w:rsidRPr="0098262F" w:rsidRDefault="007E390E" w:rsidP="00402B5B">
            <w:pPr>
              <w:pStyle w:val="TableText0"/>
            </w:pPr>
            <w:r>
              <w:t>Drug prices, quantities, item codes, indication, clinical setting</w:t>
            </w:r>
          </w:p>
        </w:tc>
        <w:tc>
          <w:tcPr>
            <w:tcW w:w="2270" w:type="pct"/>
            <w:vAlign w:val="center"/>
          </w:tcPr>
          <w:p w14:paraId="6D5E99E0" w14:textId="77777777" w:rsidR="007E390E" w:rsidRPr="0098262F" w:rsidRDefault="007E390E" w:rsidP="00402B5B">
            <w:pPr>
              <w:pStyle w:val="TableText0"/>
            </w:pPr>
            <w:r>
              <w:t>PBS online. Accessed Jan 2024 [ibid]</w:t>
            </w:r>
          </w:p>
        </w:tc>
        <w:tc>
          <w:tcPr>
            <w:tcW w:w="1780" w:type="pct"/>
            <w:vAlign w:val="center"/>
          </w:tcPr>
          <w:p w14:paraId="614207EE" w14:textId="77777777" w:rsidR="007E390E" w:rsidRPr="0098262F" w:rsidRDefault="007E390E" w:rsidP="00402B5B">
            <w:pPr>
              <w:pStyle w:val="TableText0"/>
            </w:pPr>
          </w:p>
        </w:tc>
      </w:tr>
      <w:tr w:rsidR="007E390E" w:rsidRPr="0098262F" w14:paraId="522A9356" w14:textId="77777777" w:rsidTr="00402B5B">
        <w:tc>
          <w:tcPr>
            <w:tcW w:w="950" w:type="pct"/>
            <w:vAlign w:val="center"/>
          </w:tcPr>
          <w:p w14:paraId="0732AD8A" w14:textId="77777777" w:rsidR="007E390E" w:rsidRPr="0098262F" w:rsidRDefault="007E390E" w:rsidP="00402B5B">
            <w:pPr>
              <w:pStyle w:val="TableText0"/>
            </w:pPr>
            <w:r>
              <w:t xml:space="preserve">PBS/RPBS utilisation data </w:t>
            </w:r>
          </w:p>
        </w:tc>
        <w:tc>
          <w:tcPr>
            <w:tcW w:w="2270" w:type="pct"/>
            <w:vAlign w:val="center"/>
          </w:tcPr>
          <w:p w14:paraId="3E384D57" w14:textId="77777777" w:rsidR="007E390E" w:rsidRDefault="007E390E" w:rsidP="00402B5B">
            <w:pPr>
              <w:pStyle w:val="TableText0"/>
            </w:pPr>
            <w:r w:rsidRPr="00705B6C">
              <w:t>PBS and RPBS utilisation statistics. Accessed from http://medicarestatistics.humanservices.gov.au/ in January 2024</w:t>
            </w:r>
            <w:r>
              <w:t xml:space="preserve">. To calculate patient beneficiary </w:t>
            </w:r>
            <w:r w:rsidRPr="00705B6C">
              <w:t xml:space="preserve">category distribution for 1% testosterone cream in the first year of PBS listing, using </w:t>
            </w:r>
            <w:proofErr w:type="spellStart"/>
            <w:r w:rsidRPr="00705B6C">
              <w:t>estradiol</w:t>
            </w:r>
            <w:proofErr w:type="spellEnd"/>
            <w:r w:rsidRPr="00705B6C">
              <w:t xml:space="preserve"> as the closest proxy for benefit categories.</w:t>
            </w:r>
          </w:p>
          <w:p w14:paraId="10FBE404" w14:textId="77777777" w:rsidR="007E390E" w:rsidRPr="00B50741" w:rsidRDefault="007E390E" w:rsidP="00402B5B">
            <w:pPr>
              <w:pStyle w:val="TableText0"/>
              <w:rPr>
                <w:color w:val="0066FF"/>
              </w:rPr>
            </w:pPr>
            <w:r>
              <w:t>98.73% PBS scripts and 1.27% RPBS.</w:t>
            </w:r>
          </w:p>
        </w:tc>
        <w:tc>
          <w:tcPr>
            <w:tcW w:w="1780" w:type="pct"/>
            <w:vAlign w:val="center"/>
          </w:tcPr>
          <w:p w14:paraId="2A672607" w14:textId="77777777" w:rsidR="007E390E" w:rsidRPr="007E390E" w:rsidRDefault="007E390E" w:rsidP="00402B5B">
            <w:pPr>
              <w:pStyle w:val="TableText0"/>
            </w:pPr>
            <w:r w:rsidRPr="007E390E">
              <w:t xml:space="preserve"> May be reasonable.</w:t>
            </w:r>
          </w:p>
        </w:tc>
      </w:tr>
      <w:tr w:rsidR="007E390E" w:rsidRPr="0098262F" w14:paraId="0FCFA9FE" w14:textId="77777777" w:rsidTr="00402B5B">
        <w:tc>
          <w:tcPr>
            <w:tcW w:w="950" w:type="pct"/>
            <w:vAlign w:val="center"/>
          </w:tcPr>
          <w:p w14:paraId="46633E4E" w14:textId="77777777" w:rsidR="007E390E" w:rsidRPr="0098262F" w:rsidRDefault="007E390E" w:rsidP="00402B5B">
            <w:pPr>
              <w:pStyle w:val="TableText0"/>
            </w:pPr>
            <w:r>
              <w:t xml:space="preserve">Private market 1% testosterone cream scripts </w:t>
            </w:r>
          </w:p>
        </w:tc>
        <w:tc>
          <w:tcPr>
            <w:tcW w:w="2270" w:type="pct"/>
            <w:vAlign w:val="center"/>
          </w:tcPr>
          <w:p w14:paraId="685A1E09" w14:textId="77777777" w:rsidR="007E390E" w:rsidRDefault="007E390E" w:rsidP="00402B5B">
            <w:pPr>
              <w:pStyle w:val="TableText0"/>
            </w:pPr>
            <w:r w:rsidRPr="00705B6C">
              <w:t xml:space="preserve">See ‘Attachment 4_AF1_Budget Impact Model – </w:t>
            </w:r>
            <w:proofErr w:type="spellStart"/>
            <w:r w:rsidRPr="00705B6C">
              <w:t>AndroFeme</w:t>
            </w:r>
            <w:proofErr w:type="spellEnd"/>
            <w:r w:rsidRPr="00705B6C">
              <w:t xml:space="preserve"> 1 BIM (Worksheet ‘2e. Scripts – market’)’.</w:t>
            </w:r>
          </w:p>
          <w:p w14:paraId="643F2818" w14:textId="77777777" w:rsidR="007E390E" w:rsidRPr="0098262F" w:rsidRDefault="007E390E" w:rsidP="00402B5B">
            <w:pPr>
              <w:pStyle w:val="TableText0"/>
            </w:pPr>
            <w:r w:rsidRPr="00705B6C">
              <w:t>Dispensed unit trends for 1% testosterone cream in previous years to provide estimates for uptake of market share.</w:t>
            </w:r>
          </w:p>
        </w:tc>
        <w:tc>
          <w:tcPr>
            <w:tcW w:w="1780" w:type="pct"/>
            <w:vAlign w:val="center"/>
          </w:tcPr>
          <w:p w14:paraId="65F1FEFA" w14:textId="77777777" w:rsidR="007E390E" w:rsidRPr="007E390E" w:rsidRDefault="007E390E" w:rsidP="00402B5B">
            <w:pPr>
              <w:pStyle w:val="TableText0"/>
            </w:pPr>
            <w:r w:rsidRPr="007E390E">
              <w:t xml:space="preserve">Stated to be sales data but could not be independently verified. States that the last full year – 2024 – supply was 47,376 scripts. Note supply prior to TGA registration. </w:t>
            </w:r>
          </w:p>
        </w:tc>
      </w:tr>
      <w:tr w:rsidR="007E390E" w:rsidRPr="0098262F" w14:paraId="3E255ADF" w14:textId="77777777" w:rsidTr="00402B5B">
        <w:tc>
          <w:tcPr>
            <w:tcW w:w="950" w:type="pct"/>
            <w:vAlign w:val="center"/>
          </w:tcPr>
          <w:p w14:paraId="2CB941B4" w14:textId="77777777" w:rsidR="007E390E" w:rsidRDefault="007E390E" w:rsidP="00402B5B">
            <w:pPr>
              <w:pStyle w:val="TableText0"/>
            </w:pPr>
            <w:r>
              <w:t xml:space="preserve">Growth rate </w:t>
            </w:r>
          </w:p>
        </w:tc>
        <w:tc>
          <w:tcPr>
            <w:tcW w:w="2270" w:type="pct"/>
            <w:vAlign w:val="center"/>
          </w:tcPr>
          <w:p w14:paraId="5A1A545B" w14:textId="77777777" w:rsidR="007E390E" w:rsidRPr="00705B6C" w:rsidRDefault="007E390E" w:rsidP="00402B5B">
            <w:pPr>
              <w:pStyle w:val="TableText0"/>
            </w:pPr>
            <w:r>
              <w:t xml:space="preserve">10% per year, sponsor assumption. </w:t>
            </w:r>
          </w:p>
        </w:tc>
        <w:tc>
          <w:tcPr>
            <w:tcW w:w="1780" w:type="pct"/>
            <w:vAlign w:val="center"/>
          </w:tcPr>
          <w:p w14:paraId="3F230937" w14:textId="77777777" w:rsidR="007E390E" w:rsidRPr="007E390E" w:rsidRDefault="007E390E" w:rsidP="00402B5B">
            <w:pPr>
              <w:pStyle w:val="TableText0"/>
            </w:pPr>
            <w:r w:rsidRPr="007E390E">
              <w:t>Could not be independently verified. Likely an underestimate. Sales data provided by the sponsor showed growth was 94% from 2022 to 2023 and 86% from 2023 to 2024.</w:t>
            </w:r>
          </w:p>
        </w:tc>
      </w:tr>
      <w:tr w:rsidR="007E390E" w:rsidRPr="0098262F" w14:paraId="6C17B48C" w14:textId="77777777" w:rsidTr="00402B5B">
        <w:tc>
          <w:tcPr>
            <w:tcW w:w="950" w:type="pct"/>
            <w:vAlign w:val="center"/>
          </w:tcPr>
          <w:p w14:paraId="3A1BF953" w14:textId="77777777" w:rsidR="007E390E" w:rsidRDefault="007E390E" w:rsidP="00402B5B">
            <w:pPr>
              <w:pStyle w:val="TableText0"/>
            </w:pPr>
            <w:r>
              <w:t>Market share</w:t>
            </w:r>
          </w:p>
        </w:tc>
        <w:tc>
          <w:tcPr>
            <w:tcW w:w="2270" w:type="pct"/>
            <w:vAlign w:val="center"/>
          </w:tcPr>
          <w:p w14:paraId="5E38B699" w14:textId="0D8434DD" w:rsidR="007E390E" w:rsidRDefault="00751E87" w:rsidP="00402B5B">
            <w:pPr>
              <w:pStyle w:val="TableText0"/>
            </w:pPr>
            <w:r w:rsidRPr="00751E87">
              <w:rPr>
                <w:highlight w:val="black"/>
              </w:rPr>
              <w:t>&amp;&amp;&amp;&amp;</w:t>
            </w:r>
            <w:r w:rsidR="007E390E">
              <w:t xml:space="preserve">%, assumes all patients currently treated will transition to PBS supply. </w:t>
            </w:r>
          </w:p>
        </w:tc>
        <w:tc>
          <w:tcPr>
            <w:tcW w:w="1780" w:type="pct"/>
            <w:vAlign w:val="center"/>
          </w:tcPr>
          <w:p w14:paraId="40C1F66E" w14:textId="77777777" w:rsidR="007E390E" w:rsidRPr="007E390E" w:rsidRDefault="007E390E" w:rsidP="00402B5B">
            <w:pPr>
              <w:pStyle w:val="TableText0"/>
            </w:pPr>
            <w:r w:rsidRPr="007E390E">
              <w:t>Sponsor assumption could not be independently verified. Does not account for patients using currently PBS-listed testosterone products, private scripts off-label of other existing testosterone products, or for patients who have testosterone compounded.</w:t>
            </w:r>
          </w:p>
        </w:tc>
      </w:tr>
      <w:tr w:rsidR="007E390E" w:rsidRPr="0098262F" w14:paraId="436DFDC0" w14:textId="77777777" w:rsidTr="00402B5B">
        <w:tc>
          <w:tcPr>
            <w:tcW w:w="950" w:type="pct"/>
            <w:vAlign w:val="center"/>
          </w:tcPr>
          <w:p w14:paraId="64764FD9" w14:textId="77777777" w:rsidR="007E390E" w:rsidRDefault="007E390E" w:rsidP="00402B5B">
            <w:pPr>
              <w:pStyle w:val="TableText0"/>
            </w:pPr>
            <w:r>
              <w:t>Dose /duration</w:t>
            </w:r>
          </w:p>
        </w:tc>
        <w:tc>
          <w:tcPr>
            <w:tcW w:w="2270" w:type="pct"/>
            <w:vAlign w:val="center"/>
          </w:tcPr>
          <w:p w14:paraId="29E234BD" w14:textId="77777777" w:rsidR="007E390E" w:rsidRDefault="007E390E" w:rsidP="00402B5B">
            <w:pPr>
              <w:pStyle w:val="TableText0"/>
            </w:pPr>
            <w:r>
              <w:t xml:space="preserve">1 tube of cream expected to last 100 days; assumes 3.65 tubes per year. </w:t>
            </w:r>
          </w:p>
        </w:tc>
        <w:tc>
          <w:tcPr>
            <w:tcW w:w="1780" w:type="pct"/>
            <w:vAlign w:val="center"/>
          </w:tcPr>
          <w:p w14:paraId="660E08A1" w14:textId="77777777" w:rsidR="007E390E" w:rsidRPr="007E390E" w:rsidRDefault="007E390E" w:rsidP="00402B5B">
            <w:pPr>
              <w:pStyle w:val="TableText0"/>
            </w:pPr>
            <w:r w:rsidRPr="007E390E">
              <w:t>Assumes no increase in dose. This is unlikely to be correct. Not clear how long therapy is assumed to continue; may be ongoing.</w:t>
            </w:r>
          </w:p>
        </w:tc>
      </w:tr>
    </w:tbl>
    <w:p w14:paraId="6DAC92DA" w14:textId="77777777" w:rsidR="007E390E" w:rsidRPr="005D625C" w:rsidRDefault="007E390E" w:rsidP="007E390E">
      <w:pPr>
        <w:pStyle w:val="FooterTableFigure"/>
      </w:pPr>
      <w:r w:rsidRPr="0098262F">
        <w:t>Source:</w:t>
      </w:r>
      <w:r>
        <w:t xml:space="preserve"> Compiled from</w:t>
      </w:r>
      <w:r w:rsidRPr="0098262F">
        <w:t xml:space="preserve"> Table</w:t>
      </w:r>
      <w:r>
        <w:t xml:space="preserve"> 4.1, p102 </w:t>
      </w:r>
      <w:r w:rsidRPr="0098262F">
        <w:t>of the submission</w:t>
      </w:r>
      <w:r>
        <w:t xml:space="preserve"> and associated text Section 4; Financial Workbook Sheet 2e. </w:t>
      </w:r>
    </w:p>
    <w:p w14:paraId="108AA8D0" w14:textId="77777777" w:rsidR="007E390E" w:rsidRPr="007E390E" w:rsidRDefault="007E390E" w:rsidP="007E390E">
      <w:pPr>
        <w:pStyle w:val="3-BodyText"/>
      </w:pPr>
      <w:r w:rsidRPr="007E390E">
        <w:t xml:space="preserve">The submission did not allow for any increase in the market for testosterone 1% cream, </w:t>
      </w:r>
      <w:proofErr w:type="gramStart"/>
      <w:r w:rsidRPr="007E390E">
        <w:t>assuming that</w:t>
      </w:r>
      <w:proofErr w:type="gramEnd"/>
      <w:r w:rsidRPr="007E390E">
        <w:t xml:space="preserve"> all patients who require it would be accessing it as a private script or off-label with a PBS prescription for one of the 4 PBS-listed products. An increase in use of 1% testosterone cream is likely with a PBS listing. A combined epidemiological/market-share approach would have been more appropriate to estimate the financial impact of listing 1% testosterone cream on the PBS.</w:t>
      </w:r>
    </w:p>
    <w:p w14:paraId="327AF188" w14:textId="44848974" w:rsidR="007E390E" w:rsidRPr="007E390E" w:rsidRDefault="007E390E" w:rsidP="007E390E">
      <w:pPr>
        <w:pStyle w:val="3-BodyText"/>
        <w:rPr>
          <w:color w:val="0066FF"/>
        </w:rPr>
      </w:pPr>
      <w:r w:rsidRPr="007E390E">
        <w:lastRenderedPageBreak/>
        <w:t xml:space="preserve">The estimated use and cost as presented in the submission is shown in </w:t>
      </w:r>
      <w:r w:rsidRPr="007E390E">
        <w:fldChar w:fldCharType="begin"/>
      </w:r>
      <w:r w:rsidRPr="007E390E">
        <w:instrText xml:space="preserve"> REF _Ref104805295 \h </w:instrText>
      </w:r>
      <w:r>
        <w:instrText xml:space="preserve"> \* MERGEFORMAT </w:instrText>
      </w:r>
      <w:r w:rsidRPr="007E390E">
        <w:fldChar w:fldCharType="separate"/>
      </w:r>
      <w:r w:rsidR="00374A89" w:rsidRPr="0098262F">
        <w:t xml:space="preserve">Table </w:t>
      </w:r>
      <w:r w:rsidR="00374A89">
        <w:rPr>
          <w:noProof/>
        </w:rPr>
        <w:t>9</w:t>
      </w:r>
      <w:r w:rsidRPr="007E390E">
        <w:fldChar w:fldCharType="end"/>
      </w:r>
      <w:r w:rsidRPr="007E390E">
        <w:t>. The submission assumed year 1 was 2025 and based the estimate of scripts on a 10% annual increase from 2024.</w:t>
      </w:r>
    </w:p>
    <w:p w14:paraId="3190AA33" w14:textId="1362D7BD" w:rsidR="007E390E" w:rsidRPr="0098262F" w:rsidRDefault="007E390E" w:rsidP="007E390E">
      <w:pPr>
        <w:pStyle w:val="Caption"/>
      </w:pPr>
      <w:bookmarkStart w:id="72" w:name="_Ref104805295"/>
      <w:r w:rsidRPr="0098262F">
        <w:t xml:space="preserve">Table </w:t>
      </w:r>
      <w:r>
        <w:fldChar w:fldCharType="begin"/>
      </w:r>
      <w:r>
        <w:instrText xml:space="preserve"> SEQ Table \* ARABIC </w:instrText>
      </w:r>
      <w:r>
        <w:fldChar w:fldCharType="separate"/>
      </w:r>
      <w:r w:rsidR="00374A89">
        <w:rPr>
          <w:noProof/>
        </w:rPr>
        <w:t>9</w:t>
      </w:r>
      <w:r>
        <w:rPr>
          <w:noProof/>
        </w:rPr>
        <w:fldChar w:fldCharType="end"/>
      </w:r>
      <w:bookmarkEnd w:id="72"/>
      <w:r w:rsidRPr="0098262F">
        <w:t>:</w:t>
      </w:r>
      <w:r w:rsidRPr="0098262F">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Estimated use and financial implications"/>
      </w:tblPr>
      <w:tblGrid>
        <w:gridCol w:w="2405"/>
        <w:gridCol w:w="1102"/>
        <w:gridCol w:w="1102"/>
        <w:gridCol w:w="1102"/>
        <w:gridCol w:w="1102"/>
        <w:gridCol w:w="1102"/>
        <w:gridCol w:w="1102"/>
      </w:tblGrid>
      <w:tr w:rsidR="007E390E" w:rsidRPr="0098262F" w14:paraId="0E704EA4" w14:textId="77777777" w:rsidTr="00402B5B">
        <w:trPr>
          <w:tblHeader/>
        </w:trPr>
        <w:tc>
          <w:tcPr>
            <w:tcW w:w="1334" w:type="pct"/>
            <w:vAlign w:val="center"/>
          </w:tcPr>
          <w:p w14:paraId="15DE3E6C" w14:textId="77777777" w:rsidR="007E390E" w:rsidRPr="0098262F" w:rsidRDefault="007E390E" w:rsidP="00402B5B">
            <w:pPr>
              <w:pStyle w:val="In-tableHeading"/>
              <w:jc w:val="center"/>
              <w:rPr>
                <w:lang w:val="en-AU"/>
              </w:rPr>
            </w:pPr>
          </w:p>
        </w:tc>
        <w:tc>
          <w:tcPr>
            <w:tcW w:w="611" w:type="pct"/>
            <w:vAlign w:val="center"/>
          </w:tcPr>
          <w:p w14:paraId="0A0D6B30" w14:textId="77777777" w:rsidR="007E390E" w:rsidRDefault="007E390E" w:rsidP="00402B5B">
            <w:pPr>
              <w:pStyle w:val="In-tableHeading"/>
              <w:jc w:val="center"/>
              <w:rPr>
                <w:lang w:val="en-AU"/>
              </w:rPr>
            </w:pPr>
            <w:r w:rsidRPr="0098262F">
              <w:rPr>
                <w:lang w:val="en-AU"/>
              </w:rPr>
              <w:t>Year 1</w:t>
            </w:r>
          </w:p>
          <w:p w14:paraId="3FD5BB86" w14:textId="77777777" w:rsidR="007E390E" w:rsidRPr="0098262F" w:rsidRDefault="007E390E" w:rsidP="00402B5B">
            <w:pPr>
              <w:pStyle w:val="In-tableHeading"/>
              <w:jc w:val="center"/>
              <w:rPr>
                <w:lang w:val="en-AU"/>
              </w:rPr>
            </w:pPr>
            <w:r>
              <w:rPr>
                <w:lang w:val="en-AU"/>
              </w:rPr>
              <w:t>(2025)</w:t>
            </w:r>
          </w:p>
        </w:tc>
        <w:tc>
          <w:tcPr>
            <w:tcW w:w="611" w:type="pct"/>
            <w:vAlign w:val="center"/>
          </w:tcPr>
          <w:p w14:paraId="0587C82B" w14:textId="77777777" w:rsidR="007E390E" w:rsidRDefault="007E390E" w:rsidP="00402B5B">
            <w:pPr>
              <w:pStyle w:val="In-tableHeading"/>
              <w:jc w:val="center"/>
              <w:rPr>
                <w:lang w:val="en-AU"/>
              </w:rPr>
            </w:pPr>
            <w:r w:rsidRPr="0098262F">
              <w:rPr>
                <w:lang w:val="en-AU"/>
              </w:rPr>
              <w:t>Year 2</w:t>
            </w:r>
          </w:p>
          <w:p w14:paraId="4516CDD9" w14:textId="77777777" w:rsidR="007E390E" w:rsidRPr="0098262F" w:rsidRDefault="007E390E" w:rsidP="00402B5B">
            <w:pPr>
              <w:pStyle w:val="In-tableHeading"/>
              <w:jc w:val="center"/>
              <w:rPr>
                <w:lang w:val="en-AU"/>
              </w:rPr>
            </w:pPr>
            <w:r>
              <w:rPr>
                <w:lang w:val="en-AU"/>
              </w:rPr>
              <w:t>(2026)</w:t>
            </w:r>
          </w:p>
        </w:tc>
        <w:tc>
          <w:tcPr>
            <w:tcW w:w="611" w:type="pct"/>
            <w:vAlign w:val="center"/>
          </w:tcPr>
          <w:p w14:paraId="16E3C877" w14:textId="77777777" w:rsidR="007E390E" w:rsidRDefault="007E390E" w:rsidP="00402B5B">
            <w:pPr>
              <w:pStyle w:val="In-tableHeading"/>
              <w:jc w:val="center"/>
              <w:rPr>
                <w:lang w:val="en-AU"/>
              </w:rPr>
            </w:pPr>
            <w:r w:rsidRPr="0098262F">
              <w:rPr>
                <w:lang w:val="en-AU"/>
              </w:rPr>
              <w:t>Year 3</w:t>
            </w:r>
          </w:p>
          <w:p w14:paraId="3B8E2D69" w14:textId="77777777" w:rsidR="007E390E" w:rsidRPr="0098262F" w:rsidRDefault="007E390E" w:rsidP="00402B5B">
            <w:pPr>
              <w:pStyle w:val="In-tableHeading"/>
              <w:jc w:val="center"/>
              <w:rPr>
                <w:lang w:val="en-AU"/>
              </w:rPr>
            </w:pPr>
            <w:r>
              <w:rPr>
                <w:lang w:val="en-AU"/>
              </w:rPr>
              <w:t>(2027)</w:t>
            </w:r>
          </w:p>
        </w:tc>
        <w:tc>
          <w:tcPr>
            <w:tcW w:w="611" w:type="pct"/>
            <w:vAlign w:val="center"/>
          </w:tcPr>
          <w:p w14:paraId="5870E71D" w14:textId="77777777" w:rsidR="007E390E" w:rsidRDefault="007E390E" w:rsidP="00402B5B">
            <w:pPr>
              <w:pStyle w:val="In-tableHeading"/>
              <w:jc w:val="center"/>
              <w:rPr>
                <w:lang w:val="en-AU"/>
              </w:rPr>
            </w:pPr>
            <w:r w:rsidRPr="0098262F">
              <w:rPr>
                <w:lang w:val="en-AU"/>
              </w:rPr>
              <w:t>Year 4</w:t>
            </w:r>
          </w:p>
          <w:p w14:paraId="7E5F38CB" w14:textId="77777777" w:rsidR="007E390E" w:rsidRPr="0098262F" w:rsidRDefault="007E390E" w:rsidP="00402B5B">
            <w:pPr>
              <w:pStyle w:val="In-tableHeading"/>
              <w:jc w:val="center"/>
              <w:rPr>
                <w:lang w:val="en-AU"/>
              </w:rPr>
            </w:pPr>
            <w:r>
              <w:rPr>
                <w:lang w:val="en-AU"/>
              </w:rPr>
              <w:t>(2028)</w:t>
            </w:r>
          </w:p>
        </w:tc>
        <w:tc>
          <w:tcPr>
            <w:tcW w:w="611" w:type="pct"/>
            <w:vAlign w:val="center"/>
          </w:tcPr>
          <w:p w14:paraId="2612CE37" w14:textId="77777777" w:rsidR="007E390E" w:rsidRDefault="007E390E" w:rsidP="00402B5B">
            <w:pPr>
              <w:pStyle w:val="In-tableHeading"/>
              <w:jc w:val="center"/>
              <w:rPr>
                <w:lang w:val="en-AU"/>
              </w:rPr>
            </w:pPr>
            <w:r w:rsidRPr="0098262F">
              <w:rPr>
                <w:lang w:val="en-AU"/>
              </w:rPr>
              <w:t>Year 5</w:t>
            </w:r>
          </w:p>
          <w:p w14:paraId="3A7DE13B" w14:textId="77777777" w:rsidR="007E390E" w:rsidRPr="0098262F" w:rsidRDefault="007E390E" w:rsidP="00402B5B">
            <w:pPr>
              <w:pStyle w:val="In-tableHeading"/>
              <w:jc w:val="center"/>
              <w:rPr>
                <w:lang w:val="en-AU"/>
              </w:rPr>
            </w:pPr>
            <w:r>
              <w:rPr>
                <w:lang w:val="en-AU"/>
              </w:rPr>
              <w:t>(2029)</w:t>
            </w:r>
          </w:p>
        </w:tc>
        <w:tc>
          <w:tcPr>
            <w:tcW w:w="611" w:type="pct"/>
          </w:tcPr>
          <w:p w14:paraId="0A3678B1" w14:textId="77777777" w:rsidR="007E390E" w:rsidRDefault="007E390E" w:rsidP="00402B5B">
            <w:pPr>
              <w:pStyle w:val="In-tableHeading"/>
              <w:jc w:val="center"/>
              <w:rPr>
                <w:lang w:val="en-AU"/>
              </w:rPr>
            </w:pPr>
            <w:r w:rsidRPr="0098262F">
              <w:rPr>
                <w:lang w:val="en-AU"/>
              </w:rPr>
              <w:t>Year 6</w:t>
            </w:r>
          </w:p>
          <w:p w14:paraId="66C0D320" w14:textId="77777777" w:rsidR="007E390E" w:rsidRPr="0098262F" w:rsidRDefault="007E390E" w:rsidP="00402B5B">
            <w:pPr>
              <w:pStyle w:val="In-tableHeading"/>
              <w:jc w:val="center"/>
              <w:rPr>
                <w:lang w:val="en-AU"/>
              </w:rPr>
            </w:pPr>
            <w:r>
              <w:rPr>
                <w:lang w:val="en-AU"/>
              </w:rPr>
              <w:t>(2030)</w:t>
            </w:r>
          </w:p>
        </w:tc>
      </w:tr>
      <w:tr w:rsidR="007E390E" w:rsidRPr="0098262F" w14:paraId="72377022" w14:textId="77777777" w:rsidTr="00402B5B">
        <w:tc>
          <w:tcPr>
            <w:tcW w:w="5000" w:type="pct"/>
            <w:gridSpan w:val="7"/>
            <w:vAlign w:val="center"/>
          </w:tcPr>
          <w:p w14:paraId="05859F28" w14:textId="77777777" w:rsidR="007E390E" w:rsidRPr="0098262F" w:rsidRDefault="007E390E" w:rsidP="00402B5B">
            <w:pPr>
              <w:pStyle w:val="In-tableHeading"/>
              <w:rPr>
                <w:bCs/>
                <w:color w:val="000000"/>
                <w:lang w:val="en-AU"/>
              </w:rPr>
            </w:pPr>
            <w:r w:rsidRPr="0098262F">
              <w:rPr>
                <w:bCs/>
                <w:color w:val="000000"/>
                <w:lang w:val="en-AU"/>
              </w:rPr>
              <w:t>Estimated extent of use</w:t>
            </w:r>
          </w:p>
        </w:tc>
      </w:tr>
      <w:tr w:rsidR="007E390E" w:rsidRPr="0098262F" w14:paraId="44D851D9" w14:textId="77777777" w:rsidTr="00402B5B">
        <w:tc>
          <w:tcPr>
            <w:tcW w:w="1334" w:type="pct"/>
            <w:vAlign w:val="center"/>
          </w:tcPr>
          <w:p w14:paraId="53D5C7CE" w14:textId="77777777" w:rsidR="007E390E" w:rsidRPr="0098262F" w:rsidRDefault="007E390E" w:rsidP="00402B5B">
            <w:pPr>
              <w:pStyle w:val="TableText0"/>
              <w:rPr>
                <w:rFonts w:ascii="Times" w:hAnsi="Times"/>
              </w:rPr>
            </w:pPr>
            <w:r w:rsidRPr="0098262F">
              <w:t xml:space="preserve">Number of scripts </w:t>
            </w:r>
            <w:proofErr w:type="spellStart"/>
            <w:r w:rsidRPr="0098262F">
              <w:t>dispensed</w:t>
            </w:r>
            <w:r w:rsidRPr="0098262F">
              <w:rPr>
                <w:vertAlign w:val="superscript"/>
              </w:rPr>
              <w:t>a</w:t>
            </w:r>
            <w:proofErr w:type="spellEnd"/>
          </w:p>
        </w:tc>
        <w:tc>
          <w:tcPr>
            <w:tcW w:w="611" w:type="pct"/>
            <w:vAlign w:val="center"/>
          </w:tcPr>
          <w:p w14:paraId="4B5F02A0" w14:textId="4B5647E4" w:rsidR="007E390E" w:rsidRPr="008C2CAD" w:rsidRDefault="00751E87" w:rsidP="00402B5B">
            <w:pPr>
              <w:pStyle w:val="TableText0"/>
              <w:rPr>
                <w:vertAlign w:val="superscript"/>
              </w:rPr>
            </w:pPr>
            <w:r w:rsidRPr="00751E87">
              <w:rPr>
                <w:highlight w:val="black"/>
              </w:rPr>
              <w:t>&amp;&amp;&amp;&amp;</w:t>
            </w:r>
            <w:r w:rsidR="008C2CAD">
              <w:rPr>
                <w:vertAlign w:val="superscript"/>
              </w:rPr>
              <w:t>1</w:t>
            </w:r>
          </w:p>
        </w:tc>
        <w:tc>
          <w:tcPr>
            <w:tcW w:w="611" w:type="pct"/>
            <w:vAlign w:val="center"/>
          </w:tcPr>
          <w:p w14:paraId="16F49755" w14:textId="47DEE616" w:rsidR="007E390E" w:rsidRPr="008C2CAD" w:rsidRDefault="00751E87" w:rsidP="00402B5B">
            <w:pPr>
              <w:pStyle w:val="TableText0"/>
              <w:rPr>
                <w:vertAlign w:val="superscript"/>
              </w:rPr>
            </w:pPr>
            <w:r w:rsidRPr="00751E87">
              <w:rPr>
                <w:highlight w:val="black"/>
              </w:rPr>
              <w:t>&amp;&amp;&amp;&amp;</w:t>
            </w:r>
            <w:r w:rsidR="008C2CAD">
              <w:rPr>
                <w:vertAlign w:val="superscript"/>
              </w:rPr>
              <w:t>1</w:t>
            </w:r>
          </w:p>
        </w:tc>
        <w:tc>
          <w:tcPr>
            <w:tcW w:w="611" w:type="pct"/>
            <w:vAlign w:val="center"/>
          </w:tcPr>
          <w:p w14:paraId="405E5E3D" w14:textId="6DB4BFE9" w:rsidR="007E390E" w:rsidRPr="006D5E2F" w:rsidRDefault="00751E87" w:rsidP="00402B5B">
            <w:pPr>
              <w:pStyle w:val="TableText0"/>
              <w:rPr>
                <w:vertAlign w:val="superscript"/>
              </w:rPr>
            </w:pPr>
            <w:r w:rsidRPr="00751E87">
              <w:rPr>
                <w:highlight w:val="black"/>
              </w:rPr>
              <w:t>&amp;&amp;&amp;&amp;</w:t>
            </w:r>
            <w:r w:rsidR="006D5E2F">
              <w:rPr>
                <w:vertAlign w:val="superscript"/>
              </w:rPr>
              <w:t>2</w:t>
            </w:r>
          </w:p>
        </w:tc>
        <w:tc>
          <w:tcPr>
            <w:tcW w:w="611" w:type="pct"/>
            <w:vAlign w:val="center"/>
          </w:tcPr>
          <w:p w14:paraId="7F521323" w14:textId="2AA92D53" w:rsidR="007E390E" w:rsidRPr="006D5E2F" w:rsidRDefault="00751E87" w:rsidP="00402B5B">
            <w:pPr>
              <w:pStyle w:val="TableText0"/>
              <w:rPr>
                <w:vertAlign w:val="superscript"/>
              </w:rPr>
            </w:pPr>
            <w:r w:rsidRPr="00751E87">
              <w:rPr>
                <w:highlight w:val="black"/>
              </w:rPr>
              <w:t>&amp;&amp;&amp;&amp;</w:t>
            </w:r>
            <w:r w:rsidR="006D5E2F">
              <w:rPr>
                <w:vertAlign w:val="superscript"/>
              </w:rPr>
              <w:t>2</w:t>
            </w:r>
          </w:p>
        </w:tc>
        <w:tc>
          <w:tcPr>
            <w:tcW w:w="611" w:type="pct"/>
            <w:vAlign w:val="center"/>
          </w:tcPr>
          <w:p w14:paraId="0AB522C6" w14:textId="2B90A418" w:rsidR="007E390E" w:rsidRPr="00C558ED" w:rsidRDefault="00751E87" w:rsidP="00402B5B">
            <w:pPr>
              <w:pStyle w:val="TableText0"/>
              <w:rPr>
                <w:vertAlign w:val="superscript"/>
              </w:rPr>
            </w:pPr>
            <w:r w:rsidRPr="00751E87">
              <w:rPr>
                <w:highlight w:val="black"/>
              </w:rPr>
              <w:t>&amp;&amp;&amp;&amp;</w:t>
            </w:r>
            <w:r w:rsidR="00C558ED">
              <w:rPr>
                <w:vertAlign w:val="superscript"/>
              </w:rPr>
              <w:t>3</w:t>
            </w:r>
          </w:p>
        </w:tc>
        <w:tc>
          <w:tcPr>
            <w:tcW w:w="611" w:type="pct"/>
            <w:vAlign w:val="center"/>
          </w:tcPr>
          <w:p w14:paraId="6203BF8C" w14:textId="39451DCA" w:rsidR="007E390E" w:rsidRPr="00BD5BDB" w:rsidRDefault="00751E87" w:rsidP="00402B5B">
            <w:pPr>
              <w:pStyle w:val="TableText0"/>
              <w:rPr>
                <w:vertAlign w:val="superscript"/>
              </w:rPr>
            </w:pPr>
            <w:r w:rsidRPr="00751E87">
              <w:rPr>
                <w:highlight w:val="black"/>
              </w:rPr>
              <w:t>&amp;&amp;&amp;&amp;</w:t>
            </w:r>
            <w:r w:rsidR="00BD5BDB">
              <w:rPr>
                <w:vertAlign w:val="superscript"/>
              </w:rPr>
              <w:t>4</w:t>
            </w:r>
          </w:p>
        </w:tc>
      </w:tr>
      <w:tr w:rsidR="007E390E" w:rsidRPr="0098262F" w14:paraId="582B857B" w14:textId="77777777" w:rsidTr="00402B5B">
        <w:tc>
          <w:tcPr>
            <w:tcW w:w="1334" w:type="pct"/>
            <w:vAlign w:val="center"/>
          </w:tcPr>
          <w:p w14:paraId="39C8D291" w14:textId="77777777" w:rsidR="007E390E" w:rsidRPr="0098262F" w:rsidRDefault="007E390E" w:rsidP="00402B5B">
            <w:pPr>
              <w:pStyle w:val="TableText0"/>
              <w:rPr>
                <w:rFonts w:ascii="Times" w:hAnsi="Times"/>
              </w:rPr>
            </w:pPr>
          </w:p>
        </w:tc>
        <w:tc>
          <w:tcPr>
            <w:tcW w:w="611" w:type="pct"/>
            <w:vAlign w:val="center"/>
          </w:tcPr>
          <w:p w14:paraId="6842CB42" w14:textId="77777777" w:rsidR="007E390E" w:rsidRPr="0098262F" w:rsidRDefault="007E390E" w:rsidP="00402B5B">
            <w:pPr>
              <w:pStyle w:val="TableText0"/>
            </w:pPr>
          </w:p>
        </w:tc>
        <w:tc>
          <w:tcPr>
            <w:tcW w:w="611" w:type="pct"/>
            <w:vAlign w:val="center"/>
          </w:tcPr>
          <w:p w14:paraId="657C80DC" w14:textId="77777777" w:rsidR="007E390E" w:rsidRPr="0098262F" w:rsidRDefault="007E390E" w:rsidP="00402B5B">
            <w:pPr>
              <w:pStyle w:val="TableText0"/>
            </w:pPr>
          </w:p>
        </w:tc>
        <w:tc>
          <w:tcPr>
            <w:tcW w:w="611" w:type="pct"/>
            <w:vAlign w:val="center"/>
          </w:tcPr>
          <w:p w14:paraId="7468689C" w14:textId="77777777" w:rsidR="007E390E" w:rsidRPr="0098262F" w:rsidRDefault="007E390E" w:rsidP="00402B5B">
            <w:pPr>
              <w:pStyle w:val="TableText0"/>
            </w:pPr>
          </w:p>
        </w:tc>
        <w:tc>
          <w:tcPr>
            <w:tcW w:w="611" w:type="pct"/>
            <w:vAlign w:val="center"/>
          </w:tcPr>
          <w:p w14:paraId="64823011" w14:textId="77777777" w:rsidR="007E390E" w:rsidRPr="0098262F" w:rsidRDefault="007E390E" w:rsidP="00402B5B">
            <w:pPr>
              <w:pStyle w:val="TableText0"/>
            </w:pPr>
          </w:p>
        </w:tc>
        <w:tc>
          <w:tcPr>
            <w:tcW w:w="611" w:type="pct"/>
            <w:vAlign w:val="center"/>
          </w:tcPr>
          <w:p w14:paraId="717ADEB4" w14:textId="77777777" w:rsidR="007E390E" w:rsidRPr="0098262F" w:rsidRDefault="007E390E" w:rsidP="00402B5B">
            <w:pPr>
              <w:pStyle w:val="TableText0"/>
            </w:pPr>
          </w:p>
        </w:tc>
        <w:tc>
          <w:tcPr>
            <w:tcW w:w="611" w:type="pct"/>
          </w:tcPr>
          <w:p w14:paraId="11BE9A20" w14:textId="77777777" w:rsidR="007E390E" w:rsidRPr="0098262F" w:rsidRDefault="007E390E" w:rsidP="00402B5B">
            <w:pPr>
              <w:pStyle w:val="TableText0"/>
            </w:pPr>
          </w:p>
        </w:tc>
      </w:tr>
      <w:tr w:rsidR="007E390E" w:rsidRPr="0098262F" w14:paraId="31A70E8D" w14:textId="77777777" w:rsidTr="00402B5B">
        <w:tc>
          <w:tcPr>
            <w:tcW w:w="5000" w:type="pct"/>
            <w:gridSpan w:val="7"/>
            <w:vAlign w:val="center"/>
          </w:tcPr>
          <w:p w14:paraId="18ACA0F1" w14:textId="77777777" w:rsidR="007E390E" w:rsidRPr="0098262F" w:rsidRDefault="007E390E" w:rsidP="00402B5B">
            <w:pPr>
              <w:pStyle w:val="In-tableHeading"/>
              <w:rPr>
                <w:lang w:val="en-AU"/>
              </w:rPr>
            </w:pPr>
            <w:r w:rsidRPr="0098262F">
              <w:rPr>
                <w:lang w:val="en-AU"/>
              </w:rPr>
              <w:t xml:space="preserve">Estimated financial implications of </w:t>
            </w:r>
            <w:r>
              <w:rPr>
                <w:lang w:val="en-AU"/>
              </w:rPr>
              <w:t>testosterone 1% cream</w:t>
            </w:r>
          </w:p>
        </w:tc>
      </w:tr>
      <w:tr w:rsidR="007E390E" w:rsidRPr="0098262F" w14:paraId="6F353113" w14:textId="77777777" w:rsidTr="00402B5B">
        <w:tc>
          <w:tcPr>
            <w:tcW w:w="1334" w:type="pct"/>
            <w:vAlign w:val="center"/>
          </w:tcPr>
          <w:p w14:paraId="70E5F842" w14:textId="77777777" w:rsidR="007E390E" w:rsidRPr="0098262F" w:rsidRDefault="007E390E" w:rsidP="00402B5B">
            <w:pPr>
              <w:pStyle w:val="TableText0"/>
            </w:pPr>
            <w:r w:rsidRPr="0098262F">
              <w:t>Cost to PBS/RPBS less copayments</w:t>
            </w:r>
          </w:p>
        </w:tc>
        <w:tc>
          <w:tcPr>
            <w:tcW w:w="611" w:type="pct"/>
            <w:vAlign w:val="center"/>
          </w:tcPr>
          <w:p w14:paraId="4171EF4B" w14:textId="7DAAEB0B" w:rsidR="007E390E" w:rsidRPr="00795395" w:rsidRDefault="007E390E" w:rsidP="00402B5B">
            <w:pPr>
              <w:pStyle w:val="TableText0"/>
              <w:rPr>
                <w:vertAlign w:val="superscript"/>
              </w:rPr>
            </w:pPr>
            <w:r w:rsidRPr="001A47F5">
              <w:t>$</w:t>
            </w:r>
            <w:r w:rsidR="00751E87" w:rsidRPr="00751E87">
              <w:rPr>
                <w:highlight w:val="black"/>
              </w:rPr>
              <w:t>&amp;&amp;&amp;&amp;</w:t>
            </w:r>
            <w:r w:rsidR="00795395">
              <w:rPr>
                <w:vertAlign w:val="superscript"/>
              </w:rPr>
              <w:t>5</w:t>
            </w:r>
          </w:p>
        </w:tc>
        <w:tc>
          <w:tcPr>
            <w:tcW w:w="611" w:type="pct"/>
            <w:vAlign w:val="center"/>
          </w:tcPr>
          <w:p w14:paraId="4AF5D8B4" w14:textId="4C5A603C" w:rsidR="007E390E" w:rsidRPr="00795395" w:rsidRDefault="007E390E" w:rsidP="00402B5B">
            <w:pPr>
              <w:pStyle w:val="TableText0"/>
              <w:rPr>
                <w:vertAlign w:val="superscript"/>
              </w:rPr>
            </w:pPr>
            <w:r w:rsidRPr="001A47F5">
              <w:t>$</w:t>
            </w:r>
            <w:r w:rsidR="00751E87" w:rsidRPr="00751E87">
              <w:rPr>
                <w:highlight w:val="black"/>
              </w:rPr>
              <w:t>&amp;&amp;&amp;&amp;</w:t>
            </w:r>
            <w:r w:rsidR="00795395">
              <w:rPr>
                <w:vertAlign w:val="superscript"/>
              </w:rPr>
              <w:t>5</w:t>
            </w:r>
          </w:p>
        </w:tc>
        <w:tc>
          <w:tcPr>
            <w:tcW w:w="611" w:type="pct"/>
            <w:vAlign w:val="center"/>
          </w:tcPr>
          <w:p w14:paraId="54873DAB" w14:textId="7E603C87" w:rsidR="007E390E" w:rsidRPr="00795395" w:rsidRDefault="007E390E" w:rsidP="00402B5B">
            <w:pPr>
              <w:pStyle w:val="TableText0"/>
              <w:rPr>
                <w:vertAlign w:val="superscript"/>
              </w:rPr>
            </w:pPr>
            <w:r w:rsidRPr="001A47F5">
              <w:t>$</w:t>
            </w:r>
            <w:r w:rsidR="00751E87" w:rsidRPr="00751E87">
              <w:rPr>
                <w:highlight w:val="black"/>
              </w:rPr>
              <w:t>&amp;&amp;&amp;&amp;</w:t>
            </w:r>
            <w:r w:rsidR="00795395">
              <w:rPr>
                <w:vertAlign w:val="superscript"/>
              </w:rPr>
              <w:t>5</w:t>
            </w:r>
          </w:p>
        </w:tc>
        <w:tc>
          <w:tcPr>
            <w:tcW w:w="611" w:type="pct"/>
            <w:vAlign w:val="center"/>
          </w:tcPr>
          <w:p w14:paraId="63559F83" w14:textId="6C7E47CF" w:rsidR="007E390E" w:rsidRPr="00795395" w:rsidRDefault="007E390E" w:rsidP="00402B5B">
            <w:pPr>
              <w:pStyle w:val="TableText0"/>
              <w:rPr>
                <w:vertAlign w:val="superscript"/>
              </w:rPr>
            </w:pPr>
            <w:r w:rsidRPr="001A47F5">
              <w:t>$</w:t>
            </w:r>
            <w:r w:rsidR="00751E87" w:rsidRPr="00751E87">
              <w:rPr>
                <w:highlight w:val="black"/>
              </w:rPr>
              <w:t>&amp;&amp;&amp;&amp;</w:t>
            </w:r>
            <w:r w:rsidR="00795395">
              <w:rPr>
                <w:vertAlign w:val="superscript"/>
              </w:rPr>
              <w:t>5</w:t>
            </w:r>
          </w:p>
        </w:tc>
        <w:tc>
          <w:tcPr>
            <w:tcW w:w="611" w:type="pct"/>
            <w:vAlign w:val="center"/>
          </w:tcPr>
          <w:p w14:paraId="66D54EFC" w14:textId="643AFED1" w:rsidR="007E390E" w:rsidRPr="00795395" w:rsidRDefault="007E390E" w:rsidP="00402B5B">
            <w:pPr>
              <w:pStyle w:val="TableText0"/>
              <w:rPr>
                <w:vertAlign w:val="superscript"/>
              </w:rPr>
            </w:pPr>
            <w:r w:rsidRPr="001A47F5">
              <w:t>$</w:t>
            </w:r>
            <w:r w:rsidR="00751E87" w:rsidRPr="00751E87">
              <w:rPr>
                <w:highlight w:val="black"/>
              </w:rPr>
              <w:t>&amp;&amp;&amp;&amp;</w:t>
            </w:r>
            <w:r w:rsidR="00795395">
              <w:rPr>
                <w:vertAlign w:val="superscript"/>
              </w:rPr>
              <w:t>5</w:t>
            </w:r>
          </w:p>
        </w:tc>
        <w:tc>
          <w:tcPr>
            <w:tcW w:w="611" w:type="pct"/>
            <w:vAlign w:val="center"/>
          </w:tcPr>
          <w:p w14:paraId="2044170E" w14:textId="4E0FB41A" w:rsidR="007E390E" w:rsidRPr="00BA3199" w:rsidRDefault="007E390E" w:rsidP="00402B5B">
            <w:pPr>
              <w:pStyle w:val="TableText0"/>
              <w:rPr>
                <w:vertAlign w:val="superscript"/>
              </w:rPr>
            </w:pPr>
            <w:r w:rsidRPr="001A47F5">
              <w:t>$</w:t>
            </w:r>
            <w:r w:rsidR="00751E87" w:rsidRPr="00751E87">
              <w:rPr>
                <w:highlight w:val="black"/>
              </w:rPr>
              <w:t>&amp;&amp;&amp;&amp;</w:t>
            </w:r>
            <w:r w:rsidR="00BA3199">
              <w:rPr>
                <w:vertAlign w:val="superscript"/>
              </w:rPr>
              <w:t>5</w:t>
            </w:r>
          </w:p>
        </w:tc>
      </w:tr>
      <w:tr w:rsidR="007E390E" w:rsidRPr="0098262F" w14:paraId="6E24751F" w14:textId="77777777" w:rsidTr="00402B5B">
        <w:tc>
          <w:tcPr>
            <w:tcW w:w="5000" w:type="pct"/>
            <w:gridSpan w:val="7"/>
            <w:vAlign w:val="center"/>
          </w:tcPr>
          <w:p w14:paraId="66A8A08F" w14:textId="77777777" w:rsidR="007E390E" w:rsidRPr="0098262F" w:rsidRDefault="007E390E" w:rsidP="00402B5B">
            <w:pPr>
              <w:pStyle w:val="TableText0"/>
            </w:pPr>
            <w:r w:rsidRPr="0098262F">
              <w:t>Estimated financial implications for other medicine</w:t>
            </w:r>
          </w:p>
        </w:tc>
      </w:tr>
      <w:tr w:rsidR="007E390E" w:rsidRPr="0098262F" w14:paraId="665442A0" w14:textId="77777777" w:rsidTr="00FF19C6">
        <w:tc>
          <w:tcPr>
            <w:tcW w:w="1334" w:type="pct"/>
            <w:vAlign w:val="center"/>
          </w:tcPr>
          <w:p w14:paraId="07AE2B0A" w14:textId="77777777" w:rsidR="007E390E" w:rsidRPr="0098262F" w:rsidRDefault="007E390E" w:rsidP="00402B5B">
            <w:pPr>
              <w:pStyle w:val="TableText0"/>
            </w:pPr>
            <w:r w:rsidRPr="0098262F">
              <w:t>Cost to PBS/RPBS less copayments</w:t>
            </w:r>
          </w:p>
        </w:tc>
        <w:tc>
          <w:tcPr>
            <w:tcW w:w="611" w:type="pct"/>
            <w:vAlign w:val="center"/>
          </w:tcPr>
          <w:p w14:paraId="3FB5CD04" w14:textId="77777777" w:rsidR="007E390E" w:rsidRPr="0098262F" w:rsidRDefault="007E390E" w:rsidP="00402B5B">
            <w:pPr>
              <w:pStyle w:val="TableText0"/>
            </w:pPr>
            <w:r>
              <w:t>0</w:t>
            </w:r>
          </w:p>
        </w:tc>
        <w:tc>
          <w:tcPr>
            <w:tcW w:w="611" w:type="pct"/>
            <w:vAlign w:val="center"/>
          </w:tcPr>
          <w:p w14:paraId="3C86D6A3" w14:textId="77777777" w:rsidR="007E390E" w:rsidRPr="0098262F" w:rsidRDefault="007E390E" w:rsidP="00402B5B">
            <w:pPr>
              <w:pStyle w:val="TableText0"/>
            </w:pPr>
            <w:r>
              <w:t>0</w:t>
            </w:r>
          </w:p>
        </w:tc>
        <w:tc>
          <w:tcPr>
            <w:tcW w:w="611" w:type="pct"/>
            <w:vAlign w:val="center"/>
          </w:tcPr>
          <w:p w14:paraId="1BE5104C" w14:textId="77777777" w:rsidR="007E390E" w:rsidRPr="0098262F" w:rsidRDefault="007E390E" w:rsidP="00402B5B">
            <w:pPr>
              <w:pStyle w:val="TableText0"/>
            </w:pPr>
            <w:r>
              <w:t>0</w:t>
            </w:r>
          </w:p>
        </w:tc>
        <w:tc>
          <w:tcPr>
            <w:tcW w:w="611" w:type="pct"/>
            <w:vAlign w:val="center"/>
          </w:tcPr>
          <w:p w14:paraId="3DAEE85C" w14:textId="77777777" w:rsidR="007E390E" w:rsidRPr="0098262F" w:rsidRDefault="007E390E" w:rsidP="00402B5B">
            <w:pPr>
              <w:pStyle w:val="TableText0"/>
            </w:pPr>
            <w:r>
              <w:t>0</w:t>
            </w:r>
          </w:p>
        </w:tc>
        <w:tc>
          <w:tcPr>
            <w:tcW w:w="611" w:type="pct"/>
            <w:vAlign w:val="center"/>
          </w:tcPr>
          <w:p w14:paraId="7A14E676" w14:textId="77777777" w:rsidR="007E390E" w:rsidRPr="0098262F" w:rsidRDefault="007E390E" w:rsidP="00402B5B">
            <w:pPr>
              <w:pStyle w:val="TableText0"/>
            </w:pPr>
            <w:r>
              <w:t>0</w:t>
            </w:r>
          </w:p>
        </w:tc>
        <w:tc>
          <w:tcPr>
            <w:tcW w:w="611" w:type="pct"/>
            <w:vAlign w:val="center"/>
          </w:tcPr>
          <w:p w14:paraId="0EDA434B" w14:textId="77777777" w:rsidR="007E390E" w:rsidRPr="0098262F" w:rsidRDefault="007E390E" w:rsidP="00402B5B">
            <w:pPr>
              <w:pStyle w:val="TableText0"/>
            </w:pPr>
            <w:r>
              <w:t>0</w:t>
            </w:r>
          </w:p>
        </w:tc>
      </w:tr>
      <w:tr w:rsidR="007E390E" w:rsidRPr="0098262F" w14:paraId="3C475190" w14:textId="77777777" w:rsidTr="00402B5B">
        <w:tc>
          <w:tcPr>
            <w:tcW w:w="5000" w:type="pct"/>
            <w:gridSpan w:val="7"/>
            <w:vAlign w:val="center"/>
          </w:tcPr>
          <w:p w14:paraId="498CDEAC" w14:textId="77777777" w:rsidR="007E390E" w:rsidRPr="0098262F" w:rsidRDefault="007E390E" w:rsidP="00402B5B">
            <w:pPr>
              <w:pStyle w:val="In-tableHeading"/>
              <w:rPr>
                <w:lang w:val="en-AU"/>
              </w:rPr>
            </w:pPr>
            <w:r w:rsidRPr="0098262F">
              <w:rPr>
                <w:lang w:val="en-AU"/>
              </w:rPr>
              <w:t>Net financial implications</w:t>
            </w:r>
            <w:r w:rsidRPr="0098262F">
              <w:rPr>
                <w:color w:val="4BACC6" w:themeColor="accent5"/>
                <w:lang w:val="en-AU"/>
              </w:rPr>
              <w:t xml:space="preserve"> </w:t>
            </w:r>
          </w:p>
        </w:tc>
      </w:tr>
      <w:tr w:rsidR="007E390E" w:rsidRPr="0098262F" w14:paraId="510BAB3D" w14:textId="77777777" w:rsidTr="00402B5B">
        <w:tc>
          <w:tcPr>
            <w:tcW w:w="1334" w:type="pct"/>
            <w:vAlign w:val="center"/>
          </w:tcPr>
          <w:p w14:paraId="1710DC6E" w14:textId="77777777" w:rsidR="007E390E" w:rsidRPr="0098262F" w:rsidRDefault="007E390E" w:rsidP="00402B5B">
            <w:pPr>
              <w:pStyle w:val="TableText0"/>
            </w:pPr>
            <w:r w:rsidRPr="0098262F">
              <w:t>Net cost to PBS/RPBS</w:t>
            </w:r>
          </w:p>
        </w:tc>
        <w:tc>
          <w:tcPr>
            <w:tcW w:w="611" w:type="pct"/>
            <w:vAlign w:val="center"/>
          </w:tcPr>
          <w:p w14:paraId="7CE516A3" w14:textId="1C6BC5ED" w:rsidR="007E390E" w:rsidRPr="00BA3199" w:rsidRDefault="007E390E" w:rsidP="00402B5B">
            <w:pPr>
              <w:pStyle w:val="TableText0"/>
              <w:rPr>
                <w:vertAlign w:val="superscript"/>
              </w:rPr>
            </w:pPr>
            <w:r w:rsidRPr="001A47F5">
              <w:t>$</w:t>
            </w:r>
            <w:r w:rsidR="00751E87" w:rsidRPr="00751E87">
              <w:rPr>
                <w:highlight w:val="black"/>
              </w:rPr>
              <w:t>&amp;&amp;&amp;&amp;</w:t>
            </w:r>
            <w:r w:rsidR="00BA3199">
              <w:rPr>
                <w:vertAlign w:val="superscript"/>
              </w:rPr>
              <w:t>5</w:t>
            </w:r>
          </w:p>
        </w:tc>
        <w:tc>
          <w:tcPr>
            <w:tcW w:w="611" w:type="pct"/>
            <w:vAlign w:val="center"/>
          </w:tcPr>
          <w:p w14:paraId="7BA271A2" w14:textId="7FC5A23C" w:rsidR="007E390E" w:rsidRPr="00BA3199" w:rsidRDefault="007E390E" w:rsidP="00402B5B">
            <w:pPr>
              <w:pStyle w:val="TableText0"/>
              <w:rPr>
                <w:vertAlign w:val="superscript"/>
              </w:rPr>
            </w:pPr>
            <w:r w:rsidRPr="001A47F5">
              <w:t>$</w:t>
            </w:r>
            <w:r w:rsidR="00751E87" w:rsidRPr="00751E87">
              <w:rPr>
                <w:highlight w:val="black"/>
              </w:rPr>
              <w:t>&amp;&amp;&amp;&amp;</w:t>
            </w:r>
            <w:r w:rsidR="00BA3199">
              <w:rPr>
                <w:vertAlign w:val="superscript"/>
              </w:rPr>
              <w:t>5</w:t>
            </w:r>
          </w:p>
        </w:tc>
        <w:tc>
          <w:tcPr>
            <w:tcW w:w="611" w:type="pct"/>
            <w:vAlign w:val="center"/>
          </w:tcPr>
          <w:p w14:paraId="21EE4EF6" w14:textId="4E450C97" w:rsidR="007E390E" w:rsidRPr="00BA3199" w:rsidRDefault="007E390E" w:rsidP="00402B5B">
            <w:pPr>
              <w:pStyle w:val="TableText0"/>
              <w:rPr>
                <w:vertAlign w:val="superscript"/>
              </w:rPr>
            </w:pPr>
            <w:r w:rsidRPr="001A47F5">
              <w:t>$</w:t>
            </w:r>
            <w:r w:rsidR="00751E87" w:rsidRPr="00751E87">
              <w:rPr>
                <w:highlight w:val="black"/>
              </w:rPr>
              <w:t>&amp;&amp;&amp;&amp;</w:t>
            </w:r>
            <w:r w:rsidR="00BA3199">
              <w:rPr>
                <w:vertAlign w:val="superscript"/>
              </w:rPr>
              <w:t>5</w:t>
            </w:r>
          </w:p>
        </w:tc>
        <w:tc>
          <w:tcPr>
            <w:tcW w:w="611" w:type="pct"/>
            <w:vAlign w:val="center"/>
          </w:tcPr>
          <w:p w14:paraId="4E57F7A0" w14:textId="2049F908" w:rsidR="007E390E" w:rsidRPr="00BA3199" w:rsidRDefault="007E390E" w:rsidP="00402B5B">
            <w:pPr>
              <w:pStyle w:val="TableText0"/>
              <w:rPr>
                <w:vertAlign w:val="superscript"/>
              </w:rPr>
            </w:pPr>
            <w:r w:rsidRPr="001A47F5">
              <w:t>$</w:t>
            </w:r>
            <w:r w:rsidR="00751E87" w:rsidRPr="00751E87">
              <w:rPr>
                <w:highlight w:val="black"/>
              </w:rPr>
              <w:t>&amp;&amp;&amp;&amp;</w:t>
            </w:r>
            <w:r w:rsidR="00BA3199">
              <w:rPr>
                <w:vertAlign w:val="superscript"/>
              </w:rPr>
              <w:t>5</w:t>
            </w:r>
          </w:p>
        </w:tc>
        <w:tc>
          <w:tcPr>
            <w:tcW w:w="611" w:type="pct"/>
            <w:vAlign w:val="center"/>
          </w:tcPr>
          <w:p w14:paraId="1FC3A12D" w14:textId="4104046F" w:rsidR="007E390E" w:rsidRPr="00BA3199" w:rsidRDefault="007E390E" w:rsidP="00402B5B">
            <w:pPr>
              <w:pStyle w:val="TableText0"/>
              <w:rPr>
                <w:vertAlign w:val="superscript"/>
              </w:rPr>
            </w:pPr>
            <w:r w:rsidRPr="001A47F5">
              <w:t>$</w:t>
            </w:r>
            <w:r w:rsidR="00751E87" w:rsidRPr="00751E87">
              <w:rPr>
                <w:highlight w:val="black"/>
              </w:rPr>
              <w:t>&amp;&amp;&amp;&amp;</w:t>
            </w:r>
            <w:r w:rsidR="00BA3199">
              <w:rPr>
                <w:vertAlign w:val="superscript"/>
              </w:rPr>
              <w:t>5</w:t>
            </w:r>
          </w:p>
        </w:tc>
        <w:tc>
          <w:tcPr>
            <w:tcW w:w="611" w:type="pct"/>
            <w:vAlign w:val="center"/>
          </w:tcPr>
          <w:p w14:paraId="2F0AEBFA" w14:textId="51D6C940" w:rsidR="007E390E" w:rsidRPr="00BA3199" w:rsidRDefault="007E390E" w:rsidP="00402B5B">
            <w:pPr>
              <w:pStyle w:val="TableText0"/>
              <w:rPr>
                <w:vertAlign w:val="superscript"/>
              </w:rPr>
            </w:pPr>
            <w:r w:rsidRPr="001A47F5">
              <w:t>$</w:t>
            </w:r>
            <w:r w:rsidR="00751E87" w:rsidRPr="00751E87">
              <w:rPr>
                <w:highlight w:val="black"/>
              </w:rPr>
              <w:t>&amp;&amp;&amp;&amp;</w:t>
            </w:r>
            <w:r w:rsidR="00BA3199">
              <w:rPr>
                <w:vertAlign w:val="superscript"/>
              </w:rPr>
              <w:t>5</w:t>
            </w:r>
          </w:p>
        </w:tc>
      </w:tr>
      <w:tr w:rsidR="007E390E" w:rsidRPr="0098262F" w14:paraId="2DF2DFA4" w14:textId="77777777" w:rsidTr="00402B5B">
        <w:tc>
          <w:tcPr>
            <w:tcW w:w="1334" w:type="pct"/>
            <w:vAlign w:val="center"/>
          </w:tcPr>
          <w:p w14:paraId="47B51FB2" w14:textId="77777777" w:rsidR="007E390E" w:rsidRPr="00FB2824" w:rsidRDefault="007E390E" w:rsidP="00402B5B">
            <w:pPr>
              <w:pStyle w:val="TableText0"/>
              <w:rPr>
                <w:vertAlign w:val="superscript"/>
              </w:rPr>
            </w:pPr>
            <w:r w:rsidRPr="00FB2824">
              <w:t>Net increase to Services Australia</w:t>
            </w:r>
            <w:r>
              <w:t xml:space="preserve"> </w:t>
            </w:r>
            <w:r w:rsidRPr="00FB2824">
              <w:rPr>
                <w:vertAlign w:val="superscript"/>
              </w:rPr>
              <w:t>b</w:t>
            </w:r>
          </w:p>
        </w:tc>
        <w:tc>
          <w:tcPr>
            <w:tcW w:w="611" w:type="pct"/>
            <w:vAlign w:val="center"/>
          </w:tcPr>
          <w:p w14:paraId="0A8DD605" w14:textId="14FA2004" w:rsidR="007E390E" w:rsidRPr="00FB2824" w:rsidRDefault="00751E87" w:rsidP="00402B5B">
            <w:pPr>
              <w:pStyle w:val="TableText0"/>
            </w:pPr>
            <w:r w:rsidRPr="00751E87">
              <w:rPr>
                <w:highlight w:val="black"/>
              </w:rPr>
              <w:t>&amp;&amp;&amp;&amp;</w:t>
            </w:r>
            <w:r w:rsidR="006D5E2F">
              <w:rPr>
                <w:vertAlign w:val="superscript"/>
              </w:rPr>
              <w:t>1</w:t>
            </w:r>
            <w:r w:rsidR="007E390E" w:rsidRPr="00FB2824">
              <w:t xml:space="preserve"> </w:t>
            </w:r>
          </w:p>
        </w:tc>
        <w:tc>
          <w:tcPr>
            <w:tcW w:w="611" w:type="pct"/>
            <w:vAlign w:val="center"/>
          </w:tcPr>
          <w:p w14:paraId="7E5835EF" w14:textId="6E8BE760" w:rsidR="007E390E" w:rsidRPr="00FB2824" w:rsidRDefault="00751E87" w:rsidP="00402B5B">
            <w:pPr>
              <w:pStyle w:val="TableText0"/>
            </w:pPr>
            <w:r w:rsidRPr="00751E87">
              <w:rPr>
                <w:highlight w:val="black"/>
              </w:rPr>
              <w:t>&amp;&amp;&amp;&amp;</w:t>
            </w:r>
            <w:r w:rsidR="006D5E2F">
              <w:rPr>
                <w:vertAlign w:val="superscript"/>
              </w:rPr>
              <w:t>1</w:t>
            </w:r>
            <w:r w:rsidR="007E390E" w:rsidRPr="00FB2824">
              <w:t xml:space="preserve"> </w:t>
            </w:r>
          </w:p>
        </w:tc>
        <w:tc>
          <w:tcPr>
            <w:tcW w:w="611" w:type="pct"/>
            <w:vAlign w:val="center"/>
          </w:tcPr>
          <w:p w14:paraId="191A13E7" w14:textId="7029E8D7" w:rsidR="007E390E" w:rsidRPr="00FB2824" w:rsidRDefault="00751E87" w:rsidP="00402B5B">
            <w:pPr>
              <w:pStyle w:val="TableText0"/>
            </w:pPr>
            <w:r w:rsidRPr="00751E87">
              <w:rPr>
                <w:highlight w:val="black"/>
              </w:rPr>
              <w:t>&amp;&amp;&amp;&amp;</w:t>
            </w:r>
            <w:r w:rsidR="006D5E2F">
              <w:rPr>
                <w:vertAlign w:val="superscript"/>
              </w:rPr>
              <w:t>2</w:t>
            </w:r>
            <w:r w:rsidR="007E390E" w:rsidRPr="00FB2824">
              <w:t xml:space="preserve"> </w:t>
            </w:r>
          </w:p>
        </w:tc>
        <w:tc>
          <w:tcPr>
            <w:tcW w:w="611" w:type="pct"/>
            <w:vAlign w:val="center"/>
          </w:tcPr>
          <w:p w14:paraId="187A44FC" w14:textId="46817100" w:rsidR="007E390E" w:rsidRPr="00FB2824" w:rsidRDefault="00751E87" w:rsidP="00402B5B">
            <w:pPr>
              <w:pStyle w:val="TableText0"/>
            </w:pPr>
            <w:r w:rsidRPr="00751E87">
              <w:rPr>
                <w:highlight w:val="black"/>
              </w:rPr>
              <w:t>&amp;&amp;&amp;&amp;</w:t>
            </w:r>
            <w:r w:rsidR="006D5E2F">
              <w:rPr>
                <w:vertAlign w:val="superscript"/>
              </w:rPr>
              <w:t>2</w:t>
            </w:r>
            <w:r w:rsidR="007E390E" w:rsidRPr="00FB2824">
              <w:t xml:space="preserve"> </w:t>
            </w:r>
          </w:p>
        </w:tc>
        <w:tc>
          <w:tcPr>
            <w:tcW w:w="611" w:type="pct"/>
            <w:vAlign w:val="center"/>
          </w:tcPr>
          <w:p w14:paraId="25B536A3" w14:textId="11F73976" w:rsidR="007E390E" w:rsidRPr="00FB2824" w:rsidRDefault="00751E87" w:rsidP="00402B5B">
            <w:pPr>
              <w:pStyle w:val="TableText0"/>
            </w:pPr>
            <w:r w:rsidRPr="00751E87">
              <w:rPr>
                <w:highlight w:val="black"/>
              </w:rPr>
              <w:t>&amp;&amp;&amp;&amp;</w:t>
            </w:r>
            <w:r w:rsidR="00C558ED">
              <w:rPr>
                <w:vertAlign w:val="superscript"/>
              </w:rPr>
              <w:t>3</w:t>
            </w:r>
            <w:r w:rsidR="007E390E" w:rsidRPr="00FB2824">
              <w:t xml:space="preserve"> </w:t>
            </w:r>
          </w:p>
        </w:tc>
        <w:tc>
          <w:tcPr>
            <w:tcW w:w="611" w:type="pct"/>
            <w:vAlign w:val="center"/>
          </w:tcPr>
          <w:p w14:paraId="33FDE2CF" w14:textId="21198309" w:rsidR="007E390E" w:rsidRPr="00FB2824" w:rsidRDefault="00751E87" w:rsidP="00402B5B">
            <w:pPr>
              <w:pStyle w:val="TableText0"/>
            </w:pPr>
            <w:r w:rsidRPr="00751E87">
              <w:rPr>
                <w:highlight w:val="black"/>
              </w:rPr>
              <w:t>&amp;&amp;&amp;&amp;</w:t>
            </w:r>
            <w:r w:rsidR="00BD5BDB">
              <w:rPr>
                <w:vertAlign w:val="superscript"/>
              </w:rPr>
              <w:t>4</w:t>
            </w:r>
            <w:r w:rsidR="007E390E" w:rsidRPr="00FB2824">
              <w:t xml:space="preserve"> </w:t>
            </w:r>
          </w:p>
        </w:tc>
      </w:tr>
    </w:tbl>
    <w:p w14:paraId="597A5225" w14:textId="77777777" w:rsidR="007E390E" w:rsidRPr="006F7092" w:rsidRDefault="007E390E" w:rsidP="007E390E">
      <w:pPr>
        <w:pStyle w:val="TableText0"/>
        <w:rPr>
          <w:rStyle w:val="CommentReference"/>
          <w:sz w:val="18"/>
          <w:szCs w:val="18"/>
        </w:rPr>
      </w:pPr>
      <w:r w:rsidRPr="006F7092">
        <w:rPr>
          <w:sz w:val="18"/>
          <w:szCs w:val="18"/>
        </w:rPr>
        <w:t>Source: Tables 4.2, p105; Table 4.4 and Table 4.5 p106 of the submission</w:t>
      </w:r>
    </w:p>
    <w:p w14:paraId="44AE3ECA" w14:textId="77777777" w:rsidR="007E390E" w:rsidRDefault="007E390E" w:rsidP="007E390E">
      <w:pPr>
        <w:pStyle w:val="FooterTableFigure"/>
      </w:pPr>
      <w:r w:rsidRPr="0098262F">
        <w:rPr>
          <w:vertAlign w:val="superscript"/>
        </w:rPr>
        <w:t>a</w:t>
      </w:r>
      <w:r w:rsidRPr="0098262F">
        <w:t xml:space="preserve"> Assuming </w:t>
      </w:r>
      <w:r>
        <w:t>3.65 scripts</w:t>
      </w:r>
      <w:r w:rsidRPr="0098262F">
        <w:t xml:space="preserve"> per year as estimated by the submission.</w:t>
      </w:r>
      <w:r w:rsidRPr="00C81DF9">
        <w:t xml:space="preserve"> </w:t>
      </w:r>
    </w:p>
    <w:p w14:paraId="0F1A1D62" w14:textId="77777777" w:rsidR="00403AE5" w:rsidRDefault="007E390E" w:rsidP="00403AE5">
      <w:pPr>
        <w:pStyle w:val="FooterTableFigure"/>
        <w:rPr>
          <w:i/>
          <w:szCs w:val="18"/>
        </w:rPr>
      </w:pPr>
      <w:r>
        <w:rPr>
          <w:vertAlign w:val="superscript"/>
        </w:rPr>
        <w:t>b</w:t>
      </w:r>
      <w:r>
        <w:t xml:space="preserve"> The Financial Workbook Sheet 3a as referenced in Table 4.4 has very slightly different numbers of scripts.</w:t>
      </w:r>
      <w:bookmarkStart w:id="73" w:name="_Hlk219216018"/>
    </w:p>
    <w:p w14:paraId="2EA4B3F3" w14:textId="129F94BF" w:rsidR="00403AE5" w:rsidRPr="00403AE5" w:rsidRDefault="00403AE5" w:rsidP="00403AE5">
      <w:pPr>
        <w:pStyle w:val="FooterTableFigure"/>
        <w:rPr>
          <w:i/>
        </w:rPr>
      </w:pPr>
      <w:r w:rsidRPr="00403AE5">
        <w:rPr>
          <w:i/>
        </w:rPr>
        <w:t xml:space="preserve">The redacted values correspond to the following ranges: </w:t>
      </w:r>
    </w:p>
    <w:p w14:paraId="7F9847BE" w14:textId="23032903" w:rsidR="00403AE5" w:rsidRPr="00403AE5" w:rsidRDefault="00403AE5" w:rsidP="00403AE5">
      <w:pPr>
        <w:pStyle w:val="FooterTableFigure"/>
        <w:rPr>
          <w:i/>
        </w:rPr>
      </w:pPr>
      <w:r w:rsidRPr="00403AE5">
        <w:rPr>
          <w:i/>
          <w:vertAlign w:val="superscript"/>
        </w:rPr>
        <w:t>1</w:t>
      </w:r>
      <w:r w:rsidRPr="00403AE5">
        <w:rPr>
          <w:i/>
        </w:rPr>
        <w:t xml:space="preserve"> </w:t>
      </w:r>
      <w:r w:rsidR="008C2CAD" w:rsidRPr="008C2CAD">
        <w:rPr>
          <w:i/>
        </w:rPr>
        <w:t>50,000 to &lt; 60,000</w:t>
      </w:r>
    </w:p>
    <w:p w14:paraId="10053565" w14:textId="6D1F3A66" w:rsidR="00403AE5" w:rsidRPr="00403AE5" w:rsidRDefault="00403AE5" w:rsidP="00403AE5">
      <w:pPr>
        <w:pStyle w:val="FooterTableFigure"/>
        <w:rPr>
          <w:i/>
        </w:rPr>
      </w:pPr>
      <w:r w:rsidRPr="00403AE5">
        <w:rPr>
          <w:i/>
          <w:vertAlign w:val="superscript"/>
        </w:rPr>
        <w:t>2</w:t>
      </w:r>
      <w:r w:rsidRPr="00403AE5">
        <w:rPr>
          <w:i/>
        </w:rPr>
        <w:t xml:space="preserve"> </w:t>
      </w:r>
      <w:r w:rsidR="006D5E2F" w:rsidRPr="006D5E2F">
        <w:rPr>
          <w:i/>
        </w:rPr>
        <w:t>60,000 to &lt; 70,000</w:t>
      </w:r>
    </w:p>
    <w:p w14:paraId="32DE106D" w14:textId="405B23A8" w:rsidR="00403AE5" w:rsidRPr="00403AE5" w:rsidRDefault="00403AE5" w:rsidP="00403AE5">
      <w:pPr>
        <w:pStyle w:val="FooterTableFigure"/>
        <w:rPr>
          <w:i/>
        </w:rPr>
      </w:pPr>
      <w:r w:rsidRPr="00403AE5">
        <w:rPr>
          <w:i/>
          <w:vertAlign w:val="superscript"/>
        </w:rPr>
        <w:t>3</w:t>
      </w:r>
      <w:r w:rsidRPr="00403AE5">
        <w:rPr>
          <w:i/>
        </w:rPr>
        <w:t xml:space="preserve"> </w:t>
      </w:r>
      <w:r w:rsidR="00C558ED" w:rsidRPr="00C558ED">
        <w:rPr>
          <w:i/>
        </w:rPr>
        <w:t>70,000 to &lt; 80,000</w:t>
      </w:r>
    </w:p>
    <w:p w14:paraId="0C28E9F0" w14:textId="0CEDAF6A" w:rsidR="00403AE5" w:rsidRPr="00403AE5" w:rsidRDefault="00403AE5" w:rsidP="00403AE5">
      <w:pPr>
        <w:pStyle w:val="FooterTableFigure"/>
        <w:rPr>
          <w:i/>
        </w:rPr>
      </w:pPr>
      <w:r w:rsidRPr="00403AE5">
        <w:rPr>
          <w:i/>
          <w:vertAlign w:val="superscript"/>
        </w:rPr>
        <w:t>4</w:t>
      </w:r>
      <w:r w:rsidRPr="00403AE5">
        <w:rPr>
          <w:i/>
        </w:rPr>
        <w:t xml:space="preserve"> </w:t>
      </w:r>
      <w:r w:rsidR="00BD5BDB" w:rsidRPr="00BD5BDB">
        <w:rPr>
          <w:i/>
        </w:rPr>
        <w:t>80,000 to &lt; 90,000</w:t>
      </w:r>
    </w:p>
    <w:p w14:paraId="4A3A1531" w14:textId="101C147B" w:rsidR="00403AE5" w:rsidRPr="00403AE5" w:rsidRDefault="00403AE5" w:rsidP="00403AE5">
      <w:pPr>
        <w:pStyle w:val="FooterTableFigure"/>
        <w:rPr>
          <w:i/>
        </w:rPr>
      </w:pPr>
      <w:r w:rsidRPr="00403AE5">
        <w:rPr>
          <w:i/>
          <w:vertAlign w:val="superscript"/>
        </w:rPr>
        <w:t>5</w:t>
      </w:r>
      <w:r w:rsidRPr="00403AE5">
        <w:rPr>
          <w:i/>
        </w:rPr>
        <w:t xml:space="preserve"> </w:t>
      </w:r>
      <w:r w:rsidR="00BA3199" w:rsidRPr="00BA3199">
        <w:rPr>
          <w:i/>
        </w:rPr>
        <w:t>$0 to &lt; $10 million</w:t>
      </w:r>
    </w:p>
    <w:bookmarkEnd w:id="73"/>
    <w:p w14:paraId="6BABB40E" w14:textId="314BCE98" w:rsidR="007E390E" w:rsidRPr="00732924" w:rsidRDefault="007E390E" w:rsidP="007E390E">
      <w:pPr>
        <w:pStyle w:val="FooterTableFigure"/>
      </w:pPr>
    </w:p>
    <w:p w14:paraId="352773C6" w14:textId="7D02FD44" w:rsidR="007E390E" w:rsidRPr="007E390E" w:rsidRDefault="007E390E" w:rsidP="007E390E">
      <w:pPr>
        <w:pStyle w:val="3-BodyText"/>
      </w:pPr>
      <w:r w:rsidRPr="007E390E">
        <w:t>There appeared to be an inconsistency between the submission Main Body and the Financial workbook estimate of the impact on prescription processing by Services Australia. The submission  appeared to assume that the listing would be as a Restricted Benefit whereas the Workbook used an Authority Required listing.  The latter would be consistent with the existing listings for topical testosterone.</w:t>
      </w:r>
    </w:p>
    <w:p w14:paraId="459141FB" w14:textId="7FC44EB8" w:rsidR="007E390E" w:rsidRPr="007E390E" w:rsidRDefault="007E390E" w:rsidP="007E390E">
      <w:pPr>
        <w:pStyle w:val="3-BodyText"/>
      </w:pPr>
      <w:r w:rsidRPr="007E390E">
        <w:t xml:space="preserve">The total cost to the PBS/RPBS of listing testosterone 1% cream was estimated to be </w:t>
      </w:r>
      <w:r w:rsidR="009939A1" w:rsidRPr="009939A1">
        <w:t>$0 to &lt; $10 million</w:t>
      </w:r>
      <w:r w:rsidRPr="007E390E">
        <w:t xml:space="preserve"> in Year 6, and a total of </w:t>
      </w:r>
      <w:r w:rsidR="001E42D3" w:rsidRPr="001E42D3">
        <w:t>$40 million to &lt; $50 million</w:t>
      </w:r>
      <w:r w:rsidRPr="007E390E">
        <w:t xml:space="preserve"> in the first 6 years of listing</w:t>
      </w:r>
      <w:r w:rsidRPr="007E390E">
        <w:rPr>
          <w:color w:val="3366FF"/>
        </w:rPr>
        <w:t xml:space="preserve">. </w:t>
      </w:r>
      <w:r w:rsidRPr="007E390E">
        <w:t xml:space="preserve">No sensitivity analyses were presented in the submission. </w:t>
      </w:r>
    </w:p>
    <w:p w14:paraId="52F6B44B" w14:textId="376EACBF" w:rsidR="007E390E" w:rsidRPr="007D421F" w:rsidRDefault="007E390E" w:rsidP="00CE7E01">
      <w:pPr>
        <w:pStyle w:val="3-BodyText"/>
      </w:pPr>
      <w:r w:rsidRPr="007D421F">
        <w:t>In the absence of validated private market data, and given the likely underestimate of market expansion, these estimates could not be verified</w:t>
      </w:r>
      <w:r w:rsidR="009A348F">
        <w:t xml:space="preserve"> by the evaluation</w:t>
      </w:r>
      <w:r w:rsidRPr="007D421F">
        <w:t>. However, if the product were to be made available through a Restricted Benefit and with access possible through nurse prescribers, it is highly likely that the estimates would be a significant underestimate. In addition, the estimates did not include potential costs to the MBS of monitoring testosterone concentration and SHBG as recommended in the PI.</w:t>
      </w:r>
    </w:p>
    <w:p w14:paraId="7BFCAD78" w14:textId="25FE6E91" w:rsidR="003D7EDE" w:rsidRPr="00E671A7" w:rsidRDefault="003D7EDE" w:rsidP="003D7EDE">
      <w:pPr>
        <w:pStyle w:val="3-BodyText"/>
      </w:pPr>
      <w:r w:rsidRPr="007D421F">
        <w:t xml:space="preserve">DUSC considered the estimates presented in the submission to be extremely </w:t>
      </w:r>
      <w:r w:rsidR="008B4A18" w:rsidRPr="007D421F">
        <w:t>uncertain and</w:t>
      </w:r>
      <w:r w:rsidRPr="007D421F">
        <w:t xml:space="preserve"> due to the use of non-med</w:t>
      </w:r>
      <w:r w:rsidRPr="00E671A7">
        <w:t>ical eligibility criteria</w:t>
      </w:r>
      <w:r w:rsidR="003200BF" w:rsidRPr="00E671A7">
        <w:t>,</w:t>
      </w:r>
      <w:r w:rsidRPr="00E671A7">
        <w:t xml:space="preserve"> impossible to determine. </w:t>
      </w:r>
      <w:r w:rsidR="003200BF" w:rsidRPr="00E671A7">
        <w:t>DUSC identified t</w:t>
      </w:r>
      <w:r w:rsidRPr="00E671A7">
        <w:t>he main issues a</w:t>
      </w:r>
      <w:r w:rsidR="003200BF" w:rsidRPr="00E671A7">
        <w:t>s</w:t>
      </w:r>
      <w:r w:rsidRPr="00E671A7">
        <w:t>:</w:t>
      </w:r>
    </w:p>
    <w:p w14:paraId="2797BED8" w14:textId="0C786F84" w:rsidR="003D7EDE" w:rsidRPr="00E671A7" w:rsidRDefault="002C77C2" w:rsidP="003200BF">
      <w:pPr>
        <w:pStyle w:val="3-BodyText"/>
        <w:numPr>
          <w:ilvl w:val="1"/>
          <w:numId w:val="28"/>
        </w:numPr>
        <w:ind w:left="1077" w:hanging="357"/>
      </w:pPr>
      <w:r>
        <w:lastRenderedPageBreak/>
        <w:t xml:space="preserve">The submission requested a </w:t>
      </w:r>
      <w:r w:rsidR="003D7EDE" w:rsidRPr="00E671A7">
        <w:t xml:space="preserve">Restricted </w:t>
      </w:r>
      <w:r w:rsidR="00276EB3">
        <w:t>B</w:t>
      </w:r>
      <w:r w:rsidR="003D7EDE" w:rsidRPr="00E671A7">
        <w:t>enefit listing with</w:t>
      </w:r>
      <w:r w:rsidR="006626C6">
        <w:t>out a</w:t>
      </w:r>
      <w:r w:rsidR="003D7EDE" w:rsidRPr="00E671A7">
        <w:t xml:space="preserve"> clear restriction or stopping rules. </w:t>
      </w:r>
    </w:p>
    <w:p w14:paraId="03812DD4" w14:textId="62EB8309" w:rsidR="003D7EDE" w:rsidRPr="00E671A7" w:rsidRDefault="003D7EDE" w:rsidP="003200BF">
      <w:pPr>
        <w:pStyle w:val="3-BodyText"/>
        <w:numPr>
          <w:ilvl w:val="1"/>
          <w:numId w:val="28"/>
        </w:numPr>
        <w:ind w:left="1077" w:hanging="357"/>
      </w:pPr>
      <w:r w:rsidRPr="00E671A7">
        <w:t>The condition is not medically definable and relies on psychosocial factors such as “distress”</w:t>
      </w:r>
      <w:r w:rsidR="007B69AF">
        <w:t>,</w:t>
      </w:r>
      <w:r w:rsidRPr="00E671A7">
        <w:t xml:space="preserve"> which is highly subjective.  </w:t>
      </w:r>
    </w:p>
    <w:p w14:paraId="0DC7CAD3" w14:textId="41A2C3E7" w:rsidR="003D7EDE" w:rsidRPr="00E671A7" w:rsidRDefault="00FD183D" w:rsidP="003200BF">
      <w:pPr>
        <w:pStyle w:val="3-BodyText"/>
        <w:numPr>
          <w:ilvl w:val="1"/>
          <w:numId w:val="28"/>
        </w:numPr>
        <w:ind w:left="1077" w:hanging="357"/>
      </w:pPr>
      <w:r>
        <w:t>T</w:t>
      </w:r>
      <w:r w:rsidR="003D7EDE" w:rsidRPr="00E671A7">
        <w:t xml:space="preserve">he screening test has a high risk of bias as it appears to be based on commitment questions directing respondents to a desired outcome. DUSC considered that it was not an objective screening tool and involved persuasive communication techniques. </w:t>
      </w:r>
    </w:p>
    <w:p w14:paraId="44BCCBF5" w14:textId="24349868" w:rsidR="003D7EDE" w:rsidRPr="00E671A7" w:rsidRDefault="003200BF" w:rsidP="003200BF">
      <w:pPr>
        <w:pStyle w:val="3-BodyText"/>
        <w:numPr>
          <w:ilvl w:val="1"/>
          <w:numId w:val="28"/>
        </w:numPr>
        <w:ind w:left="1077" w:hanging="357"/>
      </w:pPr>
      <w:r w:rsidRPr="00E671A7">
        <w:t>T</w:t>
      </w:r>
      <w:r w:rsidR="003D7EDE" w:rsidRPr="00E671A7">
        <w:t>he clinical trial did not match the PBS population.</w:t>
      </w:r>
    </w:p>
    <w:p w14:paraId="19E93E8A" w14:textId="53FC594F" w:rsidR="003D7EDE" w:rsidRPr="00E671A7" w:rsidRDefault="00FD183D" w:rsidP="003200BF">
      <w:pPr>
        <w:pStyle w:val="3-BodyText"/>
        <w:numPr>
          <w:ilvl w:val="1"/>
          <w:numId w:val="28"/>
        </w:numPr>
        <w:ind w:left="1077" w:hanging="357"/>
      </w:pPr>
      <w:r>
        <w:t>There is h</w:t>
      </w:r>
      <w:r w:rsidR="003D7EDE" w:rsidRPr="00E671A7">
        <w:t>igh likelihood for use outside of the restriction.</w:t>
      </w:r>
    </w:p>
    <w:p w14:paraId="2410E104" w14:textId="77777777" w:rsidR="003D7EDE" w:rsidRPr="00E671A7" w:rsidRDefault="003D7EDE" w:rsidP="003200BF">
      <w:pPr>
        <w:pStyle w:val="3-BodyText"/>
        <w:numPr>
          <w:ilvl w:val="1"/>
          <w:numId w:val="28"/>
        </w:numPr>
        <w:ind w:left="1077" w:hanging="357"/>
      </w:pPr>
      <w:r w:rsidRPr="00E671A7">
        <w:t>The epidemiology of the condition is poorly understood.</w:t>
      </w:r>
    </w:p>
    <w:p w14:paraId="369528BA" w14:textId="2F7BC844" w:rsidR="003D7EDE" w:rsidRPr="00E671A7" w:rsidRDefault="00F40FE5" w:rsidP="003200BF">
      <w:pPr>
        <w:pStyle w:val="3-BodyText"/>
        <w:numPr>
          <w:ilvl w:val="1"/>
          <w:numId w:val="28"/>
        </w:numPr>
        <w:ind w:left="1077" w:hanging="357"/>
      </w:pPr>
      <w:r>
        <w:t>T</w:t>
      </w:r>
      <w:r w:rsidR="003D7EDE" w:rsidRPr="00E671A7">
        <w:t>here was no reliable way to estimate the number of patients who might use testosterone for HSDD.</w:t>
      </w:r>
    </w:p>
    <w:p w14:paraId="31D6FBBC" w14:textId="1B874FBB" w:rsidR="00BA3825" w:rsidRDefault="00F40FE5" w:rsidP="00935FA2">
      <w:pPr>
        <w:pStyle w:val="3-BodyText"/>
      </w:pPr>
      <w:bookmarkStart w:id="74" w:name="_Toc22897649"/>
      <w:r>
        <w:t xml:space="preserve">Overall, </w:t>
      </w:r>
      <w:r w:rsidR="00BA3825">
        <w:t>DUSC considered the utilisation and financial estimates presented in the submission could not be verified due to the restricted benefit and non-medically psychosocial factor of “distress” as a measurement being subjective and extremely vulnerable to the method of screening and marketing.</w:t>
      </w:r>
      <w:r w:rsidR="00935FA2">
        <w:t xml:space="preserve"> </w:t>
      </w:r>
      <w:r w:rsidR="00BA3825">
        <w:t>DUSC</w:t>
      </w:r>
      <w:r w:rsidR="0092141D">
        <w:t xml:space="preserve"> further</w:t>
      </w:r>
      <w:r w:rsidR="00BA3825">
        <w:t xml:space="preserve"> considered that there is a likelihood of increased diagnosis and use over time, including increased utilisation within and beyond the indication.</w:t>
      </w:r>
    </w:p>
    <w:p w14:paraId="5934AC24" w14:textId="77777777" w:rsidR="00E671A7" w:rsidRPr="0098262F" w:rsidRDefault="00E671A7" w:rsidP="00E671A7">
      <w:pPr>
        <w:pStyle w:val="4-SubsectionHeading"/>
      </w:pPr>
      <w:bookmarkStart w:id="75" w:name="_Toc22897648"/>
      <w:bookmarkStart w:id="76" w:name="_Toc208926788"/>
      <w:r w:rsidRPr="0098262F">
        <w:t>Quality Use of Medicines</w:t>
      </w:r>
      <w:bookmarkEnd w:id="75"/>
      <w:bookmarkEnd w:id="76"/>
    </w:p>
    <w:p w14:paraId="550E27CD" w14:textId="2104F792" w:rsidR="00887B37" w:rsidRDefault="00732924" w:rsidP="00732924">
      <w:pPr>
        <w:pStyle w:val="3-BodyText"/>
      </w:pPr>
      <w:r>
        <w:t xml:space="preserve">The submission did not provide any information about quality use of medicines. </w:t>
      </w:r>
    </w:p>
    <w:p w14:paraId="4BEE5717" w14:textId="290CE228" w:rsidR="000F74DF" w:rsidRDefault="000F74DF" w:rsidP="000F74DF">
      <w:pPr>
        <w:pStyle w:val="3-BodyText"/>
      </w:pPr>
      <w:r>
        <w:t xml:space="preserve">The sponsor commented in the PSCR on the proposed approach to avoid inadvertent exposure or use of testosterone 1% cream in women of reproductive age:  </w:t>
      </w:r>
    </w:p>
    <w:p w14:paraId="118FDA9C" w14:textId="77777777" w:rsidR="000F74DF" w:rsidRDefault="000F74DF" w:rsidP="00A62AC3">
      <w:pPr>
        <w:pStyle w:val="3-BodyText"/>
        <w:numPr>
          <w:ilvl w:val="1"/>
          <w:numId w:val="27"/>
        </w:numPr>
        <w:ind w:left="1077" w:hanging="357"/>
      </w:pPr>
      <w:r>
        <w:t xml:space="preserve">“All educational and marketing material provided by the Sponsor to clinicians strictly adheres to the TGA indication and Product Information, which is for use in postmenopausal women. Additionally, the Sponsor collaborates regularly with the Australasian Menopause Society for clinical education purposes, to ensure clinicians are aware of the appropriate indications and precautions for use, in alignment with local and international treatment guidelines and regulations”. </w:t>
      </w:r>
    </w:p>
    <w:p w14:paraId="56C25090" w14:textId="77777777" w:rsidR="000F74DF" w:rsidRDefault="000F74DF" w:rsidP="00A62AC3">
      <w:pPr>
        <w:pStyle w:val="3-BodyText"/>
        <w:numPr>
          <w:ilvl w:val="1"/>
          <w:numId w:val="27"/>
        </w:numPr>
        <w:ind w:left="1077" w:hanging="357"/>
      </w:pPr>
      <w:r>
        <w:t xml:space="preserve">The Sponsor also emphasised that “the Product Information outlines the notable risks associated with testosterone use in women of reproductive age. This significant risk means that women in this age group are unlikely to use testosterone when informed by their medical practitioner of these precautions”. </w:t>
      </w:r>
    </w:p>
    <w:p w14:paraId="77997F7F" w14:textId="77777777" w:rsidR="000F74DF" w:rsidRDefault="000F74DF" w:rsidP="00A62AC3">
      <w:pPr>
        <w:pStyle w:val="3-BodyText"/>
        <w:numPr>
          <w:ilvl w:val="1"/>
          <w:numId w:val="27"/>
        </w:numPr>
        <w:ind w:left="1077" w:hanging="357"/>
      </w:pPr>
      <w:r>
        <w:t xml:space="preserve">The Sponsor stated that they are “committed to collaborating with the PBAC and the Department going forward to ensure quality use of medicines and avoid exposure to testosterone in inappropriate populations”. </w:t>
      </w:r>
    </w:p>
    <w:p w14:paraId="56BD2D83" w14:textId="77777777" w:rsidR="000F74DF" w:rsidRDefault="000F74DF" w:rsidP="00A62AC3">
      <w:pPr>
        <w:pStyle w:val="3-BodyText"/>
        <w:numPr>
          <w:ilvl w:val="1"/>
          <w:numId w:val="27"/>
        </w:numPr>
        <w:ind w:left="1077" w:hanging="357"/>
      </w:pPr>
      <w:r>
        <w:lastRenderedPageBreak/>
        <w:t xml:space="preserve">The Sponsor stated that they are “particularly concerned about the population of women that are using male testosterone formulations against TGA precautions and treatment guidelines, which conflicts significantly with the quality use of medicines”. </w:t>
      </w:r>
    </w:p>
    <w:p w14:paraId="5879CD9F" w14:textId="2F32DAAF" w:rsidR="006F272F" w:rsidRDefault="00BD684F" w:rsidP="00BD684F">
      <w:pPr>
        <w:pStyle w:val="3-BodyText"/>
      </w:pPr>
      <w:r>
        <w:t xml:space="preserve">DUSC </w:t>
      </w:r>
      <w:r w:rsidR="0052555A">
        <w:t>identified</w:t>
      </w:r>
      <w:r w:rsidR="006F272F">
        <w:t xml:space="preserve"> the following quality use of medicines risks:</w:t>
      </w:r>
    </w:p>
    <w:p w14:paraId="78334212" w14:textId="4CF312F7" w:rsidR="00BD684F" w:rsidRDefault="00BD684F" w:rsidP="00A62AC3">
      <w:pPr>
        <w:pStyle w:val="3-BodyText"/>
        <w:numPr>
          <w:ilvl w:val="2"/>
          <w:numId w:val="26"/>
        </w:numPr>
        <w:ind w:left="1077" w:hanging="357"/>
      </w:pPr>
      <w:r>
        <w:t>Risks of promoting a perceived sick state in otherwise healthy women.</w:t>
      </w:r>
    </w:p>
    <w:p w14:paraId="617AAE9D" w14:textId="77777777" w:rsidR="00BD684F" w:rsidRDefault="00BD684F" w:rsidP="00A62AC3">
      <w:pPr>
        <w:pStyle w:val="3-BodyText"/>
        <w:numPr>
          <w:ilvl w:val="2"/>
          <w:numId w:val="26"/>
        </w:numPr>
        <w:ind w:left="1077" w:hanging="357"/>
      </w:pPr>
      <w:r>
        <w:t>Risk of overexposure and side effects.</w:t>
      </w:r>
    </w:p>
    <w:p w14:paraId="3A89A376" w14:textId="1F10C581" w:rsidR="00BD684F" w:rsidRDefault="00BD684F" w:rsidP="00A62AC3">
      <w:pPr>
        <w:pStyle w:val="3-BodyText"/>
        <w:numPr>
          <w:ilvl w:val="2"/>
          <w:numId w:val="26"/>
        </w:numPr>
        <w:ind w:left="1077" w:hanging="357"/>
      </w:pPr>
      <w:r>
        <w:t>Side effects for long term use not</w:t>
      </w:r>
      <w:r w:rsidR="00436B76">
        <w:t xml:space="preserve"> being</w:t>
      </w:r>
      <w:r>
        <w:t xml:space="preserve"> adequately known.</w:t>
      </w:r>
    </w:p>
    <w:p w14:paraId="4D50CB52" w14:textId="77777777" w:rsidR="00BD684F" w:rsidRDefault="00BD684F" w:rsidP="00A62AC3">
      <w:pPr>
        <w:pStyle w:val="3-BodyText"/>
        <w:numPr>
          <w:ilvl w:val="2"/>
          <w:numId w:val="26"/>
        </w:numPr>
        <w:ind w:left="1077" w:hanging="357"/>
      </w:pPr>
      <w:r>
        <w:t>Concerns regarding telehealth and promotional activities influencing consumer use, including use outside of the restriction.</w:t>
      </w:r>
    </w:p>
    <w:p w14:paraId="2F94E062" w14:textId="4773ECE2" w:rsidR="00BD684F" w:rsidRDefault="00DB0A6C" w:rsidP="00A62AC3">
      <w:pPr>
        <w:pStyle w:val="3-BodyText"/>
        <w:numPr>
          <w:ilvl w:val="2"/>
          <w:numId w:val="26"/>
        </w:numPr>
        <w:ind w:left="1077" w:hanging="357"/>
      </w:pPr>
      <w:r>
        <w:t>A</w:t>
      </w:r>
      <w:r w:rsidR="00BD684F">
        <w:t>dverse effects could include polycythaemia causing stroke.</w:t>
      </w:r>
    </w:p>
    <w:p w14:paraId="7D70D009" w14:textId="21CBF4BB" w:rsidR="00BD684F" w:rsidRDefault="00DB0A6C" w:rsidP="00A62AC3">
      <w:pPr>
        <w:pStyle w:val="3-BodyText"/>
        <w:numPr>
          <w:ilvl w:val="2"/>
          <w:numId w:val="26"/>
        </w:numPr>
        <w:ind w:left="1077" w:hanging="357"/>
      </w:pPr>
      <w:r>
        <w:t>A</w:t>
      </w:r>
      <w:r w:rsidR="00BD684F">
        <w:t>pplication of doses above recommended can produce androgeni</w:t>
      </w:r>
      <w:r>
        <w:t>s</w:t>
      </w:r>
      <w:r w:rsidR="00BD684F">
        <w:t>ation.</w:t>
      </w:r>
    </w:p>
    <w:p w14:paraId="2F7887ED" w14:textId="77777777" w:rsidR="00EF7C0B" w:rsidRPr="00EF7C0B" w:rsidRDefault="00EF7C0B" w:rsidP="00EF7C0B">
      <w:pPr>
        <w:ind w:left="1077" w:hanging="357"/>
        <w:rPr>
          <w:i/>
        </w:rPr>
      </w:pPr>
      <w:bookmarkStart w:id="77" w:name="_Hlk76375324"/>
      <w:bookmarkEnd w:id="74"/>
      <w:r w:rsidRPr="00EF7C0B">
        <w:rPr>
          <w:i/>
        </w:rPr>
        <w:t>For more detail on PBAC’s view, see section 7 PBAC outcome.</w:t>
      </w:r>
    </w:p>
    <w:p w14:paraId="2EFB7FAB" w14:textId="77777777" w:rsidR="00CB0750" w:rsidRPr="00CB0750" w:rsidRDefault="00CB0750" w:rsidP="00CB0750">
      <w:pPr>
        <w:keepNext/>
        <w:numPr>
          <w:ilvl w:val="0"/>
          <w:numId w:val="1"/>
        </w:numPr>
        <w:spacing w:before="240" w:after="120"/>
        <w:jc w:val="left"/>
        <w:outlineLvl w:val="0"/>
        <w:rPr>
          <w:rFonts w:asciiTheme="minorHAnsi" w:hAnsiTheme="minorHAnsi"/>
          <w:b/>
          <w:snapToGrid w:val="0"/>
          <w:sz w:val="32"/>
          <w:szCs w:val="32"/>
        </w:rPr>
      </w:pPr>
      <w:bookmarkStart w:id="78" w:name="_Hlk76381249"/>
      <w:bookmarkStart w:id="79" w:name="_Hlk76377955"/>
      <w:bookmarkEnd w:id="77"/>
      <w:r w:rsidRPr="00CB0750">
        <w:rPr>
          <w:rFonts w:asciiTheme="minorHAnsi" w:hAnsiTheme="minorHAnsi"/>
          <w:b/>
          <w:snapToGrid w:val="0"/>
          <w:sz w:val="32"/>
          <w:szCs w:val="32"/>
        </w:rPr>
        <w:t>PBAC Outcome</w:t>
      </w:r>
    </w:p>
    <w:p w14:paraId="1C24E457" w14:textId="4914ECBE" w:rsidR="008F21D4" w:rsidRPr="004448BB" w:rsidRDefault="008F21D4" w:rsidP="008F21D4">
      <w:pPr>
        <w:pStyle w:val="3-BodyText"/>
        <w:rPr>
          <w:bCs/>
          <w:snapToGrid w:val="0"/>
          <w:lang w:val="en-GB" w:eastAsia="en-US"/>
        </w:rPr>
      </w:pPr>
      <w:r w:rsidRPr="00C456AB">
        <w:rPr>
          <w:snapToGrid w:val="0"/>
          <w:lang w:val="en-GB" w:eastAsia="en-US"/>
        </w:rPr>
        <w:t>The PBAC did not recommend testosterone 1% cream for the treatment of hypoactive sexual desire dysfunction (HSDD) in postmenopausal women. The PBAC questioned the clinical place of testosterone in therapy, noting the difficulty in defining the medical condition and an appropriate scope of testosterone use. The PBAC considered the strength of the comparative clinical evidence presented to be low and noted that inappropriate use of testosterone is associated with adverse effects. The PBAC considered that there would be a high risk of use outside the restriction</w:t>
      </w:r>
      <w:r>
        <w:rPr>
          <w:snapToGrid w:val="0"/>
          <w:lang w:val="en-GB" w:eastAsia="en-US"/>
        </w:rPr>
        <w:t>, and that the proposed price was not supported</w:t>
      </w:r>
      <w:r w:rsidRPr="00C456AB">
        <w:rPr>
          <w:snapToGrid w:val="0"/>
          <w:lang w:val="en-GB" w:eastAsia="en-US"/>
        </w:rPr>
        <w:t>.</w:t>
      </w:r>
    </w:p>
    <w:p w14:paraId="26E573D4" w14:textId="2E07BA61" w:rsidR="004448BB" w:rsidRPr="00902C49" w:rsidRDefault="00EE75D9" w:rsidP="008F21D4">
      <w:pPr>
        <w:pStyle w:val="3-BodyText"/>
        <w:rPr>
          <w:bCs/>
          <w:snapToGrid w:val="0"/>
          <w:lang w:val="en-GB" w:eastAsia="en-US"/>
        </w:rPr>
      </w:pPr>
      <w:r w:rsidRPr="00EE75D9">
        <w:rPr>
          <w:snapToGrid w:val="0"/>
          <w:lang w:eastAsia="en-US"/>
        </w:rPr>
        <w:t>The PBAC considered the primary reason for this outcome was due to the clinical evidence provided in the submission from the pivotal trial and the meta-analysis</w:t>
      </w:r>
      <w:r w:rsidR="00F53353">
        <w:rPr>
          <w:snapToGrid w:val="0"/>
          <w:lang w:eastAsia="en-US"/>
        </w:rPr>
        <w:t>.</w:t>
      </w:r>
    </w:p>
    <w:p w14:paraId="3754FF7B" w14:textId="57574493" w:rsidR="00D21DCA" w:rsidRPr="00906C4B" w:rsidRDefault="00F10BD5" w:rsidP="00906C4B">
      <w:pPr>
        <w:widowControl w:val="0"/>
        <w:numPr>
          <w:ilvl w:val="1"/>
          <w:numId w:val="1"/>
        </w:numPr>
        <w:spacing w:after="120"/>
        <w:rPr>
          <w:snapToGrid w:val="0"/>
          <w:lang w:val="en-GB" w:eastAsia="en-US"/>
        </w:rPr>
      </w:pPr>
      <w:r w:rsidRPr="0005305F">
        <w:rPr>
          <w:rFonts w:asciiTheme="minorHAnsi" w:hAnsiTheme="minorHAnsi"/>
          <w:snapToGrid w:val="0"/>
          <w:lang w:val="en-GB" w:eastAsia="en-US"/>
        </w:rPr>
        <w:t xml:space="preserve">The PBAC </w:t>
      </w:r>
      <w:r w:rsidR="00674378">
        <w:rPr>
          <w:rFonts w:asciiTheme="minorHAnsi" w:hAnsiTheme="minorHAnsi"/>
          <w:snapToGrid w:val="0"/>
          <w:lang w:val="en-GB" w:eastAsia="en-US"/>
        </w:rPr>
        <w:t>questioned</w:t>
      </w:r>
      <w:r w:rsidR="00674378" w:rsidRPr="0005305F">
        <w:rPr>
          <w:rFonts w:asciiTheme="minorHAnsi" w:hAnsiTheme="minorHAnsi"/>
          <w:snapToGrid w:val="0"/>
          <w:lang w:val="en-GB" w:eastAsia="en-US"/>
        </w:rPr>
        <w:t xml:space="preserve"> </w:t>
      </w:r>
      <w:r w:rsidRPr="0005305F">
        <w:rPr>
          <w:rFonts w:asciiTheme="minorHAnsi" w:hAnsiTheme="minorHAnsi"/>
          <w:snapToGrid w:val="0"/>
          <w:lang w:val="en-GB" w:eastAsia="en-US"/>
        </w:rPr>
        <w:t xml:space="preserve">the clinical place in therapy for testosterone </w:t>
      </w:r>
      <w:r w:rsidR="00674378">
        <w:rPr>
          <w:rFonts w:asciiTheme="minorHAnsi" w:hAnsiTheme="minorHAnsi"/>
          <w:snapToGrid w:val="0"/>
          <w:lang w:val="en-GB" w:eastAsia="en-US"/>
        </w:rPr>
        <w:t>1% cream</w:t>
      </w:r>
      <w:r w:rsidR="00CB0750" w:rsidRPr="0005305F">
        <w:rPr>
          <w:rFonts w:asciiTheme="minorHAnsi" w:hAnsiTheme="minorHAnsi"/>
          <w:snapToGrid w:val="0"/>
          <w:lang w:val="en-GB" w:eastAsia="en-US"/>
        </w:rPr>
        <w:t>.</w:t>
      </w:r>
      <w:r w:rsidR="00B42681" w:rsidRPr="0005305F">
        <w:rPr>
          <w:rFonts w:asciiTheme="minorHAnsi" w:hAnsiTheme="minorHAnsi"/>
          <w:snapToGrid w:val="0"/>
          <w:lang w:val="en-GB" w:eastAsia="en-US"/>
        </w:rPr>
        <w:t xml:space="preserve"> The PBAC acknowledge the high number of comments from consumers, health care professionals and organisations</w:t>
      </w:r>
      <w:r w:rsidR="008253EF" w:rsidRPr="0005305F">
        <w:rPr>
          <w:rFonts w:asciiTheme="minorHAnsi" w:hAnsiTheme="minorHAnsi"/>
          <w:snapToGrid w:val="0"/>
          <w:lang w:val="en-GB" w:eastAsia="en-US"/>
        </w:rPr>
        <w:t xml:space="preserve">, with </w:t>
      </w:r>
      <w:r w:rsidR="00DE6D8E">
        <w:rPr>
          <w:rFonts w:asciiTheme="minorHAnsi" w:hAnsiTheme="minorHAnsi"/>
          <w:snapToGrid w:val="0"/>
          <w:lang w:val="en-GB" w:eastAsia="en-US"/>
        </w:rPr>
        <w:t>many</w:t>
      </w:r>
      <w:r w:rsidR="008253EF" w:rsidRPr="0005305F">
        <w:rPr>
          <w:rFonts w:asciiTheme="minorHAnsi" w:hAnsiTheme="minorHAnsi"/>
          <w:snapToGrid w:val="0"/>
          <w:lang w:val="en-GB" w:eastAsia="en-US"/>
        </w:rPr>
        <w:t xml:space="preserve"> comments supporting the requested listing. However, the PBAC noted that </w:t>
      </w:r>
      <w:r w:rsidR="00DE6D8E">
        <w:rPr>
          <w:rFonts w:asciiTheme="minorHAnsi" w:hAnsiTheme="minorHAnsi"/>
          <w:snapToGrid w:val="0"/>
          <w:lang w:val="en-GB" w:eastAsia="en-US"/>
        </w:rPr>
        <w:t xml:space="preserve">the </w:t>
      </w:r>
      <w:r w:rsidR="00C14D4E" w:rsidRPr="0005305F">
        <w:rPr>
          <w:rFonts w:asciiTheme="minorHAnsi" w:hAnsiTheme="minorHAnsi"/>
          <w:snapToGrid w:val="0"/>
          <w:lang w:val="en-GB" w:eastAsia="en-US"/>
        </w:rPr>
        <w:t xml:space="preserve">comments described a range of benefits that </w:t>
      </w:r>
      <w:r w:rsidR="00DE6D8E">
        <w:rPr>
          <w:rFonts w:asciiTheme="minorHAnsi" w:hAnsiTheme="minorHAnsi"/>
          <w:snapToGrid w:val="0"/>
          <w:lang w:val="en-GB" w:eastAsia="en-US"/>
        </w:rPr>
        <w:t>did not describe the requested restriction of</w:t>
      </w:r>
      <w:r w:rsidR="00C14D4E" w:rsidRPr="0005305F">
        <w:rPr>
          <w:rFonts w:asciiTheme="minorHAnsi" w:hAnsiTheme="minorHAnsi"/>
          <w:snapToGrid w:val="0"/>
          <w:lang w:val="en-GB" w:eastAsia="en-US"/>
        </w:rPr>
        <w:t xml:space="preserve"> HSDD, </w:t>
      </w:r>
      <w:r w:rsidR="00921BBD" w:rsidRPr="0005305F">
        <w:rPr>
          <w:rFonts w:asciiTheme="minorHAnsi" w:hAnsiTheme="minorHAnsi"/>
          <w:snapToGrid w:val="0"/>
          <w:lang w:val="en-GB" w:eastAsia="en-US"/>
        </w:rPr>
        <w:t xml:space="preserve">indicating a perception that testosterone </w:t>
      </w:r>
      <w:r w:rsidR="00A13761">
        <w:rPr>
          <w:rFonts w:asciiTheme="minorHAnsi" w:hAnsiTheme="minorHAnsi"/>
          <w:snapToGrid w:val="0"/>
          <w:lang w:val="en-GB" w:eastAsia="en-US"/>
        </w:rPr>
        <w:t>will have</w:t>
      </w:r>
      <w:r w:rsidR="00921BBD" w:rsidRPr="0005305F">
        <w:rPr>
          <w:rFonts w:asciiTheme="minorHAnsi" w:hAnsiTheme="minorHAnsi"/>
          <w:snapToGrid w:val="0"/>
          <w:lang w:val="en-GB" w:eastAsia="en-US"/>
        </w:rPr>
        <w:t xml:space="preserve"> </w:t>
      </w:r>
      <w:r w:rsidR="00A13761">
        <w:rPr>
          <w:rFonts w:asciiTheme="minorHAnsi" w:hAnsiTheme="minorHAnsi"/>
          <w:snapToGrid w:val="0"/>
          <w:lang w:val="en-GB" w:eastAsia="en-US"/>
        </w:rPr>
        <w:t xml:space="preserve">other </w:t>
      </w:r>
      <w:r w:rsidR="00921BBD" w:rsidRPr="0005305F">
        <w:rPr>
          <w:rFonts w:asciiTheme="minorHAnsi" w:hAnsiTheme="minorHAnsi"/>
          <w:snapToGrid w:val="0"/>
          <w:lang w:val="en-GB" w:eastAsia="en-US"/>
        </w:rPr>
        <w:t>benefits that ha</w:t>
      </w:r>
      <w:r w:rsidR="00A13761">
        <w:rPr>
          <w:rFonts w:asciiTheme="minorHAnsi" w:hAnsiTheme="minorHAnsi"/>
          <w:snapToGrid w:val="0"/>
          <w:lang w:val="en-GB" w:eastAsia="en-US"/>
        </w:rPr>
        <w:t>ve</w:t>
      </w:r>
      <w:r w:rsidR="00921BBD" w:rsidRPr="0005305F">
        <w:rPr>
          <w:rFonts w:asciiTheme="minorHAnsi" w:hAnsiTheme="minorHAnsi"/>
          <w:snapToGrid w:val="0"/>
          <w:lang w:val="en-GB" w:eastAsia="en-US"/>
        </w:rPr>
        <w:t xml:space="preserve"> not been evaluated. The Committee further noted that </w:t>
      </w:r>
      <w:r w:rsidR="00267890" w:rsidRPr="0005305F">
        <w:rPr>
          <w:rFonts w:asciiTheme="minorHAnsi" w:hAnsiTheme="minorHAnsi"/>
          <w:snapToGrid w:val="0"/>
          <w:lang w:val="en-GB" w:eastAsia="en-US"/>
        </w:rPr>
        <w:t>the comments indicated there was use outside the approved TGA indication</w:t>
      </w:r>
      <w:r w:rsidR="00536CA5">
        <w:rPr>
          <w:rFonts w:asciiTheme="minorHAnsi" w:hAnsiTheme="minorHAnsi"/>
          <w:snapToGrid w:val="0"/>
          <w:lang w:val="en-GB" w:eastAsia="en-US"/>
        </w:rPr>
        <w:t xml:space="preserve"> (for </w:t>
      </w:r>
      <w:r w:rsidR="00536CA5">
        <w:rPr>
          <w:snapToGrid w:val="0"/>
          <w:lang w:val="en-GB" w:eastAsia="en-US"/>
        </w:rPr>
        <w:t>brain fog, memory or mood issues, dementia, energy, muscle strength, bone strength</w:t>
      </w:r>
      <w:r w:rsidR="004E785A">
        <w:rPr>
          <w:snapToGrid w:val="0"/>
          <w:lang w:val="en-GB" w:eastAsia="en-US"/>
        </w:rPr>
        <w:t xml:space="preserve">, </w:t>
      </w:r>
      <w:r w:rsidR="00536CA5">
        <w:rPr>
          <w:snapToGrid w:val="0"/>
          <w:lang w:val="en-GB" w:eastAsia="en-US"/>
        </w:rPr>
        <w:t>hot flushes</w:t>
      </w:r>
      <w:r w:rsidR="004E785A">
        <w:rPr>
          <w:snapToGrid w:val="0"/>
          <w:lang w:val="en-GB" w:eastAsia="en-US"/>
        </w:rPr>
        <w:t>)</w:t>
      </w:r>
      <w:r w:rsidR="00267890" w:rsidRPr="0005305F">
        <w:rPr>
          <w:rFonts w:asciiTheme="minorHAnsi" w:hAnsiTheme="minorHAnsi"/>
          <w:snapToGrid w:val="0"/>
          <w:lang w:val="en-GB" w:eastAsia="en-US"/>
        </w:rPr>
        <w:t xml:space="preserve">, in patients who were not postmenopausal, and that </w:t>
      </w:r>
      <w:r w:rsidR="00267890" w:rsidRPr="0005305F">
        <w:rPr>
          <w:snapToGrid w:val="0"/>
          <w:lang w:val="en-GB" w:eastAsia="en-US"/>
        </w:rPr>
        <w:t>some health care professionals and organi</w:t>
      </w:r>
      <w:r w:rsidR="00204C5F">
        <w:rPr>
          <w:snapToGrid w:val="0"/>
          <w:lang w:val="en-GB" w:eastAsia="en-US"/>
        </w:rPr>
        <w:t>s</w:t>
      </w:r>
      <w:r w:rsidR="00267890" w:rsidRPr="0005305F">
        <w:rPr>
          <w:snapToGrid w:val="0"/>
          <w:lang w:val="en-GB" w:eastAsia="en-US"/>
        </w:rPr>
        <w:t>ation</w:t>
      </w:r>
      <w:r w:rsidR="0005305F" w:rsidRPr="0005305F">
        <w:rPr>
          <w:snapToGrid w:val="0"/>
          <w:lang w:val="en-GB" w:eastAsia="en-US"/>
        </w:rPr>
        <w:t xml:space="preserve">s </w:t>
      </w:r>
      <w:r w:rsidR="00267890" w:rsidRPr="0005305F">
        <w:rPr>
          <w:snapToGrid w:val="0"/>
          <w:lang w:val="en-GB" w:eastAsia="en-US"/>
        </w:rPr>
        <w:t>did not support listing of testosterone 1% cream on the PBS.</w:t>
      </w:r>
      <w:r w:rsidR="0005305F">
        <w:rPr>
          <w:snapToGrid w:val="0"/>
          <w:lang w:val="en-GB" w:eastAsia="en-US"/>
        </w:rPr>
        <w:t xml:space="preserve"> </w:t>
      </w:r>
      <w:r w:rsidR="00D21DCA" w:rsidRPr="00906C4B">
        <w:rPr>
          <w:snapToGrid w:val="0"/>
          <w:lang w:val="en-GB" w:eastAsia="en-US"/>
        </w:rPr>
        <w:t>The PBAC specifically noted that many of the inputs suggested that consumers and health care professionals</w:t>
      </w:r>
      <w:r w:rsidR="00ED0C89">
        <w:rPr>
          <w:snapToGrid w:val="0"/>
          <w:lang w:val="en-GB" w:eastAsia="en-US"/>
        </w:rPr>
        <w:t xml:space="preserve"> inappropriately</w:t>
      </w:r>
      <w:r w:rsidR="00D21DCA" w:rsidRPr="00906C4B">
        <w:rPr>
          <w:snapToGrid w:val="0"/>
          <w:lang w:val="en-GB" w:eastAsia="en-US"/>
        </w:rPr>
        <w:t xml:space="preserve"> equated HSDD with low libido, having used the terms synonymously.</w:t>
      </w:r>
    </w:p>
    <w:p w14:paraId="2A349296" w14:textId="54F70283" w:rsidR="00CB0750" w:rsidRPr="00CB0750" w:rsidRDefault="00A33B29" w:rsidP="00103AFA">
      <w:pPr>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lastRenderedPageBreak/>
        <w:t>While t</w:t>
      </w:r>
      <w:r w:rsidR="005C4AB0">
        <w:rPr>
          <w:rFonts w:asciiTheme="minorHAnsi" w:hAnsiTheme="minorHAnsi"/>
          <w:snapToGrid w:val="0"/>
          <w:lang w:val="en-GB" w:eastAsia="en-US"/>
        </w:rPr>
        <w:t>he PBAC considered that placebo was the appropriate</w:t>
      </w:r>
      <w:r w:rsidR="00284B80">
        <w:rPr>
          <w:rFonts w:asciiTheme="minorHAnsi" w:hAnsiTheme="minorHAnsi"/>
          <w:snapToGrid w:val="0"/>
          <w:lang w:val="en-GB" w:eastAsia="en-US"/>
        </w:rPr>
        <w:t xml:space="preserve"> main</w:t>
      </w:r>
      <w:r w:rsidR="005C4AB0">
        <w:rPr>
          <w:rFonts w:asciiTheme="minorHAnsi" w:hAnsiTheme="minorHAnsi"/>
          <w:snapToGrid w:val="0"/>
          <w:lang w:val="en-GB" w:eastAsia="en-US"/>
        </w:rPr>
        <w:t xml:space="preserve"> comparator</w:t>
      </w:r>
      <w:r>
        <w:rPr>
          <w:rFonts w:asciiTheme="minorHAnsi" w:hAnsiTheme="minorHAnsi"/>
          <w:snapToGrid w:val="0"/>
          <w:lang w:val="en-GB" w:eastAsia="en-US"/>
        </w:rPr>
        <w:t xml:space="preserve">, it acknowledged that </w:t>
      </w:r>
      <w:r w:rsidR="00C33600" w:rsidRPr="000B5A4D">
        <w:rPr>
          <w:color w:val="000000" w:themeColor="text1"/>
        </w:rPr>
        <w:t>PBS-listed topical testosterone preparations, private prescription of other testosterone preparations, or compound testosterone preparations</w:t>
      </w:r>
      <w:r w:rsidR="00D57680">
        <w:rPr>
          <w:color w:val="000000" w:themeColor="text1"/>
        </w:rPr>
        <w:t>,</w:t>
      </w:r>
      <w:r w:rsidR="00C33600" w:rsidRPr="000B5A4D">
        <w:rPr>
          <w:color w:val="000000" w:themeColor="text1"/>
        </w:rPr>
        <w:t xml:space="preserve"> may</w:t>
      </w:r>
      <w:r w:rsidR="00C33600">
        <w:rPr>
          <w:color w:val="000000" w:themeColor="text1"/>
        </w:rPr>
        <w:t xml:space="preserve"> also</w:t>
      </w:r>
      <w:r w:rsidR="00C33600" w:rsidRPr="000B5A4D">
        <w:rPr>
          <w:color w:val="000000" w:themeColor="text1"/>
        </w:rPr>
        <w:t xml:space="preserve"> be </w:t>
      </w:r>
      <w:r w:rsidR="00442EDC">
        <w:rPr>
          <w:color w:val="000000" w:themeColor="text1"/>
        </w:rPr>
        <w:t>relevant</w:t>
      </w:r>
      <w:r w:rsidR="00442EDC" w:rsidRPr="000B5A4D">
        <w:rPr>
          <w:color w:val="000000" w:themeColor="text1"/>
        </w:rPr>
        <w:t xml:space="preserve"> </w:t>
      </w:r>
      <w:r w:rsidR="00C33600" w:rsidRPr="000B5A4D">
        <w:rPr>
          <w:color w:val="000000" w:themeColor="text1"/>
        </w:rPr>
        <w:t>comparators</w:t>
      </w:r>
      <w:r w:rsidR="005D5663">
        <w:rPr>
          <w:color w:val="000000" w:themeColor="text1"/>
        </w:rPr>
        <w:t xml:space="preserve"> </w:t>
      </w:r>
      <w:r w:rsidR="005D5663" w:rsidRPr="00B83548">
        <w:t xml:space="preserve">because they are being used and </w:t>
      </w:r>
      <w:r w:rsidR="005D5663">
        <w:t>would</w:t>
      </w:r>
      <w:r w:rsidR="005D5663" w:rsidRPr="00B83548">
        <w:t xml:space="preserve"> be</w:t>
      </w:r>
      <w:r w:rsidR="00D57680">
        <w:t xml:space="preserve"> hypothetically</w:t>
      </w:r>
      <w:r w:rsidR="005D5663" w:rsidRPr="00B83548">
        <w:t xml:space="preserve"> replaced.</w:t>
      </w:r>
    </w:p>
    <w:p w14:paraId="4D131BAB" w14:textId="6C5FAE5C" w:rsidR="00D855FC" w:rsidRDefault="00D855FC" w:rsidP="00241D23">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noted that the </w:t>
      </w:r>
      <w:r w:rsidR="00F9465C">
        <w:rPr>
          <w:rFonts w:asciiTheme="minorHAnsi" w:hAnsiTheme="minorHAnsi"/>
          <w:snapToGrid w:val="0"/>
          <w:lang w:val="en-GB" w:eastAsia="en-US"/>
        </w:rPr>
        <w:t>submission presented the results of the El-Hage (200</w:t>
      </w:r>
      <w:r w:rsidR="00E2431C">
        <w:rPr>
          <w:rFonts w:asciiTheme="minorHAnsi" w:hAnsiTheme="minorHAnsi"/>
          <w:snapToGrid w:val="0"/>
          <w:lang w:val="en-GB" w:eastAsia="en-US"/>
        </w:rPr>
        <w:t>7</w:t>
      </w:r>
      <w:r w:rsidR="00F9465C">
        <w:rPr>
          <w:rFonts w:asciiTheme="minorHAnsi" w:hAnsiTheme="minorHAnsi"/>
          <w:snapToGrid w:val="0"/>
          <w:lang w:val="en-GB" w:eastAsia="en-US"/>
        </w:rPr>
        <w:t xml:space="preserve">) trial </w:t>
      </w:r>
      <w:r w:rsidR="00064DEA">
        <w:rPr>
          <w:rFonts w:asciiTheme="minorHAnsi" w:hAnsiTheme="minorHAnsi"/>
          <w:snapToGrid w:val="0"/>
          <w:lang w:val="en-GB" w:eastAsia="en-US"/>
        </w:rPr>
        <w:t xml:space="preserve">in </w:t>
      </w:r>
      <w:r w:rsidR="00F9465C">
        <w:rPr>
          <w:rFonts w:asciiTheme="minorHAnsi" w:hAnsiTheme="minorHAnsi"/>
          <w:snapToGrid w:val="0"/>
          <w:lang w:val="en-GB" w:eastAsia="en-US"/>
        </w:rPr>
        <w:t>support</w:t>
      </w:r>
      <w:r w:rsidR="00064DEA">
        <w:rPr>
          <w:rFonts w:asciiTheme="minorHAnsi" w:hAnsiTheme="minorHAnsi"/>
          <w:snapToGrid w:val="0"/>
          <w:lang w:val="en-GB" w:eastAsia="en-US"/>
        </w:rPr>
        <w:t xml:space="preserve"> of</w:t>
      </w:r>
      <w:r w:rsidR="00F9465C">
        <w:rPr>
          <w:rFonts w:asciiTheme="minorHAnsi" w:hAnsiTheme="minorHAnsi"/>
          <w:snapToGrid w:val="0"/>
          <w:lang w:val="en-GB" w:eastAsia="en-US"/>
        </w:rPr>
        <w:t xml:space="preserve"> its clinical claim</w:t>
      </w:r>
      <w:r w:rsidR="007931E0">
        <w:rPr>
          <w:rFonts w:asciiTheme="minorHAnsi" w:hAnsiTheme="minorHAnsi"/>
          <w:snapToGrid w:val="0"/>
          <w:lang w:val="en-GB" w:eastAsia="en-US"/>
        </w:rPr>
        <w:t xml:space="preserve"> of superiority versus placebo</w:t>
      </w:r>
      <w:r w:rsidR="00F9465C">
        <w:rPr>
          <w:rFonts w:asciiTheme="minorHAnsi" w:hAnsiTheme="minorHAnsi"/>
          <w:snapToGrid w:val="0"/>
          <w:lang w:val="en-GB" w:eastAsia="en-US"/>
        </w:rPr>
        <w:t>.</w:t>
      </w:r>
      <w:r w:rsidR="000A5235">
        <w:rPr>
          <w:rFonts w:asciiTheme="minorHAnsi" w:hAnsiTheme="minorHAnsi"/>
          <w:snapToGrid w:val="0"/>
          <w:lang w:val="en-GB" w:eastAsia="en-US"/>
        </w:rPr>
        <w:t xml:space="preserve"> </w:t>
      </w:r>
      <w:r w:rsidR="00E8000E">
        <w:rPr>
          <w:rFonts w:asciiTheme="minorHAnsi" w:hAnsiTheme="minorHAnsi"/>
          <w:snapToGrid w:val="0"/>
          <w:lang w:val="en-GB" w:eastAsia="en-US"/>
        </w:rPr>
        <w:t>While</w:t>
      </w:r>
      <w:r w:rsidR="000A5235">
        <w:rPr>
          <w:rFonts w:asciiTheme="minorHAnsi" w:hAnsiTheme="minorHAnsi"/>
          <w:snapToGrid w:val="0"/>
          <w:lang w:val="en-GB" w:eastAsia="en-US"/>
        </w:rPr>
        <w:t xml:space="preserve"> the PBAC noted that the</w:t>
      </w:r>
      <w:r w:rsidR="00E8000E">
        <w:rPr>
          <w:rFonts w:asciiTheme="minorHAnsi" w:hAnsiTheme="minorHAnsi"/>
          <w:snapToGrid w:val="0"/>
          <w:lang w:val="en-GB" w:eastAsia="en-US"/>
        </w:rPr>
        <w:t xml:space="preserve"> </w:t>
      </w:r>
      <w:r w:rsidR="00354F6F">
        <w:rPr>
          <w:rFonts w:asciiTheme="minorHAnsi" w:hAnsiTheme="minorHAnsi"/>
          <w:snapToGrid w:val="0"/>
          <w:lang w:val="en-GB" w:eastAsia="en-US"/>
        </w:rPr>
        <w:t xml:space="preserve">El-Hage (2007) </w:t>
      </w:r>
      <w:r w:rsidR="00B26780">
        <w:rPr>
          <w:rFonts w:asciiTheme="minorHAnsi" w:hAnsiTheme="minorHAnsi"/>
          <w:snapToGrid w:val="0"/>
          <w:lang w:val="en-GB" w:eastAsia="en-US"/>
        </w:rPr>
        <w:t xml:space="preserve">showed there was a statistically significant increase in the Brief Index of Sexual Function for Women (BISF-W) total score and </w:t>
      </w:r>
      <w:r w:rsidR="00820E3D">
        <w:rPr>
          <w:rFonts w:asciiTheme="minorHAnsi" w:hAnsiTheme="minorHAnsi"/>
          <w:snapToGrid w:val="0"/>
          <w:lang w:val="en-GB" w:eastAsia="en-US"/>
        </w:rPr>
        <w:t>the BISF-W thoughts/desire domain</w:t>
      </w:r>
      <w:r w:rsidR="00B26780">
        <w:rPr>
          <w:rFonts w:asciiTheme="minorHAnsi" w:hAnsiTheme="minorHAnsi"/>
          <w:snapToGrid w:val="0"/>
          <w:lang w:val="en-GB" w:eastAsia="en-US"/>
        </w:rPr>
        <w:t xml:space="preserve"> </w:t>
      </w:r>
      <w:r w:rsidR="00820E3D">
        <w:rPr>
          <w:rFonts w:asciiTheme="minorHAnsi" w:hAnsiTheme="minorHAnsi"/>
          <w:snapToGrid w:val="0"/>
          <w:lang w:val="en-GB" w:eastAsia="en-US"/>
        </w:rPr>
        <w:t xml:space="preserve">for </w:t>
      </w:r>
      <w:r w:rsidR="00E8000E">
        <w:rPr>
          <w:rFonts w:asciiTheme="minorHAnsi" w:hAnsiTheme="minorHAnsi"/>
          <w:snapToGrid w:val="0"/>
          <w:lang w:val="en-GB" w:eastAsia="en-US"/>
        </w:rPr>
        <w:t>patients treated with testosterone</w:t>
      </w:r>
      <w:r w:rsidR="00BE7E82">
        <w:rPr>
          <w:rFonts w:asciiTheme="minorHAnsi" w:hAnsiTheme="minorHAnsi"/>
          <w:snapToGrid w:val="0"/>
          <w:lang w:val="en-GB" w:eastAsia="en-US"/>
        </w:rPr>
        <w:t xml:space="preserve"> 1% cream </w:t>
      </w:r>
      <w:r w:rsidR="00064DEA">
        <w:rPr>
          <w:rFonts w:asciiTheme="minorHAnsi" w:hAnsiTheme="minorHAnsi"/>
          <w:snapToGrid w:val="0"/>
          <w:lang w:val="en-GB" w:eastAsia="en-US"/>
        </w:rPr>
        <w:t>(</w:t>
      </w:r>
      <w:r w:rsidR="00BE7E82">
        <w:rPr>
          <w:rFonts w:asciiTheme="minorHAnsi" w:hAnsiTheme="minorHAnsi"/>
          <w:snapToGrid w:val="0"/>
          <w:lang w:val="en-GB" w:eastAsia="en-US"/>
        </w:rPr>
        <w:t>10 mg per day</w:t>
      </w:r>
      <w:r w:rsidR="00064DEA">
        <w:rPr>
          <w:rFonts w:asciiTheme="minorHAnsi" w:hAnsiTheme="minorHAnsi"/>
          <w:snapToGrid w:val="0"/>
          <w:lang w:val="en-GB" w:eastAsia="en-US"/>
        </w:rPr>
        <w:t>)</w:t>
      </w:r>
      <w:r w:rsidR="00BE7E82">
        <w:rPr>
          <w:rFonts w:asciiTheme="minorHAnsi" w:hAnsiTheme="minorHAnsi"/>
          <w:snapToGrid w:val="0"/>
          <w:lang w:val="en-GB" w:eastAsia="en-US"/>
        </w:rPr>
        <w:t xml:space="preserve"> </w:t>
      </w:r>
      <w:r w:rsidR="00820E3D">
        <w:rPr>
          <w:rFonts w:asciiTheme="minorHAnsi" w:hAnsiTheme="minorHAnsi"/>
          <w:snapToGrid w:val="0"/>
          <w:lang w:val="en-GB" w:eastAsia="en-US"/>
        </w:rPr>
        <w:t>compared to placebo</w:t>
      </w:r>
      <w:r w:rsidR="00C95739">
        <w:rPr>
          <w:rFonts w:asciiTheme="minorHAnsi" w:hAnsiTheme="minorHAnsi"/>
          <w:snapToGrid w:val="0"/>
          <w:lang w:val="en-GB" w:eastAsia="en-US"/>
        </w:rPr>
        <w:t xml:space="preserve"> </w:t>
      </w:r>
      <w:r w:rsidR="00DA0B6A">
        <w:rPr>
          <w:rFonts w:asciiTheme="minorHAnsi" w:hAnsiTheme="minorHAnsi"/>
          <w:snapToGrid w:val="0"/>
          <w:lang w:val="en-GB" w:eastAsia="en-US"/>
        </w:rPr>
        <w:t xml:space="preserve">after 12 weeks, the PBAC </w:t>
      </w:r>
      <w:r w:rsidR="00826E93">
        <w:rPr>
          <w:rFonts w:asciiTheme="minorHAnsi" w:hAnsiTheme="minorHAnsi"/>
          <w:snapToGrid w:val="0"/>
          <w:lang w:val="en-GB" w:eastAsia="en-US"/>
        </w:rPr>
        <w:t xml:space="preserve">additionally noted that this trial did not </w:t>
      </w:r>
      <w:r w:rsidR="004A3787">
        <w:rPr>
          <w:rFonts w:asciiTheme="minorHAnsi" w:hAnsiTheme="minorHAnsi"/>
          <w:snapToGrid w:val="0"/>
          <w:lang w:val="en-GB" w:eastAsia="en-US"/>
        </w:rPr>
        <w:t>specifically recruit</w:t>
      </w:r>
      <w:r w:rsidR="00826E93">
        <w:rPr>
          <w:rFonts w:asciiTheme="minorHAnsi" w:hAnsiTheme="minorHAnsi"/>
          <w:snapToGrid w:val="0"/>
          <w:lang w:val="en-GB" w:eastAsia="en-US"/>
        </w:rPr>
        <w:t xml:space="preserve"> patients </w:t>
      </w:r>
      <w:r w:rsidR="00E2431C">
        <w:rPr>
          <w:rFonts w:asciiTheme="minorHAnsi" w:hAnsiTheme="minorHAnsi"/>
          <w:snapToGrid w:val="0"/>
          <w:lang w:val="en-GB" w:eastAsia="en-US"/>
        </w:rPr>
        <w:t xml:space="preserve">that were </w:t>
      </w:r>
      <w:r w:rsidR="00826E93">
        <w:rPr>
          <w:rFonts w:asciiTheme="minorHAnsi" w:hAnsiTheme="minorHAnsi"/>
          <w:snapToGrid w:val="0"/>
          <w:lang w:val="en-GB" w:eastAsia="en-US"/>
        </w:rPr>
        <w:t xml:space="preserve">representative of those for whom </w:t>
      </w:r>
      <w:r w:rsidR="00E2431C">
        <w:rPr>
          <w:rFonts w:asciiTheme="minorHAnsi" w:hAnsiTheme="minorHAnsi"/>
          <w:snapToGrid w:val="0"/>
          <w:lang w:val="en-GB" w:eastAsia="en-US"/>
        </w:rPr>
        <w:t>PBS-listing was requested (</w:t>
      </w:r>
      <w:r w:rsidR="006E1F8A">
        <w:rPr>
          <w:rFonts w:asciiTheme="minorHAnsi" w:hAnsiTheme="minorHAnsi"/>
          <w:snapToGrid w:val="0"/>
          <w:lang w:val="en-GB" w:eastAsia="en-US"/>
        </w:rPr>
        <w:t xml:space="preserve">patients were not required to have </w:t>
      </w:r>
      <w:r w:rsidR="00ED12CA">
        <w:rPr>
          <w:rFonts w:asciiTheme="minorHAnsi" w:hAnsiTheme="minorHAnsi"/>
          <w:snapToGrid w:val="0"/>
          <w:lang w:val="en-GB" w:eastAsia="en-US"/>
        </w:rPr>
        <w:t xml:space="preserve">clinically </w:t>
      </w:r>
      <w:r w:rsidR="001703D5">
        <w:rPr>
          <w:rFonts w:asciiTheme="minorHAnsi" w:hAnsiTheme="minorHAnsi"/>
          <w:snapToGrid w:val="0"/>
          <w:lang w:val="en-GB" w:eastAsia="en-US"/>
        </w:rPr>
        <w:t xml:space="preserve">significant personal </w:t>
      </w:r>
      <w:r w:rsidR="006E1F8A">
        <w:rPr>
          <w:rFonts w:asciiTheme="minorHAnsi" w:hAnsiTheme="minorHAnsi"/>
          <w:snapToGrid w:val="0"/>
          <w:lang w:val="en-GB" w:eastAsia="en-US"/>
        </w:rPr>
        <w:t>distress</w:t>
      </w:r>
      <w:r w:rsidR="001703D5">
        <w:rPr>
          <w:rFonts w:asciiTheme="minorHAnsi" w:hAnsiTheme="minorHAnsi"/>
          <w:snapToGrid w:val="0"/>
          <w:lang w:val="en-GB" w:eastAsia="en-US"/>
        </w:rPr>
        <w:t xml:space="preserve"> related to a low level of sexual interest</w:t>
      </w:r>
      <w:r w:rsidR="009A6EF7">
        <w:rPr>
          <w:rFonts w:asciiTheme="minorHAnsi" w:hAnsiTheme="minorHAnsi"/>
          <w:snapToGrid w:val="0"/>
          <w:lang w:val="en-GB" w:eastAsia="en-US"/>
        </w:rPr>
        <w:t xml:space="preserve">, as is required to </w:t>
      </w:r>
      <w:r w:rsidR="007521A6">
        <w:rPr>
          <w:rFonts w:asciiTheme="minorHAnsi" w:hAnsiTheme="minorHAnsi"/>
          <w:snapToGrid w:val="0"/>
          <w:lang w:val="en-GB" w:eastAsia="en-US"/>
        </w:rPr>
        <w:t xml:space="preserve">meet the definition of </w:t>
      </w:r>
      <w:r w:rsidR="009A6EF7">
        <w:rPr>
          <w:rFonts w:asciiTheme="minorHAnsi" w:hAnsiTheme="minorHAnsi"/>
          <w:snapToGrid w:val="0"/>
          <w:lang w:val="en-GB" w:eastAsia="en-US"/>
        </w:rPr>
        <w:t>HSDD according to the ISSWSH criteria</w:t>
      </w:r>
      <w:r w:rsidR="00D73B09">
        <w:rPr>
          <w:rFonts w:asciiTheme="minorHAnsi" w:hAnsiTheme="minorHAnsi"/>
          <w:snapToGrid w:val="0"/>
          <w:lang w:val="en-GB" w:eastAsia="en-US"/>
        </w:rPr>
        <w:t>, nor were they required to have failed to respond to appropriate education and correction of modifiable biopsychosocial factors</w:t>
      </w:r>
      <w:r w:rsidR="005634E5">
        <w:rPr>
          <w:rFonts w:asciiTheme="minorHAnsi" w:hAnsiTheme="minorHAnsi"/>
          <w:snapToGrid w:val="0"/>
          <w:lang w:val="en-GB" w:eastAsia="en-US"/>
        </w:rPr>
        <w:t xml:space="preserve">, as is required to meet the </w:t>
      </w:r>
      <w:r w:rsidR="007266BE">
        <w:rPr>
          <w:rFonts w:asciiTheme="minorHAnsi" w:hAnsiTheme="minorHAnsi"/>
          <w:snapToGrid w:val="0"/>
          <w:lang w:val="en-GB" w:eastAsia="en-US"/>
        </w:rPr>
        <w:t>proposed PBS clinical</w:t>
      </w:r>
      <w:r w:rsidR="005634E5">
        <w:rPr>
          <w:rFonts w:asciiTheme="minorHAnsi" w:hAnsiTheme="minorHAnsi"/>
          <w:snapToGrid w:val="0"/>
          <w:lang w:val="en-GB" w:eastAsia="en-US"/>
        </w:rPr>
        <w:t xml:space="preserve"> criteria</w:t>
      </w:r>
      <w:r w:rsidR="00364288">
        <w:rPr>
          <w:rFonts w:asciiTheme="minorHAnsi" w:hAnsiTheme="minorHAnsi"/>
          <w:snapToGrid w:val="0"/>
          <w:lang w:val="en-GB" w:eastAsia="en-US"/>
        </w:rPr>
        <w:t>)</w:t>
      </w:r>
      <w:r w:rsidR="00E2431C">
        <w:rPr>
          <w:rFonts w:asciiTheme="minorHAnsi" w:hAnsiTheme="minorHAnsi"/>
          <w:snapToGrid w:val="0"/>
          <w:lang w:val="en-GB" w:eastAsia="en-US"/>
        </w:rPr>
        <w:t xml:space="preserve">. </w:t>
      </w:r>
      <w:r w:rsidR="00775F25">
        <w:rPr>
          <w:rFonts w:asciiTheme="minorHAnsi" w:hAnsiTheme="minorHAnsi"/>
          <w:snapToGrid w:val="0"/>
          <w:lang w:val="en-GB" w:eastAsia="en-US"/>
        </w:rPr>
        <w:t xml:space="preserve"> As such, the PBAC considered that the evidence from the trial did not support the clinical claim of superior</w:t>
      </w:r>
      <w:r w:rsidR="0009357B">
        <w:rPr>
          <w:rFonts w:asciiTheme="minorHAnsi" w:hAnsiTheme="minorHAnsi"/>
          <w:snapToGrid w:val="0"/>
          <w:lang w:val="en-GB" w:eastAsia="en-US"/>
        </w:rPr>
        <w:t xml:space="preserve"> </w:t>
      </w:r>
      <w:r w:rsidR="00E44CF4">
        <w:rPr>
          <w:rFonts w:asciiTheme="minorHAnsi" w:hAnsiTheme="minorHAnsi"/>
          <w:snapToGrid w:val="0"/>
          <w:lang w:val="en-GB" w:eastAsia="en-US"/>
        </w:rPr>
        <w:t xml:space="preserve">comparative </w:t>
      </w:r>
      <w:r w:rsidR="0009357B">
        <w:rPr>
          <w:rFonts w:asciiTheme="minorHAnsi" w:hAnsiTheme="minorHAnsi"/>
          <w:snapToGrid w:val="0"/>
          <w:lang w:val="en-GB" w:eastAsia="en-US"/>
        </w:rPr>
        <w:t>eff</w:t>
      </w:r>
      <w:r w:rsidR="00A933BD">
        <w:rPr>
          <w:rFonts w:asciiTheme="minorHAnsi" w:hAnsiTheme="minorHAnsi"/>
          <w:snapToGrid w:val="0"/>
          <w:lang w:val="en-GB" w:eastAsia="en-US"/>
        </w:rPr>
        <w:t>ectiveness</w:t>
      </w:r>
      <w:r w:rsidR="0009357B">
        <w:rPr>
          <w:rFonts w:asciiTheme="minorHAnsi" w:hAnsiTheme="minorHAnsi"/>
          <w:snapToGrid w:val="0"/>
          <w:lang w:val="en-GB" w:eastAsia="en-US"/>
        </w:rPr>
        <w:t xml:space="preserve"> over</w:t>
      </w:r>
      <w:r w:rsidR="00775F25">
        <w:rPr>
          <w:rFonts w:asciiTheme="minorHAnsi" w:hAnsiTheme="minorHAnsi"/>
          <w:snapToGrid w:val="0"/>
          <w:lang w:val="en-GB" w:eastAsia="en-US"/>
        </w:rPr>
        <w:t xml:space="preserve"> placebo for the requested pa</w:t>
      </w:r>
      <w:r w:rsidR="00550552">
        <w:rPr>
          <w:rFonts w:asciiTheme="minorHAnsi" w:hAnsiTheme="minorHAnsi"/>
          <w:snapToGrid w:val="0"/>
          <w:lang w:val="en-GB" w:eastAsia="en-US"/>
        </w:rPr>
        <w:t xml:space="preserve">tient population. </w:t>
      </w:r>
    </w:p>
    <w:p w14:paraId="3DE854E4" w14:textId="4F811DF3" w:rsidR="00CB0750" w:rsidRPr="00CB0750" w:rsidRDefault="008F7A8D" w:rsidP="00241D23">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While the PBAC noted that the submission had </w:t>
      </w:r>
      <w:r w:rsidR="00242BBD">
        <w:rPr>
          <w:rFonts w:asciiTheme="minorHAnsi" w:hAnsiTheme="minorHAnsi"/>
          <w:snapToGrid w:val="0"/>
          <w:lang w:val="en-GB" w:eastAsia="en-US"/>
        </w:rPr>
        <w:t xml:space="preserve">additionally </w:t>
      </w:r>
      <w:r>
        <w:rPr>
          <w:rFonts w:asciiTheme="minorHAnsi" w:hAnsiTheme="minorHAnsi"/>
          <w:snapToGrid w:val="0"/>
          <w:lang w:val="en-GB" w:eastAsia="en-US"/>
        </w:rPr>
        <w:t xml:space="preserve">presented </w:t>
      </w:r>
      <w:r w:rsidR="0009357B">
        <w:rPr>
          <w:rFonts w:asciiTheme="minorHAnsi" w:hAnsiTheme="minorHAnsi"/>
          <w:snapToGrid w:val="0"/>
          <w:lang w:val="en-GB" w:eastAsia="en-US"/>
        </w:rPr>
        <w:t xml:space="preserve">a </w:t>
      </w:r>
      <w:r w:rsidR="00D003CE">
        <w:rPr>
          <w:rFonts w:asciiTheme="minorHAnsi" w:hAnsiTheme="minorHAnsi"/>
          <w:snapToGrid w:val="0"/>
          <w:lang w:val="en-GB" w:eastAsia="en-US"/>
        </w:rPr>
        <w:t xml:space="preserve">systematic review and meta-analysis </w:t>
      </w:r>
      <w:r w:rsidR="0009357B">
        <w:rPr>
          <w:rFonts w:asciiTheme="minorHAnsi" w:hAnsiTheme="minorHAnsi"/>
          <w:snapToGrid w:val="0"/>
          <w:lang w:val="en-GB" w:eastAsia="en-US"/>
        </w:rPr>
        <w:t xml:space="preserve">published by Islam 2019 </w:t>
      </w:r>
      <w:r w:rsidR="00DE7E92">
        <w:rPr>
          <w:rFonts w:asciiTheme="minorHAnsi" w:hAnsiTheme="minorHAnsi"/>
          <w:snapToGrid w:val="0"/>
          <w:lang w:val="en-GB" w:eastAsia="en-US"/>
        </w:rPr>
        <w:t xml:space="preserve">to support the clinical claim, the Committee </w:t>
      </w:r>
      <w:r w:rsidR="0009357B">
        <w:rPr>
          <w:rFonts w:asciiTheme="minorHAnsi" w:hAnsiTheme="minorHAnsi"/>
          <w:snapToGrid w:val="0"/>
          <w:lang w:val="en-GB" w:eastAsia="en-US"/>
        </w:rPr>
        <w:t xml:space="preserve">noted that the </w:t>
      </w:r>
      <w:r w:rsidR="00320D38">
        <w:rPr>
          <w:rFonts w:asciiTheme="minorHAnsi" w:hAnsiTheme="minorHAnsi"/>
          <w:snapToGrid w:val="0"/>
          <w:lang w:val="en-GB" w:eastAsia="en-US"/>
        </w:rPr>
        <w:t>trials that formed the evidence base for the review</w:t>
      </w:r>
      <w:r w:rsidR="005951C0">
        <w:rPr>
          <w:rFonts w:asciiTheme="minorHAnsi" w:hAnsiTheme="minorHAnsi"/>
          <w:snapToGrid w:val="0"/>
          <w:lang w:val="en-GB" w:eastAsia="en-US"/>
        </w:rPr>
        <w:t xml:space="preserve"> and meta-analysis</w:t>
      </w:r>
      <w:r w:rsidR="00320D38">
        <w:rPr>
          <w:rFonts w:asciiTheme="minorHAnsi" w:hAnsiTheme="minorHAnsi"/>
          <w:snapToGrid w:val="0"/>
          <w:lang w:val="en-GB" w:eastAsia="en-US"/>
        </w:rPr>
        <w:t xml:space="preserve"> had used an inconsistent definition of sexual dysfunction. The PBAC </w:t>
      </w:r>
      <w:r w:rsidR="00443375">
        <w:rPr>
          <w:rFonts w:asciiTheme="minorHAnsi" w:hAnsiTheme="minorHAnsi"/>
          <w:snapToGrid w:val="0"/>
          <w:lang w:val="en-GB" w:eastAsia="en-US"/>
        </w:rPr>
        <w:t xml:space="preserve">noted </w:t>
      </w:r>
      <w:r w:rsidR="00DE7E92">
        <w:rPr>
          <w:rFonts w:asciiTheme="minorHAnsi" w:hAnsiTheme="minorHAnsi"/>
          <w:snapToGrid w:val="0"/>
          <w:lang w:val="en-GB" w:eastAsia="en-US"/>
        </w:rPr>
        <w:t xml:space="preserve">that </w:t>
      </w:r>
      <w:r w:rsidR="00443375" w:rsidRPr="002356A5">
        <w:t>many patients in the trials may not have had HSDD by the criteria of the ISSWSH pathway of care</w:t>
      </w:r>
      <w:r w:rsidR="004058C2">
        <w:rPr>
          <w:rFonts w:asciiTheme="minorHAnsi" w:hAnsiTheme="minorHAnsi"/>
          <w:snapToGrid w:val="0"/>
          <w:lang w:val="en-GB" w:eastAsia="en-US"/>
        </w:rPr>
        <w:t>.</w:t>
      </w:r>
    </w:p>
    <w:p w14:paraId="2CFB33AC" w14:textId="33CFD302" w:rsidR="00A933BD" w:rsidRPr="007520D2" w:rsidRDefault="00A933BD">
      <w:pPr>
        <w:pStyle w:val="3-BodyText"/>
        <w:rPr>
          <w:snapToGrid w:val="0"/>
        </w:rPr>
      </w:pPr>
      <w:r w:rsidRPr="007520D2">
        <w:rPr>
          <w:snapToGrid w:val="0"/>
        </w:rPr>
        <w:t xml:space="preserve">The PBAC </w:t>
      </w:r>
      <w:r w:rsidR="00C22AD4">
        <w:rPr>
          <w:snapToGrid w:val="0"/>
        </w:rPr>
        <w:t xml:space="preserve">considered that </w:t>
      </w:r>
      <w:r w:rsidR="00286F84" w:rsidRPr="007520D2">
        <w:rPr>
          <w:snapToGrid w:val="0"/>
        </w:rPr>
        <w:t>there is potential for androgenisation if testosterone levels are not carefully monitored</w:t>
      </w:r>
      <w:r w:rsidR="00914D11" w:rsidRPr="007520D2">
        <w:rPr>
          <w:snapToGrid w:val="0"/>
        </w:rPr>
        <w:t xml:space="preserve">. The PBAC </w:t>
      </w:r>
      <w:r w:rsidRPr="007520D2">
        <w:rPr>
          <w:snapToGrid w:val="0"/>
        </w:rPr>
        <w:t>considered that the claim of non-inferior comparative safety was not adequately supported by the data.</w:t>
      </w:r>
    </w:p>
    <w:p w14:paraId="7598CD20" w14:textId="15FBBE8B" w:rsidR="004C17DA" w:rsidRPr="007B69AF" w:rsidRDefault="008A5395" w:rsidP="000971A6">
      <w:pPr>
        <w:pStyle w:val="3-BodyText"/>
        <w:rPr>
          <w:rFonts w:eastAsia="Times New Roman" w:cs="Arial"/>
          <w:snapToGrid w:val="0"/>
          <w:szCs w:val="24"/>
          <w:lang w:val="en-GB" w:eastAsia="en-US"/>
        </w:rPr>
      </w:pPr>
      <w:r>
        <w:rPr>
          <w:snapToGrid w:val="0"/>
          <w:lang w:val="en-GB" w:eastAsia="en-US"/>
        </w:rPr>
        <w:t xml:space="preserve">The PBAC noted that the submission had not presented an economic analysis against the </w:t>
      </w:r>
      <w:r w:rsidR="00451D02">
        <w:rPr>
          <w:snapToGrid w:val="0"/>
          <w:lang w:val="en-GB" w:eastAsia="en-US"/>
        </w:rPr>
        <w:t>nominated comparator of placebo</w:t>
      </w:r>
      <w:r w:rsidR="008026AC">
        <w:rPr>
          <w:snapToGrid w:val="0"/>
          <w:lang w:val="en-GB" w:eastAsia="en-US"/>
        </w:rPr>
        <w:t xml:space="preserve"> but had </w:t>
      </w:r>
      <w:r w:rsidR="00E97DDA">
        <w:rPr>
          <w:snapToGrid w:val="0"/>
          <w:lang w:val="en-GB" w:eastAsia="en-US"/>
        </w:rPr>
        <w:t xml:space="preserve">requested that the price per day of treatment be the same as for existing PBS-listed testosterone </w:t>
      </w:r>
      <w:r w:rsidR="00FF4CB1">
        <w:rPr>
          <w:snapToGrid w:val="0"/>
          <w:lang w:val="en-GB" w:eastAsia="en-US"/>
        </w:rPr>
        <w:t>products for males</w:t>
      </w:r>
      <w:r w:rsidR="00451D02">
        <w:rPr>
          <w:snapToGrid w:val="0"/>
          <w:lang w:val="en-GB" w:eastAsia="en-US"/>
        </w:rPr>
        <w:t xml:space="preserve">. While the submission argued that it was reasonable that the cost per day of treatment in </w:t>
      </w:r>
      <w:r w:rsidR="00893679">
        <w:rPr>
          <w:snapToGrid w:val="0"/>
          <w:lang w:val="en-GB" w:eastAsia="en-US"/>
        </w:rPr>
        <w:t>fe</w:t>
      </w:r>
      <w:r w:rsidR="00451D02">
        <w:rPr>
          <w:snapToGrid w:val="0"/>
          <w:lang w:val="en-GB" w:eastAsia="en-US"/>
        </w:rPr>
        <w:t xml:space="preserve">males </w:t>
      </w:r>
      <w:r w:rsidR="00893679">
        <w:rPr>
          <w:snapToGrid w:val="0"/>
          <w:lang w:val="en-GB" w:eastAsia="en-US"/>
        </w:rPr>
        <w:t>should equal the cost per day of treatment in males, the Committee noted that the outcome</w:t>
      </w:r>
      <w:r w:rsidR="005D41D3">
        <w:rPr>
          <w:snapToGrid w:val="0"/>
          <w:lang w:val="en-GB" w:eastAsia="en-US"/>
        </w:rPr>
        <w:t xml:space="preserve"> or benefit</w:t>
      </w:r>
      <w:r w:rsidR="00893679">
        <w:rPr>
          <w:snapToGrid w:val="0"/>
          <w:lang w:val="en-GB" w:eastAsia="en-US"/>
        </w:rPr>
        <w:t xml:space="preserve"> for </w:t>
      </w:r>
      <w:r w:rsidR="004E2528">
        <w:rPr>
          <w:snapToGrid w:val="0"/>
          <w:lang w:val="en-GB" w:eastAsia="en-US"/>
        </w:rPr>
        <w:t xml:space="preserve">which </w:t>
      </w:r>
      <w:r w:rsidR="00AB621C">
        <w:rPr>
          <w:snapToGrid w:val="0"/>
          <w:lang w:val="en-GB" w:eastAsia="en-US"/>
        </w:rPr>
        <w:t xml:space="preserve">treatment with testosterone </w:t>
      </w:r>
      <w:r w:rsidR="0080401E">
        <w:rPr>
          <w:snapToGrid w:val="0"/>
          <w:lang w:val="en-GB" w:eastAsia="en-US"/>
        </w:rPr>
        <w:t xml:space="preserve">was </w:t>
      </w:r>
      <w:r w:rsidR="005D41D3">
        <w:rPr>
          <w:snapToGrid w:val="0"/>
          <w:lang w:val="en-GB" w:eastAsia="en-US"/>
        </w:rPr>
        <w:t xml:space="preserve">expected to provide </w:t>
      </w:r>
      <w:r w:rsidR="00AB621C">
        <w:rPr>
          <w:snapToGrid w:val="0"/>
          <w:lang w:val="en-GB" w:eastAsia="en-US"/>
        </w:rPr>
        <w:t xml:space="preserve">in females versus males was </w:t>
      </w:r>
      <w:r w:rsidR="00650DF2">
        <w:rPr>
          <w:snapToGrid w:val="0"/>
          <w:lang w:val="en-GB" w:eastAsia="en-US"/>
        </w:rPr>
        <w:t>not comparable</w:t>
      </w:r>
      <w:r w:rsidR="008022A1">
        <w:rPr>
          <w:snapToGrid w:val="0"/>
          <w:lang w:val="en-GB" w:eastAsia="en-US"/>
        </w:rPr>
        <w:t xml:space="preserve">. The PBAC noted that the submission had not attempted to place a value on the </w:t>
      </w:r>
      <w:r w:rsidR="00F2138C">
        <w:rPr>
          <w:snapToGrid w:val="0"/>
          <w:lang w:val="en-GB" w:eastAsia="en-US"/>
        </w:rPr>
        <w:t xml:space="preserve">benefit of </w:t>
      </w:r>
      <w:r w:rsidR="00891F81">
        <w:rPr>
          <w:snapToGrid w:val="0"/>
          <w:lang w:val="en-GB" w:eastAsia="en-US"/>
        </w:rPr>
        <w:t>the improvement in the BISF-W thoughts/d</w:t>
      </w:r>
      <w:r w:rsidR="00AD7CC9">
        <w:rPr>
          <w:snapToGrid w:val="0"/>
          <w:lang w:val="en-GB" w:eastAsia="en-US"/>
        </w:rPr>
        <w:t>esire d</w:t>
      </w:r>
      <w:r w:rsidR="00891F81">
        <w:rPr>
          <w:snapToGrid w:val="0"/>
          <w:lang w:val="en-GB" w:eastAsia="en-US"/>
        </w:rPr>
        <w:t xml:space="preserve">omain or the </w:t>
      </w:r>
      <w:r w:rsidR="00B62159">
        <w:rPr>
          <w:snapToGrid w:val="0"/>
          <w:lang w:val="en-GB" w:eastAsia="en-US"/>
        </w:rPr>
        <w:t>B</w:t>
      </w:r>
      <w:r w:rsidR="00891F81">
        <w:rPr>
          <w:snapToGrid w:val="0"/>
          <w:lang w:val="en-GB" w:eastAsia="en-US"/>
        </w:rPr>
        <w:t>IS</w:t>
      </w:r>
      <w:r w:rsidR="00FD0E4E">
        <w:rPr>
          <w:snapToGrid w:val="0"/>
          <w:lang w:val="en-GB" w:eastAsia="en-US"/>
        </w:rPr>
        <w:t>F-</w:t>
      </w:r>
      <w:r w:rsidR="00891F81">
        <w:rPr>
          <w:snapToGrid w:val="0"/>
          <w:lang w:val="en-GB" w:eastAsia="en-US"/>
        </w:rPr>
        <w:t>W total score over 12 weeks</w:t>
      </w:r>
      <w:r w:rsidR="009A3FD7">
        <w:rPr>
          <w:snapToGrid w:val="0"/>
          <w:lang w:val="en-GB" w:eastAsia="en-US"/>
        </w:rPr>
        <w:t xml:space="preserve">, </w:t>
      </w:r>
      <w:r w:rsidR="007F1255">
        <w:rPr>
          <w:snapToGrid w:val="0"/>
          <w:lang w:val="en-GB" w:eastAsia="en-US"/>
        </w:rPr>
        <w:t xml:space="preserve">and </w:t>
      </w:r>
      <w:r w:rsidR="009A3FD7">
        <w:rPr>
          <w:snapToGrid w:val="0"/>
          <w:lang w:val="en-GB" w:eastAsia="en-US"/>
        </w:rPr>
        <w:t xml:space="preserve">that </w:t>
      </w:r>
      <w:r w:rsidR="00FD0E4E">
        <w:rPr>
          <w:snapToGrid w:val="0"/>
          <w:lang w:val="en-GB" w:eastAsia="en-US"/>
        </w:rPr>
        <w:t xml:space="preserve">it was not clear whether the </w:t>
      </w:r>
      <w:r w:rsidR="008C0C4B">
        <w:rPr>
          <w:snapToGrid w:val="0"/>
          <w:lang w:val="en-GB" w:eastAsia="en-US"/>
        </w:rPr>
        <w:t xml:space="preserve">improvements </w:t>
      </w:r>
      <w:r w:rsidR="00FD0E4E">
        <w:rPr>
          <w:snapToGrid w:val="0"/>
          <w:lang w:val="en-GB" w:eastAsia="en-US"/>
        </w:rPr>
        <w:t xml:space="preserve">were clinically meaningful as </w:t>
      </w:r>
      <w:r w:rsidR="009A3FD7">
        <w:rPr>
          <w:snapToGrid w:val="0"/>
          <w:lang w:val="en-GB" w:eastAsia="en-US"/>
        </w:rPr>
        <w:t xml:space="preserve">a minimum clinically important difference had not been </w:t>
      </w:r>
      <w:r w:rsidR="004C17DA">
        <w:rPr>
          <w:snapToGrid w:val="0"/>
          <w:lang w:val="en-GB" w:eastAsia="en-US"/>
        </w:rPr>
        <w:t>defined</w:t>
      </w:r>
      <w:r w:rsidR="007F1255">
        <w:rPr>
          <w:snapToGrid w:val="0"/>
          <w:lang w:val="en-GB" w:eastAsia="en-US"/>
        </w:rPr>
        <w:t xml:space="preserve">. The PBAC further noted </w:t>
      </w:r>
      <w:r w:rsidR="00A65673">
        <w:rPr>
          <w:snapToGrid w:val="0"/>
          <w:lang w:val="en-GB" w:eastAsia="en-US"/>
        </w:rPr>
        <w:t xml:space="preserve">that </w:t>
      </w:r>
      <w:r w:rsidR="00E07A1C">
        <w:rPr>
          <w:snapToGrid w:val="0"/>
          <w:lang w:val="en-GB" w:eastAsia="en-US"/>
        </w:rPr>
        <w:t xml:space="preserve">the cost of treating adverse events </w:t>
      </w:r>
      <w:r w:rsidR="007F1255">
        <w:rPr>
          <w:snapToGrid w:val="0"/>
          <w:lang w:val="en-GB" w:eastAsia="en-US"/>
        </w:rPr>
        <w:t xml:space="preserve">associated with using testosterone </w:t>
      </w:r>
      <w:r w:rsidR="00E07A1C">
        <w:rPr>
          <w:snapToGrid w:val="0"/>
          <w:lang w:val="en-GB" w:eastAsia="en-US"/>
        </w:rPr>
        <w:t xml:space="preserve">and </w:t>
      </w:r>
      <w:r w:rsidR="007F1255">
        <w:rPr>
          <w:snapToGrid w:val="0"/>
          <w:lang w:val="en-GB" w:eastAsia="en-US"/>
        </w:rPr>
        <w:t xml:space="preserve">the cost of </w:t>
      </w:r>
      <w:r w:rsidR="00FC3A9C">
        <w:rPr>
          <w:snapToGrid w:val="0"/>
          <w:lang w:val="en-GB" w:eastAsia="en-US"/>
        </w:rPr>
        <w:t>monitoring</w:t>
      </w:r>
      <w:r w:rsidR="007F1255">
        <w:rPr>
          <w:snapToGrid w:val="0"/>
          <w:lang w:val="en-GB" w:eastAsia="en-US"/>
        </w:rPr>
        <w:t xml:space="preserve"> would be important for an economic analysis versus </w:t>
      </w:r>
      <w:r w:rsidR="00AC70C0">
        <w:rPr>
          <w:snapToGrid w:val="0"/>
          <w:lang w:val="en-GB" w:eastAsia="en-US"/>
        </w:rPr>
        <w:t>placebo</w:t>
      </w:r>
      <w:r w:rsidR="00FC3A9C">
        <w:rPr>
          <w:snapToGrid w:val="0"/>
          <w:lang w:val="en-GB" w:eastAsia="en-US"/>
        </w:rPr>
        <w:t xml:space="preserve">. </w:t>
      </w:r>
    </w:p>
    <w:p w14:paraId="52F38499" w14:textId="2BDD4879" w:rsidR="00CB0750" w:rsidRPr="007B69AF" w:rsidRDefault="00A933BD" w:rsidP="007B69AF">
      <w:pPr>
        <w:pStyle w:val="3-BodyText"/>
        <w:rPr>
          <w:rFonts w:eastAsia="Times New Roman" w:cs="Arial"/>
          <w:snapToGrid w:val="0"/>
          <w:szCs w:val="24"/>
          <w:lang w:val="en-GB" w:eastAsia="en-US"/>
        </w:rPr>
      </w:pPr>
      <w:r w:rsidRPr="007B69AF">
        <w:rPr>
          <w:snapToGrid w:val="0"/>
          <w:lang w:val="en-GB" w:eastAsia="en-US"/>
        </w:rPr>
        <w:lastRenderedPageBreak/>
        <w:t xml:space="preserve">The </w:t>
      </w:r>
      <w:r w:rsidR="00CB0750" w:rsidRPr="007B69AF">
        <w:rPr>
          <w:snapToGrid w:val="0"/>
          <w:lang w:val="en-GB" w:eastAsia="en-US"/>
        </w:rPr>
        <w:t>PBAC</w:t>
      </w:r>
      <w:r w:rsidRPr="007B69AF">
        <w:rPr>
          <w:snapToGrid w:val="0"/>
          <w:lang w:val="en-GB" w:eastAsia="en-US"/>
        </w:rPr>
        <w:t xml:space="preserve"> considered the financial estimates were underestimated and that there w</w:t>
      </w:r>
      <w:r w:rsidR="002C0A7D" w:rsidRPr="007B69AF">
        <w:rPr>
          <w:snapToGrid w:val="0"/>
          <w:lang w:val="en-GB" w:eastAsia="en-US"/>
        </w:rPr>
        <w:t>ould be</w:t>
      </w:r>
      <w:r w:rsidRPr="007B69AF">
        <w:rPr>
          <w:snapToGrid w:val="0"/>
          <w:lang w:val="en-GB" w:eastAsia="en-US"/>
        </w:rPr>
        <w:t xml:space="preserve"> a high risk of use outside the restriction</w:t>
      </w:r>
      <w:r w:rsidR="00CB0750" w:rsidRPr="007B69AF">
        <w:rPr>
          <w:snapToGrid w:val="0"/>
          <w:lang w:val="en-GB" w:eastAsia="en-US"/>
        </w:rPr>
        <w:t xml:space="preserve">. </w:t>
      </w:r>
      <w:r w:rsidR="00202FE9">
        <w:rPr>
          <w:snapToGrid w:val="0"/>
          <w:lang w:val="en-GB" w:eastAsia="en-US"/>
        </w:rPr>
        <w:t>T</w:t>
      </w:r>
      <w:r w:rsidR="00B50229" w:rsidRPr="007B69AF">
        <w:rPr>
          <w:snapToGrid w:val="0"/>
          <w:lang w:val="en-GB" w:eastAsia="en-US"/>
        </w:rPr>
        <w:t>he PBAC</w:t>
      </w:r>
      <w:r w:rsidR="00816D1B">
        <w:rPr>
          <w:snapToGrid w:val="0"/>
          <w:lang w:val="en-GB" w:eastAsia="en-US"/>
        </w:rPr>
        <w:t xml:space="preserve"> agreed with the DUSC</w:t>
      </w:r>
      <w:r w:rsidR="00B50229" w:rsidRPr="007B69AF">
        <w:rPr>
          <w:snapToGrid w:val="0"/>
          <w:lang w:val="en-GB" w:eastAsia="en-US"/>
        </w:rPr>
        <w:t xml:space="preserve"> that </w:t>
      </w:r>
      <w:r w:rsidR="00C76D9C">
        <w:t>that t</w:t>
      </w:r>
      <w:r w:rsidR="00B50229" w:rsidRPr="00E671A7">
        <w:t>he condition relies on psychosocial factors such as “distress”</w:t>
      </w:r>
      <w:r w:rsidR="007B69AF">
        <w:t>,</w:t>
      </w:r>
      <w:r w:rsidR="00B50229" w:rsidRPr="00E671A7">
        <w:t xml:space="preserve"> which is highly subjective. </w:t>
      </w:r>
      <w:r w:rsidR="007B69AF">
        <w:t>Further, t</w:t>
      </w:r>
      <w:r w:rsidR="00B50229" w:rsidRPr="00E671A7">
        <w:t>he screening test has a high risk of bias as it appears to be based on questions directing respondents to a desired outcome</w:t>
      </w:r>
      <w:r w:rsidR="00021720">
        <w:t xml:space="preserve"> </w:t>
      </w:r>
      <w:r w:rsidR="00B50229" w:rsidRPr="00E671A7">
        <w:t>and involved persuasive communication techniques.</w:t>
      </w:r>
    </w:p>
    <w:p w14:paraId="1323F411" w14:textId="518A297A" w:rsidR="00427948" w:rsidRPr="00021720" w:rsidRDefault="00427948" w:rsidP="00427948">
      <w:pPr>
        <w:pStyle w:val="3-BodyText"/>
        <w:rPr>
          <w:rFonts w:eastAsia="Times New Roman" w:cstheme="minorHAnsi"/>
          <w:szCs w:val="24"/>
          <w:lang w:eastAsia="en-US"/>
        </w:rPr>
      </w:pPr>
      <w:r w:rsidRPr="00021720">
        <w:rPr>
          <w:rFonts w:eastAsia="Times New Roman" w:cstheme="minorHAnsi"/>
          <w:szCs w:val="24"/>
          <w:lang w:eastAsia="en-US"/>
        </w:rPr>
        <w:t xml:space="preserve">The </w:t>
      </w:r>
      <w:r w:rsidR="005E395E">
        <w:rPr>
          <w:rFonts w:eastAsia="Times New Roman" w:cstheme="minorHAnsi"/>
          <w:szCs w:val="24"/>
          <w:lang w:eastAsia="en-US"/>
        </w:rPr>
        <w:t>PBAC considered the</w:t>
      </w:r>
      <w:r w:rsidR="00FD43E2">
        <w:rPr>
          <w:rFonts w:eastAsia="Times New Roman" w:cstheme="minorHAnsi"/>
          <w:szCs w:val="24"/>
          <w:lang w:eastAsia="en-US"/>
        </w:rPr>
        <w:t xml:space="preserve">re was insufficient </w:t>
      </w:r>
      <w:r w:rsidR="005E395E">
        <w:rPr>
          <w:rFonts w:eastAsia="Times New Roman" w:cstheme="minorHAnsi"/>
          <w:szCs w:val="24"/>
          <w:lang w:eastAsia="en-US"/>
        </w:rPr>
        <w:t xml:space="preserve">evidence </w:t>
      </w:r>
      <w:r w:rsidR="0078433B">
        <w:rPr>
          <w:rFonts w:eastAsia="Times New Roman" w:cstheme="minorHAnsi"/>
          <w:szCs w:val="24"/>
          <w:lang w:eastAsia="en-US"/>
        </w:rPr>
        <w:t>to</w:t>
      </w:r>
      <w:r w:rsidR="00796AAA">
        <w:rPr>
          <w:rFonts w:eastAsia="Times New Roman" w:cstheme="minorHAnsi"/>
          <w:szCs w:val="24"/>
          <w:lang w:eastAsia="en-US"/>
        </w:rPr>
        <w:t xml:space="preserve"> </w:t>
      </w:r>
      <w:r w:rsidR="00FD43E2">
        <w:rPr>
          <w:rFonts w:eastAsia="Times New Roman" w:cstheme="minorHAnsi"/>
          <w:szCs w:val="24"/>
          <w:lang w:eastAsia="en-US"/>
        </w:rPr>
        <w:t>support a</w:t>
      </w:r>
      <w:r w:rsidR="0078433B">
        <w:rPr>
          <w:rFonts w:eastAsia="Times New Roman" w:cstheme="minorHAnsi"/>
          <w:szCs w:val="24"/>
          <w:lang w:eastAsia="en-US"/>
        </w:rPr>
        <w:t xml:space="preserve"> </w:t>
      </w:r>
      <w:r w:rsidRPr="00021720">
        <w:rPr>
          <w:rFonts w:eastAsia="Times New Roman" w:cstheme="minorHAnsi"/>
          <w:szCs w:val="24"/>
          <w:lang w:eastAsia="en-US"/>
        </w:rPr>
        <w:t>resubmission.</w:t>
      </w:r>
    </w:p>
    <w:p w14:paraId="50EB790B" w14:textId="494546BD" w:rsidR="00CB0750" w:rsidRPr="00CB0750" w:rsidRDefault="00CB0750" w:rsidP="00E925EF">
      <w:pPr>
        <w:widowControl w:val="0"/>
        <w:numPr>
          <w:ilvl w:val="1"/>
          <w:numId w:val="1"/>
        </w:numPr>
        <w:spacing w:after="120"/>
        <w:jc w:val="left"/>
        <w:rPr>
          <w:rFonts w:asciiTheme="minorHAnsi" w:hAnsiTheme="minorHAnsi"/>
          <w:bCs/>
          <w:snapToGrid w:val="0"/>
          <w:lang w:val="en-GB" w:eastAsia="en-US"/>
        </w:rPr>
      </w:pPr>
      <w:r w:rsidRPr="00CB0750">
        <w:rPr>
          <w:rFonts w:asciiTheme="minorHAnsi" w:hAnsiTheme="minorHAnsi"/>
          <w:bCs/>
          <w:snapToGrid w:val="0"/>
          <w:lang w:val="en-GB" w:eastAsia="en-US"/>
        </w:rPr>
        <w:t xml:space="preserve">The PBAC noted that this submission is eligible for an Independent Review. </w:t>
      </w:r>
    </w:p>
    <w:p w14:paraId="748F6D7D" w14:textId="77777777" w:rsidR="00CB0750" w:rsidRPr="00CB0750" w:rsidRDefault="00CB0750" w:rsidP="00CB0750">
      <w:pPr>
        <w:spacing w:before="240"/>
        <w:rPr>
          <w:rFonts w:asciiTheme="minorHAnsi" w:hAnsiTheme="minorHAnsi"/>
          <w:b/>
          <w:bCs/>
          <w:snapToGrid w:val="0"/>
          <w:lang w:val="en-GB" w:eastAsia="en-US"/>
        </w:rPr>
      </w:pPr>
      <w:r w:rsidRPr="00CB0750">
        <w:rPr>
          <w:rFonts w:asciiTheme="minorHAnsi" w:hAnsiTheme="minorHAnsi"/>
          <w:b/>
          <w:bCs/>
          <w:snapToGrid w:val="0"/>
          <w:lang w:val="en-GB" w:eastAsia="en-US"/>
        </w:rPr>
        <w:t>Outcome:</w:t>
      </w:r>
    </w:p>
    <w:p w14:paraId="3D685417" w14:textId="6C9FF9B5" w:rsidR="00CB0750" w:rsidRDefault="00CB0750" w:rsidP="00CB0750">
      <w:pPr>
        <w:spacing w:after="120"/>
        <w:rPr>
          <w:rFonts w:asciiTheme="minorHAnsi" w:hAnsiTheme="minorHAnsi"/>
          <w:bCs/>
          <w:snapToGrid w:val="0"/>
          <w:lang w:val="en-GB" w:eastAsia="en-US"/>
        </w:rPr>
      </w:pPr>
      <w:r w:rsidRPr="00CB0750">
        <w:rPr>
          <w:rFonts w:asciiTheme="minorHAnsi" w:hAnsiTheme="minorHAnsi"/>
          <w:bCs/>
          <w:snapToGrid w:val="0"/>
          <w:lang w:val="en-GB" w:eastAsia="en-US"/>
        </w:rPr>
        <w:t>Not recommended</w:t>
      </w:r>
    </w:p>
    <w:p w14:paraId="3F8FC622" w14:textId="77777777" w:rsidR="00EB39D0" w:rsidRPr="00EB39D0" w:rsidRDefault="00EB39D0" w:rsidP="00EB39D0">
      <w:pPr>
        <w:keepNext/>
        <w:spacing w:before="240" w:after="120"/>
        <w:ind w:left="720" w:hanging="720"/>
        <w:jc w:val="left"/>
        <w:outlineLvl w:val="0"/>
        <w:rPr>
          <w:rFonts w:asciiTheme="minorHAnsi" w:hAnsiTheme="minorHAnsi"/>
          <w:b/>
          <w:bCs/>
          <w:snapToGrid w:val="0"/>
          <w:sz w:val="32"/>
          <w:szCs w:val="32"/>
          <w:lang w:val="en-GB"/>
        </w:rPr>
      </w:pPr>
      <w:bookmarkStart w:id="80" w:name="_Hlk219207652"/>
      <w:r w:rsidRPr="00EB39D0">
        <w:rPr>
          <w:rFonts w:asciiTheme="minorHAnsi" w:hAnsiTheme="minorHAnsi"/>
          <w:b/>
          <w:snapToGrid w:val="0"/>
          <w:sz w:val="32"/>
          <w:szCs w:val="32"/>
        </w:rPr>
        <w:t>9</w:t>
      </w:r>
      <w:r w:rsidRPr="00EB39D0">
        <w:rPr>
          <w:rFonts w:asciiTheme="minorHAnsi" w:hAnsiTheme="minorHAnsi"/>
          <w:b/>
          <w:snapToGrid w:val="0"/>
          <w:sz w:val="32"/>
          <w:szCs w:val="32"/>
        </w:rPr>
        <w:tab/>
        <w:t>Context for Decision</w:t>
      </w:r>
    </w:p>
    <w:p w14:paraId="09B0D2B5" w14:textId="77777777" w:rsidR="00EB39D0" w:rsidRPr="00EB39D0" w:rsidRDefault="00EB39D0" w:rsidP="00EB39D0">
      <w:pPr>
        <w:spacing w:after="120"/>
        <w:ind w:left="720"/>
        <w:rPr>
          <w:rFonts w:asciiTheme="minorHAnsi" w:hAnsiTheme="minorHAnsi"/>
          <w:bCs/>
          <w:lang w:val="en-GB"/>
        </w:rPr>
      </w:pPr>
      <w:r w:rsidRPr="00EB39D0">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F9020C0" w14:textId="77777777" w:rsidR="00EB39D0" w:rsidRPr="00EB39D0" w:rsidRDefault="00EB39D0" w:rsidP="00EB39D0">
      <w:pPr>
        <w:keepNext/>
        <w:spacing w:before="240" w:after="120"/>
        <w:ind w:left="720" w:hanging="720"/>
        <w:jc w:val="left"/>
        <w:outlineLvl w:val="0"/>
        <w:rPr>
          <w:rFonts w:asciiTheme="minorHAnsi" w:hAnsiTheme="minorHAnsi"/>
          <w:b/>
          <w:snapToGrid w:val="0"/>
          <w:sz w:val="32"/>
          <w:szCs w:val="32"/>
        </w:rPr>
      </w:pPr>
      <w:bookmarkStart w:id="81" w:name="_Hlk219207667"/>
      <w:bookmarkEnd w:id="80"/>
      <w:r w:rsidRPr="00EB39D0">
        <w:rPr>
          <w:rFonts w:asciiTheme="minorHAnsi" w:hAnsiTheme="minorHAnsi"/>
          <w:b/>
          <w:snapToGrid w:val="0"/>
          <w:sz w:val="32"/>
          <w:szCs w:val="32"/>
        </w:rPr>
        <w:t>10</w:t>
      </w:r>
      <w:r w:rsidRPr="00EB39D0">
        <w:rPr>
          <w:rFonts w:asciiTheme="minorHAnsi" w:hAnsiTheme="minorHAnsi"/>
          <w:b/>
          <w:snapToGrid w:val="0"/>
          <w:sz w:val="32"/>
          <w:szCs w:val="32"/>
        </w:rPr>
        <w:tab/>
        <w:t>Sponsor’s Comment</w:t>
      </w:r>
    </w:p>
    <w:p w14:paraId="7882800E" w14:textId="58CF59F3" w:rsidR="00EB39D0" w:rsidRPr="00EB39D0" w:rsidRDefault="00B02C18" w:rsidP="002F3D26">
      <w:pPr>
        <w:spacing w:after="120" w:line="276" w:lineRule="auto"/>
        <w:ind w:left="720"/>
        <w:rPr>
          <w:rFonts w:asciiTheme="minorHAnsi" w:eastAsiaTheme="minorHAnsi" w:hAnsiTheme="minorHAnsi"/>
          <w:bCs/>
          <w:szCs w:val="22"/>
          <w:lang w:eastAsia="en-US"/>
        </w:rPr>
      </w:pPr>
      <w:bookmarkStart w:id="82" w:name="_Hlk219207368"/>
      <w:r w:rsidRPr="00B02C18">
        <w:rPr>
          <w:rFonts w:asciiTheme="minorHAnsi" w:eastAsiaTheme="minorHAnsi" w:hAnsiTheme="minorHAnsi"/>
          <w:bCs/>
          <w:szCs w:val="22"/>
          <w:lang w:eastAsia="en-US"/>
        </w:rPr>
        <w:t xml:space="preserve">The Sponsor disagrees with the aspects of the factual basis, logic and rationale underpinning the PBAC's decision to not recommend PBS listing of </w:t>
      </w:r>
      <w:proofErr w:type="spellStart"/>
      <w:r w:rsidRPr="00B02C18">
        <w:rPr>
          <w:rFonts w:asciiTheme="minorHAnsi" w:eastAsiaTheme="minorHAnsi" w:hAnsiTheme="minorHAnsi"/>
          <w:bCs/>
          <w:szCs w:val="22"/>
          <w:lang w:eastAsia="en-US"/>
        </w:rPr>
        <w:t>AndroFeme</w:t>
      </w:r>
      <w:proofErr w:type="spellEnd"/>
      <w:r w:rsidRPr="00B02C18">
        <w:rPr>
          <w:rFonts w:asciiTheme="minorHAnsi" w:eastAsiaTheme="minorHAnsi" w:hAnsiTheme="minorHAnsi"/>
          <w:bCs/>
          <w:szCs w:val="22"/>
          <w:lang w:eastAsia="en-US"/>
        </w:rPr>
        <w:t xml:space="preserve"> 1.</w:t>
      </w:r>
    </w:p>
    <w:bookmarkEnd w:id="81"/>
    <w:bookmarkEnd w:id="82"/>
    <w:p w14:paraId="5C83749D" w14:textId="77777777" w:rsidR="00AD3B04" w:rsidRPr="00CB0750" w:rsidRDefault="00AD3B04" w:rsidP="00CB0750">
      <w:pPr>
        <w:spacing w:after="120"/>
        <w:rPr>
          <w:rFonts w:asciiTheme="minorHAnsi" w:hAnsiTheme="minorHAnsi"/>
          <w:bCs/>
          <w:snapToGrid w:val="0"/>
          <w:lang w:val="en-GB" w:eastAsia="en-US"/>
        </w:rPr>
      </w:pPr>
    </w:p>
    <w:bookmarkEnd w:id="78"/>
    <w:bookmarkEnd w:id="79"/>
    <w:p w14:paraId="666EBD9C" w14:textId="77777777" w:rsidR="00CB0750" w:rsidRPr="00CB0750" w:rsidRDefault="00CB0750" w:rsidP="00CB0750">
      <w:pPr>
        <w:widowControl w:val="0"/>
        <w:spacing w:after="120"/>
        <w:rPr>
          <w:rFonts w:asciiTheme="minorHAnsi" w:hAnsiTheme="minorHAnsi"/>
          <w:b/>
          <w:bCs/>
          <w:snapToGrid w:val="0"/>
          <w:lang w:eastAsia="en-US"/>
        </w:rPr>
      </w:pPr>
    </w:p>
    <w:sectPr w:rsidR="00CB0750" w:rsidRPr="00CB0750" w:rsidSect="007759F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4699E" w14:textId="77777777" w:rsidR="00D2145D" w:rsidRDefault="00D2145D" w:rsidP="00124A51">
      <w:r>
        <w:separator/>
      </w:r>
    </w:p>
    <w:p w14:paraId="3C94BA53" w14:textId="77777777" w:rsidR="00D2145D" w:rsidRDefault="00D2145D"/>
  </w:endnote>
  <w:endnote w:type="continuationSeparator" w:id="0">
    <w:p w14:paraId="57F19536" w14:textId="77777777" w:rsidR="00D2145D" w:rsidRDefault="00D2145D" w:rsidP="00124A51">
      <w:r>
        <w:continuationSeparator/>
      </w:r>
    </w:p>
    <w:p w14:paraId="69F626E9" w14:textId="77777777" w:rsidR="00D2145D" w:rsidRDefault="00D214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MS Gothic"/>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EDE0D" w14:textId="0B4F900A" w:rsidR="00AA4E72" w:rsidRDefault="000E01EC">
    <w:pPr>
      <w:pStyle w:val="Footer"/>
    </w:pPr>
    <w:r>
      <w:rPr>
        <w:noProof/>
      </w:rPr>
      <mc:AlternateContent>
        <mc:Choice Requires="wps">
          <w:drawing>
            <wp:anchor distT="0" distB="0" distL="0" distR="0" simplePos="0" relativeHeight="251663365" behindDoc="0" locked="0" layoutInCell="1" allowOverlap="1" wp14:anchorId="0655843C" wp14:editId="58CCF47A">
              <wp:simplePos x="635" y="635"/>
              <wp:positionH relativeFrom="page">
                <wp:align>center</wp:align>
              </wp:positionH>
              <wp:positionV relativeFrom="page">
                <wp:align>bottom</wp:align>
              </wp:positionV>
              <wp:extent cx="622300" cy="376555"/>
              <wp:effectExtent l="0" t="0" r="6350" b="0"/>
              <wp:wrapNone/>
              <wp:docPr id="205275048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4C85E38" w14:textId="55D35E30" w:rsidR="000E01EC" w:rsidRPr="000E01EC" w:rsidRDefault="000E01EC" w:rsidP="000E01EC">
                          <w:pPr>
                            <w:rPr>
                              <w:rFonts w:ascii="Aptos" w:eastAsia="Aptos" w:hAnsi="Aptos" w:cs="Aptos"/>
                              <w:noProof/>
                              <w:color w:val="FF0000"/>
                            </w:rPr>
                          </w:pPr>
                          <w:r w:rsidRPr="000E01E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55843C"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4C85E38" w14:textId="55D35E30" w:rsidR="000E01EC" w:rsidRPr="000E01EC" w:rsidRDefault="000E01EC" w:rsidP="000E01EC">
                    <w:pPr>
                      <w:rPr>
                        <w:rFonts w:ascii="Aptos" w:eastAsia="Aptos" w:hAnsi="Aptos" w:cs="Aptos"/>
                        <w:noProof/>
                        <w:color w:val="FF0000"/>
                      </w:rPr>
                    </w:pPr>
                    <w:r w:rsidRPr="000E01EC">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2CD67E07" w:rsidR="00D843F2" w:rsidRDefault="000E01EC" w:rsidP="00753B29">
    <w:pPr>
      <w:pStyle w:val="Footer"/>
      <w:jc w:val="center"/>
    </w:pPr>
    <w:r>
      <w:rPr>
        <w:noProof/>
      </w:rPr>
      <mc:AlternateContent>
        <mc:Choice Requires="wps">
          <w:drawing>
            <wp:anchor distT="0" distB="0" distL="0" distR="0" simplePos="0" relativeHeight="251664389" behindDoc="0" locked="0" layoutInCell="1" allowOverlap="1" wp14:anchorId="3BADAB7C" wp14:editId="45AE1AD3">
              <wp:simplePos x="635" y="635"/>
              <wp:positionH relativeFrom="page">
                <wp:align>center</wp:align>
              </wp:positionH>
              <wp:positionV relativeFrom="page">
                <wp:align>bottom</wp:align>
              </wp:positionV>
              <wp:extent cx="622300" cy="376555"/>
              <wp:effectExtent l="0" t="0" r="6350" b="0"/>
              <wp:wrapNone/>
              <wp:docPr id="86222349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464922" w14:textId="34706715" w:rsidR="000E01EC" w:rsidRPr="000E01EC" w:rsidRDefault="000E01EC" w:rsidP="000E01EC">
                          <w:pPr>
                            <w:rPr>
                              <w:rFonts w:ascii="Aptos" w:eastAsia="Aptos" w:hAnsi="Aptos" w:cs="Aptos"/>
                              <w:noProof/>
                              <w:color w:val="FF0000"/>
                            </w:rPr>
                          </w:pPr>
                          <w:r w:rsidRPr="000E01E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ADAB7C"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5464922" w14:textId="34706715" w:rsidR="000E01EC" w:rsidRPr="000E01EC" w:rsidRDefault="000E01EC" w:rsidP="000E01EC">
                    <w:pPr>
                      <w:rPr>
                        <w:rFonts w:ascii="Aptos" w:eastAsia="Aptos" w:hAnsi="Aptos" w:cs="Aptos"/>
                        <w:noProof/>
                        <w:color w:val="FF0000"/>
                      </w:rPr>
                    </w:pPr>
                    <w:r w:rsidRPr="000E01EC">
                      <w:rPr>
                        <w:rFonts w:ascii="Aptos" w:eastAsia="Aptos" w:hAnsi="Aptos" w:cs="Aptos"/>
                        <w:noProof/>
                        <w:color w:val="FF0000"/>
                      </w:rPr>
                      <w:t>OFFICIAL</w:t>
                    </w:r>
                  </w:p>
                </w:txbxContent>
              </v:textbox>
              <w10:wrap anchorx="page" anchory="page"/>
            </v:shape>
          </w:pict>
        </mc:Fallback>
      </mc:AlternateContent>
    </w:r>
  </w:p>
  <w:p w14:paraId="37484CD3" w14:textId="1B921EF4" w:rsidR="00D843F2" w:rsidRPr="007C1CD9" w:rsidRDefault="00374A89"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5573" w14:textId="72B43F97" w:rsidR="00AA4E72" w:rsidRDefault="000E01EC">
    <w:pPr>
      <w:pStyle w:val="Footer"/>
    </w:pPr>
    <w:r>
      <w:rPr>
        <w:noProof/>
      </w:rPr>
      <mc:AlternateContent>
        <mc:Choice Requires="wps">
          <w:drawing>
            <wp:anchor distT="0" distB="0" distL="0" distR="0" simplePos="0" relativeHeight="251662341" behindDoc="0" locked="0" layoutInCell="1" allowOverlap="1" wp14:anchorId="07F865B7" wp14:editId="6E2A49F5">
              <wp:simplePos x="635" y="635"/>
              <wp:positionH relativeFrom="page">
                <wp:align>center</wp:align>
              </wp:positionH>
              <wp:positionV relativeFrom="page">
                <wp:align>bottom</wp:align>
              </wp:positionV>
              <wp:extent cx="622300" cy="376555"/>
              <wp:effectExtent l="0" t="0" r="6350" b="0"/>
              <wp:wrapNone/>
              <wp:docPr id="140449480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4489AC" w14:textId="5662798E" w:rsidR="000E01EC" w:rsidRPr="000E01EC" w:rsidRDefault="000E01EC" w:rsidP="000E01EC">
                          <w:pPr>
                            <w:rPr>
                              <w:rFonts w:ascii="Aptos" w:eastAsia="Aptos" w:hAnsi="Aptos" w:cs="Aptos"/>
                              <w:noProof/>
                              <w:color w:val="FF0000"/>
                            </w:rPr>
                          </w:pPr>
                          <w:r w:rsidRPr="000E01E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F865B7"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6E4489AC" w14:textId="5662798E" w:rsidR="000E01EC" w:rsidRPr="000E01EC" w:rsidRDefault="000E01EC" w:rsidP="000E01EC">
                    <w:pPr>
                      <w:rPr>
                        <w:rFonts w:ascii="Aptos" w:eastAsia="Aptos" w:hAnsi="Aptos" w:cs="Aptos"/>
                        <w:noProof/>
                        <w:color w:val="FF0000"/>
                      </w:rPr>
                    </w:pPr>
                    <w:r w:rsidRPr="000E01EC">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A88AD" w14:textId="77777777" w:rsidR="00D2145D" w:rsidRDefault="00D2145D" w:rsidP="00124A51">
      <w:r>
        <w:separator/>
      </w:r>
    </w:p>
    <w:p w14:paraId="026A46D1" w14:textId="77777777" w:rsidR="00D2145D" w:rsidRDefault="00D2145D"/>
  </w:footnote>
  <w:footnote w:type="continuationSeparator" w:id="0">
    <w:p w14:paraId="198F35BB" w14:textId="77777777" w:rsidR="00D2145D" w:rsidRDefault="00D2145D" w:rsidP="00124A51">
      <w:r>
        <w:continuationSeparator/>
      </w:r>
    </w:p>
    <w:p w14:paraId="260D0739" w14:textId="77777777" w:rsidR="00D2145D" w:rsidRDefault="00D2145D"/>
  </w:footnote>
  <w:footnote w:id="1">
    <w:p w14:paraId="492B47FE" w14:textId="5BE60724" w:rsidR="005F22A5" w:rsidRPr="00BA7F7F" w:rsidRDefault="005F22A5">
      <w:pPr>
        <w:pStyle w:val="FootnoteText"/>
      </w:pPr>
      <w:r w:rsidRPr="00BA7F7F">
        <w:rPr>
          <w:rStyle w:val="FootnoteReference"/>
        </w:rPr>
        <w:footnoteRef/>
      </w:r>
      <w:r w:rsidRPr="00BA7F7F">
        <w:t xml:space="preserve"> Section 6 of the Therapeutic Goods Act 1989 provides for exemptions of therapeutic goods produced by natural persons (sole traders) from being included on the ARTG upon introduction of the Act.</w:t>
      </w:r>
    </w:p>
  </w:footnote>
  <w:footnote w:id="2">
    <w:p w14:paraId="66D1BF0B" w14:textId="189AFA4A" w:rsidR="00E15672" w:rsidRDefault="00E15672">
      <w:pPr>
        <w:pStyle w:val="FootnoteText"/>
      </w:pPr>
      <w:r>
        <w:rPr>
          <w:rStyle w:val="FootnoteReference"/>
        </w:rPr>
        <w:footnoteRef/>
      </w:r>
      <w:r>
        <w:t xml:space="preserve"> Available at: </w:t>
      </w:r>
      <w:hyperlink r:id="rId1" w:history="1">
        <w:r w:rsidRPr="00E15672">
          <w:rPr>
            <w:color w:val="0000FF"/>
            <w:u w:val="single"/>
          </w:rPr>
          <w:t>Issues related to menopause and perimenopause – Parliament of Australia</w:t>
        </w:r>
      </w:hyperlink>
    </w:p>
  </w:footnote>
  <w:footnote w:id="3">
    <w:p w14:paraId="0055E14F" w14:textId="3DF13D87" w:rsidR="00E44D45" w:rsidRPr="00E44D45" w:rsidRDefault="00E44D45" w:rsidP="00E44D45">
      <w:pPr>
        <w:pStyle w:val="FootnoteText"/>
      </w:pPr>
      <w:r>
        <w:rPr>
          <w:rStyle w:val="FootnoteReference"/>
        </w:rPr>
        <w:footnoteRef/>
      </w:r>
      <w:r>
        <w:t xml:space="preserve"> </w:t>
      </w:r>
      <w:proofErr w:type="spellStart"/>
      <w:r>
        <w:t>Dennerstein</w:t>
      </w:r>
      <w:proofErr w:type="spellEnd"/>
      <w:r>
        <w:t xml:space="preserve"> L, Dudley E, Burger H. </w:t>
      </w:r>
      <w:r w:rsidRPr="00E44D45">
        <w:t>Are changes in sexual functioning during</w:t>
      </w:r>
      <w:r>
        <w:t xml:space="preserve"> </w:t>
      </w:r>
      <w:r w:rsidRPr="00E44D45">
        <w:t>midlife due to aging or menopause?</w:t>
      </w:r>
      <w:r>
        <w:t xml:space="preserve"> </w:t>
      </w:r>
      <w:r w:rsidRPr="00947312">
        <w:rPr>
          <w:i/>
          <w:iCs/>
        </w:rPr>
        <w:t xml:space="preserve">Fertil </w:t>
      </w:r>
      <w:proofErr w:type="spellStart"/>
      <w:r w:rsidRPr="00947312">
        <w:rPr>
          <w:i/>
          <w:iCs/>
        </w:rPr>
        <w:t>Steril</w:t>
      </w:r>
      <w:proofErr w:type="spellEnd"/>
      <w:r>
        <w:t xml:space="preserve"> 2001; </w:t>
      </w:r>
      <w:r w:rsidR="00947312">
        <w:t xml:space="preserve">76:456-460. </w:t>
      </w:r>
    </w:p>
    <w:p w14:paraId="172F08EE" w14:textId="79B13BDC" w:rsidR="00E44D45" w:rsidRDefault="00E44D45">
      <w:pPr>
        <w:pStyle w:val="FootnoteText"/>
      </w:pPr>
    </w:p>
  </w:footnote>
  <w:footnote w:id="4">
    <w:p w14:paraId="111C5ED3" w14:textId="03038FE7" w:rsidR="00A5145E" w:rsidRPr="0010396F" w:rsidRDefault="00A5145E" w:rsidP="00A5145E">
      <w:pPr>
        <w:pStyle w:val="FootnoteText"/>
        <w:rPr>
          <w:b/>
          <w:bCs/>
          <w:lang w:val="de-DE"/>
        </w:rPr>
      </w:pPr>
      <w:r>
        <w:rPr>
          <w:rStyle w:val="FootnoteReference"/>
        </w:rPr>
        <w:footnoteRef/>
      </w:r>
      <w:r>
        <w:t xml:space="preserve"> Handelsman DJ, </w:t>
      </w:r>
      <w:proofErr w:type="spellStart"/>
      <w:r>
        <w:t>Sikaris</w:t>
      </w:r>
      <w:proofErr w:type="spellEnd"/>
      <w:r>
        <w:t xml:space="preserve"> K, Lam PL. </w:t>
      </w:r>
      <w:r w:rsidRPr="00A5145E">
        <w:t>Estimating age-specific trends in circulating testosterone and sex hormone-binding globulin in males and females across the lifespan</w:t>
      </w:r>
      <w:r>
        <w:t xml:space="preserve">. </w:t>
      </w:r>
      <w:r w:rsidRPr="0010396F">
        <w:rPr>
          <w:i/>
          <w:iCs/>
          <w:lang w:val="de-DE"/>
        </w:rPr>
        <w:t>Ann Clin Biochem</w:t>
      </w:r>
      <w:r w:rsidRPr="0010396F">
        <w:rPr>
          <w:lang w:val="de-DE"/>
        </w:rPr>
        <w:t xml:space="preserve"> 2015; 53:377-384. </w:t>
      </w:r>
    </w:p>
    <w:p w14:paraId="0E3977A6" w14:textId="086E6FAA" w:rsidR="00A5145E" w:rsidRPr="0010396F" w:rsidRDefault="00A5145E">
      <w:pPr>
        <w:pStyle w:val="FootnoteText"/>
        <w:rPr>
          <w:lang w:val="de-DE"/>
        </w:rPr>
      </w:pPr>
    </w:p>
  </w:footnote>
  <w:footnote w:id="5">
    <w:p w14:paraId="1F15A80B" w14:textId="59C114F1" w:rsidR="00EF1A6A" w:rsidRPr="00EF1A6A" w:rsidRDefault="00EF1A6A" w:rsidP="00EF1A6A">
      <w:pPr>
        <w:pStyle w:val="FootnoteText"/>
      </w:pPr>
      <w:r>
        <w:rPr>
          <w:rStyle w:val="FootnoteReference"/>
        </w:rPr>
        <w:footnoteRef/>
      </w:r>
      <w:r w:rsidRPr="0010396F">
        <w:rPr>
          <w:lang w:val="de-DE"/>
        </w:rPr>
        <w:t xml:space="preserve"> Davis </w:t>
      </w:r>
      <w:r w:rsidRPr="0010396F">
        <w:rPr>
          <w:lang w:val="de-DE"/>
        </w:rPr>
        <w:t xml:space="preserve">SR, Papalia MA, Norman RJ, et al. </w:t>
      </w:r>
      <w:r w:rsidRPr="00EF1A6A">
        <w:t>Safety and Efficacy of a Testosterone Metered-Dose Transdermal Spray for Treating Decreased Sexual Satisfaction in Premenopausal Women: A Randomized Trial</w:t>
      </w:r>
      <w:r>
        <w:t>. Ann Intern Med 2008; 148:569-577.</w:t>
      </w:r>
    </w:p>
    <w:p w14:paraId="1A92C886" w14:textId="50519113" w:rsidR="00EF1A6A" w:rsidRDefault="00EF1A6A">
      <w:pPr>
        <w:pStyle w:val="FootnoteText"/>
      </w:pPr>
    </w:p>
  </w:footnote>
  <w:footnote w:id="6">
    <w:p w14:paraId="5F78742E" w14:textId="55C63EB3" w:rsidR="00DB5630" w:rsidRDefault="00DB5630">
      <w:pPr>
        <w:pStyle w:val="FootnoteText"/>
      </w:pPr>
      <w:r>
        <w:rPr>
          <w:rStyle w:val="FootnoteReference"/>
        </w:rPr>
        <w:footnoteRef/>
      </w:r>
      <w:r>
        <w:t xml:space="preserve"> S</w:t>
      </w:r>
      <w:r w:rsidRPr="00DB5630">
        <w:t xml:space="preserve">ection 3.3.2 on p99 </w:t>
      </w:r>
      <w:r w:rsidR="00B82048">
        <w:t>quotes</w:t>
      </w:r>
      <w:r>
        <w:t xml:space="preserve"> figure</w:t>
      </w:r>
      <w:r w:rsidR="00B82048">
        <w:t>s</w:t>
      </w:r>
      <w:r>
        <w:t xml:space="preserve"> of 10%</w:t>
      </w:r>
      <w:r w:rsidR="00B82048">
        <w:t>, 5% and 3%</w:t>
      </w:r>
      <w:r>
        <w:t xml:space="preserve"> for </w:t>
      </w:r>
      <w:r w:rsidRPr="00DB5630">
        <w:t xml:space="preserve">the proportion of testosterone use by women </w:t>
      </w:r>
      <w:r w:rsidR="00B82048">
        <w:t>in the age groups</w:t>
      </w:r>
      <w:r w:rsidRPr="00DB5630">
        <w:t xml:space="preserve"> 41-45</w:t>
      </w:r>
      <w:r w:rsidR="00B82048">
        <w:t>, 46-50 and 51-55 respectively,</w:t>
      </w:r>
      <w:r>
        <w:t xml:space="preserve"> </w:t>
      </w:r>
      <w:r w:rsidRPr="00DB5630">
        <w:t xml:space="preserve">but </w:t>
      </w:r>
      <w:r w:rsidR="00B82048">
        <w:t>conflates</w:t>
      </w:r>
      <w:r w:rsidRPr="00DB5630">
        <w:t xml:space="preserve"> use by transgender men</w:t>
      </w:r>
      <w:r w:rsidR="00B82048">
        <w:t xml:space="preserve"> with use to treat HSDD. </w:t>
      </w:r>
    </w:p>
  </w:footnote>
  <w:footnote w:id="7">
    <w:p w14:paraId="6A5303A1" w14:textId="5932B5DF" w:rsidR="00B46D62" w:rsidRDefault="00B46D62" w:rsidP="00B46D62">
      <w:pPr>
        <w:pStyle w:val="FootnoteText"/>
      </w:pPr>
      <w:r>
        <w:rPr>
          <w:rStyle w:val="FootnoteReference"/>
        </w:rPr>
        <w:footnoteRef/>
      </w:r>
      <w:r>
        <w:t xml:space="preserve"> </w:t>
      </w:r>
      <w:r w:rsidRPr="00760ECE">
        <w:t xml:space="preserve">PBAC, Guidelines for preparing submissions to the Pharmaceutical Benefits Advisory Committee (Version </w:t>
      </w:r>
      <w:r w:rsidR="009B6E26">
        <w:t>5.0</w:t>
      </w:r>
      <w:r w:rsidRPr="00760ECE">
        <w:t xml:space="preserve">) </w:t>
      </w:r>
      <w:r w:rsidR="000E0C0F">
        <w:t xml:space="preserve">Section 1.1.3, </w:t>
      </w:r>
      <w:r w:rsidRPr="00760ECE">
        <w:t>July 201</w:t>
      </w:r>
      <w:r w:rsidR="000E0C0F">
        <w:t>6</w:t>
      </w:r>
      <w:r w:rsidRPr="00760ECE">
        <w:t>.</w:t>
      </w:r>
    </w:p>
  </w:footnote>
  <w:footnote w:id="8">
    <w:p w14:paraId="1E613734" w14:textId="0DD19136" w:rsidR="00A4311F" w:rsidRDefault="00A4311F">
      <w:pPr>
        <w:pStyle w:val="FootnoteText"/>
      </w:pPr>
      <w:r>
        <w:rPr>
          <w:rStyle w:val="FootnoteReference"/>
        </w:rPr>
        <w:footnoteRef/>
      </w:r>
      <w:r>
        <w:t xml:space="preserve"> </w:t>
      </w:r>
      <w:r w:rsidRPr="00A4311F">
        <w:t>Pyke</w:t>
      </w:r>
      <w:r>
        <w:t xml:space="preserve"> RE.</w:t>
      </w:r>
      <w:r w:rsidRPr="00A4311F">
        <w:t xml:space="preserve"> FDA </w:t>
      </w:r>
      <w:r>
        <w:t>d</w:t>
      </w:r>
      <w:r w:rsidRPr="00A4311F">
        <w:t xml:space="preserve">ecisions on </w:t>
      </w:r>
      <w:r>
        <w:t>m</w:t>
      </w:r>
      <w:r w:rsidRPr="00A4311F">
        <w:t xml:space="preserve">easures of Hypoactive Sexual Desire Disorder in </w:t>
      </w:r>
      <w:r>
        <w:t>w</w:t>
      </w:r>
      <w:r w:rsidRPr="00A4311F">
        <w:t xml:space="preserve">omen: A </w:t>
      </w:r>
      <w:r>
        <w:t>h</w:t>
      </w:r>
      <w:r w:rsidRPr="00A4311F">
        <w:t xml:space="preserve">istory, with </w:t>
      </w:r>
      <w:r>
        <w:t>g</w:t>
      </w:r>
      <w:r w:rsidRPr="00A4311F">
        <w:t xml:space="preserve">rounds to </w:t>
      </w:r>
      <w:r>
        <w:t>c</w:t>
      </w:r>
      <w:r w:rsidRPr="00A4311F">
        <w:t xml:space="preserve">onsider </w:t>
      </w:r>
      <w:r>
        <w:t>c</w:t>
      </w:r>
      <w:r w:rsidRPr="00A4311F">
        <w:t xml:space="preserve">linical </w:t>
      </w:r>
      <w:r>
        <w:t>j</w:t>
      </w:r>
      <w:r w:rsidRPr="00A4311F">
        <w:t>udgment</w:t>
      </w:r>
      <w:r>
        <w:t>.</w:t>
      </w:r>
      <w:r w:rsidRPr="00A4311F">
        <w:t xml:space="preserve"> </w:t>
      </w:r>
      <w:r w:rsidRPr="00A4311F">
        <w:rPr>
          <w:i/>
          <w:iCs/>
        </w:rPr>
        <w:t>Sexual Medicine Reviews</w:t>
      </w:r>
      <w:r>
        <w:t xml:space="preserve"> </w:t>
      </w:r>
      <w:r w:rsidRPr="00A4311F">
        <w:t>2021</w:t>
      </w:r>
      <w:r>
        <w:t>; 9:1</w:t>
      </w:r>
      <w:r w:rsidRPr="00A4311F">
        <w:t>86–193</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33F8" w14:textId="79FDDB87" w:rsidR="00AA4E72" w:rsidRDefault="000E01EC">
    <w:pPr>
      <w:pStyle w:val="Header"/>
    </w:pPr>
    <w:r>
      <w:rPr>
        <w:noProof/>
      </w:rPr>
      <mc:AlternateContent>
        <mc:Choice Requires="wps">
          <w:drawing>
            <wp:anchor distT="0" distB="0" distL="0" distR="0" simplePos="0" relativeHeight="251660293" behindDoc="0" locked="0" layoutInCell="1" allowOverlap="1" wp14:anchorId="1ADBBABD" wp14:editId="1B7C616F">
              <wp:simplePos x="635" y="635"/>
              <wp:positionH relativeFrom="page">
                <wp:align>center</wp:align>
              </wp:positionH>
              <wp:positionV relativeFrom="page">
                <wp:align>top</wp:align>
              </wp:positionV>
              <wp:extent cx="622300" cy="376555"/>
              <wp:effectExtent l="0" t="0" r="6350" b="4445"/>
              <wp:wrapNone/>
              <wp:docPr id="7580928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C83BF9" w14:textId="0DB18D03" w:rsidR="000E01EC" w:rsidRPr="000E01EC" w:rsidRDefault="000E01EC" w:rsidP="000E01EC">
                          <w:pPr>
                            <w:rPr>
                              <w:rFonts w:ascii="Aptos" w:eastAsia="Aptos" w:hAnsi="Aptos" w:cs="Aptos"/>
                              <w:noProof/>
                              <w:color w:val="FF0000"/>
                            </w:rPr>
                          </w:pPr>
                          <w:r w:rsidRPr="000E01E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DBBABD"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5C83BF9" w14:textId="0DB18D03" w:rsidR="000E01EC" w:rsidRPr="000E01EC" w:rsidRDefault="000E01EC" w:rsidP="000E01EC">
                    <w:pPr>
                      <w:rPr>
                        <w:rFonts w:ascii="Aptos" w:eastAsia="Aptos" w:hAnsi="Aptos" w:cs="Aptos"/>
                        <w:noProof/>
                        <w:color w:val="FF0000"/>
                      </w:rPr>
                    </w:pPr>
                    <w:r w:rsidRPr="000E01EC">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170447A9" w:rsidR="00D843F2" w:rsidRPr="004E5735" w:rsidRDefault="000E01EC" w:rsidP="00AD3B04">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61317" behindDoc="0" locked="0" layoutInCell="1" allowOverlap="1" wp14:anchorId="1A3DCC2E" wp14:editId="207E8282">
              <wp:simplePos x="635" y="635"/>
              <wp:positionH relativeFrom="page">
                <wp:align>center</wp:align>
              </wp:positionH>
              <wp:positionV relativeFrom="page">
                <wp:align>top</wp:align>
              </wp:positionV>
              <wp:extent cx="622300" cy="376555"/>
              <wp:effectExtent l="0" t="0" r="6350" b="4445"/>
              <wp:wrapNone/>
              <wp:docPr id="113629528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C98846" w14:textId="197DBD8C" w:rsidR="000E01EC" w:rsidRPr="000E01EC" w:rsidRDefault="000E01EC" w:rsidP="000E01EC">
                          <w:pPr>
                            <w:rPr>
                              <w:rFonts w:ascii="Aptos" w:eastAsia="Aptos" w:hAnsi="Aptos" w:cs="Aptos"/>
                              <w:noProof/>
                              <w:color w:val="FF0000"/>
                            </w:rPr>
                          </w:pPr>
                          <w:r w:rsidRPr="000E01E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3DCC2E"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47C98846" w14:textId="197DBD8C" w:rsidR="000E01EC" w:rsidRPr="000E01EC" w:rsidRDefault="000E01EC" w:rsidP="000E01EC">
                    <w:pPr>
                      <w:rPr>
                        <w:rFonts w:ascii="Aptos" w:eastAsia="Aptos" w:hAnsi="Aptos" w:cs="Aptos"/>
                        <w:noProof/>
                        <w:color w:val="FF0000"/>
                      </w:rPr>
                    </w:pPr>
                    <w:r w:rsidRPr="000E01EC">
                      <w:rPr>
                        <w:rFonts w:ascii="Aptos" w:eastAsia="Aptos" w:hAnsi="Aptos" w:cs="Aptos"/>
                        <w:noProof/>
                        <w:color w:val="FF0000"/>
                      </w:rPr>
                      <w:t>OFFICIAL</w:t>
                    </w:r>
                  </w:p>
                </w:txbxContent>
              </v:textbox>
              <w10:wrap anchorx="page" anchory="page"/>
            </v:shape>
          </w:pict>
        </mc:Fallback>
      </mc:AlternateContent>
    </w:r>
    <w:r w:rsidR="00AD3B04">
      <w:rPr>
        <w:rFonts w:asciiTheme="minorHAnsi" w:hAnsiTheme="minorHAnsi"/>
        <w:color w:val="808080"/>
      </w:rPr>
      <w:t xml:space="preserve">Public Summary Document – </w:t>
    </w:r>
    <w:r w:rsidR="00FF4897">
      <w:rPr>
        <w:rFonts w:asciiTheme="minorHAnsi" w:hAnsiTheme="minorHAnsi"/>
        <w:color w:val="808080"/>
      </w:rPr>
      <w:t>November</w:t>
    </w:r>
    <w:r w:rsidR="00D843F2">
      <w:rPr>
        <w:rFonts w:asciiTheme="minorHAnsi" w:hAnsiTheme="minorHAnsi"/>
        <w:color w:val="808080"/>
      </w:rPr>
      <w:t xml:space="preserve"> 202</w:t>
    </w:r>
    <w:r w:rsidR="00A60AF6">
      <w:rPr>
        <w:rFonts w:asciiTheme="minorHAnsi" w:hAnsiTheme="minorHAnsi"/>
        <w:color w:val="808080"/>
      </w:rPr>
      <w:t>5</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rsidP="00504BE9">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52FD" w14:textId="2B4372BD" w:rsidR="00AA4E72" w:rsidRDefault="000E01EC">
    <w:pPr>
      <w:pStyle w:val="Header"/>
    </w:pPr>
    <w:r>
      <w:rPr>
        <w:noProof/>
      </w:rPr>
      <mc:AlternateContent>
        <mc:Choice Requires="wps">
          <w:drawing>
            <wp:anchor distT="0" distB="0" distL="0" distR="0" simplePos="0" relativeHeight="251659269" behindDoc="0" locked="0" layoutInCell="1" allowOverlap="1" wp14:anchorId="559578E7" wp14:editId="4CE05163">
              <wp:simplePos x="635" y="635"/>
              <wp:positionH relativeFrom="page">
                <wp:align>center</wp:align>
              </wp:positionH>
              <wp:positionV relativeFrom="page">
                <wp:align>top</wp:align>
              </wp:positionV>
              <wp:extent cx="622300" cy="376555"/>
              <wp:effectExtent l="0" t="0" r="6350" b="4445"/>
              <wp:wrapNone/>
              <wp:docPr id="145021185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3ED491" w14:textId="546D6C02" w:rsidR="000E01EC" w:rsidRPr="000E01EC" w:rsidRDefault="000E01EC" w:rsidP="000E01EC">
                          <w:pPr>
                            <w:rPr>
                              <w:rFonts w:ascii="Aptos" w:eastAsia="Aptos" w:hAnsi="Aptos" w:cs="Aptos"/>
                              <w:noProof/>
                              <w:color w:val="FF0000"/>
                            </w:rPr>
                          </w:pPr>
                          <w:r w:rsidRPr="000E01E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9578E7"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B3ED491" w14:textId="546D6C02" w:rsidR="000E01EC" w:rsidRPr="000E01EC" w:rsidRDefault="000E01EC" w:rsidP="000E01EC">
                    <w:pPr>
                      <w:rPr>
                        <w:rFonts w:ascii="Aptos" w:eastAsia="Aptos" w:hAnsi="Aptos" w:cs="Aptos"/>
                        <w:noProof/>
                        <w:color w:val="FF0000"/>
                      </w:rPr>
                    </w:pPr>
                    <w:r w:rsidRPr="000E01EC">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125331"/>
    <w:multiLevelType w:val="multilevel"/>
    <w:tmpl w:val="44E2F61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223FBE"/>
    <w:multiLevelType w:val="hybridMultilevel"/>
    <w:tmpl w:val="5492F386"/>
    <w:lvl w:ilvl="0" w:tplc="F780809C">
      <w:start w:val="1"/>
      <w:numFmt w:val="bullet"/>
      <w:lvlText w:val=""/>
      <w:lvlJc w:val="left"/>
      <w:pPr>
        <w:ind w:left="720" w:hanging="360"/>
      </w:pPr>
      <w:rPr>
        <w:rFonts w:ascii="Symbol" w:hAnsi="Symbol"/>
      </w:rPr>
    </w:lvl>
    <w:lvl w:ilvl="1" w:tplc="7482011C">
      <w:start w:val="1"/>
      <w:numFmt w:val="bullet"/>
      <w:lvlText w:val=""/>
      <w:lvlJc w:val="left"/>
      <w:pPr>
        <w:ind w:left="720" w:hanging="360"/>
      </w:pPr>
      <w:rPr>
        <w:rFonts w:ascii="Symbol" w:hAnsi="Symbol"/>
      </w:rPr>
    </w:lvl>
    <w:lvl w:ilvl="2" w:tplc="E2E4E204">
      <w:start w:val="1"/>
      <w:numFmt w:val="bullet"/>
      <w:lvlText w:val=""/>
      <w:lvlJc w:val="left"/>
      <w:pPr>
        <w:ind w:left="720" w:hanging="360"/>
      </w:pPr>
      <w:rPr>
        <w:rFonts w:ascii="Symbol" w:hAnsi="Symbol"/>
      </w:rPr>
    </w:lvl>
    <w:lvl w:ilvl="3" w:tplc="39C494BE">
      <w:start w:val="1"/>
      <w:numFmt w:val="bullet"/>
      <w:lvlText w:val=""/>
      <w:lvlJc w:val="left"/>
      <w:pPr>
        <w:ind w:left="720" w:hanging="360"/>
      </w:pPr>
      <w:rPr>
        <w:rFonts w:ascii="Symbol" w:hAnsi="Symbol"/>
      </w:rPr>
    </w:lvl>
    <w:lvl w:ilvl="4" w:tplc="A494553A">
      <w:start w:val="1"/>
      <w:numFmt w:val="bullet"/>
      <w:lvlText w:val=""/>
      <w:lvlJc w:val="left"/>
      <w:pPr>
        <w:ind w:left="720" w:hanging="360"/>
      </w:pPr>
      <w:rPr>
        <w:rFonts w:ascii="Symbol" w:hAnsi="Symbol"/>
      </w:rPr>
    </w:lvl>
    <w:lvl w:ilvl="5" w:tplc="F5381E46">
      <w:start w:val="1"/>
      <w:numFmt w:val="bullet"/>
      <w:lvlText w:val=""/>
      <w:lvlJc w:val="left"/>
      <w:pPr>
        <w:ind w:left="720" w:hanging="360"/>
      </w:pPr>
      <w:rPr>
        <w:rFonts w:ascii="Symbol" w:hAnsi="Symbol"/>
      </w:rPr>
    </w:lvl>
    <w:lvl w:ilvl="6" w:tplc="E2DA43E2">
      <w:start w:val="1"/>
      <w:numFmt w:val="bullet"/>
      <w:lvlText w:val=""/>
      <w:lvlJc w:val="left"/>
      <w:pPr>
        <w:ind w:left="720" w:hanging="360"/>
      </w:pPr>
      <w:rPr>
        <w:rFonts w:ascii="Symbol" w:hAnsi="Symbol"/>
      </w:rPr>
    </w:lvl>
    <w:lvl w:ilvl="7" w:tplc="92A090D8">
      <w:start w:val="1"/>
      <w:numFmt w:val="bullet"/>
      <w:lvlText w:val=""/>
      <w:lvlJc w:val="left"/>
      <w:pPr>
        <w:ind w:left="720" w:hanging="360"/>
      </w:pPr>
      <w:rPr>
        <w:rFonts w:ascii="Symbol" w:hAnsi="Symbol"/>
      </w:rPr>
    </w:lvl>
    <w:lvl w:ilvl="8" w:tplc="2154DDA2">
      <w:start w:val="1"/>
      <w:numFmt w:val="bullet"/>
      <w:lvlText w:val=""/>
      <w:lvlJc w:val="left"/>
      <w:pPr>
        <w:ind w:left="720" w:hanging="360"/>
      </w:pPr>
      <w:rPr>
        <w:rFonts w:ascii="Symbol" w:hAnsi="Symbol"/>
      </w:rPr>
    </w:lvl>
  </w:abstractNum>
  <w:abstractNum w:abstractNumId="4"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6D2667"/>
    <w:multiLevelType w:val="hybridMultilevel"/>
    <w:tmpl w:val="017C6E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2C52CD"/>
    <w:multiLevelType w:val="hybridMultilevel"/>
    <w:tmpl w:val="5990576A"/>
    <w:lvl w:ilvl="0" w:tplc="11E263AA">
      <w:start w:val="1"/>
      <w:numFmt w:val="lowerLetter"/>
      <w:lvlText w:val="%1."/>
      <w:lvlJc w:val="left"/>
      <w:pPr>
        <w:ind w:left="786" w:hanging="360"/>
      </w:pPr>
      <w:rPr>
        <w:rFonts w:hint="default"/>
      </w:rPr>
    </w:lvl>
    <w:lvl w:ilvl="1" w:tplc="1B90C1EE">
      <w:start w:val="1"/>
      <w:numFmt w:val="lowerLetter"/>
      <w:lvlText w:val="%2."/>
      <w:lvlJc w:val="left"/>
      <w:pPr>
        <w:ind w:left="1506" w:hanging="360"/>
      </w:pPr>
    </w:lvl>
    <w:lvl w:ilvl="2" w:tplc="3B6E6AA8">
      <w:start w:val="1"/>
      <w:numFmt w:val="lowerRoman"/>
      <w:lvlText w:val="%3."/>
      <w:lvlJc w:val="right"/>
      <w:pPr>
        <w:ind w:left="2226" w:hanging="180"/>
      </w:pPr>
    </w:lvl>
    <w:lvl w:ilvl="3" w:tplc="3F4CD96E">
      <w:start w:val="1"/>
      <w:numFmt w:val="decimal"/>
      <w:lvlText w:val="%4."/>
      <w:lvlJc w:val="left"/>
      <w:pPr>
        <w:ind w:left="2946" w:hanging="360"/>
      </w:pPr>
    </w:lvl>
    <w:lvl w:ilvl="4" w:tplc="CF2EA45A">
      <w:start w:val="1"/>
      <w:numFmt w:val="lowerLetter"/>
      <w:lvlText w:val="%5."/>
      <w:lvlJc w:val="left"/>
      <w:pPr>
        <w:ind w:left="3666" w:hanging="360"/>
      </w:pPr>
    </w:lvl>
    <w:lvl w:ilvl="5" w:tplc="8A2C4FC0">
      <w:start w:val="1"/>
      <w:numFmt w:val="lowerRoman"/>
      <w:lvlText w:val="%6."/>
      <w:lvlJc w:val="right"/>
      <w:pPr>
        <w:ind w:left="4386" w:hanging="180"/>
      </w:pPr>
    </w:lvl>
    <w:lvl w:ilvl="6" w:tplc="0368149A">
      <w:start w:val="1"/>
      <w:numFmt w:val="decimal"/>
      <w:lvlText w:val="%7."/>
      <w:lvlJc w:val="left"/>
      <w:pPr>
        <w:ind w:left="5106" w:hanging="360"/>
      </w:pPr>
    </w:lvl>
    <w:lvl w:ilvl="7" w:tplc="AE6CF394">
      <w:start w:val="1"/>
      <w:numFmt w:val="lowerLetter"/>
      <w:lvlText w:val="%8."/>
      <w:lvlJc w:val="left"/>
      <w:pPr>
        <w:ind w:left="5826" w:hanging="360"/>
      </w:pPr>
    </w:lvl>
    <w:lvl w:ilvl="8" w:tplc="0FFA5870">
      <w:start w:val="1"/>
      <w:numFmt w:val="lowerRoman"/>
      <w:lvlText w:val="%9."/>
      <w:lvlJc w:val="right"/>
      <w:pPr>
        <w:ind w:left="6546" w:hanging="180"/>
      </w:pPr>
    </w:lvl>
  </w:abstractNum>
  <w:abstractNum w:abstractNumId="9"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AD24913"/>
    <w:multiLevelType w:val="hybridMultilevel"/>
    <w:tmpl w:val="3FD2BDE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DE95F0F"/>
    <w:multiLevelType w:val="hybridMultilevel"/>
    <w:tmpl w:val="36F4B2C8"/>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15:restartNumberingAfterBreak="0">
    <w:nsid w:val="3F7953BA"/>
    <w:multiLevelType w:val="hybridMultilevel"/>
    <w:tmpl w:val="9B5C846C"/>
    <w:lvl w:ilvl="0" w:tplc="0C090003">
      <w:start w:val="1"/>
      <w:numFmt w:val="bullet"/>
      <w:lvlText w:val="o"/>
      <w:lvlJc w:val="left"/>
      <w:pPr>
        <w:ind w:left="1797" w:hanging="360"/>
      </w:pPr>
      <w:rPr>
        <w:rFonts w:ascii="Courier New" w:hAnsi="Courier New" w:cs="Courier New"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4761D8"/>
    <w:multiLevelType w:val="hybridMultilevel"/>
    <w:tmpl w:val="82961A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C51020F"/>
    <w:multiLevelType w:val="hybridMultilevel"/>
    <w:tmpl w:val="4A0AB3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B13EBA"/>
    <w:multiLevelType w:val="hybridMultilevel"/>
    <w:tmpl w:val="B1C44F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932628"/>
    <w:multiLevelType w:val="hybridMultilevel"/>
    <w:tmpl w:val="1B389B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2103E1B"/>
    <w:multiLevelType w:val="multilevel"/>
    <w:tmpl w:val="44E2F61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95F2785"/>
    <w:multiLevelType w:val="multilevel"/>
    <w:tmpl w:val="44E2F61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AFA3C06"/>
    <w:multiLevelType w:val="hybridMultilevel"/>
    <w:tmpl w:val="7EBA0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84D033C"/>
    <w:multiLevelType w:val="multilevel"/>
    <w:tmpl w:val="4926A33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bullet"/>
      <w:lvlText w:val="o"/>
      <w:lvlJc w:val="left"/>
      <w:pPr>
        <w:ind w:left="360" w:hanging="360"/>
      </w:pPr>
      <w:rPr>
        <w:rFonts w:ascii="Courier New" w:hAnsi="Courier New" w:cs="Courier New"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25"/>
  </w:num>
  <w:num w:numId="2" w16cid:durableId="917793048">
    <w:abstractNumId w:val="13"/>
  </w:num>
  <w:num w:numId="3" w16cid:durableId="263461728">
    <w:abstractNumId w:val="0"/>
  </w:num>
  <w:num w:numId="4" w16cid:durableId="1863592879">
    <w:abstractNumId w:val="4"/>
  </w:num>
  <w:num w:numId="5" w16cid:durableId="139346788">
    <w:abstractNumId w:val="26"/>
  </w:num>
  <w:num w:numId="6" w16cid:durableId="220360847">
    <w:abstractNumId w:val="21"/>
  </w:num>
  <w:num w:numId="7" w16cid:durableId="268196418">
    <w:abstractNumId w:val="9"/>
  </w:num>
  <w:num w:numId="8" w16cid:durableId="1048839230">
    <w:abstractNumId w:val="25"/>
  </w:num>
  <w:num w:numId="9" w16cid:durableId="1694109783">
    <w:abstractNumId w:val="5"/>
  </w:num>
  <w:num w:numId="10" w16cid:durableId="1039236302">
    <w:abstractNumId w:val="11"/>
  </w:num>
  <w:num w:numId="11" w16cid:durableId="1422290055">
    <w:abstractNumId w:val="12"/>
  </w:num>
  <w:num w:numId="12" w16cid:durableId="1616210839">
    <w:abstractNumId w:val="14"/>
  </w:num>
  <w:num w:numId="13" w16cid:durableId="1203133458">
    <w:abstractNumId w:val="8"/>
  </w:num>
  <w:num w:numId="14" w16cid:durableId="56245253">
    <w:abstractNumId w:val="17"/>
  </w:num>
  <w:num w:numId="15" w16cid:durableId="1935935042">
    <w:abstractNumId w:val="10"/>
  </w:num>
  <w:num w:numId="16" w16cid:durableId="1459957988">
    <w:abstractNumId w:val="18"/>
  </w:num>
  <w:num w:numId="17" w16cid:durableId="106317229">
    <w:abstractNumId w:val="15"/>
  </w:num>
  <w:num w:numId="18" w16cid:durableId="885995925">
    <w:abstractNumId w:val="23"/>
  </w:num>
  <w:num w:numId="19" w16cid:durableId="408699874">
    <w:abstractNumId w:val="16"/>
  </w:num>
  <w:num w:numId="20" w16cid:durableId="1569418770">
    <w:abstractNumId w:val="2"/>
  </w:num>
  <w:num w:numId="21" w16cid:durableId="1979457665">
    <w:abstractNumId w:val="7"/>
  </w:num>
  <w:num w:numId="22" w16cid:durableId="2038313566">
    <w:abstractNumId w:val="6"/>
  </w:num>
  <w:num w:numId="23" w16cid:durableId="129744317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997201">
    <w:abstractNumId w:val="24"/>
  </w:num>
  <w:num w:numId="25" w16cid:durableId="379869504">
    <w:abstractNumId w:val="3"/>
  </w:num>
  <w:num w:numId="26" w16cid:durableId="1411198272">
    <w:abstractNumId w:val="1"/>
  </w:num>
  <w:num w:numId="27" w16cid:durableId="1499341127">
    <w:abstractNumId w:val="20"/>
  </w:num>
  <w:num w:numId="28" w16cid:durableId="1079593057">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C03"/>
    <w:rsid w:val="0000110B"/>
    <w:rsid w:val="0000154F"/>
    <w:rsid w:val="00001983"/>
    <w:rsid w:val="00001D05"/>
    <w:rsid w:val="000021AB"/>
    <w:rsid w:val="0000231F"/>
    <w:rsid w:val="00002BB5"/>
    <w:rsid w:val="000030BC"/>
    <w:rsid w:val="00003185"/>
    <w:rsid w:val="00003499"/>
    <w:rsid w:val="000039B7"/>
    <w:rsid w:val="000056B9"/>
    <w:rsid w:val="000057D4"/>
    <w:rsid w:val="00005E6C"/>
    <w:rsid w:val="0000639A"/>
    <w:rsid w:val="00012E24"/>
    <w:rsid w:val="00013247"/>
    <w:rsid w:val="00013E46"/>
    <w:rsid w:val="00015638"/>
    <w:rsid w:val="00015886"/>
    <w:rsid w:val="00015A69"/>
    <w:rsid w:val="000162EF"/>
    <w:rsid w:val="00016962"/>
    <w:rsid w:val="0001727D"/>
    <w:rsid w:val="000178C0"/>
    <w:rsid w:val="000207C9"/>
    <w:rsid w:val="00020D13"/>
    <w:rsid w:val="00020D70"/>
    <w:rsid w:val="00021720"/>
    <w:rsid w:val="00022206"/>
    <w:rsid w:val="0002225F"/>
    <w:rsid w:val="00022D06"/>
    <w:rsid w:val="00023448"/>
    <w:rsid w:val="00023763"/>
    <w:rsid w:val="00023A9B"/>
    <w:rsid w:val="00024506"/>
    <w:rsid w:val="00024EB5"/>
    <w:rsid w:val="00024FA6"/>
    <w:rsid w:val="0002574A"/>
    <w:rsid w:val="000263F4"/>
    <w:rsid w:val="000274B8"/>
    <w:rsid w:val="000301BF"/>
    <w:rsid w:val="00030EF4"/>
    <w:rsid w:val="00030F10"/>
    <w:rsid w:val="00032B63"/>
    <w:rsid w:val="00033863"/>
    <w:rsid w:val="000339F6"/>
    <w:rsid w:val="0003478B"/>
    <w:rsid w:val="00035DC0"/>
    <w:rsid w:val="00036554"/>
    <w:rsid w:val="00036829"/>
    <w:rsid w:val="00036FC9"/>
    <w:rsid w:val="000406FF"/>
    <w:rsid w:val="00040895"/>
    <w:rsid w:val="000410A0"/>
    <w:rsid w:val="000412F0"/>
    <w:rsid w:val="000417B0"/>
    <w:rsid w:val="00041B75"/>
    <w:rsid w:val="000424AE"/>
    <w:rsid w:val="000435EE"/>
    <w:rsid w:val="00043C37"/>
    <w:rsid w:val="00045017"/>
    <w:rsid w:val="00045A2B"/>
    <w:rsid w:val="00045A70"/>
    <w:rsid w:val="000468AD"/>
    <w:rsid w:val="0004698F"/>
    <w:rsid w:val="00046D64"/>
    <w:rsid w:val="000508C2"/>
    <w:rsid w:val="00050B2A"/>
    <w:rsid w:val="00051A4A"/>
    <w:rsid w:val="00051F50"/>
    <w:rsid w:val="00052A89"/>
    <w:rsid w:val="0005305F"/>
    <w:rsid w:val="000539D0"/>
    <w:rsid w:val="00053DFA"/>
    <w:rsid w:val="00053FDB"/>
    <w:rsid w:val="00054376"/>
    <w:rsid w:val="00054621"/>
    <w:rsid w:val="000546D7"/>
    <w:rsid w:val="00054A8D"/>
    <w:rsid w:val="0005588D"/>
    <w:rsid w:val="0005643A"/>
    <w:rsid w:val="00056ECF"/>
    <w:rsid w:val="000571E0"/>
    <w:rsid w:val="000604DF"/>
    <w:rsid w:val="00060645"/>
    <w:rsid w:val="000620CA"/>
    <w:rsid w:val="00062324"/>
    <w:rsid w:val="00062B86"/>
    <w:rsid w:val="00062E20"/>
    <w:rsid w:val="00063C3C"/>
    <w:rsid w:val="00064DEA"/>
    <w:rsid w:val="000653B5"/>
    <w:rsid w:val="00066360"/>
    <w:rsid w:val="000669F4"/>
    <w:rsid w:val="00066AF8"/>
    <w:rsid w:val="00067EEC"/>
    <w:rsid w:val="00071248"/>
    <w:rsid w:val="000720B9"/>
    <w:rsid w:val="00072426"/>
    <w:rsid w:val="000737F7"/>
    <w:rsid w:val="0007403D"/>
    <w:rsid w:val="000760C5"/>
    <w:rsid w:val="0007672F"/>
    <w:rsid w:val="00076B54"/>
    <w:rsid w:val="00076CA7"/>
    <w:rsid w:val="000774F0"/>
    <w:rsid w:val="000806BF"/>
    <w:rsid w:val="00080909"/>
    <w:rsid w:val="000809BE"/>
    <w:rsid w:val="00080E07"/>
    <w:rsid w:val="00080F11"/>
    <w:rsid w:val="000812CA"/>
    <w:rsid w:val="0008178D"/>
    <w:rsid w:val="00081DA4"/>
    <w:rsid w:val="00081E63"/>
    <w:rsid w:val="00081FDF"/>
    <w:rsid w:val="00082366"/>
    <w:rsid w:val="0008258D"/>
    <w:rsid w:val="000828C3"/>
    <w:rsid w:val="000830E1"/>
    <w:rsid w:val="000835F8"/>
    <w:rsid w:val="00083D69"/>
    <w:rsid w:val="00083E99"/>
    <w:rsid w:val="00084FA8"/>
    <w:rsid w:val="0008525C"/>
    <w:rsid w:val="000856C5"/>
    <w:rsid w:val="00085A1F"/>
    <w:rsid w:val="00085C31"/>
    <w:rsid w:val="00085E73"/>
    <w:rsid w:val="00087359"/>
    <w:rsid w:val="00087487"/>
    <w:rsid w:val="000879EB"/>
    <w:rsid w:val="000902D9"/>
    <w:rsid w:val="00090BD0"/>
    <w:rsid w:val="00090C7E"/>
    <w:rsid w:val="000911AC"/>
    <w:rsid w:val="00092600"/>
    <w:rsid w:val="0009262B"/>
    <w:rsid w:val="00092C0B"/>
    <w:rsid w:val="00093310"/>
    <w:rsid w:val="0009357B"/>
    <w:rsid w:val="00093815"/>
    <w:rsid w:val="00093CFE"/>
    <w:rsid w:val="00094240"/>
    <w:rsid w:val="000942F1"/>
    <w:rsid w:val="0009445C"/>
    <w:rsid w:val="00095200"/>
    <w:rsid w:val="0009528A"/>
    <w:rsid w:val="00095A16"/>
    <w:rsid w:val="00095FE5"/>
    <w:rsid w:val="00096284"/>
    <w:rsid w:val="00096DE7"/>
    <w:rsid w:val="000971A6"/>
    <w:rsid w:val="00097E43"/>
    <w:rsid w:val="000A0C23"/>
    <w:rsid w:val="000A1342"/>
    <w:rsid w:val="000A1BC0"/>
    <w:rsid w:val="000A1CD8"/>
    <w:rsid w:val="000A2F9E"/>
    <w:rsid w:val="000A3315"/>
    <w:rsid w:val="000A3E47"/>
    <w:rsid w:val="000A47BD"/>
    <w:rsid w:val="000A522B"/>
    <w:rsid w:val="000A5235"/>
    <w:rsid w:val="000A5896"/>
    <w:rsid w:val="000A5BB1"/>
    <w:rsid w:val="000A6039"/>
    <w:rsid w:val="000A63A6"/>
    <w:rsid w:val="000A6778"/>
    <w:rsid w:val="000A73BC"/>
    <w:rsid w:val="000A7453"/>
    <w:rsid w:val="000A7D08"/>
    <w:rsid w:val="000A7EA4"/>
    <w:rsid w:val="000B00B8"/>
    <w:rsid w:val="000B0121"/>
    <w:rsid w:val="000B0670"/>
    <w:rsid w:val="000B0E75"/>
    <w:rsid w:val="000B1424"/>
    <w:rsid w:val="000B1EDE"/>
    <w:rsid w:val="000B2DCB"/>
    <w:rsid w:val="000B34FD"/>
    <w:rsid w:val="000B4058"/>
    <w:rsid w:val="000B4588"/>
    <w:rsid w:val="000B4600"/>
    <w:rsid w:val="000B581B"/>
    <w:rsid w:val="000B5A4D"/>
    <w:rsid w:val="000B5CE0"/>
    <w:rsid w:val="000B6188"/>
    <w:rsid w:val="000B6CAC"/>
    <w:rsid w:val="000B7612"/>
    <w:rsid w:val="000B78AE"/>
    <w:rsid w:val="000C00ED"/>
    <w:rsid w:val="000C0DD5"/>
    <w:rsid w:val="000C1FEC"/>
    <w:rsid w:val="000C39AB"/>
    <w:rsid w:val="000C3DF9"/>
    <w:rsid w:val="000C4403"/>
    <w:rsid w:val="000C4CF2"/>
    <w:rsid w:val="000C66D7"/>
    <w:rsid w:val="000C6713"/>
    <w:rsid w:val="000C7B25"/>
    <w:rsid w:val="000D052A"/>
    <w:rsid w:val="000D05B7"/>
    <w:rsid w:val="000D1BFC"/>
    <w:rsid w:val="000D1D5D"/>
    <w:rsid w:val="000D281A"/>
    <w:rsid w:val="000D281C"/>
    <w:rsid w:val="000D2848"/>
    <w:rsid w:val="000D2962"/>
    <w:rsid w:val="000D326A"/>
    <w:rsid w:val="000D392A"/>
    <w:rsid w:val="000D3CB8"/>
    <w:rsid w:val="000D3CF6"/>
    <w:rsid w:val="000D4223"/>
    <w:rsid w:val="000D4308"/>
    <w:rsid w:val="000D4929"/>
    <w:rsid w:val="000D4C56"/>
    <w:rsid w:val="000D51FB"/>
    <w:rsid w:val="000D5CB4"/>
    <w:rsid w:val="000D63E2"/>
    <w:rsid w:val="000D696C"/>
    <w:rsid w:val="000D73EB"/>
    <w:rsid w:val="000D7E3B"/>
    <w:rsid w:val="000D7EA0"/>
    <w:rsid w:val="000E006F"/>
    <w:rsid w:val="000E01EC"/>
    <w:rsid w:val="000E0640"/>
    <w:rsid w:val="000E072C"/>
    <w:rsid w:val="000E0C0F"/>
    <w:rsid w:val="000E135D"/>
    <w:rsid w:val="000E18BE"/>
    <w:rsid w:val="000E1943"/>
    <w:rsid w:val="000E1F82"/>
    <w:rsid w:val="000E20BB"/>
    <w:rsid w:val="000E5A0C"/>
    <w:rsid w:val="000E6741"/>
    <w:rsid w:val="000E6B03"/>
    <w:rsid w:val="000E7815"/>
    <w:rsid w:val="000F00BA"/>
    <w:rsid w:val="000F070D"/>
    <w:rsid w:val="000F0B55"/>
    <w:rsid w:val="000F0B89"/>
    <w:rsid w:val="000F0E51"/>
    <w:rsid w:val="000F0FC3"/>
    <w:rsid w:val="000F1524"/>
    <w:rsid w:val="000F17D6"/>
    <w:rsid w:val="000F26C1"/>
    <w:rsid w:val="000F2823"/>
    <w:rsid w:val="000F316A"/>
    <w:rsid w:val="000F3A15"/>
    <w:rsid w:val="000F3A91"/>
    <w:rsid w:val="000F3C74"/>
    <w:rsid w:val="000F3EC6"/>
    <w:rsid w:val="000F4BB8"/>
    <w:rsid w:val="000F4FA9"/>
    <w:rsid w:val="000F53FB"/>
    <w:rsid w:val="000F5420"/>
    <w:rsid w:val="000F5630"/>
    <w:rsid w:val="000F56A3"/>
    <w:rsid w:val="000F59F2"/>
    <w:rsid w:val="000F5AFA"/>
    <w:rsid w:val="000F5E53"/>
    <w:rsid w:val="000F6024"/>
    <w:rsid w:val="000F65F0"/>
    <w:rsid w:val="000F6F73"/>
    <w:rsid w:val="000F7127"/>
    <w:rsid w:val="000F74DF"/>
    <w:rsid w:val="000F7B54"/>
    <w:rsid w:val="000F7C7F"/>
    <w:rsid w:val="001000AE"/>
    <w:rsid w:val="001000B3"/>
    <w:rsid w:val="00100AAA"/>
    <w:rsid w:val="00100B42"/>
    <w:rsid w:val="00100F8A"/>
    <w:rsid w:val="00101423"/>
    <w:rsid w:val="00101495"/>
    <w:rsid w:val="001021C3"/>
    <w:rsid w:val="001021F5"/>
    <w:rsid w:val="001033C5"/>
    <w:rsid w:val="0010396F"/>
    <w:rsid w:val="001039A7"/>
    <w:rsid w:val="00103AFA"/>
    <w:rsid w:val="00103B67"/>
    <w:rsid w:val="00103EE1"/>
    <w:rsid w:val="00103F1A"/>
    <w:rsid w:val="001044EF"/>
    <w:rsid w:val="0010452E"/>
    <w:rsid w:val="00105AE2"/>
    <w:rsid w:val="001060C6"/>
    <w:rsid w:val="00106147"/>
    <w:rsid w:val="001069E7"/>
    <w:rsid w:val="00106B80"/>
    <w:rsid w:val="00107851"/>
    <w:rsid w:val="0011032E"/>
    <w:rsid w:val="001104DF"/>
    <w:rsid w:val="001117F6"/>
    <w:rsid w:val="00111CF4"/>
    <w:rsid w:val="00112E51"/>
    <w:rsid w:val="0011348B"/>
    <w:rsid w:val="0011359E"/>
    <w:rsid w:val="00114DB9"/>
    <w:rsid w:val="0011517D"/>
    <w:rsid w:val="00115982"/>
    <w:rsid w:val="00115B0A"/>
    <w:rsid w:val="00115D6F"/>
    <w:rsid w:val="0011656D"/>
    <w:rsid w:val="00116C53"/>
    <w:rsid w:val="00121799"/>
    <w:rsid w:val="001222FC"/>
    <w:rsid w:val="0012248D"/>
    <w:rsid w:val="0012366C"/>
    <w:rsid w:val="00123902"/>
    <w:rsid w:val="00124A51"/>
    <w:rsid w:val="001250B1"/>
    <w:rsid w:val="00126621"/>
    <w:rsid w:val="00126A05"/>
    <w:rsid w:val="00126B1D"/>
    <w:rsid w:val="0012733E"/>
    <w:rsid w:val="00127D3D"/>
    <w:rsid w:val="00127DEA"/>
    <w:rsid w:val="00127ED5"/>
    <w:rsid w:val="001301E9"/>
    <w:rsid w:val="00130E47"/>
    <w:rsid w:val="00130EA7"/>
    <w:rsid w:val="00131C42"/>
    <w:rsid w:val="00131D82"/>
    <w:rsid w:val="001324D4"/>
    <w:rsid w:val="001325CD"/>
    <w:rsid w:val="00132B22"/>
    <w:rsid w:val="00133427"/>
    <w:rsid w:val="00133A38"/>
    <w:rsid w:val="00133C0A"/>
    <w:rsid w:val="00133C1E"/>
    <w:rsid w:val="00133D36"/>
    <w:rsid w:val="0013457E"/>
    <w:rsid w:val="00134F2E"/>
    <w:rsid w:val="00135D10"/>
    <w:rsid w:val="00137645"/>
    <w:rsid w:val="0013766B"/>
    <w:rsid w:val="0014015A"/>
    <w:rsid w:val="001401CA"/>
    <w:rsid w:val="00140E99"/>
    <w:rsid w:val="001410A0"/>
    <w:rsid w:val="00141388"/>
    <w:rsid w:val="0014143E"/>
    <w:rsid w:val="00141CCC"/>
    <w:rsid w:val="00142398"/>
    <w:rsid w:val="00143536"/>
    <w:rsid w:val="00143F67"/>
    <w:rsid w:val="00143FE9"/>
    <w:rsid w:val="00144724"/>
    <w:rsid w:val="00144EA9"/>
    <w:rsid w:val="00144FA0"/>
    <w:rsid w:val="00145234"/>
    <w:rsid w:val="00145540"/>
    <w:rsid w:val="001456B0"/>
    <w:rsid w:val="001456B1"/>
    <w:rsid w:val="00146EB8"/>
    <w:rsid w:val="001474A4"/>
    <w:rsid w:val="00147B90"/>
    <w:rsid w:val="00150EDB"/>
    <w:rsid w:val="001510B7"/>
    <w:rsid w:val="00151BAD"/>
    <w:rsid w:val="00151DB7"/>
    <w:rsid w:val="001523A8"/>
    <w:rsid w:val="001544EB"/>
    <w:rsid w:val="001547AB"/>
    <w:rsid w:val="00154A5E"/>
    <w:rsid w:val="00154CA7"/>
    <w:rsid w:val="0015500B"/>
    <w:rsid w:val="00155043"/>
    <w:rsid w:val="0015551D"/>
    <w:rsid w:val="001559AF"/>
    <w:rsid w:val="0015678E"/>
    <w:rsid w:val="00156F8F"/>
    <w:rsid w:val="00157130"/>
    <w:rsid w:val="001576B1"/>
    <w:rsid w:val="00157B46"/>
    <w:rsid w:val="001603D5"/>
    <w:rsid w:val="0016047B"/>
    <w:rsid w:val="00160A4C"/>
    <w:rsid w:val="00160B13"/>
    <w:rsid w:val="001611DE"/>
    <w:rsid w:val="00161520"/>
    <w:rsid w:val="00161996"/>
    <w:rsid w:val="00162913"/>
    <w:rsid w:val="00163809"/>
    <w:rsid w:val="00163EFF"/>
    <w:rsid w:val="00163F66"/>
    <w:rsid w:val="0016478E"/>
    <w:rsid w:val="00164ECC"/>
    <w:rsid w:val="00165617"/>
    <w:rsid w:val="00165EC4"/>
    <w:rsid w:val="001661FB"/>
    <w:rsid w:val="00166CC2"/>
    <w:rsid w:val="00166EEB"/>
    <w:rsid w:val="001671A0"/>
    <w:rsid w:val="00167300"/>
    <w:rsid w:val="0016767F"/>
    <w:rsid w:val="00167894"/>
    <w:rsid w:val="00167B03"/>
    <w:rsid w:val="00167C6A"/>
    <w:rsid w:val="00170394"/>
    <w:rsid w:val="001703D5"/>
    <w:rsid w:val="00170786"/>
    <w:rsid w:val="0017179B"/>
    <w:rsid w:val="00171A66"/>
    <w:rsid w:val="00173481"/>
    <w:rsid w:val="00173565"/>
    <w:rsid w:val="00173B07"/>
    <w:rsid w:val="00173FEA"/>
    <w:rsid w:val="001751FA"/>
    <w:rsid w:val="00176A15"/>
    <w:rsid w:val="00176AA7"/>
    <w:rsid w:val="001777A3"/>
    <w:rsid w:val="00177B46"/>
    <w:rsid w:val="00181C10"/>
    <w:rsid w:val="00181D9C"/>
    <w:rsid w:val="00181E5E"/>
    <w:rsid w:val="00182AA4"/>
    <w:rsid w:val="00182C28"/>
    <w:rsid w:val="0018327E"/>
    <w:rsid w:val="001837FF"/>
    <w:rsid w:val="00184270"/>
    <w:rsid w:val="00184B0E"/>
    <w:rsid w:val="00187437"/>
    <w:rsid w:val="0018752F"/>
    <w:rsid w:val="0018773B"/>
    <w:rsid w:val="00187A95"/>
    <w:rsid w:val="001901B2"/>
    <w:rsid w:val="00190BA8"/>
    <w:rsid w:val="00190F68"/>
    <w:rsid w:val="00192EC1"/>
    <w:rsid w:val="00193417"/>
    <w:rsid w:val="0019373F"/>
    <w:rsid w:val="00193838"/>
    <w:rsid w:val="00194923"/>
    <w:rsid w:val="00194A65"/>
    <w:rsid w:val="00194AD8"/>
    <w:rsid w:val="00195222"/>
    <w:rsid w:val="00195452"/>
    <w:rsid w:val="00195A89"/>
    <w:rsid w:val="00196535"/>
    <w:rsid w:val="00197029"/>
    <w:rsid w:val="001975D8"/>
    <w:rsid w:val="001977F6"/>
    <w:rsid w:val="00197A1A"/>
    <w:rsid w:val="001A04C3"/>
    <w:rsid w:val="001A1091"/>
    <w:rsid w:val="001A1288"/>
    <w:rsid w:val="001A178E"/>
    <w:rsid w:val="001A3687"/>
    <w:rsid w:val="001A3CC2"/>
    <w:rsid w:val="001A43FA"/>
    <w:rsid w:val="001A47C5"/>
    <w:rsid w:val="001A47F5"/>
    <w:rsid w:val="001A5333"/>
    <w:rsid w:val="001A59FB"/>
    <w:rsid w:val="001A5B55"/>
    <w:rsid w:val="001A5B6D"/>
    <w:rsid w:val="001A5E9E"/>
    <w:rsid w:val="001A6354"/>
    <w:rsid w:val="001A6366"/>
    <w:rsid w:val="001A6469"/>
    <w:rsid w:val="001A6DC8"/>
    <w:rsid w:val="001A76D7"/>
    <w:rsid w:val="001A7A66"/>
    <w:rsid w:val="001A7AE8"/>
    <w:rsid w:val="001A7C47"/>
    <w:rsid w:val="001B0802"/>
    <w:rsid w:val="001B1161"/>
    <w:rsid w:val="001B2027"/>
    <w:rsid w:val="001B204E"/>
    <w:rsid w:val="001B21F3"/>
    <w:rsid w:val="001B2372"/>
    <w:rsid w:val="001B27A2"/>
    <w:rsid w:val="001B33D5"/>
    <w:rsid w:val="001B3443"/>
    <w:rsid w:val="001B3C51"/>
    <w:rsid w:val="001B485D"/>
    <w:rsid w:val="001B4D20"/>
    <w:rsid w:val="001B5DDC"/>
    <w:rsid w:val="001B63E0"/>
    <w:rsid w:val="001B6418"/>
    <w:rsid w:val="001B6EF8"/>
    <w:rsid w:val="001B7A34"/>
    <w:rsid w:val="001B7F84"/>
    <w:rsid w:val="001C01CF"/>
    <w:rsid w:val="001C149A"/>
    <w:rsid w:val="001C2A9B"/>
    <w:rsid w:val="001C3DD6"/>
    <w:rsid w:val="001C4299"/>
    <w:rsid w:val="001C460E"/>
    <w:rsid w:val="001C4874"/>
    <w:rsid w:val="001C58F7"/>
    <w:rsid w:val="001C5F94"/>
    <w:rsid w:val="001C6688"/>
    <w:rsid w:val="001C6E66"/>
    <w:rsid w:val="001C7354"/>
    <w:rsid w:val="001D00D5"/>
    <w:rsid w:val="001D03ED"/>
    <w:rsid w:val="001D0528"/>
    <w:rsid w:val="001D0551"/>
    <w:rsid w:val="001D1100"/>
    <w:rsid w:val="001D1391"/>
    <w:rsid w:val="001D14B3"/>
    <w:rsid w:val="001D161C"/>
    <w:rsid w:val="001D22DB"/>
    <w:rsid w:val="001D25D7"/>
    <w:rsid w:val="001D31D8"/>
    <w:rsid w:val="001D3625"/>
    <w:rsid w:val="001D419E"/>
    <w:rsid w:val="001D466F"/>
    <w:rsid w:val="001D46CA"/>
    <w:rsid w:val="001D4915"/>
    <w:rsid w:val="001D4C71"/>
    <w:rsid w:val="001D50B2"/>
    <w:rsid w:val="001D54A5"/>
    <w:rsid w:val="001D643E"/>
    <w:rsid w:val="001D71F4"/>
    <w:rsid w:val="001D740B"/>
    <w:rsid w:val="001D7645"/>
    <w:rsid w:val="001D77F3"/>
    <w:rsid w:val="001E06E9"/>
    <w:rsid w:val="001E0A62"/>
    <w:rsid w:val="001E1C69"/>
    <w:rsid w:val="001E1E86"/>
    <w:rsid w:val="001E1F93"/>
    <w:rsid w:val="001E238E"/>
    <w:rsid w:val="001E2483"/>
    <w:rsid w:val="001E2B1E"/>
    <w:rsid w:val="001E2C44"/>
    <w:rsid w:val="001E2CFF"/>
    <w:rsid w:val="001E2F24"/>
    <w:rsid w:val="001E30D4"/>
    <w:rsid w:val="001E34DF"/>
    <w:rsid w:val="001E3E9B"/>
    <w:rsid w:val="001E3EF9"/>
    <w:rsid w:val="001E42D3"/>
    <w:rsid w:val="001E4315"/>
    <w:rsid w:val="001E52EB"/>
    <w:rsid w:val="001E61D2"/>
    <w:rsid w:val="001E66AB"/>
    <w:rsid w:val="001E6E8A"/>
    <w:rsid w:val="001E740C"/>
    <w:rsid w:val="001F075A"/>
    <w:rsid w:val="001F1235"/>
    <w:rsid w:val="001F1CB3"/>
    <w:rsid w:val="001F2EAD"/>
    <w:rsid w:val="001F38B5"/>
    <w:rsid w:val="001F4081"/>
    <w:rsid w:val="001F491B"/>
    <w:rsid w:val="001F4DC2"/>
    <w:rsid w:val="001F63AA"/>
    <w:rsid w:val="001F6650"/>
    <w:rsid w:val="001F6663"/>
    <w:rsid w:val="001F717E"/>
    <w:rsid w:val="001F7361"/>
    <w:rsid w:val="001F799D"/>
    <w:rsid w:val="001F7AAF"/>
    <w:rsid w:val="001F7B8D"/>
    <w:rsid w:val="00200032"/>
    <w:rsid w:val="00201135"/>
    <w:rsid w:val="002011B0"/>
    <w:rsid w:val="00202118"/>
    <w:rsid w:val="002027F7"/>
    <w:rsid w:val="00202832"/>
    <w:rsid w:val="00202FE9"/>
    <w:rsid w:val="00203181"/>
    <w:rsid w:val="00203783"/>
    <w:rsid w:val="0020385F"/>
    <w:rsid w:val="00204C5F"/>
    <w:rsid w:val="00205018"/>
    <w:rsid w:val="002052FD"/>
    <w:rsid w:val="00205BC2"/>
    <w:rsid w:val="002065B0"/>
    <w:rsid w:val="002066CE"/>
    <w:rsid w:val="002068A0"/>
    <w:rsid w:val="00207021"/>
    <w:rsid w:val="0020732F"/>
    <w:rsid w:val="00207D00"/>
    <w:rsid w:val="002105B2"/>
    <w:rsid w:val="002105C1"/>
    <w:rsid w:val="00210A5B"/>
    <w:rsid w:val="00210A60"/>
    <w:rsid w:val="00210CD3"/>
    <w:rsid w:val="00211190"/>
    <w:rsid w:val="002116FD"/>
    <w:rsid w:val="002117DC"/>
    <w:rsid w:val="002118E0"/>
    <w:rsid w:val="00211A4F"/>
    <w:rsid w:val="0021262D"/>
    <w:rsid w:val="00212709"/>
    <w:rsid w:val="00213783"/>
    <w:rsid w:val="00213EF5"/>
    <w:rsid w:val="002144FD"/>
    <w:rsid w:val="002149A2"/>
    <w:rsid w:val="00216297"/>
    <w:rsid w:val="00216BF5"/>
    <w:rsid w:val="002177F8"/>
    <w:rsid w:val="00222EFA"/>
    <w:rsid w:val="00223404"/>
    <w:rsid w:val="00223B49"/>
    <w:rsid w:val="00223D5A"/>
    <w:rsid w:val="00224DD4"/>
    <w:rsid w:val="0022506B"/>
    <w:rsid w:val="002258D2"/>
    <w:rsid w:val="00225FC0"/>
    <w:rsid w:val="002278A0"/>
    <w:rsid w:val="002279D3"/>
    <w:rsid w:val="00230188"/>
    <w:rsid w:val="002309CC"/>
    <w:rsid w:val="00230B5A"/>
    <w:rsid w:val="00231608"/>
    <w:rsid w:val="00231BA9"/>
    <w:rsid w:val="0023209F"/>
    <w:rsid w:val="002329DA"/>
    <w:rsid w:val="00232AD4"/>
    <w:rsid w:val="00233615"/>
    <w:rsid w:val="00233B6D"/>
    <w:rsid w:val="00233C01"/>
    <w:rsid w:val="0023413C"/>
    <w:rsid w:val="002346F0"/>
    <w:rsid w:val="00234F5A"/>
    <w:rsid w:val="00235395"/>
    <w:rsid w:val="002354BF"/>
    <w:rsid w:val="002356A5"/>
    <w:rsid w:val="002357AD"/>
    <w:rsid w:val="0023629D"/>
    <w:rsid w:val="00236597"/>
    <w:rsid w:val="00236603"/>
    <w:rsid w:val="00236A80"/>
    <w:rsid w:val="00237255"/>
    <w:rsid w:val="00240FCA"/>
    <w:rsid w:val="0024119E"/>
    <w:rsid w:val="00241D23"/>
    <w:rsid w:val="0024218D"/>
    <w:rsid w:val="002421AC"/>
    <w:rsid w:val="002424AF"/>
    <w:rsid w:val="00242637"/>
    <w:rsid w:val="00242BBD"/>
    <w:rsid w:val="00242D0D"/>
    <w:rsid w:val="00243423"/>
    <w:rsid w:val="00243812"/>
    <w:rsid w:val="002439DC"/>
    <w:rsid w:val="00243F4A"/>
    <w:rsid w:val="002441D2"/>
    <w:rsid w:val="002447D7"/>
    <w:rsid w:val="00244BD3"/>
    <w:rsid w:val="00244DC8"/>
    <w:rsid w:val="0024513D"/>
    <w:rsid w:val="002458BA"/>
    <w:rsid w:val="00245CE9"/>
    <w:rsid w:val="0024636C"/>
    <w:rsid w:val="00247925"/>
    <w:rsid w:val="002507EA"/>
    <w:rsid w:val="00250A24"/>
    <w:rsid w:val="00251006"/>
    <w:rsid w:val="00251073"/>
    <w:rsid w:val="0025162C"/>
    <w:rsid w:val="00251B02"/>
    <w:rsid w:val="002524D5"/>
    <w:rsid w:val="00253410"/>
    <w:rsid w:val="00253B1D"/>
    <w:rsid w:val="00253CA5"/>
    <w:rsid w:val="0025413E"/>
    <w:rsid w:val="00254A83"/>
    <w:rsid w:val="00254BA7"/>
    <w:rsid w:val="00254DCF"/>
    <w:rsid w:val="002550B1"/>
    <w:rsid w:val="0025534B"/>
    <w:rsid w:val="002553D2"/>
    <w:rsid w:val="00255BB7"/>
    <w:rsid w:val="002562D2"/>
    <w:rsid w:val="00257541"/>
    <w:rsid w:val="00257A39"/>
    <w:rsid w:val="00257AC4"/>
    <w:rsid w:val="00257BBE"/>
    <w:rsid w:val="00257D7E"/>
    <w:rsid w:val="00257EFF"/>
    <w:rsid w:val="00260CE3"/>
    <w:rsid w:val="00260DF8"/>
    <w:rsid w:val="00261BD2"/>
    <w:rsid w:val="00261CD6"/>
    <w:rsid w:val="00261EEF"/>
    <w:rsid w:val="00262916"/>
    <w:rsid w:val="00262A1A"/>
    <w:rsid w:val="00262A87"/>
    <w:rsid w:val="0026366C"/>
    <w:rsid w:val="002643CD"/>
    <w:rsid w:val="00264D26"/>
    <w:rsid w:val="00264F92"/>
    <w:rsid w:val="00265160"/>
    <w:rsid w:val="00266238"/>
    <w:rsid w:val="00267642"/>
    <w:rsid w:val="00267890"/>
    <w:rsid w:val="00267AEA"/>
    <w:rsid w:val="002700E6"/>
    <w:rsid w:val="00271588"/>
    <w:rsid w:val="00271DF1"/>
    <w:rsid w:val="0027294B"/>
    <w:rsid w:val="00273EB4"/>
    <w:rsid w:val="00274682"/>
    <w:rsid w:val="002749C0"/>
    <w:rsid w:val="00275158"/>
    <w:rsid w:val="00275A08"/>
    <w:rsid w:val="00275C5A"/>
    <w:rsid w:val="0027611B"/>
    <w:rsid w:val="00276A1A"/>
    <w:rsid w:val="00276EB3"/>
    <w:rsid w:val="00280012"/>
    <w:rsid w:val="002809C0"/>
    <w:rsid w:val="00280C88"/>
    <w:rsid w:val="00281014"/>
    <w:rsid w:val="00281CDF"/>
    <w:rsid w:val="00282F81"/>
    <w:rsid w:val="0028361B"/>
    <w:rsid w:val="00284197"/>
    <w:rsid w:val="00284B80"/>
    <w:rsid w:val="00285BCE"/>
    <w:rsid w:val="0028665D"/>
    <w:rsid w:val="00286739"/>
    <w:rsid w:val="00286F84"/>
    <w:rsid w:val="002877DD"/>
    <w:rsid w:val="00287AE3"/>
    <w:rsid w:val="00290348"/>
    <w:rsid w:val="00292E5A"/>
    <w:rsid w:val="002935CA"/>
    <w:rsid w:val="002947B2"/>
    <w:rsid w:val="00294933"/>
    <w:rsid w:val="00294A84"/>
    <w:rsid w:val="00295593"/>
    <w:rsid w:val="002964FF"/>
    <w:rsid w:val="0029673F"/>
    <w:rsid w:val="0029750D"/>
    <w:rsid w:val="00297772"/>
    <w:rsid w:val="002A0524"/>
    <w:rsid w:val="002A14AB"/>
    <w:rsid w:val="002A2444"/>
    <w:rsid w:val="002A2ADE"/>
    <w:rsid w:val="002A2F50"/>
    <w:rsid w:val="002A3AB0"/>
    <w:rsid w:val="002A3EC8"/>
    <w:rsid w:val="002A4485"/>
    <w:rsid w:val="002A44F9"/>
    <w:rsid w:val="002A4EC5"/>
    <w:rsid w:val="002A57EA"/>
    <w:rsid w:val="002A63D5"/>
    <w:rsid w:val="002A64B9"/>
    <w:rsid w:val="002A6C58"/>
    <w:rsid w:val="002A773C"/>
    <w:rsid w:val="002A7943"/>
    <w:rsid w:val="002B05A1"/>
    <w:rsid w:val="002B09A4"/>
    <w:rsid w:val="002B152D"/>
    <w:rsid w:val="002B1A21"/>
    <w:rsid w:val="002B1C1F"/>
    <w:rsid w:val="002B1CEE"/>
    <w:rsid w:val="002B318B"/>
    <w:rsid w:val="002B3529"/>
    <w:rsid w:val="002B432F"/>
    <w:rsid w:val="002B4986"/>
    <w:rsid w:val="002B5046"/>
    <w:rsid w:val="002B5472"/>
    <w:rsid w:val="002B5EAD"/>
    <w:rsid w:val="002B62B3"/>
    <w:rsid w:val="002B6388"/>
    <w:rsid w:val="002B6754"/>
    <w:rsid w:val="002B681F"/>
    <w:rsid w:val="002B6CCE"/>
    <w:rsid w:val="002B76E2"/>
    <w:rsid w:val="002B7A23"/>
    <w:rsid w:val="002B7D6D"/>
    <w:rsid w:val="002C00C3"/>
    <w:rsid w:val="002C06CC"/>
    <w:rsid w:val="002C0A7D"/>
    <w:rsid w:val="002C1492"/>
    <w:rsid w:val="002C1EF7"/>
    <w:rsid w:val="002C2510"/>
    <w:rsid w:val="002C2775"/>
    <w:rsid w:val="002C27C1"/>
    <w:rsid w:val="002C352A"/>
    <w:rsid w:val="002C36E3"/>
    <w:rsid w:val="002C4382"/>
    <w:rsid w:val="002C4464"/>
    <w:rsid w:val="002C5099"/>
    <w:rsid w:val="002C552D"/>
    <w:rsid w:val="002C5889"/>
    <w:rsid w:val="002C6210"/>
    <w:rsid w:val="002C6E5A"/>
    <w:rsid w:val="002C6F56"/>
    <w:rsid w:val="002C70A2"/>
    <w:rsid w:val="002C71CE"/>
    <w:rsid w:val="002C7770"/>
    <w:rsid w:val="002C77C2"/>
    <w:rsid w:val="002D03AE"/>
    <w:rsid w:val="002D0417"/>
    <w:rsid w:val="002D08F8"/>
    <w:rsid w:val="002D0E24"/>
    <w:rsid w:val="002D3229"/>
    <w:rsid w:val="002D3D55"/>
    <w:rsid w:val="002D3F18"/>
    <w:rsid w:val="002D4490"/>
    <w:rsid w:val="002D4508"/>
    <w:rsid w:val="002D46E9"/>
    <w:rsid w:val="002D577C"/>
    <w:rsid w:val="002D58F6"/>
    <w:rsid w:val="002D5964"/>
    <w:rsid w:val="002D608E"/>
    <w:rsid w:val="002D6758"/>
    <w:rsid w:val="002D73B2"/>
    <w:rsid w:val="002D7832"/>
    <w:rsid w:val="002D7D98"/>
    <w:rsid w:val="002E1071"/>
    <w:rsid w:val="002E15B9"/>
    <w:rsid w:val="002E17AA"/>
    <w:rsid w:val="002E2158"/>
    <w:rsid w:val="002E3740"/>
    <w:rsid w:val="002E4197"/>
    <w:rsid w:val="002E4F02"/>
    <w:rsid w:val="002E5A91"/>
    <w:rsid w:val="002E5C9D"/>
    <w:rsid w:val="002E5DF0"/>
    <w:rsid w:val="002E6941"/>
    <w:rsid w:val="002E6F65"/>
    <w:rsid w:val="002E7722"/>
    <w:rsid w:val="002E77F2"/>
    <w:rsid w:val="002F07BA"/>
    <w:rsid w:val="002F0D1E"/>
    <w:rsid w:val="002F0DA9"/>
    <w:rsid w:val="002F0F92"/>
    <w:rsid w:val="002F1014"/>
    <w:rsid w:val="002F1219"/>
    <w:rsid w:val="002F1E3B"/>
    <w:rsid w:val="002F1E77"/>
    <w:rsid w:val="002F2073"/>
    <w:rsid w:val="002F237D"/>
    <w:rsid w:val="002F36ED"/>
    <w:rsid w:val="002F3D26"/>
    <w:rsid w:val="002F3F49"/>
    <w:rsid w:val="002F61BC"/>
    <w:rsid w:val="002F643C"/>
    <w:rsid w:val="002F6E0C"/>
    <w:rsid w:val="002F71C0"/>
    <w:rsid w:val="002F74F1"/>
    <w:rsid w:val="00300069"/>
    <w:rsid w:val="00301017"/>
    <w:rsid w:val="00301141"/>
    <w:rsid w:val="0030155F"/>
    <w:rsid w:val="003017F4"/>
    <w:rsid w:val="0030292B"/>
    <w:rsid w:val="00302F11"/>
    <w:rsid w:val="00303EEF"/>
    <w:rsid w:val="00304869"/>
    <w:rsid w:val="00304EE2"/>
    <w:rsid w:val="0030585C"/>
    <w:rsid w:val="0030587B"/>
    <w:rsid w:val="00306879"/>
    <w:rsid w:val="00306D98"/>
    <w:rsid w:val="0030786C"/>
    <w:rsid w:val="00307C16"/>
    <w:rsid w:val="00307EA4"/>
    <w:rsid w:val="0031031A"/>
    <w:rsid w:val="003108DE"/>
    <w:rsid w:val="00310981"/>
    <w:rsid w:val="00311D9B"/>
    <w:rsid w:val="003124D9"/>
    <w:rsid w:val="00312594"/>
    <w:rsid w:val="00312BBD"/>
    <w:rsid w:val="003130E4"/>
    <w:rsid w:val="0031378C"/>
    <w:rsid w:val="00313DF2"/>
    <w:rsid w:val="003147C5"/>
    <w:rsid w:val="00315498"/>
    <w:rsid w:val="00316474"/>
    <w:rsid w:val="00316523"/>
    <w:rsid w:val="00316AB7"/>
    <w:rsid w:val="0031704B"/>
    <w:rsid w:val="003200BF"/>
    <w:rsid w:val="00320580"/>
    <w:rsid w:val="00320968"/>
    <w:rsid w:val="00320D38"/>
    <w:rsid w:val="003218C3"/>
    <w:rsid w:val="00322107"/>
    <w:rsid w:val="00322355"/>
    <w:rsid w:val="00322846"/>
    <w:rsid w:val="00322913"/>
    <w:rsid w:val="0032308A"/>
    <w:rsid w:val="003248A8"/>
    <w:rsid w:val="00324A1D"/>
    <w:rsid w:val="00325F03"/>
    <w:rsid w:val="00326DA7"/>
    <w:rsid w:val="003270E4"/>
    <w:rsid w:val="00330896"/>
    <w:rsid w:val="00330DAA"/>
    <w:rsid w:val="00330F5C"/>
    <w:rsid w:val="003310BB"/>
    <w:rsid w:val="003311B9"/>
    <w:rsid w:val="00331501"/>
    <w:rsid w:val="00331985"/>
    <w:rsid w:val="00333016"/>
    <w:rsid w:val="00333647"/>
    <w:rsid w:val="003366C9"/>
    <w:rsid w:val="003371B0"/>
    <w:rsid w:val="00340378"/>
    <w:rsid w:val="00340A00"/>
    <w:rsid w:val="00340DF1"/>
    <w:rsid w:val="00342C8D"/>
    <w:rsid w:val="00343394"/>
    <w:rsid w:val="003438A9"/>
    <w:rsid w:val="00343BAA"/>
    <w:rsid w:val="003443F4"/>
    <w:rsid w:val="00344E86"/>
    <w:rsid w:val="00344FBF"/>
    <w:rsid w:val="003478D3"/>
    <w:rsid w:val="00350372"/>
    <w:rsid w:val="00350822"/>
    <w:rsid w:val="00350846"/>
    <w:rsid w:val="00350FD0"/>
    <w:rsid w:val="0035155A"/>
    <w:rsid w:val="003517F9"/>
    <w:rsid w:val="00351BA9"/>
    <w:rsid w:val="003520ED"/>
    <w:rsid w:val="00352AC5"/>
    <w:rsid w:val="00352C2D"/>
    <w:rsid w:val="003537F0"/>
    <w:rsid w:val="00354F64"/>
    <w:rsid w:val="00354F6F"/>
    <w:rsid w:val="00355C14"/>
    <w:rsid w:val="0035620E"/>
    <w:rsid w:val="0035638E"/>
    <w:rsid w:val="00356D39"/>
    <w:rsid w:val="003575BE"/>
    <w:rsid w:val="003602AF"/>
    <w:rsid w:val="00360345"/>
    <w:rsid w:val="0036070D"/>
    <w:rsid w:val="00360D18"/>
    <w:rsid w:val="003616A6"/>
    <w:rsid w:val="00361A05"/>
    <w:rsid w:val="00361DAC"/>
    <w:rsid w:val="003624C4"/>
    <w:rsid w:val="00362D8A"/>
    <w:rsid w:val="00363474"/>
    <w:rsid w:val="00363B00"/>
    <w:rsid w:val="00363D01"/>
    <w:rsid w:val="00363F97"/>
    <w:rsid w:val="00364288"/>
    <w:rsid w:val="00364E24"/>
    <w:rsid w:val="0036509A"/>
    <w:rsid w:val="003654AC"/>
    <w:rsid w:val="00366B5A"/>
    <w:rsid w:val="00366B85"/>
    <w:rsid w:val="00367197"/>
    <w:rsid w:val="003672F1"/>
    <w:rsid w:val="00367F0B"/>
    <w:rsid w:val="00367F82"/>
    <w:rsid w:val="0037022B"/>
    <w:rsid w:val="00371058"/>
    <w:rsid w:val="003710CF"/>
    <w:rsid w:val="00371B7D"/>
    <w:rsid w:val="00371E1C"/>
    <w:rsid w:val="00372838"/>
    <w:rsid w:val="0037358A"/>
    <w:rsid w:val="00374A89"/>
    <w:rsid w:val="003750F6"/>
    <w:rsid w:val="003760FC"/>
    <w:rsid w:val="003763FB"/>
    <w:rsid w:val="0037760B"/>
    <w:rsid w:val="00381904"/>
    <w:rsid w:val="0038190A"/>
    <w:rsid w:val="0038190D"/>
    <w:rsid w:val="003819CF"/>
    <w:rsid w:val="00382976"/>
    <w:rsid w:val="00382B48"/>
    <w:rsid w:val="0038365C"/>
    <w:rsid w:val="0038369B"/>
    <w:rsid w:val="003836E5"/>
    <w:rsid w:val="00383B78"/>
    <w:rsid w:val="00384FF1"/>
    <w:rsid w:val="00385538"/>
    <w:rsid w:val="00385A8C"/>
    <w:rsid w:val="00385A9D"/>
    <w:rsid w:val="00387121"/>
    <w:rsid w:val="00387681"/>
    <w:rsid w:val="003902B1"/>
    <w:rsid w:val="0039108C"/>
    <w:rsid w:val="0039179C"/>
    <w:rsid w:val="00392084"/>
    <w:rsid w:val="003922F2"/>
    <w:rsid w:val="00392D7C"/>
    <w:rsid w:val="0039358C"/>
    <w:rsid w:val="003944A0"/>
    <w:rsid w:val="00394E51"/>
    <w:rsid w:val="00395C65"/>
    <w:rsid w:val="00395EAB"/>
    <w:rsid w:val="0039672F"/>
    <w:rsid w:val="00396896"/>
    <w:rsid w:val="00396D8F"/>
    <w:rsid w:val="00396FD0"/>
    <w:rsid w:val="00397946"/>
    <w:rsid w:val="00397B8A"/>
    <w:rsid w:val="00397F9D"/>
    <w:rsid w:val="003A07F0"/>
    <w:rsid w:val="003A1A7A"/>
    <w:rsid w:val="003A22F7"/>
    <w:rsid w:val="003A2392"/>
    <w:rsid w:val="003A272F"/>
    <w:rsid w:val="003A2831"/>
    <w:rsid w:val="003A38F0"/>
    <w:rsid w:val="003A3CB6"/>
    <w:rsid w:val="003A3ED1"/>
    <w:rsid w:val="003A44DB"/>
    <w:rsid w:val="003A4C14"/>
    <w:rsid w:val="003A5141"/>
    <w:rsid w:val="003A554E"/>
    <w:rsid w:val="003A58E0"/>
    <w:rsid w:val="003A6E26"/>
    <w:rsid w:val="003A6FC0"/>
    <w:rsid w:val="003A7012"/>
    <w:rsid w:val="003A701A"/>
    <w:rsid w:val="003B0E08"/>
    <w:rsid w:val="003B173E"/>
    <w:rsid w:val="003B1945"/>
    <w:rsid w:val="003B3496"/>
    <w:rsid w:val="003B3971"/>
    <w:rsid w:val="003B3DF2"/>
    <w:rsid w:val="003B40D5"/>
    <w:rsid w:val="003B4459"/>
    <w:rsid w:val="003B4AD3"/>
    <w:rsid w:val="003B55D1"/>
    <w:rsid w:val="003B5B61"/>
    <w:rsid w:val="003B6419"/>
    <w:rsid w:val="003B6D8B"/>
    <w:rsid w:val="003B7E62"/>
    <w:rsid w:val="003C00E4"/>
    <w:rsid w:val="003C071F"/>
    <w:rsid w:val="003C07AE"/>
    <w:rsid w:val="003C0D39"/>
    <w:rsid w:val="003C1654"/>
    <w:rsid w:val="003C2712"/>
    <w:rsid w:val="003C4F4E"/>
    <w:rsid w:val="003C5110"/>
    <w:rsid w:val="003C5542"/>
    <w:rsid w:val="003C7322"/>
    <w:rsid w:val="003C7C15"/>
    <w:rsid w:val="003C7D19"/>
    <w:rsid w:val="003C7D2F"/>
    <w:rsid w:val="003D0A6A"/>
    <w:rsid w:val="003D0C5A"/>
    <w:rsid w:val="003D14CD"/>
    <w:rsid w:val="003D1828"/>
    <w:rsid w:val="003D1BC5"/>
    <w:rsid w:val="003D1DE4"/>
    <w:rsid w:val="003D1E9A"/>
    <w:rsid w:val="003D2422"/>
    <w:rsid w:val="003D2C16"/>
    <w:rsid w:val="003D3424"/>
    <w:rsid w:val="003D39A1"/>
    <w:rsid w:val="003D3FBF"/>
    <w:rsid w:val="003D4873"/>
    <w:rsid w:val="003D498C"/>
    <w:rsid w:val="003D4A30"/>
    <w:rsid w:val="003D4E7B"/>
    <w:rsid w:val="003D56BA"/>
    <w:rsid w:val="003D5F0F"/>
    <w:rsid w:val="003D6608"/>
    <w:rsid w:val="003D6ED3"/>
    <w:rsid w:val="003D72AF"/>
    <w:rsid w:val="003D7452"/>
    <w:rsid w:val="003D75A7"/>
    <w:rsid w:val="003D79BB"/>
    <w:rsid w:val="003D7A2C"/>
    <w:rsid w:val="003D7C98"/>
    <w:rsid w:val="003D7D9D"/>
    <w:rsid w:val="003D7EDE"/>
    <w:rsid w:val="003E0543"/>
    <w:rsid w:val="003E07B2"/>
    <w:rsid w:val="003E0906"/>
    <w:rsid w:val="003E3523"/>
    <w:rsid w:val="003E3FE9"/>
    <w:rsid w:val="003E4708"/>
    <w:rsid w:val="003E49D1"/>
    <w:rsid w:val="003E5603"/>
    <w:rsid w:val="003E64C5"/>
    <w:rsid w:val="003E749E"/>
    <w:rsid w:val="003F01EE"/>
    <w:rsid w:val="003F0EB5"/>
    <w:rsid w:val="003F0F8B"/>
    <w:rsid w:val="003F174A"/>
    <w:rsid w:val="003F1768"/>
    <w:rsid w:val="003F25D8"/>
    <w:rsid w:val="003F289D"/>
    <w:rsid w:val="003F2CD4"/>
    <w:rsid w:val="003F2D70"/>
    <w:rsid w:val="003F3307"/>
    <w:rsid w:val="003F3400"/>
    <w:rsid w:val="003F38D1"/>
    <w:rsid w:val="003F4156"/>
    <w:rsid w:val="003F4CDF"/>
    <w:rsid w:val="003F5ADF"/>
    <w:rsid w:val="003F5C75"/>
    <w:rsid w:val="003F6C0B"/>
    <w:rsid w:val="003F70FD"/>
    <w:rsid w:val="003F79E1"/>
    <w:rsid w:val="003F7A94"/>
    <w:rsid w:val="003F7B01"/>
    <w:rsid w:val="00400B29"/>
    <w:rsid w:val="0040157F"/>
    <w:rsid w:val="00401847"/>
    <w:rsid w:val="00402812"/>
    <w:rsid w:val="00402B5B"/>
    <w:rsid w:val="004030A1"/>
    <w:rsid w:val="00403149"/>
    <w:rsid w:val="0040314D"/>
    <w:rsid w:val="00403AE5"/>
    <w:rsid w:val="0040470B"/>
    <w:rsid w:val="00404D9C"/>
    <w:rsid w:val="0040504B"/>
    <w:rsid w:val="004056B5"/>
    <w:rsid w:val="004058C2"/>
    <w:rsid w:val="004059F4"/>
    <w:rsid w:val="00406461"/>
    <w:rsid w:val="004065F2"/>
    <w:rsid w:val="00406B6C"/>
    <w:rsid w:val="00406D2A"/>
    <w:rsid w:val="00407E69"/>
    <w:rsid w:val="00407EB8"/>
    <w:rsid w:val="00407FE5"/>
    <w:rsid w:val="004101B0"/>
    <w:rsid w:val="004101EF"/>
    <w:rsid w:val="00410326"/>
    <w:rsid w:val="00410708"/>
    <w:rsid w:val="0041077E"/>
    <w:rsid w:val="0041092A"/>
    <w:rsid w:val="00410AFF"/>
    <w:rsid w:val="00410EC7"/>
    <w:rsid w:val="00411AB2"/>
    <w:rsid w:val="00411B39"/>
    <w:rsid w:val="00412161"/>
    <w:rsid w:val="00412717"/>
    <w:rsid w:val="004127A7"/>
    <w:rsid w:val="00412E6E"/>
    <w:rsid w:val="00413072"/>
    <w:rsid w:val="0041317C"/>
    <w:rsid w:val="00413A1E"/>
    <w:rsid w:val="00413BF9"/>
    <w:rsid w:val="00414476"/>
    <w:rsid w:val="00414C2E"/>
    <w:rsid w:val="00414EC9"/>
    <w:rsid w:val="00414FFA"/>
    <w:rsid w:val="004151CF"/>
    <w:rsid w:val="00415D11"/>
    <w:rsid w:val="00416364"/>
    <w:rsid w:val="00416548"/>
    <w:rsid w:val="0041760D"/>
    <w:rsid w:val="00420249"/>
    <w:rsid w:val="0042047F"/>
    <w:rsid w:val="00420504"/>
    <w:rsid w:val="0042067D"/>
    <w:rsid w:val="00420861"/>
    <w:rsid w:val="00420A25"/>
    <w:rsid w:val="00420AA6"/>
    <w:rsid w:val="00420B08"/>
    <w:rsid w:val="00420B9F"/>
    <w:rsid w:val="0042192C"/>
    <w:rsid w:val="00422260"/>
    <w:rsid w:val="00422462"/>
    <w:rsid w:val="004228E4"/>
    <w:rsid w:val="00423031"/>
    <w:rsid w:val="00423694"/>
    <w:rsid w:val="0042413F"/>
    <w:rsid w:val="00424AE2"/>
    <w:rsid w:val="00424D48"/>
    <w:rsid w:val="00424D5B"/>
    <w:rsid w:val="004261F2"/>
    <w:rsid w:val="00426492"/>
    <w:rsid w:val="00426C2B"/>
    <w:rsid w:val="00427948"/>
    <w:rsid w:val="00427FED"/>
    <w:rsid w:val="004307E2"/>
    <w:rsid w:val="00430F7B"/>
    <w:rsid w:val="00431036"/>
    <w:rsid w:val="004319F8"/>
    <w:rsid w:val="00431E55"/>
    <w:rsid w:val="004321F6"/>
    <w:rsid w:val="00432694"/>
    <w:rsid w:val="0043291E"/>
    <w:rsid w:val="00432B21"/>
    <w:rsid w:val="00433044"/>
    <w:rsid w:val="00433764"/>
    <w:rsid w:val="00434088"/>
    <w:rsid w:val="0043596D"/>
    <w:rsid w:val="00436B76"/>
    <w:rsid w:val="004375B9"/>
    <w:rsid w:val="00437B71"/>
    <w:rsid w:val="00440EEC"/>
    <w:rsid w:val="00441236"/>
    <w:rsid w:val="00442416"/>
    <w:rsid w:val="0044271D"/>
    <w:rsid w:val="004428D0"/>
    <w:rsid w:val="00442D02"/>
    <w:rsid w:val="00442EDC"/>
    <w:rsid w:val="00443237"/>
    <w:rsid w:val="00443375"/>
    <w:rsid w:val="00443BB9"/>
    <w:rsid w:val="00443E66"/>
    <w:rsid w:val="0044401C"/>
    <w:rsid w:val="00444185"/>
    <w:rsid w:val="00444331"/>
    <w:rsid w:val="004443A7"/>
    <w:rsid w:val="0044442C"/>
    <w:rsid w:val="004448BB"/>
    <w:rsid w:val="00444D4B"/>
    <w:rsid w:val="00444F98"/>
    <w:rsid w:val="00445941"/>
    <w:rsid w:val="00445CB6"/>
    <w:rsid w:val="004464EB"/>
    <w:rsid w:val="004467F9"/>
    <w:rsid w:val="00446A82"/>
    <w:rsid w:val="00446EEA"/>
    <w:rsid w:val="004479E5"/>
    <w:rsid w:val="00447D26"/>
    <w:rsid w:val="00447DFC"/>
    <w:rsid w:val="00450FBE"/>
    <w:rsid w:val="00451B7D"/>
    <w:rsid w:val="00451D02"/>
    <w:rsid w:val="00452416"/>
    <w:rsid w:val="00452B72"/>
    <w:rsid w:val="00452BD6"/>
    <w:rsid w:val="0045355F"/>
    <w:rsid w:val="004535F5"/>
    <w:rsid w:val="00455D45"/>
    <w:rsid w:val="0045675E"/>
    <w:rsid w:val="00456E7D"/>
    <w:rsid w:val="004570B2"/>
    <w:rsid w:val="00462344"/>
    <w:rsid w:val="0046354A"/>
    <w:rsid w:val="00464390"/>
    <w:rsid w:val="00464595"/>
    <w:rsid w:val="004653B1"/>
    <w:rsid w:val="004658B5"/>
    <w:rsid w:val="00465A21"/>
    <w:rsid w:val="004670F0"/>
    <w:rsid w:val="004710FB"/>
    <w:rsid w:val="004719E9"/>
    <w:rsid w:val="00471EA5"/>
    <w:rsid w:val="00472A6B"/>
    <w:rsid w:val="00472A79"/>
    <w:rsid w:val="00473495"/>
    <w:rsid w:val="00473893"/>
    <w:rsid w:val="00473CBB"/>
    <w:rsid w:val="00473D85"/>
    <w:rsid w:val="00473F19"/>
    <w:rsid w:val="00475E22"/>
    <w:rsid w:val="00476B45"/>
    <w:rsid w:val="0047738A"/>
    <w:rsid w:val="004778ED"/>
    <w:rsid w:val="0048050C"/>
    <w:rsid w:val="0048088E"/>
    <w:rsid w:val="004808A1"/>
    <w:rsid w:val="00480B99"/>
    <w:rsid w:val="00480F2B"/>
    <w:rsid w:val="00481017"/>
    <w:rsid w:val="00481729"/>
    <w:rsid w:val="00481941"/>
    <w:rsid w:val="00482408"/>
    <w:rsid w:val="00482421"/>
    <w:rsid w:val="00482720"/>
    <w:rsid w:val="00482C65"/>
    <w:rsid w:val="004832C7"/>
    <w:rsid w:val="004835E7"/>
    <w:rsid w:val="00483703"/>
    <w:rsid w:val="0048463E"/>
    <w:rsid w:val="004859E1"/>
    <w:rsid w:val="00485F80"/>
    <w:rsid w:val="004867E2"/>
    <w:rsid w:val="0049037B"/>
    <w:rsid w:val="0049063F"/>
    <w:rsid w:val="00490B17"/>
    <w:rsid w:val="00491423"/>
    <w:rsid w:val="00491B3A"/>
    <w:rsid w:val="004929C7"/>
    <w:rsid w:val="00492CFD"/>
    <w:rsid w:val="00493141"/>
    <w:rsid w:val="00493AD5"/>
    <w:rsid w:val="00493C14"/>
    <w:rsid w:val="00494207"/>
    <w:rsid w:val="00494643"/>
    <w:rsid w:val="00494787"/>
    <w:rsid w:val="00494D50"/>
    <w:rsid w:val="00494DD5"/>
    <w:rsid w:val="0049556B"/>
    <w:rsid w:val="00495EA4"/>
    <w:rsid w:val="004962D2"/>
    <w:rsid w:val="00496760"/>
    <w:rsid w:val="00496D3B"/>
    <w:rsid w:val="0049749E"/>
    <w:rsid w:val="004A07A4"/>
    <w:rsid w:val="004A0D3F"/>
    <w:rsid w:val="004A0DA1"/>
    <w:rsid w:val="004A121E"/>
    <w:rsid w:val="004A12B0"/>
    <w:rsid w:val="004A13D6"/>
    <w:rsid w:val="004A15CE"/>
    <w:rsid w:val="004A1821"/>
    <w:rsid w:val="004A2A65"/>
    <w:rsid w:val="004A3670"/>
    <w:rsid w:val="004A3787"/>
    <w:rsid w:val="004A52E9"/>
    <w:rsid w:val="004A5857"/>
    <w:rsid w:val="004A6040"/>
    <w:rsid w:val="004A6597"/>
    <w:rsid w:val="004A70AB"/>
    <w:rsid w:val="004A72F1"/>
    <w:rsid w:val="004A7848"/>
    <w:rsid w:val="004A793B"/>
    <w:rsid w:val="004A7B3A"/>
    <w:rsid w:val="004B02A8"/>
    <w:rsid w:val="004B02E0"/>
    <w:rsid w:val="004B0473"/>
    <w:rsid w:val="004B0A29"/>
    <w:rsid w:val="004B0E66"/>
    <w:rsid w:val="004B120D"/>
    <w:rsid w:val="004B1354"/>
    <w:rsid w:val="004B1CA9"/>
    <w:rsid w:val="004B1CB4"/>
    <w:rsid w:val="004B1EA5"/>
    <w:rsid w:val="004B2B0A"/>
    <w:rsid w:val="004B2C59"/>
    <w:rsid w:val="004B2DD8"/>
    <w:rsid w:val="004B2F18"/>
    <w:rsid w:val="004B3AFF"/>
    <w:rsid w:val="004B3DDB"/>
    <w:rsid w:val="004B44FD"/>
    <w:rsid w:val="004B47A4"/>
    <w:rsid w:val="004B4D5B"/>
    <w:rsid w:val="004B5CFC"/>
    <w:rsid w:val="004B6DFC"/>
    <w:rsid w:val="004B6F79"/>
    <w:rsid w:val="004B731E"/>
    <w:rsid w:val="004B774D"/>
    <w:rsid w:val="004B79A5"/>
    <w:rsid w:val="004C1437"/>
    <w:rsid w:val="004C170B"/>
    <w:rsid w:val="004C17DA"/>
    <w:rsid w:val="004C1C5F"/>
    <w:rsid w:val="004C1DFF"/>
    <w:rsid w:val="004C2647"/>
    <w:rsid w:val="004C297E"/>
    <w:rsid w:val="004C2AC2"/>
    <w:rsid w:val="004C3B02"/>
    <w:rsid w:val="004C435F"/>
    <w:rsid w:val="004C4992"/>
    <w:rsid w:val="004C4AED"/>
    <w:rsid w:val="004C4C62"/>
    <w:rsid w:val="004C5383"/>
    <w:rsid w:val="004C6A57"/>
    <w:rsid w:val="004C6B4C"/>
    <w:rsid w:val="004C6D68"/>
    <w:rsid w:val="004C746B"/>
    <w:rsid w:val="004C7511"/>
    <w:rsid w:val="004D0212"/>
    <w:rsid w:val="004D060D"/>
    <w:rsid w:val="004D0EFB"/>
    <w:rsid w:val="004D103F"/>
    <w:rsid w:val="004D16CF"/>
    <w:rsid w:val="004D21CC"/>
    <w:rsid w:val="004D2C11"/>
    <w:rsid w:val="004D2C2D"/>
    <w:rsid w:val="004D2ED4"/>
    <w:rsid w:val="004D336A"/>
    <w:rsid w:val="004D33CE"/>
    <w:rsid w:val="004D3B71"/>
    <w:rsid w:val="004D4574"/>
    <w:rsid w:val="004D49E9"/>
    <w:rsid w:val="004D4B51"/>
    <w:rsid w:val="004D55F4"/>
    <w:rsid w:val="004D5A7A"/>
    <w:rsid w:val="004D69B5"/>
    <w:rsid w:val="004D7176"/>
    <w:rsid w:val="004D7227"/>
    <w:rsid w:val="004D78F6"/>
    <w:rsid w:val="004D7B5E"/>
    <w:rsid w:val="004E020F"/>
    <w:rsid w:val="004E0E7F"/>
    <w:rsid w:val="004E0EB8"/>
    <w:rsid w:val="004E18E9"/>
    <w:rsid w:val="004E1F53"/>
    <w:rsid w:val="004E2528"/>
    <w:rsid w:val="004E2ADC"/>
    <w:rsid w:val="004E3BCD"/>
    <w:rsid w:val="004E43B2"/>
    <w:rsid w:val="004E4507"/>
    <w:rsid w:val="004E534E"/>
    <w:rsid w:val="004E5735"/>
    <w:rsid w:val="004E5BF2"/>
    <w:rsid w:val="004E6D12"/>
    <w:rsid w:val="004E73C8"/>
    <w:rsid w:val="004E785A"/>
    <w:rsid w:val="004E78F8"/>
    <w:rsid w:val="004E7A57"/>
    <w:rsid w:val="004F0E67"/>
    <w:rsid w:val="004F1376"/>
    <w:rsid w:val="004F19EA"/>
    <w:rsid w:val="004F1D02"/>
    <w:rsid w:val="004F2679"/>
    <w:rsid w:val="004F2F21"/>
    <w:rsid w:val="004F3C5C"/>
    <w:rsid w:val="004F3DE5"/>
    <w:rsid w:val="004F57AD"/>
    <w:rsid w:val="004F5E4F"/>
    <w:rsid w:val="004F60FD"/>
    <w:rsid w:val="004F640F"/>
    <w:rsid w:val="004F6913"/>
    <w:rsid w:val="004F7865"/>
    <w:rsid w:val="004F7A15"/>
    <w:rsid w:val="004F7E23"/>
    <w:rsid w:val="004F7F1E"/>
    <w:rsid w:val="0050069D"/>
    <w:rsid w:val="00500A87"/>
    <w:rsid w:val="0050174E"/>
    <w:rsid w:val="00501854"/>
    <w:rsid w:val="00501BB9"/>
    <w:rsid w:val="00501E58"/>
    <w:rsid w:val="0050219B"/>
    <w:rsid w:val="005029E2"/>
    <w:rsid w:val="00502E9E"/>
    <w:rsid w:val="00502F7C"/>
    <w:rsid w:val="00503F17"/>
    <w:rsid w:val="00503F3A"/>
    <w:rsid w:val="00504BE9"/>
    <w:rsid w:val="005059B0"/>
    <w:rsid w:val="005068CC"/>
    <w:rsid w:val="00506928"/>
    <w:rsid w:val="00506AD4"/>
    <w:rsid w:val="00506B11"/>
    <w:rsid w:val="00506E67"/>
    <w:rsid w:val="005077EF"/>
    <w:rsid w:val="00510325"/>
    <w:rsid w:val="0051110C"/>
    <w:rsid w:val="0051146B"/>
    <w:rsid w:val="0051158E"/>
    <w:rsid w:val="0051198C"/>
    <w:rsid w:val="00511AD5"/>
    <w:rsid w:val="00511DC7"/>
    <w:rsid w:val="005121CF"/>
    <w:rsid w:val="005129AB"/>
    <w:rsid w:val="005142C5"/>
    <w:rsid w:val="00514A1B"/>
    <w:rsid w:val="0051501B"/>
    <w:rsid w:val="005152B5"/>
    <w:rsid w:val="00515331"/>
    <w:rsid w:val="00515575"/>
    <w:rsid w:val="00515886"/>
    <w:rsid w:val="00515B7F"/>
    <w:rsid w:val="00516FAD"/>
    <w:rsid w:val="00517360"/>
    <w:rsid w:val="00517445"/>
    <w:rsid w:val="0052013F"/>
    <w:rsid w:val="005204FC"/>
    <w:rsid w:val="00520692"/>
    <w:rsid w:val="005207A4"/>
    <w:rsid w:val="0052123C"/>
    <w:rsid w:val="00521319"/>
    <w:rsid w:val="00522BC8"/>
    <w:rsid w:val="00522F1F"/>
    <w:rsid w:val="00523C28"/>
    <w:rsid w:val="005240D2"/>
    <w:rsid w:val="00524F9E"/>
    <w:rsid w:val="0052555A"/>
    <w:rsid w:val="00526149"/>
    <w:rsid w:val="00526D61"/>
    <w:rsid w:val="005303E0"/>
    <w:rsid w:val="00530C34"/>
    <w:rsid w:val="005315E5"/>
    <w:rsid w:val="00531609"/>
    <w:rsid w:val="0053176B"/>
    <w:rsid w:val="0053188C"/>
    <w:rsid w:val="00532B6E"/>
    <w:rsid w:val="00532E5F"/>
    <w:rsid w:val="005335B5"/>
    <w:rsid w:val="005341B3"/>
    <w:rsid w:val="00535BD8"/>
    <w:rsid w:val="00535CF0"/>
    <w:rsid w:val="0053651B"/>
    <w:rsid w:val="00536CA5"/>
    <w:rsid w:val="00536F42"/>
    <w:rsid w:val="00537182"/>
    <w:rsid w:val="00537BD5"/>
    <w:rsid w:val="0054044A"/>
    <w:rsid w:val="00540620"/>
    <w:rsid w:val="00540D45"/>
    <w:rsid w:val="0054102B"/>
    <w:rsid w:val="00541C1E"/>
    <w:rsid w:val="00541EDD"/>
    <w:rsid w:val="00542602"/>
    <w:rsid w:val="00542743"/>
    <w:rsid w:val="00542C2D"/>
    <w:rsid w:val="0054325F"/>
    <w:rsid w:val="0054357D"/>
    <w:rsid w:val="00543D06"/>
    <w:rsid w:val="00543FDD"/>
    <w:rsid w:val="00545599"/>
    <w:rsid w:val="00545657"/>
    <w:rsid w:val="005459F9"/>
    <w:rsid w:val="005478BD"/>
    <w:rsid w:val="005479E3"/>
    <w:rsid w:val="00550552"/>
    <w:rsid w:val="00551985"/>
    <w:rsid w:val="00551A3C"/>
    <w:rsid w:val="00552575"/>
    <w:rsid w:val="00552BC4"/>
    <w:rsid w:val="00552BD3"/>
    <w:rsid w:val="00552C22"/>
    <w:rsid w:val="005532A0"/>
    <w:rsid w:val="00553842"/>
    <w:rsid w:val="00553C65"/>
    <w:rsid w:val="00555109"/>
    <w:rsid w:val="00556342"/>
    <w:rsid w:val="00556B35"/>
    <w:rsid w:val="005571F9"/>
    <w:rsid w:val="005572D4"/>
    <w:rsid w:val="0055741A"/>
    <w:rsid w:val="00560DC6"/>
    <w:rsid w:val="00560F14"/>
    <w:rsid w:val="005611B7"/>
    <w:rsid w:val="005618D4"/>
    <w:rsid w:val="00561E23"/>
    <w:rsid w:val="0056298F"/>
    <w:rsid w:val="00562BF8"/>
    <w:rsid w:val="005634E5"/>
    <w:rsid w:val="00563CA7"/>
    <w:rsid w:val="00564427"/>
    <w:rsid w:val="0056456D"/>
    <w:rsid w:val="00564867"/>
    <w:rsid w:val="00565C79"/>
    <w:rsid w:val="00565DEC"/>
    <w:rsid w:val="00565DF0"/>
    <w:rsid w:val="0056604B"/>
    <w:rsid w:val="0056696F"/>
    <w:rsid w:val="005704CB"/>
    <w:rsid w:val="00570F1E"/>
    <w:rsid w:val="005710CF"/>
    <w:rsid w:val="00571172"/>
    <w:rsid w:val="005720A3"/>
    <w:rsid w:val="00572269"/>
    <w:rsid w:val="0057244A"/>
    <w:rsid w:val="00572563"/>
    <w:rsid w:val="005725B3"/>
    <w:rsid w:val="00572F26"/>
    <w:rsid w:val="00573447"/>
    <w:rsid w:val="00574BC3"/>
    <w:rsid w:val="00574D70"/>
    <w:rsid w:val="005750C5"/>
    <w:rsid w:val="005752DE"/>
    <w:rsid w:val="0057598B"/>
    <w:rsid w:val="00575D60"/>
    <w:rsid w:val="00575D8D"/>
    <w:rsid w:val="00576972"/>
    <w:rsid w:val="00576EDD"/>
    <w:rsid w:val="00577248"/>
    <w:rsid w:val="00577F13"/>
    <w:rsid w:val="00581FB2"/>
    <w:rsid w:val="0058212E"/>
    <w:rsid w:val="00582F69"/>
    <w:rsid w:val="005833FC"/>
    <w:rsid w:val="00583699"/>
    <w:rsid w:val="0058377F"/>
    <w:rsid w:val="00585264"/>
    <w:rsid w:val="005857B4"/>
    <w:rsid w:val="00585CDD"/>
    <w:rsid w:val="00586677"/>
    <w:rsid w:val="00587058"/>
    <w:rsid w:val="00587326"/>
    <w:rsid w:val="00587D14"/>
    <w:rsid w:val="00587DCE"/>
    <w:rsid w:val="00587EE8"/>
    <w:rsid w:val="00591957"/>
    <w:rsid w:val="00591F23"/>
    <w:rsid w:val="005920B4"/>
    <w:rsid w:val="0059263D"/>
    <w:rsid w:val="00594ACC"/>
    <w:rsid w:val="00594CFF"/>
    <w:rsid w:val="005951C0"/>
    <w:rsid w:val="005955F3"/>
    <w:rsid w:val="00597BF9"/>
    <w:rsid w:val="005A0B25"/>
    <w:rsid w:val="005A0C11"/>
    <w:rsid w:val="005A117E"/>
    <w:rsid w:val="005A19BA"/>
    <w:rsid w:val="005A1D4D"/>
    <w:rsid w:val="005A2838"/>
    <w:rsid w:val="005A2F21"/>
    <w:rsid w:val="005A309A"/>
    <w:rsid w:val="005A373D"/>
    <w:rsid w:val="005A3BD3"/>
    <w:rsid w:val="005A3FDA"/>
    <w:rsid w:val="005A434B"/>
    <w:rsid w:val="005A5A8F"/>
    <w:rsid w:val="005A5ECF"/>
    <w:rsid w:val="005A6840"/>
    <w:rsid w:val="005B0B58"/>
    <w:rsid w:val="005B35A1"/>
    <w:rsid w:val="005B4C8B"/>
    <w:rsid w:val="005B4E53"/>
    <w:rsid w:val="005B5541"/>
    <w:rsid w:val="005B5857"/>
    <w:rsid w:val="005B63B7"/>
    <w:rsid w:val="005B73DA"/>
    <w:rsid w:val="005B7909"/>
    <w:rsid w:val="005C0CCC"/>
    <w:rsid w:val="005C13A8"/>
    <w:rsid w:val="005C1926"/>
    <w:rsid w:val="005C19C4"/>
    <w:rsid w:val="005C1B83"/>
    <w:rsid w:val="005C25FF"/>
    <w:rsid w:val="005C26E2"/>
    <w:rsid w:val="005C2937"/>
    <w:rsid w:val="005C2BA4"/>
    <w:rsid w:val="005C2D55"/>
    <w:rsid w:val="005C3011"/>
    <w:rsid w:val="005C328C"/>
    <w:rsid w:val="005C346B"/>
    <w:rsid w:val="005C387B"/>
    <w:rsid w:val="005C4AB0"/>
    <w:rsid w:val="005C4C1E"/>
    <w:rsid w:val="005C549D"/>
    <w:rsid w:val="005C5ABC"/>
    <w:rsid w:val="005C6D6C"/>
    <w:rsid w:val="005C77C2"/>
    <w:rsid w:val="005C78A6"/>
    <w:rsid w:val="005D032B"/>
    <w:rsid w:val="005D044D"/>
    <w:rsid w:val="005D0ABD"/>
    <w:rsid w:val="005D0C60"/>
    <w:rsid w:val="005D123C"/>
    <w:rsid w:val="005D18AD"/>
    <w:rsid w:val="005D26B4"/>
    <w:rsid w:val="005D2F84"/>
    <w:rsid w:val="005D34B1"/>
    <w:rsid w:val="005D3FCC"/>
    <w:rsid w:val="005D41D3"/>
    <w:rsid w:val="005D5663"/>
    <w:rsid w:val="005D614F"/>
    <w:rsid w:val="005D625C"/>
    <w:rsid w:val="005D7307"/>
    <w:rsid w:val="005D760A"/>
    <w:rsid w:val="005D7B62"/>
    <w:rsid w:val="005D7F6A"/>
    <w:rsid w:val="005E05F3"/>
    <w:rsid w:val="005E1995"/>
    <w:rsid w:val="005E1E0B"/>
    <w:rsid w:val="005E20A3"/>
    <w:rsid w:val="005E2980"/>
    <w:rsid w:val="005E395E"/>
    <w:rsid w:val="005E39E7"/>
    <w:rsid w:val="005E4679"/>
    <w:rsid w:val="005E46A3"/>
    <w:rsid w:val="005E5E67"/>
    <w:rsid w:val="005E61BA"/>
    <w:rsid w:val="005E6CBC"/>
    <w:rsid w:val="005E6D6A"/>
    <w:rsid w:val="005E72FF"/>
    <w:rsid w:val="005E73C0"/>
    <w:rsid w:val="005E7B05"/>
    <w:rsid w:val="005F058C"/>
    <w:rsid w:val="005F07ED"/>
    <w:rsid w:val="005F22A5"/>
    <w:rsid w:val="005F2443"/>
    <w:rsid w:val="005F2706"/>
    <w:rsid w:val="005F2A95"/>
    <w:rsid w:val="005F309D"/>
    <w:rsid w:val="005F467B"/>
    <w:rsid w:val="005F47B0"/>
    <w:rsid w:val="005F6483"/>
    <w:rsid w:val="005F6A8F"/>
    <w:rsid w:val="005F6BB7"/>
    <w:rsid w:val="005F7588"/>
    <w:rsid w:val="006008AC"/>
    <w:rsid w:val="0060186C"/>
    <w:rsid w:val="00601898"/>
    <w:rsid w:val="006023A7"/>
    <w:rsid w:val="006028D3"/>
    <w:rsid w:val="00603BF3"/>
    <w:rsid w:val="00603DB9"/>
    <w:rsid w:val="00604664"/>
    <w:rsid w:val="006046C8"/>
    <w:rsid w:val="00605132"/>
    <w:rsid w:val="00606FBA"/>
    <w:rsid w:val="00607669"/>
    <w:rsid w:val="006076F4"/>
    <w:rsid w:val="00607AFD"/>
    <w:rsid w:val="00610ACD"/>
    <w:rsid w:val="00611B12"/>
    <w:rsid w:val="00611E07"/>
    <w:rsid w:val="00612F97"/>
    <w:rsid w:val="0061345D"/>
    <w:rsid w:val="006137D9"/>
    <w:rsid w:val="00613DEB"/>
    <w:rsid w:val="00614433"/>
    <w:rsid w:val="00614B90"/>
    <w:rsid w:val="0061549B"/>
    <w:rsid w:val="00616802"/>
    <w:rsid w:val="00616B40"/>
    <w:rsid w:val="00616E94"/>
    <w:rsid w:val="00617E08"/>
    <w:rsid w:val="00617E12"/>
    <w:rsid w:val="00620AEA"/>
    <w:rsid w:val="00620C25"/>
    <w:rsid w:val="00620F18"/>
    <w:rsid w:val="006213A5"/>
    <w:rsid w:val="00621477"/>
    <w:rsid w:val="00621769"/>
    <w:rsid w:val="0062185D"/>
    <w:rsid w:val="00621ADA"/>
    <w:rsid w:val="00621CFD"/>
    <w:rsid w:val="00621F45"/>
    <w:rsid w:val="00623F7B"/>
    <w:rsid w:val="00624BD4"/>
    <w:rsid w:val="006261AC"/>
    <w:rsid w:val="00626A14"/>
    <w:rsid w:val="006277B1"/>
    <w:rsid w:val="0063158F"/>
    <w:rsid w:val="00631894"/>
    <w:rsid w:val="00631D6B"/>
    <w:rsid w:val="00632183"/>
    <w:rsid w:val="0063284E"/>
    <w:rsid w:val="006328E2"/>
    <w:rsid w:val="00632AF3"/>
    <w:rsid w:val="00632BFB"/>
    <w:rsid w:val="00632D55"/>
    <w:rsid w:val="006330A1"/>
    <w:rsid w:val="0063479F"/>
    <w:rsid w:val="00634868"/>
    <w:rsid w:val="00634D61"/>
    <w:rsid w:val="006353F0"/>
    <w:rsid w:val="00635604"/>
    <w:rsid w:val="006357B5"/>
    <w:rsid w:val="006360F4"/>
    <w:rsid w:val="006364A1"/>
    <w:rsid w:val="00636653"/>
    <w:rsid w:val="0063678E"/>
    <w:rsid w:val="00636B76"/>
    <w:rsid w:val="00637BFD"/>
    <w:rsid w:val="00637C5C"/>
    <w:rsid w:val="006406B4"/>
    <w:rsid w:val="0064121F"/>
    <w:rsid w:val="00641704"/>
    <w:rsid w:val="00641C4E"/>
    <w:rsid w:val="00641E98"/>
    <w:rsid w:val="00641FB3"/>
    <w:rsid w:val="006430C0"/>
    <w:rsid w:val="006431BC"/>
    <w:rsid w:val="00643500"/>
    <w:rsid w:val="0064353D"/>
    <w:rsid w:val="00643BB8"/>
    <w:rsid w:val="0064434C"/>
    <w:rsid w:val="0064493B"/>
    <w:rsid w:val="006449C4"/>
    <w:rsid w:val="00645808"/>
    <w:rsid w:val="006471CC"/>
    <w:rsid w:val="006472FE"/>
    <w:rsid w:val="00647A29"/>
    <w:rsid w:val="0065079F"/>
    <w:rsid w:val="00650AF9"/>
    <w:rsid w:val="00650DF2"/>
    <w:rsid w:val="00651200"/>
    <w:rsid w:val="0065136C"/>
    <w:rsid w:val="006523B3"/>
    <w:rsid w:val="00652A28"/>
    <w:rsid w:val="0065379F"/>
    <w:rsid w:val="0065401D"/>
    <w:rsid w:val="006540E9"/>
    <w:rsid w:val="00654270"/>
    <w:rsid w:val="00654BB1"/>
    <w:rsid w:val="00654E39"/>
    <w:rsid w:val="00655974"/>
    <w:rsid w:val="00655CC8"/>
    <w:rsid w:val="00656188"/>
    <w:rsid w:val="0065715A"/>
    <w:rsid w:val="00657A2E"/>
    <w:rsid w:val="00657E32"/>
    <w:rsid w:val="00660146"/>
    <w:rsid w:val="00660593"/>
    <w:rsid w:val="0066090F"/>
    <w:rsid w:val="00660969"/>
    <w:rsid w:val="006610F1"/>
    <w:rsid w:val="00661748"/>
    <w:rsid w:val="00661C6B"/>
    <w:rsid w:val="006626C6"/>
    <w:rsid w:val="00662D3E"/>
    <w:rsid w:val="00662EC3"/>
    <w:rsid w:val="0066534C"/>
    <w:rsid w:val="00665AEE"/>
    <w:rsid w:val="00666626"/>
    <w:rsid w:val="006667D3"/>
    <w:rsid w:val="00667BE3"/>
    <w:rsid w:val="00671004"/>
    <w:rsid w:val="00672646"/>
    <w:rsid w:val="00672F42"/>
    <w:rsid w:val="006740D3"/>
    <w:rsid w:val="00674378"/>
    <w:rsid w:val="00674E42"/>
    <w:rsid w:val="00674ECC"/>
    <w:rsid w:val="006757C3"/>
    <w:rsid w:val="00675966"/>
    <w:rsid w:val="00676563"/>
    <w:rsid w:val="00676B5A"/>
    <w:rsid w:val="00676D47"/>
    <w:rsid w:val="006772FF"/>
    <w:rsid w:val="00677DC5"/>
    <w:rsid w:val="00677EE1"/>
    <w:rsid w:val="00680AAF"/>
    <w:rsid w:val="006813F8"/>
    <w:rsid w:val="00682112"/>
    <w:rsid w:val="0068231D"/>
    <w:rsid w:val="006827ED"/>
    <w:rsid w:val="00682BA6"/>
    <w:rsid w:val="00683032"/>
    <w:rsid w:val="00684336"/>
    <w:rsid w:val="00684541"/>
    <w:rsid w:val="0068485A"/>
    <w:rsid w:val="00684CE2"/>
    <w:rsid w:val="00684CFC"/>
    <w:rsid w:val="006851C1"/>
    <w:rsid w:val="006851FF"/>
    <w:rsid w:val="00685ED0"/>
    <w:rsid w:val="006864DB"/>
    <w:rsid w:val="00686957"/>
    <w:rsid w:val="00686F53"/>
    <w:rsid w:val="006872BA"/>
    <w:rsid w:val="006904BB"/>
    <w:rsid w:val="00690795"/>
    <w:rsid w:val="00690B06"/>
    <w:rsid w:val="00691648"/>
    <w:rsid w:val="006917D7"/>
    <w:rsid w:val="00691811"/>
    <w:rsid w:val="00693510"/>
    <w:rsid w:val="00693A1E"/>
    <w:rsid w:val="00693E37"/>
    <w:rsid w:val="0069434C"/>
    <w:rsid w:val="006947E0"/>
    <w:rsid w:val="00694F44"/>
    <w:rsid w:val="00694FEE"/>
    <w:rsid w:val="006962DA"/>
    <w:rsid w:val="00696A7E"/>
    <w:rsid w:val="00696EF9"/>
    <w:rsid w:val="00696F51"/>
    <w:rsid w:val="006979A5"/>
    <w:rsid w:val="00697D1D"/>
    <w:rsid w:val="006A0066"/>
    <w:rsid w:val="006A016F"/>
    <w:rsid w:val="006A037C"/>
    <w:rsid w:val="006A052D"/>
    <w:rsid w:val="006A0DF7"/>
    <w:rsid w:val="006A13C8"/>
    <w:rsid w:val="006A2147"/>
    <w:rsid w:val="006A2ADB"/>
    <w:rsid w:val="006A32D1"/>
    <w:rsid w:val="006A391B"/>
    <w:rsid w:val="006A39E6"/>
    <w:rsid w:val="006A4321"/>
    <w:rsid w:val="006A43D9"/>
    <w:rsid w:val="006A5158"/>
    <w:rsid w:val="006A5DC9"/>
    <w:rsid w:val="006A6792"/>
    <w:rsid w:val="006A67FF"/>
    <w:rsid w:val="006A69B2"/>
    <w:rsid w:val="006A6A10"/>
    <w:rsid w:val="006A6ADD"/>
    <w:rsid w:val="006A6B99"/>
    <w:rsid w:val="006A770C"/>
    <w:rsid w:val="006A7E5F"/>
    <w:rsid w:val="006B042F"/>
    <w:rsid w:val="006B0795"/>
    <w:rsid w:val="006B1FF2"/>
    <w:rsid w:val="006B20F5"/>
    <w:rsid w:val="006B261B"/>
    <w:rsid w:val="006B2880"/>
    <w:rsid w:val="006B2A19"/>
    <w:rsid w:val="006B2C90"/>
    <w:rsid w:val="006B33F7"/>
    <w:rsid w:val="006B357A"/>
    <w:rsid w:val="006B35E6"/>
    <w:rsid w:val="006B4616"/>
    <w:rsid w:val="006B465A"/>
    <w:rsid w:val="006B5DAE"/>
    <w:rsid w:val="006B5EB5"/>
    <w:rsid w:val="006B6696"/>
    <w:rsid w:val="006B6DD0"/>
    <w:rsid w:val="006B6E4F"/>
    <w:rsid w:val="006C0399"/>
    <w:rsid w:val="006C04DF"/>
    <w:rsid w:val="006C1A1E"/>
    <w:rsid w:val="006C2A2C"/>
    <w:rsid w:val="006C2A58"/>
    <w:rsid w:val="006C2A8E"/>
    <w:rsid w:val="006C3255"/>
    <w:rsid w:val="006C3D32"/>
    <w:rsid w:val="006C3F26"/>
    <w:rsid w:val="006C5918"/>
    <w:rsid w:val="006C61DA"/>
    <w:rsid w:val="006C72E2"/>
    <w:rsid w:val="006C769C"/>
    <w:rsid w:val="006C76BC"/>
    <w:rsid w:val="006C7BA5"/>
    <w:rsid w:val="006D0D17"/>
    <w:rsid w:val="006D15BB"/>
    <w:rsid w:val="006D1704"/>
    <w:rsid w:val="006D2442"/>
    <w:rsid w:val="006D3C7D"/>
    <w:rsid w:val="006D3E55"/>
    <w:rsid w:val="006D4659"/>
    <w:rsid w:val="006D52AC"/>
    <w:rsid w:val="006D5773"/>
    <w:rsid w:val="006D5D5F"/>
    <w:rsid w:val="006D5E2F"/>
    <w:rsid w:val="006D63F3"/>
    <w:rsid w:val="006D66CD"/>
    <w:rsid w:val="006D68FB"/>
    <w:rsid w:val="006E1F8A"/>
    <w:rsid w:val="006E2868"/>
    <w:rsid w:val="006E346D"/>
    <w:rsid w:val="006E4A73"/>
    <w:rsid w:val="006E57A2"/>
    <w:rsid w:val="006E6FFD"/>
    <w:rsid w:val="006E70D9"/>
    <w:rsid w:val="006E780D"/>
    <w:rsid w:val="006F1A2F"/>
    <w:rsid w:val="006F1ABD"/>
    <w:rsid w:val="006F1E47"/>
    <w:rsid w:val="006F1F9E"/>
    <w:rsid w:val="006F272F"/>
    <w:rsid w:val="006F2AD7"/>
    <w:rsid w:val="006F2C0B"/>
    <w:rsid w:val="006F306C"/>
    <w:rsid w:val="006F3DE5"/>
    <w:rsid w:val="006F55EE"/>
    <w:rsid w:val="006F57E8"/>
    <w:rsid w:val="006F57FF"/>
    <w:rsid w:val="006F5F21"/>
    <w:rsid w:val="006F63A5"/>
    <w:rsid w:val="006F6498"/>
    <w:rsid w:val="006F6A1A"/>
    <w:rsid w:val="006F6C4E"/>
    <w:rsid w:val="006F6EEC"/>
    <w:rsid w:val="006F7092"/>
    <w:rsid w:val="006F745E"/>
    <w:rsid w:val="00700113"/>
    <w:rsid w:val="00700EB2"/>
    <w:rsid w:val="00701365"/>
    <w:rsid w:val="0070142B"/>
    <w:rsid w:val="00701980"/>
    <w:rsid w:val="007024D3"/>
    <w:rsid w:val="0070276E"/>
    <w:rsid w:val="00702A19"/>
    <w:rsid w:val="00702F8F"/>
    <w:rsid w:val="00703DE1"/>
    <w:rsid w:val="00703EE5"/>
    <w:rsid w:val="00704026"/>
    <w:rsid w:val="007042FA"/>
    <w:rsid w:val="00705B6C"/>
    <w:rsid w:val="00707117"/>
    <w:rsid w:val="007073D9"/>
    <w:rsid w:val="007079FC"/>
    <w:rsid w:val="00710259"/>
    <w:rsid w:val="00710360"/>
    <w:rsid w:val="00711A36"/>
    <w:rsid w:val="00712061"/>
    <w:rsid w:val="007125D3"/>
    <w:rsid w:val="00712D5B"/>
    <w:rsid w:val="00713A05"/>
    <w:rsid w:val="00713EED"/>
    <w:rsid w:val="00714137"/>
    <w:rsid w:val="0071483A"/>
    <w:rsid w:val="00714C26"/>
    <w:rsid w:val="00714FBB"/>
    <w:rsid w:val="0071529C"/>
    <w:rsid w:val="00715D92"/>
    <w:rsid w:val="0071653D"/>
    <w:rsid w:val="007170DA"/>
    <w:rsid w:val="007172AD"/>
    <w:rsid w:val="00717546"/>
    <w:rsid w:val="00720801"/>
    <w:rsid w:val="007224A0"/>
    <w:rsid w:val="00722A2F"/>
    <w:rsid w:val="00722B1B"/>
    <w:rsid w:val="00722BD4"/>
    <w:rsid w:val="00722D48"/>
    <w:rsid w:val="0072416F"/>
    <w:rsid w:val="00724800"/>
    <w:rsid w:val="007261F1"/>
    <w:rsid w:val="007266BE"/>
    <w:rsid w:val="00726DDF"/>
    <w:rsid w:val="00727294"/>
    <w:rsid w:val="007273B4"/>
    <w:rsid w:val="00727A51"/>
    <w:rsid w:val="00727C94"/>
    <w:rsid w:val="00730E5A"/>
    <w:rsid w:val="00731B0A"/>
    <w:rsid w:val="00731EAE"/>
    <w:rsid w:val="00731EBD"/>
    <w:rsid w:val="007322BE"/>
    <w:rsid w:val="00732924"/>
    <w:rsid w:val="00733073"/>
    <w:rsid w:val="007331EA"/>
    <w:rsid w:val="00733278"/>
    <w:rsid w:val="00733765"/>
    <w:rsid w:val="007338F3"/>
    <w:rsid w:val="00733B5D"/>
    <w:rsid w:val="00733C38"/>
    <w:rsid w:val="00734636"/>
    <w:rsid w:val="00735010"/>
    <w:rsid w:val="00735033"/>
    <w:rsid w:val="00735328"/>
    <w:rsid w:val="00736080"/>
    <w:rsid w:val="0073685B"/>
    <w:rsid w:val="00736EF2"/>
    <w:rsid w:val="00740664"/>
    <w:rsid w:val="0074132F"/>
    <w:rsid w:val="00743322"/>
    <w:rsid w:val="00743589"/>
    <w:rsid w:val="007439D1"/>
    <w:rsid w:val="007449BF"/>
    <w:rsid w:val="00745298"/>
    <w:rsid w:val="007463FE"/>
    <w:rsid w:val="00746BC0"/>
    <w:rsid w:val="00746E6D"/>
    <w:rsid w:val="00747C51"/>
    <w:rsid w:val="007510B4"/>
    <w:rsid w:val="00751E87"/>
    <w:rsid w:val="007520D2"/>
    <w:rsid w:val="00752142"/>
    <w:rsid w:val="007521A6"/>
    <w:rsid w:val="007523F9"/>
    <w:rsid w:val="00752FD0"/>
    <w:rsid w:val="00753421"/>
    <w:rsid w:val="0075357E"/>
    <w:rsid w:val="007535B3"/>
    <w:rsid w:val="007535C5"/>
    <w:rsid w:val="0075386A"/>
    <w:rsid w:val="00753B29"/>
    <w:rsid w:val="00753C41"/>
    <w:rsid w:val="00753EB8"/>
    <w:rsid w:val="00754E24"/>
    <w:rsid w:val="00754E4D"/>
    <w:rsid w:val="00755927"/>
    <w:rsid w:val="00756333"/>
    <w:rsid w:val="0075647C"/>
    <w:rsid w:val="00756F51"/>
    <w:rsid w:val="007573E8"/>
    <w:rsid w:val="00757658"/>
    <w:rsid w:val="0075793F"/>
    <w:rsid w:val="0076036B"/>
    <w:rsid w:val="00760A7D"/>
    <w:rsid w:val="00760C4E"/>
    <w:rsid w:val="00760ECE"/>
    <w:rsid w:val="00760F9E"/>
    <w:rsid w:val="007616E6"/>
    <w:rsid w:val="00761990"/>
    <w:rsid w:val="00761FCA"/>
    <w:rsid w:val="007627BE"/>
    <w:rsid w:val="007636A5"/>
    <w:rsid w:val="00764768"/>
    <w:rsid w:val="00764E71"/>
    <w:rsid w:val="00764F03"/>
    <w:rsid w:val="00765276"/>
    <w:rsid w:val="007658E2"/>
    <w:rsid w:val="00765B1A"/>
    <w:rsid w:val="00765DC1"/>
    <w:rsid w:val="00766BC0"/>
    <w:rsid w:val="0077084B"/>
    <w:rsid w:val="00770CBC"/>
    <w:rsid w:val="00772BD1"/>
    <w:rsid w:val="00774BBF"/>
    <w:rsid w:val="007759F6"/>
    <w:rsid w:val="00775EBC"/>
    <w:rsid w:val="00775F25"/>
    <w:rsid w:val="00776738"/>
    <w:rsid w:val="00776A29"/>
    <w:rsid w:val="00776D62"/>
    <w:rsid w:val="00777335"/>
    <w:rsid w:val="007778D6"/>
    <w:rsid w:val="00780414"/>
    <w:rsid w:val="0078069A"/>
    <w:rsid w:val="00780936"/>
    <w:rsid w:val="007814B1"/>
    <w:rsid w:val="00782066"/>
    <w:rsid w:val="007821EB"/>
    <w:rsid w:val="00782716"/>
    <w:rsid w:val="00783746"/>
    <w:rsid w:val="0078433B"/>
    <w:rsid w:val="007843F2"/>
    <w:rsid w:val="007846FA"/>
    <w:rsid w:val="007849FC"/>
    <w:rsid w:val="007851C9"/>
    <w:rsid w:val="00785A9F"/>
    <w:rsid w:val="0078705F"/>
    <w:rsid w:val="00787CA5"/>
    <w:rsid w:val="00787E6C"/>
    <w:rsid w:val="00787F21"/>
    <w:rsid w:val="00790AE8"/>
    <w:rsid w:val="00790F2A"/>
    <w:rsid w:val="007911F8"/>
    <w:rsid w:val="00791A99"/>
    <w:rsid w:val="007925DF"/>
    <w:rsid w:val="00792DB6"/>
    <w:rsid w:val="00792FB5"/>
    <w:rsid w:val="007931E0"/>
    <w:rsid w:val="00793D0E"/>
    <w:rsid w:val="00794051"/>
    <w:rsid w:val="00794BCB"/>
    <w:rsid w:val="00794F62"/>
    <w:rsid w:val="00795395"/>
    <w:rsid w:val="00796AAA"/>
    <w:rsid w:val="007978F0"/>
    <w:rsid w:val="0079793F"/>
    <w:rsid w:val="007979EB"/>
    <w:rsid w:val="00797CC6"/>
    <w:rsid w:val="007A001F"/>
    <w:rsid w:val="007A08AA"/>
    <w:rsid w:val="007A0A12"/>
    <w:rsid w:val="007A0E48"/>
    <w:rsid w:val="007A132D"/>
    <w:rsid w:val="007A1345"/>
    <w:rsid w:val="007A1B25"/>
    <w:rsid w:val="007A1E7C"/>
    <w:rsid w:val="007A2DDB"/>
    <w:rsid w:val="007A2E6B"/>
    <w:rsid w:val="007A57B3"/>
    <w:rsid w:val="007A6D23"/>
    <w:rsid w:val="007A6E1B"/>
    <w:rsid w:val="007A70BA"/>
    <w:rsid w:val="007A7397"/>
    <w:rsid w:val="007B04A9"/>
    <w:rsid w:val="007B0D68"/>
    <w:rsid w:val="007B18F5"/>
    <w:rsid w:val="007B1F53"/>
    <w:rsid w:val="007B2200"/>
    <w:rsid w:val="007B222A"/>
    <w:rsid w:val="007B251D"/>
    <w:rsid w:val="007B277E"/>
    <w:rsid w:val="007B3533"/>
    <w:rsid w:val="007B48F2"/>
    <w:rsid w:val="007B4F58"/>
    <w:rsid w:val="007B528D"/>
    <w:rsid w:val="007B53C4"/>
    <w:rsid w:val="007B597B"/>
    <w:rsid w:val="007B63CA"/>
    <w:rsid w:val="007B69AF"/>
    <w:rsid w:val="007B6D37"/>
    <w:rsid w:val="007B77D1"/>
    <w:rsid w:val="007B7876"/>
    <w:rsid w:val="007C01C1"/>
    <w:rsid w:val="007C07C7"/>
    <w:rsid w:val="007C1CD9"/>
    <w:rsid w:val="007C2226"/>
    <w:rsid w:val="007C32EF"/>
    <w:rsid w:val="007C361D"/>
    <w:rsid w:val="007C3C88"/>
    <w:rsid w:val="007C4278"/>
    <w:rsid w:val="007C442E"/>
    <w:rsid w:val="007C450D"/>
    <w:rsid w:val="007C4B84"/>
    <w:rsid w:val="007C6EF8"/>
    <w:rsid w:val="007C70FF"/>
    <w:rsid w:val="007C732A"/>
    <w:rsid w:val="007C77A9"/>
    <w:rsid w:val="007C7C25"/>
    <w:rsid w:val="007D004F"/>
    <w:rsid w:val="007D035F"/>
    <w:rsid w:val="007D03FB"/>
    <w:rsid w:val="007D044F"/>
    <w:rsid w:val="007D06B2"/>
    <w:rsid w:val="007D0B38"/>
    <w:rsid w:val="007D2510"/>
    <w:rsid w:val="007D2748"/>
    <w:rsid w:val="007D3725"/>
    <w:rsid w:val="007D421F"/>
    <w:rsid w:val="007D42A2"/>
    <w:rsid w:val="007D5077"/>
    <w:rsid w:val="007D5440"/>
    <w:rsid w:val="007D57EB"/>
    <w:rsid w:val="007D5CDF"/>
    <w:rsid w:val="007D60A2"/>
    <w:rsid w:val="007D649B"/>
    <w:rsid w:val="007D69EB"/>
    <w:rsid w:val="007D6AF5"/>
    <w:rsid w:val="007D6C3E"/>
    <w:rsid w:val="007E0F8C"/>
    <w:rsid w:val="007E10EF"/>
    <w:rsid w:val="007E128F"/>
    <w:rsid w:val="007E18A8"/>
    <w:rsid w:val="007E28E6"/>
    <w:rsid w:val="007E2D36"/>
    <w:rsid w:val="007E390E"/>
    <w:rsid w:val="007E62B7"/>
    <w:rsid w:val="007E699C"/>
    <w:rsid w:val="007E6AF6"/>
    <w:rsid w:val="007E72F3"/>
    <w:rsid w:val="007F1017"/>
    <w:rsid w:val="007F1255"/>
    <w:rsid w:val="007F1791"/>
    <w:rsid w:val="007F2706"/>
    <w:rsid w:val="007F3402"/>
    <w:rsid w:val="007F3696"/>
    <w:rsid w:val="007F3C8D"/>
    <w:rsid w:val="007F4A3F"/>
    <w:rsid w:val="007F4A61"/>
    <w:rsid w:val="007F4D62"/>
    <w:rsid w:val="007F50C9"/>
    <w:rsid w:val="007F5255"/>
    <w:rsid w:val="007F56CC"/>
    <w:rsid w:val="007F61C2"/>
    <w:rsid w:val="007F6A91"/>
    <w:rsid w:val="007F6AC8"/>
    <w:rsid w:val="0080041F"/>
    <w:rsid w:val="0080063F"/>
    <w:rsid w:val="00801782"/>
    <w:rsid w:val="008022A1"/>
    <w:rsid w:val="008026AC"/>
    <w:rsid w:val="008027DD"/>
    <w:rsid w:val="00802EAA"/>
    <w:rsid w:val="00803328"/>
    <w:rsid w:val="00803D10"/>
    <w:rsid w:val="0080401E"/>
    <w:rsid w:val="00804AEC"/>
    <w:rsid w:val="00804D25"/>
    <w:rsid w:val="00805142"/>
    <w:rsid w:val="0080566B"/>
    <w:rsid w:val="008056F6"/>
    <w:rsid w:val="00805FCE"/>
    <w:rsid w:val="0080670A"/>
    <w:rsid w:val="00806C35"/>
    <w:rsid w:val="00807A8B"/>
    <w:rsid w:val="00810ABF"/>
    <w:rsid w:val="00810E0A"/>
    <w:rsid w:val="00811383"/>
    <w:rsid w:val="008120D0"/>
    <w:rsid w:val="00812149"/>
    <w:rsid w:val="00812CAC"/>
    <w:rsid w:val="0081340D"/>
    <w:rsid w:val="0081395B"/>
    <w:rsid w:val="00813AEF"/>
    <w:rsid w:val="00814AA4"/>
    <w:rsid w:val="00814E62"/>
    <w:rsid w:val="008150D4"/>
    <w:rsid w:val="00815FB7"/>
    <w:rsid w:val="00816361"/>
    <w:rsid w:val="008166EF"/>
    <w:rsid w:val="00816D1B"/>
    <w:rsid w:val="00816FEF"/>
    <w:rsid w:val="008174A0"/>
    <w:rsid w:val="00820A8C"/>
    <w:rsid w:val="00820E3D"/>
    <w:rsid w:val="008215FB"/>
    <w:rsid w:val="00821D05"/>
    <w:rsid w:val="008220CC"/>
    <w:rsid w:val="00822496"/>
    <w:rsid w:val="00823174"/>
    <w:rsid w:val="008231A7"/>
    <w:rsid w:val="008246C5"/>
    <w:rsid w:val="008250A4"/>
    <w:rsid w:val="008253E1"/>
    <w:rsid w:val="008253EF"/>
    <w:rsid w:val="00825719"/>
    <w:rsid w:val="00825751"/>
    <w:rsid w:val="00825C3D"/>
    <w:rsid w:val="008264EB"/>
    <w:rsid w:val="008268CE"/>
    <w:rsid w:val="00826C6E"/>
    <w:rsid w:val="00826E93"/>
    <w:rsid w:val="008274B6"/>
    <w:rsid w:val="00827558"/>
    <w:rsid w:val="00827C23"/>
    <w:rsid w:val="00831BDA"/>
    <w:rsid w:val="008321FE"/>
    <w:rsid w:val="00832279"/>
    <w:rsid w:val="00832ACC"/>
    <w:rsid w:val="00833B05"/>
    <w:rsid w:val="008348F4"/>
    <w:rsid w:val="008358A6"/>
    <w:rsid w:val="00835E22"/>
    <w:rsid w:val="008362B4"/>
    <w:rsid w:val="00836F8F"/>
    <w:rsid w:val="00837102"/>
    <w:rsid w:val="0084013D"/>
    <w:rsid w:val="008407FD"/>
    <w:rsid w:val="00840CA2"/>
    <w:rsid w:val="008417B8"/>
    <w:rsid w:val="00842D5F"/>
    <w:rsid w:val="00842EDE"/>
    <w:rsid w:val="0084374F"/>
    <w:rsid w:val="00843CE8"/>
    <w:rsid w:val="00843D2B"/>
    <w:rsid w:val="00844A22"/>
    <w:rsid w:val="00844AB0"/>
    <w:rsid w:val="008456F2"/>
    <w:rsid w:val="00846A51"/>
    <w:rsid w:val="00846E5E"/>
    <w:rsid w:val="00846EBD"/>
    <w:rsid w:val="008472A4"/>
    <w:rsid w:val="00847703"/>
    <w:rsid w:val="00847DF5"/>
    <w:rsid w:val="0085090E"/>
    <w:rsid w:val="0085309D"/>
    <w:rsid w:val="008534E6"/>
    <w:rsid w:val="00853580"/>
    <w:rsid w:val="00854209"/>
    <w:rsid w:val="008543B8"/>
    <w:rsid w:val="00855386"/>
    <w:rsid w:val="008559B1"/>
    <w:rsid w:val="00856897"/>
    <w:rsid w:val="008569AB"/>
    <w:rsid w:val="00856E9A"/>
    <w:rsid w:val="008574E6"/>
    <w:rsid w:val="0086075D"/>
    <w:rsid w:val="00861861"/>
    <w:rsid w:val="008623D6"/>
    <w:rsid w:val="00862502"/>
    <w:rsid w:val="00862CC1"/>
    <w:rsid w:val="00863191"/>
    <w:rsid w:val="00863841"/>
    <w:rsid w:val="008642A7"/>
    <w:rsid w:val="00864E88"/>
    <w:rsid w:val="008660D4"/>
    <w:rsid w:val="00867C6D"/>
    <w:rsid w:val="00867E47"/>
    <w:rsid w:val="00870601"/>
    <w:rsid w:val="00871FA9"/>
    <w:rsid w:val="008728E9"/>
    <w:rsid w:val="008731D6"/>
    <w:rsid w:val="00874758"/>
    <w:rsid w:val="00874CC1"/>
    <w:rsid w:val="0087531A"/>
    <w:rsid w:val="008758F4"/>
    <w:rsid w:val="008767BE"/>
    <w:rsid w:val="0088043A"/>
    <w:rsid w:val="0088056E"/>
    <w:rsid w:val="00880CCE"/>
    <w:rsid w:val="00880F4E"/>
    <w:rsid w:val="0088104D"/>
    <w:rsid w:val="00882874"/>
    <w:rsid w:val="00882E3C"/>
    <w:rsid w:val="0088308A"/>
    <w:rsid w:val="008832E0"/>
    <w:rsid w:val="00883787"/>
    <w:rsid w:val="008855E4"/>
    <w:rsid w:val="008868BD"/>
    <w:rsid w:val="00886CD2"/>
    <w:rsid w:val="008876FB"/>
    <w:rsid w:val="00887B37"/>
    <w:rsid w:val="00890523"/>
    <w:rsid w:val="00891E6F"/>
    <w:rsid w:val="00891F81"/>
    <w:rsid w:val="008922B8"/>
    <w:rsid w:val="0089275D"/>
    <w:rsid w:val="00892A36"/>
    <w:rsid w:val="00893239"/>
    <w:rsid w:val="008933D9"/>
    <w:rsid w:val="00893679"/>
    <w:rsid w:val="008937AD"/>
    <w:rsid w:val="0089420E"/>
    <w:rsid w:val="00894489"/>
    <w:rsid w:val="00894CD6"/>
    <w:rsid w:val="008950F0"/>
    <w:rsid w:val="008956E9"/>
    <w:rsid w:val="008963A5"/>
    <w:rsid w:val="00896D5D"/>
    <w:rsid w:val="008972AE"/>
    <w:rsid w:val="008978FD"/>
    <w:rsid w:val="008A089D"/>
    <w:rsid w:val="008A0F8E"/>
    <w:rsid w:val="008A15D7"/>
    <w:rsid w:val="008A1996"/>
    <w:rsid w:val="008A1DBE"/>
    <w:rsid w:val="008A2DDF"/>
    <w:rsid w:val="008A301D"/>
    <w:rsid w:val="008A3158"/>
    <w:rsid w:val="008A3363"/>
    <w:rsid w:val="008A3371"/>
    <w:rsid w:val="008A390B"/>
    <w:rsid w:val="008A3C3E"/>
    <w:rsid w:val="008A3F6E"/>
    <w:rsid w:val="008A4144"/>
    <w:rsid w:val="008A43B9"/>
    <w:rsid w:val="008A45E0"/>
    <w:rsid w:val="008A5395"/>
    <w:rsid w:val="008A5672"/>
    <w:rsid w:val="008A5A20"/>
    <w:rsid w:val="008A5AA5"/>
    <w:rsid w:val="008A691C"/>
    <w:rsid w:val="008A71C2"/>
    <w:rsid w:val="008A76A0"/>
    <w:rsid w:val="008A79DE"/>
    <w:rsid w:val="008B0570"/>
    <w:rsid w:val="008B11CF"/>
    <w:rsid w:val="008B1757"/>
    <w:rsid w:val="008B17C5"/>
    <w:rsid w:val="008B1C33"/>
    <w:rsid w:val="008B3CFC"/>
    <w:rsid w:val="008B3D6B"/>
    <w:rsid w:val="008B4A18"/>
    <w:rsid w:val="008B4B6F"/>
    <w:rsid w:val="008B4F30"/>
    <w:rsid w:val="008B54B2"/>
    <w:rsid w:val="008B588C"/>
    <w:rsid w:val="008B5F39"/>
    <w:rsid w:val="008B62EA"/>
    <w:rsid w:val="008B672E"/>
    <w:rsid w:val="008B73E9"/>
    <w:rsid w:val="008B7992"/>
    <w:rsid w:val="008B7D7E"/>
    <w:rsid w:val="008C0186"/>
    <w:rsid w:val="008C0C4B"/>
    <w:rsid w:val="008C1051"/>
    <w:rsid w:val="008C1387"/>
    <w:rsid w:val="008C19EF"/>
    <w:rsid w:val="008C28C1"/>
    <w:rsid w:val="008C28CE"/>
    <w:rsid w:val="008C2CAD"/>
    <w:rsid w:val="008C2EBC"/>
    <w:rsid w:val="008C363A"/>
    <w:rsid w:val="008C5610"/>
    <w:rsid w:val="008C5739"/>
    <w:rsid w:val="008C5CCB"/>
    <w:rsid w:val="008C6923"/>
    <w:rsid w:val="008C6F63"/>
    <w:rsid w:val="008C7282"/>
    <w:rsid w:val="008C768A"/>
    <w:rsid w:val="008C773F"/>
    <w:rsid w:val="008C7ECB"/>
    <w:rsid w:val="008D0832"/>
    <w:rsid w:val="008D2A51"/>
    <w:rsid w:val="008D3B86"/>
    <w:rsid w:val="008D41BB"/>
    <w:rsid w:val="008D43FD"/>
    <w:rsid w:val="008D4755"/>
    <w:rsid w:val="008D4772"/>
    <w:rsid w:val="008D47F1"/>
    <w:rsid w:val="008D4C3D"/>
    <w:rsid w:val="008D585D"/>
    <w:rsid w:val="008D5F07"/>
    <w:rsid w:val="008D743C"/>
    <w:rsid w:val="008E0D3C"/>
    <w:rsid w:val="008E12E7"/>
    <w:rsid w:val="008E1B9E"/>
    <w:rsid w:val="008E3DCF"/>
    <w:rsid w:val="008E3E1B"/>
    <w:rsid w:val="008E4806"/>
    <w:rsid w:val="008E4D96"/>
    <w:rsid w:val="008E55AB"/>
    <w:rsid w:val="008E6623"/>
    <w:rsid w:val="008E6934"/>
    <w:rsid w:val="008E6CE9"/>
    <w:rsid w:val="008E6F73"/>
    <w:rsid w:val="008E7FA4"/>
    <w:rsid w:val="008F0069"/>
    <w:rsid w:val="008F035A"/>
    <w:rsid w:val="008F11AC"/>
    <w:rsid w:val="008F120A"/>
    <w:rsid w:val="008F143C"/>
    <w:rsid w:val="008F18DE"/>
    <w:rsid w:val="008F1C03"/>
    <w:rsid w:val="008F21D4"/>
    <w:rsid w:val="008F27E0"/>
    <w:rsid w:val="008F3134"/>
    <w:rsid w:val="008F3CE4"/>
    <w:rsid w:val="008F48EB"/>
    <w:rsid w:val="008F4F0B"/>
    <w:rsid w:val="008F5299"/>
    <w:rsid w:val="008F5CF7"/>
    <w:rsid w:val="008F74F3"/>
    <w:rsid w:val="008F7A8D"/>
    <w:rsid w:val="00900402"/>
    <w:rsid w:val="0090098A"/>
    <w:rsid w:val="009009BA"/>
    <w:rsid w:val="00901D11"/>
    <w:rsid w:val="00902C49"/>
    <w:rsid w:val="009034EA"/>
    <w:rsid w:val="00904311"/>
    <w:rsid w:val="00904651"/>
    <w:rsid w:val="009046C4"/>
    <w:rsid w:val="00904CFE"/>
    <w:rsid w:val="009062A5"/>
    <w:rsid w:val="00906C4B"/>
    <w:rsid w:val="009075E5"/>
    <w:rsid w:val="00907699"/>
    <w:rsid w:val="00910A42"/>
    <w:rsid w:val="00910CBC"/>
    <w:rsid w:val="00910F76"/>
    <w:rsid w:val="00910FA7"/>
    <w:rsid w:val="00911272"/>
    <w:rsid w:val="00911339"/>
    <w:rsid w:val="009119D6"/>
    <w:rsid w:val="0091285D"/>
    <w:rsid w:val="00912D2D"/>
    <w:rsid w:val="00913111"/>
    <w:rsid w:val="009131D8"/>
    <w:rsid w:val="009135D6"/>
    <w:rsid w:val="00913688"/>
    <w:rsid w:val="009137E8"/>
    <w:rsid w:val="00913A7B"/>
    <w:rsid w:val="0091458F"/>
    <w:rsid w:val="00914C77"/>
    <w:rsid w:val="00914D11"/>
    <w:rsid w:val="00920021"/>
    <w:rsid w:val="00920C1D"/>
    <w:rsid w:val="0092138E"/>
    <w:rsid w:val="0092141D"/>
    <w:rsid w:val="009218DF"/>
    <w:rsid w:val="00921ACB"/>
    <w:rsid w:val="00921BBD"/>
    <w:rsid w:val="0092369B"/>
    <w:rsid w:val="009238B9"/>
    <w:rsid w:val="00923FCB"/>
    <w:rsid w:val="009248DA"/>
    <w:rsid w:val="00924F39"/>
    <w:rsid w:val="009250AE"/>
    <w:rsid w:val="0092563A"/>
    <w:rsid w:val="00925F2E"/>
    <w:rsid w:val="00926C86"/>
    <w:rsid w:val="009273ED"/>
    <w:rsid w:val="00930929"/>
    <w:rsid w:val="00930FA4"/>
    <w:rsid w:val="009320E7"/>
    <w:rsid w:val="00932482"/>
    <w:rsid w:val="009327F1"/>
    <w:rsid w:val="00932814"/>
    <w:rsid w:val="00933194"/>
    <w:rsid w:val="00934988"/>
    <w:rsid w:val="00935FA2"/>
    <w:rsid w:val="00936099"/>
    <w:rsid w:val="0093645D"/>
    <w:rsid w:val="00936882"/>
    <w:rsid w:val="009368D3"/>
    <w:rsid w:val="00937089"/>
    <w:rsid w:val="0093728C"/>
    <w:rsid w:val="00937BA3"/>
    <w:rsid w:val="0094034D"/>
    <w:rsid w:val="00940C70"/>
    <w:rsid w:val="009424E0"/>
    <w:rsid w:val="00944F8A"/>
    <w:rsid w:val="00945D2D"/>
    <w:rsid w:val="00946160"/>
    <w:rsid w:val="00946460"/>
    <w:rsid w:val="009464E2"/>
    <w:rsid w:val="00947312"/>
    <w:rsid w:val="00947EBE"/>
    <w:rsid w:val="009505D7"/>
    <w:rsid w:val="009510A2"/>
    <w:rsid w:val="00952110"/>
    <w:rsid w:val="009531DF"/>
    <w:rsid w:val="00953257"/>
    <w:rsid w:val="00953BEC"/>
    <w:rsid w:val="0095474C"/>
    <w:rsid w:val="00954AC2"/>
    <w:rsid w:val="00954F52"/>
    <w:rsid w:val="009550B1"/>
    <w:rsid w:val="009557F1"/>
    <w:rsid w:val="00955B2B"/>
    <w:rsid w:val="00955ED2"/>
    <w:rsid w:val="00956735"/>
    <w:rsid w:val="0095743C"/>
    <w:rsid w:val="00957D92"/>
    <w:rsid w:val="00957DB4"/>
    <w:rsid w:val="00957F28"/>
    <w:rsid w:val="009607AF"/>
    <w:rsid w:val="009612EB"/>
    <w:rsid w:val="00962591"/>
    <w:rsid w:val="00962CB9"/>
    <w:rsid w:val="00964312"/>
    <w:rsid w:val="0096471B"/>
    <w:rsid w:val="00965A62"/>
    <w:rsid w:val="00965B8A"/>
    <w:rsid w:val="00965E40"/>
    <w:rsid w:val="00966E1E"/>
    <w:rsid w:val="00966F92"/>
    <w:rsid w:val="009704C3"/>
    <w:rsid w:val="00970517"/>
    <w:rsid w:val="0097071F"/>
    <w:rsid w:val="009717AC"/>
    <w:rsid w:val="00971877"/>
    <w:rsid w:val="00971CD7"/>
    <w:rsid w:val="00972473"/>
    <w:rsid w:val="00972A1E"/>
    <w:rsid w:val="00972C9F"/>
    <w:rsid w:val="0097386E"/>
    <w:rsid w:val="00973A3D"/>
    <w:rsid w:val="00973A47"/>
    <w:rsid w:val="00973ADB"/>
    <w:rsid w:val="0097478B"/>
    <w:rsid w:val="00974A7E"/>
    <w:rsid w:val="009751C1"/>
    <w:rsid w:val="009754CD"/>
    <w:rsid w:val="009755B9"/>
    <w:rsid w:val="009758A6"/>
    <w:rsid w:val="00975A9C"/>
    <w:rsid w:val="0097623E"/>
    <w:rsid w:val="00977859"/>
    <w:rsid w:val="00977E9E"/>
    <w:rsid w:val="00977F83"/>
    <w:rsid w:val="009808A1"/>
    <w:rsid w:val="009811F1"/>
    <w:rsid w:val="00982180"/>
    <w:rsid w:val="0098262F"/>
    <w:rsid w:val="00983109"/>
    <w:rsid w:val="00983E57"/>
    <w:rsid w:val="00985DE2"/>
    <w:rsid w:val="009865AB"/>
    <w:rsid w:val="0098675D"/>
    <w:rsid w:val="00986D13"/>
    <w:rsid w:val="00987582"/>
    <w:rsid w:val="00987BA4"/>
    <w:rsid w:val="009904BF"/>
    <w:rsid w:val="009923EE"/>
    <w:rsid w:val="009926E0"/>
    <w:rsid w:val="00992A7B"/>
    <w:rsid w:val="0099306C"/>
    <w:rsid w:val="009931FC"/>
    <w:rsid w:val="009937CD"/>
    <w:rsid w:val="009939A1"/>
    <w:rsid w:val="0099451E"/>
    <w:rsid w:val="0099476C"/>
    <w:rsid w:val="009952A3"/>
    <w:rsid w:val="009965CB"/>
    <w:rsid w:val="00996730"/>
    <w:rsid w:val="00996A39"/>
    <w:rsid w:val="00996B1A"/>
    <w:rsid w:val="00996D10"/>
    <w:rsid w:val="00996E34"/>
    <w:rsid w:val="00996E44"/>
    <w:rsid w:val="009971BB"/>
    <w:rsid w:val="009A1639"/>
    <w:rsid w:val="009A180C"/>
    <w:rsid w:val="009A18F6"/>
    <w:rsid w:val="009A2DCC"/>
    <w:rsid w:val="009A348F"/>
    <w:rsid w:val="009A3FD7"/>
    <w:rsid w:val="009A42ED"/>
    <w:rsid w:val="009A4F9C"/>
    <w:rsid w:val="009A511B"/>
    <w:rsid w:val="009A5ABC"/>
    <w:rsid w:val="009A6462"/>
    <w:rsid w:val="009A656B"/>
    <w:rsid w:val="009A6EF7"/>
    <w:rsid w:val="009A7E6F"/>
    <w:rsid w:val="009A7F10"/>
    <w:rsid w:val="009B0096"/>
    <w:rsid w:val="009B041A"/>
    <w:rsid w:val="009B18B9"/>
    <w:rsid w:val="009B2462"/>
    <w:rsid w:val="009B2B56"/>
    <w:rsid w:val="009B3E26"/>
    <w:rsid w:val="009B461C"/>
    <w:rsid w:val="009B4D8F"/>
    <w:rsid w:val="009B5E5B"/>
    <w:rsid w:val="009B6487"/>
    <w:rsid w:val="009B6E26"/>
    <w:rsid w:val="009B7F98"/>
    <w:rsid w:val="009C0CD3"/>
    <w:rsid w:val="009C1271"/>
    <w:rsid w:val="009C2A74"/>
    <w:rsid w:val="009C2C21"/>
    <w:rsid w:val="009C3706"/>
    <w:rsid w:val="009C39EA"/>
    <w:rsid w:val="009C3A3A"/>
    <w:rsid w:val="009C426B"/>
    <w:rsid w:val="009C444D"/>
    <w:rsid w:val="009C46FB"/>
    <w:rsid w:val="009C499A"/>
    <w:rsid w:val="009C6CEA"/>
    <w:rsid w:val="009C700A"/>
    <w:rsid w:val="009C7450"/>
    <w:rsid w:val="009C7B85"/>
    <w:rsid w:val="009D0254"/>
    <w:rsid w:val="009D04E5"/>
    <w:rsid w:val="009D05E0"/>
    <w:rsid w:val="009D0692"/>
    <w:rsid w:val="009D072E"/>
    <w:rsid w:val="009D074B"/>
    <w:rsid w:val="009D1129"/>
    <w:rsid w:val="009D1377"/>
    <w:rsid w:val="009D1A64"/>
    <w:rsid w:val="009D2956"/>
    <w:rsid w:val="009D29A0"/>
    <w:rsid w:val="009D392E"/>
    <w:rsid w:val="009D5073"/>
    <w:rsid w:val="009D5B91"/>
    <w:rsid w:val="009D60A9"/>
    <w:rsid w:val="009D6EC9"/>
    <w:rsid w:val="009D792E"/>
    <w:rsid w:val="009E0439"/>
    <w:rsid w:val="009E06F5"/>
    <w:rsid w:val="009E0DFE"/>
    <w:rsid w:val="009E1F26"/>
    <w:rsid w:val="009E2452"/>
    <w:rsid w:val="009E2B8A"/>
    <w:rsid w:val="009E2C4E"/>
    <w:rsid w:val="009E2E03"/>
    <w:rsid w:val="009E31F6"/>
    <w:rsid w:val="009E38DE"/>
    <w:rsid w:val="009E4062"/>
    <w:rsid w:val="009E4182"/>
    <w:rsid w:val="009E4C07"/>
    <w:rsid w:val="009E55C5"/>
    <w:rsid w:val="009E5AB2"/>
    <w:rsid w:val="009E5EC5"/>
    <w:rsid w:val="009E777F"/>
    <w:rsid w:val="009E7961"/>
    <w:rsid w:val="009E79CF"/>
    <w:rsid w:val="009F029E"/>
    <w:rsid w:val="009F0619"/>
    <w:rsid w:val="009F0673"/>
    <w:rsid w:val="009F10C9"/>
    <w:rsid w:val="009F172E"/>
    <w:rsid w:val="009F23B7"/>
    <w:rsid w:val="009F2779"/>
    <w:rsid w:val="009F2B80"/>
    <w:rsid w:val="009F31DE"/>
    <w:rsid w:val="009F3808"/>
    <w:rsid w:val="009F3F87"/>
    <w:rsid w:val="009F5842"/>
    <w:rsid w:val="009F6120"/>
    <w:rsid w:val="009F622E"/>
    <w:rsid w:val="009F6CE6"/>
    <w:rsid w:val="009F75F2"/>
    <w:rsid w:val="009F7E59"/>
    <w:rsid w:val="00A00D76"/>
    <w:rsid w:val="00A00E04"/>
    <w:rsid w:val="00A01184"/>
    <w:rsid w:val="00A01449"/>
    <w:rsid w:val="00A01ACD"/>
    <w:rsid w:val="00A0220D"/>
    <w:rsid w:val="00A022BB"/>
    <w:rsid w:val="00A02485"/>
    <w:rsid w:val="00A031D4"/>
    <w:rsid w:val="00A037C2"/>
    <w:rsid w:val="00A03D43"/>
    <w:rsid w:val="00A041F9"/>
    <w:rsid w:val="00A04380"/>
    <w:rsid w:val="00A04786"/>
    <w:rsid w:val="00A04C50"/>
    <w:rsid w:val="00A050C7"/>
    <w:rsid w:val="00A05472"/>
    <w:rsid w:val="00A05486"/>
    <w:rsid w:val="00A055E5"/>
    <w:rsid w:val="00A05AE8"/>
    <w:rsid w:val="00A05C32"/>
    <w:rsid w:val="00A0653F"/>
    <w:rsid w:val="00A065ED"/>
    <w:rsid w:val="00A07A91"/>
    <w:rsid w:val="00A07B13"/>
    <w:rsid w:val="00A07F26"/>
    <w:rsid w:val="00A10875"/>
    <w:rsid w:val="00A11150"/>
    <w:rsid w:val="00A11948"/>
    <w:rsid w:val="00A11CD0"/>
    <w:rsid w:val="00A11DA0"/>
    <w:rsid w:val="00A11E0A"/>
    <w:rsid w:val="00A11E7B"/>
    <w:rsid w:val="00A12927"/>
    <w:rsid w:val="00A1357D"/>
    <w:rsid w:val="00A13761"/>
    <w:rsid w:val="00A13948"/>
    <w:rsid w:val="00A146FE"/>
    <w:rsid w:val="00A147F6"/>
    <w:rsid w:val="00A1555B"/>
    <w:rsid w:val="00A155C5"/>
    <w:rsid w:val="00A160D0"/>
    <w:rsid w:val="00A16643"/>
    <w:rsid w:val="00A16AD8"/>
    <w:rsid w:val="00A2021E"/>
    <w:rsid w:val="00A20588"/>
    <w:rsid w:val="00A2063C"/>
    <w:rsid w:val="00A21C95"/>
    <w:rsid w:val="00A21CF3"/>
    <w:rsid w:val="00A24813"/>
    <w:rsid w:val="00A25349"/>
    <w:rsid w:val="00A26471"/>
    <w:rsid w:val="00A26586"/>
    <w:rsid w:val="00A27AEC"/>
    <w:rsid w:val="00A320DB"/>
    <w:rsid w:val="00A33B29"/>
    <w:rsid w:val="00A34551"/>
    <w:rsid w:val="00A348E2"/>
    <w:rsid w:val="00A35D16"/>
    <w:rsid w:val="00A36122"/>
    <w:rsid w:val="00A363D9"/>
    <w:rsid w:val="00A36776"/>
    <w:rsid w:val="00A36BA1"/>
    <w:rsid w:val="00A36CD3"/>
    <w:rsid w:val="00A373E6"/>
    <w:rsid w:val="00A37B38"/>
    <w:rsid w:val="00A37BCD"/>
    <w:rsid w:val="00A40992"/>
    <w:rsid w:val="00A4109C"/>
    <w:rsid w:val="00A412F9"/>
    <w:rsid w:val="00A41689"/>
    <w:rsid w:val="00A42592"/>
    <w:rsid w:val="00A4311F"/>
    <w:rsid w:val="00A4342D"/>
    <w:rsid w:val="00A43C59"/>
    <w:rsid w:val="00A44B31"/>
    <w:rsid w:val="00A44C6A"/>
    <w:rsid w:val="00A44E08"/>
    <w:rsid w:val="00A45690"/>
    <w:rsid w:val="00A4620A"/>
    <w:rsid w:val="00A503F8"/>
    <w:rsid w:val="00A50C47"/>
    <w:rsid w:val="00A50ECD"/>
    <w:rsid w:val="00A5145E"/>
    <w:rsid w:val="00A518F3"/>
    <w:rsid w:val="00A52729"/>
    <w:rsid w:val="00A5297B"/>
    <w:rsid w:val="00A53063"/>
    <w:rsid w:val="00A53675"/>
    <w:rsid w:val="00A53A41"/>
    <w:rsid w:val="00A53F1A"/>
    <w:rsid w:val="00A54008"/>
    <w:rsid w:val="00A542E3"/>
    <w:rsid w:val="00A54760"/>
    <w:rsid w:val="00A549A0"/>
    <w:rsid w:val="00A55CEE"/>
    <w:rsid w:val="00A56369"/>
    <w:rsid w:val="00A564D7"/>
    <w:rsid w:val="00A56B6A"/>
    <w:rsid w:val="00A574D2"/>
    <w:rsid w:val="00A578DC"/>
    <w:rsid w:val="00A57D07"/>
    <w:rsid w:val="00A57DDA"/>
    <w:rsid w:val="00A6057F"/>
    <w:rsid w:val="00A60AF6"/>
    <w:rsid w:val="00A61A58"/>
    <w:rsid w:val="00A61E4A"/>
    <w:rsid w:val="00A62AC3"/>
    <w:rsid w:val="00A62C5C"/>
    <w:rsid w:val="00A63071"/>
    <w:rsid w:val="00A63518"/>
    <w:rsid w:val="00A6378C"/>
    <w:rsid w:val="00A63F0C"/>
    <w:rsid w:val="00A640E2"/>
    <w:rsid w:val="00A64D65"/>
    <w:rsid w:val="00A65673"/>
    <w:rsid w:val="00A6594A"/>
    <w:rsid w:val="00A6725B"/>
    <w:rsid w:val="00A67931"/>
    <w:rsid w:val="00A67C87"/>
    <w:rsid w:val="00A67EB5"/>
    <w:rsid w:val="00A70605"/>
    <w:rsid w:val="00A70B98"/>
    <w:rsid w:val="00A73134"/>
    <w:rsid w:val="00A731F2"/>
    <w:rsid w:val="00A7365A"/>
    <w:rsid w:val="00A75DBA"/>
    <w:rsid w:val="00A76001"/>
    <w:rsid w:val="00A760E6"/>
    <w:rsid w:val="00A7646C"/>
    <w:rsid w:val="00A76B67"/>
    <w:rsid w:val="00A777B2"/>
    <w:rsid w:val="00A80011"/>
    <w:rsid w:val="00A8023F"/>
    <w:rsid w:val="00A81893"/>
    <w:rsid w:val="00A8198D"/>
    <w:rsid w:val="00A81B55"/>
    <w:rsid w:val="00A8210C"/>
    <w:rsid w:val="00A825D4"/>
    <w:rsid w:val="00A828F6"/>
    <w:rsid w:val="00A82A79"/>
    <w:rsid w:val="00A82B73"/>
    <w:rsid w:val="00A82C9C"/>
    <w:rsid w:val="00A85151"/>
    <w:rsid w:val="00A86E8B"/>
    <w:rsid w:val="00A87164"/>
    <w:rsid w:val="00A871A9"/>
    <w:rsid w:val="00A87203"/>
    <w:rsid w:val="00A872BA"/>
    <w:rsid w:val="00A87B24"/>
    <w:rsid w:val="00A90370"/>
    <w:rsid w:val="00A91A8E"/>
    <w:rsid w:val="00A91C05"/>
    <w:rsid w:val="00A91C9D"/>
    <w:rsid w:val="00A924B0"/>
    <w:rsid w:val="00A924E4"/>
    <w:rsid w:val="00A93072"/>
    <w:rsid w:val="00A933BD"/>
    <w:rsid w:val="00A938BD"/>
    <w:rsid w:val="00A9394C"/>
    <w:rsid w:val="00A93953"/>
    <w:rsid w:val="00A93E34"/>
    <w:rsid w:val="00A9504E"/>
    <w:rsid w:val="00A9547D"/>
    <w:rsid w:val="00A956E2"/>
    <w:rsid w:val="00A959D8"/>
    <w:rsid w:val="00A9670C"/>
    <w:rsid w:val="00A96D18"/>
    <w:rsid w:val="00AA00E4"/>
    <w:rsid w:val="00AA113D"/>
    <w:rsid w:val="00AA20AA"/>
    <w:rsid w:val="00AA24E7"/>
    <w:rsid w:val="00AA46BF"/>
    <w:rsid w:val="00AA4E72"/>
    <w:rsid w:val="00AA552A"/>
    <w:rsid w:val="00AA599B"/>
    <w:rsid w:val="00AA6BD5"/>
    <w:rsid w:val="00AA6BD8"/>
    <w:rsid w:val="00AA6C7D"/>
    <w:rsid w:val="00AA6DF7"/>
    <w:rsid w:val="00AA76FB"/>
    <w:rsid w:val="00AA7FD6"/>
    <w:rsid w:val="00AB001E"/>
    <w:rsid w:val="00AB042A"/>
    <w:rsid w:val="00AB09CF"/>
    <w:rsid w:val="00AB0F28"/>
    <w:rsid w:val="00AB11AD"/>
    <w:rsid w:val="00AB19EF"/>
    <w:rsid w:val="00AB1D22"/>
    <w:rsid w:val="00AB23A1"/>
    <w:rsid w:val="00AB2495"/>
    <w:rsid w:val="00AB2653"/>
    <w:rsid w:val="00AB2D34"/>
    <w:rsid w:val="00AB3430"/>
    <w:rsid w:val="00AB37B9"/>
    <w:rsid w:val="00AB498B"/>
    <w:rsid w:val="00AB4AD1"/>
    <w:rsid w:val="00AB5E07"/>
    <w:rsid w:val="00AB621C"/>
    <w:rsid w:val="00AB6919"/>
    <w:rsid w:val="00AB6F78"/>
    <w:rsid w:val="00AB7CFA"/>
    <w:rsid w:val="00AB7E64"/>
    <w:rsid w:val="00AB7ECC"/>
    <w:rsid w:val="00AC0029"/>
    <w:rsid w:val="00AC02F9"/>
    <w:rsid w:val="00AC0AA9"/>
    <w:rsid w:val="00AC0CB3"/>
    <w:rsid w:val="00AC12F4"/>
    <w:rsid w:val="00AC2282"/>
    <w:rsid w:val="00AC3E18"/>
    <w:rsid w:val="00AC4A0E"/>
    <w:rsid w:val="00AC5393"/>
    <w:rsid w:val="00AC58DF"/>
    <w:rsid w:val="00AC5B42"/>
    <w:rsid w:val="00AC5B48"/>
    <w:rsid w:val="00AC5B50"/>
    <w:rsid w:val="00AC5E29"/>
    <w:rsid w:val="00AC630D"/>
    <w:rsid w:val="00AC6F25"/>
    <w:rsid w:val="00AC70C0"/>
    <w:rsid w:val="00AC748E"/>
    <w:rsid w:val="00AC7868"/>
    <w:rsid w:val="00AC7F64"/>
    <w:rsid w:val="00AC7F80"/>
    <w:rsid w:val="00AD0753"/>
    <w:rsid w:val="00AD1450"/>
    <w:rsid w:val="00AD15E8"/>
    <w:rsid w:val="00AD2E90"/>
    <w:rsid w:val="00AD3449"/>
    <w:rsid w:val="00AD356D"/>
    <w:rsid w:val="00AD3679"/>
    <w:rsid w:val="00AD3B04"/>
    <w:rsid w:val="00AD4895"/>
    <w:rsid w:val="00AD499B"/>
    <w:rsid w:val="00AD54DB"/>
    <w:rsid w:val="00AD5FCC"/>
    <w:rsid w:val="00AD6502"/>
    <w:rsid w:val="00AD657F"/>
    <w:rsid w:val="00AD6787"/>
    <w:rsid w:val="00AD6A85"/>
    <w:rsid w:val="00AD7CC9"/>
    <w:rsid w:val="00AE0695"/>
    <w:rsid w:val="00AE2C47"/>
    <w:rsid w:val="00AE3233"/>
    <w:rsid w:val="00AE3C24"/>
    <w:rsid w:val="00AE3E7E"/>
    <w:rsid w:val="00AE4D1B"/>
    <w:rsid w:val="00AE5BF4"/>
    <w:rsid w:val="00AE67F4"/>
    <w:rsid w:val="00AE7E53"/>
    <w:rsid w:val="00AF0B93"/>
    <w:rsid w:val="00AF1104"/>
    <w:rsid w:val="00AF1315"/>
    <w:rsid w:val="00AF1893"/>
    <w:rsid w:val="00AF19BF"/>
    <w:rsid w:val="00AF1F20"/>
    <w:rsid w:val="00AF22CF"/>
    <w:rsid w:val="00AF2519"/>
    <w:rsid w:val="00AF253C"/>
    <w:rsid w:val="00AF2DC3"/>
    <w:rsid w:val="00AF4386"/>
    <w:rsid w:val="00AF4A0C"/>
    <w:rsid w:val="00AF710D"/>
    <w:rsid w:val="00AF732C"/>
    <w:rsid w:val="00B00F10"/>
    <w:rsid w:val="00B01FD3"/>
    <w:rsid w:val="00B02C18"/>
    <w:rsid w:val="00B033E5"/>
    <w:rsid w:val="00B03A63"/>
    <w:rsid w:val="00B04294"/>
    <w:rsid w:val="00B04F67"/>
    <w:rsid w:val="00B0678D"/>
    <w:rsid w:val="00B07C1B"/>
    <w:rsid w:val="00B07E92"/>
    <w:rsid w:val="00B1026E"/>
    <w:rsid w:val="00B10902"/>
    <w:rsid w:val="00B11B8E"/>
    <w:rsid w:val="00B129A4"/>
    <w:rsid w:val="00B1380E"/>
    <w:rsid w:val="00B138AD"/>
    <w:rsid w:val="00B13C29"/>
    <w:rsid w:val="00B145F1"/>
    <w:rsid w:val="00B1500D"/>
    <w:rsid w:val="00B15323"/>
    <w:rsid w:val="00B15831"/>
    <w:rsid w:val="00B15D35"/>
    <w:rsid w:val="00B165A1"/>
    <w:rsid w:val="00B174FA"/>
    <w:rsid w:val="00B179F6"/>
    <w:rsid w:val="00B201A4"/>
    <w:rsid w:val="00B201D1"/>
    <w:rsid w:val="00B213A6"/>
    <w:rsid w:val="00B227A4"/>
    <w:rsid w:val="00B22D63"/>
    <w:rsid w:val="00B235B0"/>
    <w:rsid w:val="00B24083"/>
    <w:rsid w:val="00B24972"/>
    <w:rsid w:val="00B24DF6"/>
    <w:rsid w:val="00B25C39"/>
    <w:rsid w:val="00B26780"/>
    <w:rsid w:val="00B27163"/>
    <w:rsid w:val="00B27A61"/>
    <w:rsid w:val="00B27B44"/>
    <w:rsid w:val="00B27F73"/>
    <w:rsid w:val="00B30187"/>
    <w:rsid w:val="00B30546"/>
    <w:rsid w:val="00B30820"/>
    <w:rsid w:val="00B3085B"/>
    <w:rsid w:val="00B336C5"/>
    <w:rsid w:val="00B33C04"/>
    <w:rsid w:val="00B3449B"/>
    <w:rsid w:val="00B34A01"/>
    <w:rsid w:val="00B34FE2"/>
    <w:rsid w:val="00B35166"/>
    <w:rsid w:val="00B35502"/>
    <w:rsid w:val="00B3573B"/>
    <w:rsid w:val="00B357D8"/>
    <w:rsid w:val="00B360F4"/>
    <w:rsid w:val="00B36354"/>
    <w:rsid w:val="00B36860"/>
    <w:rsid w:val="00B36A00"/>
    <w:rsid w:val="00B3792B"/>
    <w:rsid w:val="00B37BFC"/>
    <w:rsid w:val="00B40358"/>
    <w:rsid w:val="00B40B65"/>
    <w:rsid w:val="00B41513"/>
    <w:rsid w:val="00B41614"/>
    <w:rsid w:val="00B41866"/>
    <w:rsid w:val="00B41889"/>
    <w:rsid w:val="00B41A04"/>
    <w:rsid w:val="00B41AB3"/>
    <w:rsid w:val="00B41CB2"/>
    <w:rsid w:val="00B42261"/>
    <w:rsid w:val="00B424DF"/>
    <w:rsid w:val="00B42681"/>
    <w:rsid w:val="00B42851"/>
    <w:rsid w:val="00B42A12"/>
    <w:rsid w:val="00B42F80"/>
    <w:rsid w:val="00B435CB"/>
    <w:rsid w:val="00B43B20"/>
    <w:rsid w:val="00B43DBA"/>
    <w:rsid w:val="00B44173"/>
    <w:rsid w:val="00B45275"/>
    <w:rsid w:val="00B4529D"/>
    <w:rsid w:val="00B4622D"/>
    <w:rsid w:val="00B465EC"/>
    <w:rsid w:val="00B46BB6"/>
    <w:rsid w:val="00B46D62"/>
    <w:rsid w:val="00B4745A"/>
    <w:rsid w:val="00B474A0"/>
    <w:rsid w:val="00B50229"/>
    <w:rsid w:val="00B505C8"/>
    <w:rsid w:val="00B50741"/>
    <w:rsid w:val="00B50DB8"/>
    <w:rsid w:val="00B51604"/>
    <w:rsid w:val="00B529AC"/>
    <w:rsid w:val="00B52EF9"/>
    <w:rsid w:val="00B53654"/>
    <w:rsid w:val="00B53905"/>
    <w:rsid w:val="00B544CA"/>
    <w:rsid w:val="00B546DB"/>
    <w:rsid w:val="00B54B5B"/>
    <w:rsid w:val="00B55298"/>
    <w:rsid w:val="00B5562E"/>
    <w:rsid w:val="00B55862"/>
    <w:rsid w:val="00B55D65"/>
    <w:rsid w:val="00B56305"/>
    <w:rsid w:val="00B5662F"/>
    <w:rsid w:val="00B56864"/>
    <w:rsid w:val="00B56A74"/>
    <w:rsid w:val="00B56ED4"/>
    <w:rsid w:val="00B57000"/>
    <w:rsid w:val="00B571A2"/>
    <w:rsid w:val="00B60939"/>
    <w:rsid w:val="00B60AFD"/>
    <w:rsid w:val="00B60EEC"/>
    <w:rsid w:val="00B61203"/>
    <w:rsid w:val="00B61EB3"/>
    <w:rsid w:val="00B620EC"/>
    <w:rsid w:val="00B62159"/>
    <w:rsid w:val="00B621BA"/>
    <w:rsid w:val="00B62291"/>
    <w:rsid w:val="00B62715"/>
    <w:rsid w:val="00B631C4"/>
    <w:rsid w:val="00B634B1"/>
    <w:rsid w:val="00B65611"/>
    <w:rsid w:val="00B658E1"/>
    <w:rsid w:val="00B6769D"/>
    <w:rsid w:val="00B67BFD"/>
    <w:rsid w:val="00B70277"/>
    <w:rsid w:val="00B70E8E"/>
    <w:rsid w:val="00B7158E"/>
    <w:rsid w:val="00B715CE"/>
    <w:rsid w:val="00B72924"/>
    <w:rsid w:val="00B72C21"/>
    <w:rsid w:val="00B73731"/>
    <w:rsid w:val="00B73C7D"/>
    <w:rsid w:val="00B74C01"/>
    <w:rsid w:val="00B755AE"/>
    <w:rsid w:val="00B75889"/>
    <w:rsid w:val="00B76186"/>
    <w:rsid w:val="00B762A4"/>
    <w:rsid w:val="00B76C92"/>
    <w:rsid w:val="00B77798"/>
    <w:rsid w:val="00B7786C"/>
    <w:rsid w:val="00B7796C"/>
    <w:rsid w:val="00B77974"/>
    <w:rsid w:val="00B77AD5"/>
    <w:rsid w:val="00B77D50"/>
    <w:rsid w:val="00B80A80"/>
    <w:rsid w:val="00B80EFD"/>
    <w:rsid w:val="00B818A4"/>
    <w:rsid w:val="00B81E0F"/>
    <w:rsid w:val="00B82048"/>
    <w:rsid w:val="00B8220A"/>
    <w:rsid w:val="00B8289C"/>
    <w:rsid w:val="00B83548"/>
    <w:rsid w:val="00B83739"/>
    <w:rsid w:val="00B838B6"/>
    <w:rsid w:val="00B84117"/>
    <w:rsid w:val="00B858F0"/>
    <w:rsid w:val="00B85AA2"/>
    <w:rsid w:val="00B8617C"/>
    <w:rsid w:val="00B86453"/>
    <w:rsid w:val="00B8649C"/>
    <w:rsid w:val="00B8695D"/>
    <w:rsid w:val="00B86AE1"/>
    <w:rsid w:val="00B86B27"/>
    <w:rsid w:val="00B86E47"/>
    <w:rsid w:val="00B87905"/>
    <w:rsid w:val="00B87F0A"/>
    <w:rsid w:val="00B90DD5"/>
    <w:rsid w:val="00B90FAF"/>
    <w:rsid w:val="00B9139D"/>
    <w:rsid w:val="00B913BB"/>
    <w:rsid w:val="00B913BF"/>
    <w:rsid w:val="00B91C5B"/>
    <w:rsid w:val="00B921D8"/>
    <w:rsid w:val="00B92818"/>
    <w:rsid w:val="00B92881"/>
    <w:rsid w:val="00B92D0B"/>
    <w:rsid w:val="00B93978"/>
    <w:rsid w:val="00B93AE0"/>
    <w:rsid w:val="00B93E65"/>
    <w:rsid w:val="00B948D4"/>
    <w:rsid w:val="00B94945"/>
    <w:rsid w:val="00B94C04"/>
    <w:rsid w:val="00B94DD6"/>
    <w:rsid w:val="00B96ACA"/>
    <w:rsid w:val="00BA0AE5"/>
    <w:rsid w:val="00BA0CE2"/>
    <w:rsid w:val="00BA19B8"/>
    <w:rsid w:val="00BA2E83"/>
    <w:rsid w:val="00BA3199"/>
    <w:rsid w:val="00BA322D"/>
    <w:rsid w:val="00BA3825"/>
    <w:rsid w:val="00BA444F"/>
    <w:rsid w:val="00BA5B76"/>
    <w:rsid w:val="00BA63FA"/>
    <w:rsid w:val="00BA6820"/>
    <w:rsid w:val="00BA7F7F"/>
    <w:rsid w:val="00BB00B3"/>
    <w:rsid w:val="00BB0BDD"/>
    <w:rsid w:val="00BB176C"/>
    <w:rsid w:val="00BB1D6C"/>
    <w:rsid w:val="00BB22FC"/>
    <w:rsid w:val="00BB2564"/>
    <w:rsid w:val="00BB288E"/>
    <w:rsid w:val="00BB2A73"/>
    <w:rsid w:val="00BB2E2A"/>
    <w:rsid w:val="00BB3A45"/>
    <w:rsid w:val="00BB3BC7"/>
    <w:rsid w:val="00BB43EA"/>
    <w:rsid w:val="00BB4ACC"/>
    <w:rsid w:val="00BB5193"/>
    <w:rsid w:val="00BB6B3C"/>
    <w:rsid w:val="00BB6B43"/>
    <w:rsid w:val="00BB6CAB"/>
    <w:rsid w:val="00BB703E"/>
    <w:rsid w:val="00BB713E"/>
    <w:rsid w:val="00BB732D"/>
    <w:rsid w:val="00BB7405"/>
    <w:rsid w:val="00BB7909"/>
    <w:rsid w:val="00BC0151"/>
    <w:rsid w:val="00BC08ED"/>
    <w:rsid w:val="00BC210D"/>
    <w:rsid w:val="00BC248F"/>
    <w:rsid w:val="00BC2CE5"/>
    <w:rsid w:val="00BC2E40"/>
    <w:rsid w:val="00BC3631"/>
    <w:rsid w:val="00BC507E"/>
    <w:rsid w:val="00BC591F"/>
    <w:rsid w:val="00BC5BD6"/>
    <w:rsid w:val="00BC63CA"/>
    <w:rsid w:val="00BC7D6D"/>
    <w:rsid w:val="00BD03CB"/>
    <w:rsid w:val="00BD0AF6"/>
    <w:rsid w:val="00BD1877"/>
    <w:rsid w:val="00BD2108"/>
    <w:rsid w:val="00BD2717"/>
    <w:rsid w:val="00BD3F3E"/>
    <w:rsid w:val="00BD4029"/>
    <w:rsid w:val="00BD4457"/>
    <w:rsid w:val="00BD5087"/>
    <w:rsid w:val="00BD59FA"/>
    <w:rsid w:val="00BD5BDB"/>
    <w:rsid w:val="00BD5E47"/>
    <w:rsid w:val="00BD684F"/>
    <w:rsid w:val="00BD68A3"/>
    <w:rsid w:val="00BD6938"/>
    <w:rsid w:val="00BD6CF3"/>
    <w:rsid w:val="00BD7487"/>
    <w:rsid w:val="00BD75D0"/>
    <w:rsid w:val="00BD7651"/>
    <w:rsid w:val="00BD7AA9"/>
    <w:rsid w:val="00BD7D14"/>
    <w:rsid w:val="00BD7F72"/>
    <w:rsid w:val="00BE0DFF"/>
    <w:rsid w:val="00BE0ECA"/>
    <w:rsid w:val="00BE14C9"/>
    <w:rsid w:val="00BE1ED0"/>
    <w:rsid w:val="00BE2180"/>
    <w:rsid w:val="00BE21F2"/>
    <w:rsid w:val="00BE2513"/>
    <w:rsid w:val="00BE2661"/>
    <w:rsid w:val="00BE4275"/>
    <w:rsid w:val="00BE5FDD"/>
    <w:rsid w:val="00BE6471"/>
    <w:rsid w:val="00BE64AD"/>
    <w:rsid w:val="00BE674A"/>
    <w:rsid w:val="00BE7E82"/>
    <w:rsid w:val="00BF02CD"/>
    <w:rsid w:val="00BF02FF"/>
    <w:rsid w:val="00BF06AE"/>
    <w:rsid w:val="00BF0803"/>
    <w:rsid w:val="00BF0F50"/>
    <w:rsid w:val="00BF0F95"/>
    <w:rsid w:val="00BF1D38"/>
    <w:rsid w:val="00BF2433"/>
    <w:rsid w:val="00BF27AC"/>
    <w:rsid w:val="00BF2844"/>
    <w:rsid w:val="00BF2B19"/>
    <w:rsid w:val="00BF2E6E"/>
    <w:rsid w:val="00BF4075"/>
    <w:rsid w:val="00BF4222"/>
    <w:rsid w:val="00BF4BED"/>
    <w:rsid w:val="00BF51F0"/>
    <w:rsid w:val="00BF5C03"/>
    <w:rsid w:val="00BF5D13"/>
    <w:rsid w:val="00BF61C9"/>
    <w:rsid w:val="00BF656D"/>
    <w:rsid w:val="00BF6C94"/>
    <w:rsid w:val="00BF7193"/>
    <w:rsid w:val="00BF7531"/>
    <w:rsid w:val="00BF7D01"/>
    <w:rsid w:val="00BF7FED"/>
    <w:rsid w:val="00C0018C"/>
    <w:rsid w:val="00C00424"/>
    <w:rsid w:val="00C00BB0"/>
    <w:rsid w:val="00C01274"/>
    <w:rsid w:val="00C01611"/>
    <w:rsid w:val="00C018E0"/>
    <w:rsid w:val="00C04B35"/>
    <w:rsid w:val="00C065ED"/>
    <w:rsid w:val="00C06722"/>
    <w:rsid w:val="00C07235"/>
    <w:rsid w:val="00C07960"/>
    <w:rsid w:val="00C10252"/>
    <w:rsid w:val="00C10C6F"/>
    <w:rsid w:val="00C10F3E"/>
    <w:rsid w:val="00C112EC"/>
    <w:rsid w:val="00C1179F"/>
    <w:rsid w:val="00C11856"/>
    <w:rsid w:val="00C11C4D"/>
    <w:rsid w:val="00C1223E"/>
    <w:rsid w:val="00C12634"/>
    <w:rsid w:val="00C126B9"/>
    <w:rsid w:val="00C127B9"/>
    <w:rsid w:val="00C128FA"/>
    <w:rsid w:val="00C12C14"/>
    <w:rsid w:val="00C12D8F"/>
    <w:rsid w:val="00C1326C"/>
    <w:rsid w:val="00C1358E"/>
    <w:rsid w:val="00C1393D"/>
    <w:rsid w:val="00C14146"/>
    <w:rsid w:val="00C14D4E"/>
    <w:rsid w:val="00C15614"/>
    <w:rsid w:val="00C15722"/>
    <w:rsid w:val="00C15811"/>
    <w:rsid w:val="00C159B7"/>
    <w:rsid w:val="00C15A60"/>
    <w:rsid w:val="00C15AA3"/>
    <w:rsid w:val="00C15F04"/>
    <w:rsid w:val="00C1617F"/>
    <w:rsid w:val="00C16F5F"/>
    <w:rsid w:val="00C17515"/>
    <w:rsid w:val="00C175CB"/>
    <w:rsid w:val="00C179B3"/>
    <w:rsid w:val="00C17E3F"/>
    <w:rsid w:val="00C200AA"/>
    <w:rsid w:val="00C208A8"/>
    <w:rsid w:val="00C215E1"/>
    <w:rsid w:val="00C21D24"/>
    <w:rsid w:val="00C21D48"/>
    <w:rsid w:val="00C224DC"/>
    <w:rsid w:val="00C22552"/>
    <w:rsid w:val="00C22722"/>
    <w:rsid w:val="00C22AD4"/>
    <w:rsid w:val="00C22C80"/>
    <w:rsid w:val="00C237ED"/>
    <w:rsid w:val="00C23D1A"/>
    <w:rsid w:val="00C24632"/>
    <w:rsid w:val="00C24A50"/>
    <w:rsid w:val="00C252DC"/>
    <w:rsid w:val="00C25418"/>
    <w:rsid w:val="00C257A3"/>
    <w:rsid w:val="00C25D9C"/>
    <w:rsid w:val="00C27091"/>
    <w:rsid w:val="00C2778B"/>
    <w:rsid w:val="00C279D0"/>
    <w:rsid w:val="00C31649"/>
    <w:rsid w:val="00C32437"/>
    <w:rsid w:val="00C33600"/>
    <w:rsid w:val="00C3434C"/>
    <w:rsid w:val="00C351A0"/>
    <w:rsid w:val="00C35844"/>
    <w:rsid w:val="00C358FC"/>
    <w:rsid w:val="00C35A9B"/>
    <w:rsid w:val="00C35B11"/>
    <w:rsid w:val="00C3633B"/>
    <w:rsid w:val="00C370C0"/>
    <w:rsid w:val="00C37CD4"/>
    <w:rsid w:val="00C400FE"/>
    <w:rsid w:val="00C40385"/>
    <w:rsid w:val="00C41395"/>
    <w:rsid w:val="00C41768"/>
    <w:rsid w:val="00C42242"/>
    <w:rsid w:val="00C42C7C"/>
    <w:rsid w:val="00C440EF"/>
    <w:rsid w:val="00C44348"/>
    <w:rsid w:val="00C456AB"/>
    <w:rsid w:val="00C45F0E"/>
    <w:rsid w:val="00C46050"/>
    <w:rsid w:val="00C46A60"/>
    <w:rsid w:val="00C46E0E"/>
    <w:rsid w:val="00C472B7"/>
    <w:rsid w:val="00C475AA"/>
    <w:rsid w:val="00C47D24"/>
    <w:rsid w:val="00C50830"/>
    <w:rsid w:val="00C51ACD"/>
    <w:rsid w:val="00C51E0B"/>
    <w:rsid w:val="00C51F0D"/>
    <w:rsid w:val="00C527C7"/>
    <w:rsid w:val="00C52B21"/>
    <w:rsid w:val="00C52C40"/>
    <w:rsid w:val="00C53C98"/>
    <w:rsid w:val="00C558ED"/>
    <w:rsid w:val="00C55925"/>
    <w:rsid w:val="00C55B6F"/>
    <w:rsid w:val="00C56D52"/>
    <w:rsid w:val="00C56FCF"/>
    <w:rsid w:val="00C572F6"/>
    <w:rsid w:val="00C57B6C"/>
    <w:rsid w:val="00C60F55"/>
    <w:rsid w:val="00C616B1"/>
    <w:rsid w:val="00C619FE"/>
    <w:rsid w:val="00C61A59"/>
    <w:rsid w:val="00C61A8E"/>
    <w:rsid w:val="00C62071"/>
    <w:rsid w:val="00C628A6"/>
    <w:rsid w:val="00C62D71"/>
    <w:rsid w:val="00C64344"/>
    <w:rsid w:val="00C6492C"/>
    <w:rsid w:val="00C65001"/>
    <w:rsid w:val="00C65108"/>
    <w:rsid w:val="00C65576"/>
    <w:rsid w:val="00C66165"/>
    <w:rsid w:val="00C663A9"/>
    <w:rsid w:val="00C666BE"/>
    <w:rsid w:val="00C67941"/>
    <w:rsid w:val="00C7060A"/>
    <w:rsid w:val="00C708EA"/>
    <w:rsid w:val="00C7127F"/>
    <w:rsid w:val="00C7151A"/>
    <w:rsid w:val="00C717BB"/>
    <w:rsid w:val="00C717E3"/>
    <w:rsid w:val="00C71802"/>
    <w:rsid w:val="00C71F60"/>
    <w:rsid w:val="00C72241"/>
    <w:rsid w:val="00C72557"/>
    <w:rsid w:val="00C72725"/>
    <w:rsid w:val="00C734BE"/>
    <w:rsid w:val="00C74321"/>
    <w:rsid w:val="00C750C8"/>
    <w:rsid w:val="00C7560F"/>
    <w:rsid w:val="00C756C9"/>
    <w:rsid w:val="00C76D9C"/>
    <w:rsid w:val="00C76E9E"/>
    <w:rsid w:val="00C77350"/>
    <w:rsid w:val="00C77D2B"/>
    <w:rsid w:val="00C80A0E"/>
    <w:rsid w:val="00C80FDA"/>
    <w:rsid w:val="00C8117F"/>
    <w:rsid w:val="00C81667"/>
    <w:rsid w:val="00C81B50"/>
    <w:rsid w:val="00C81DF9"/>
    <w:rsid w:val="00C81F55"/>
    <w:rsid w:val="00C8213F"/>
    <w:rsid w:val="00C82292"/>
    <w:rsid w:val="00C8303F"/>
    <w:rsid w:val="00C85154"/>
    <w:rsid w:val="00C855DB"/>
    <w:rsid w:val="00C85A70"/>
    <w:rsid w:val="00C86A3B"/>
    <w:rsid w:val="00C86DF9"/>
    <w:rsid w:val="00C86F98"/>
    <w:rsid w:val="00C8797A"/>
    <w:rsid w:val="00C87C3C"/>
    <w:rsid w:val="00C900B8"/>
    <w:rsid w:val="00C90197"/>
    <w:rsid w:val="00C90C71"/>
    <w:rsid w:val="00C91C5C"/>
    <w:rsid w:val="00C91DD5"/>
    <w:rsid w:val="00C91FD1"/>
    <w:rsid w:val="00C931CF"/>
    <w:rsid w:val="00C938CF"/>
    <w:rsid w:val="00C93A3C"/>
    <w:rsid w:val="00C93EDB"/>
    <w:rsid w:val="00C94053"/>
    <w:rsid w:val="00C9430C"/>
    <w:rsid w:val="00C94B70"/>
    <w:rsid w:val="00C94EB2"/>
    <w:rsid w:val="00C95739"/>
    <w:rsid w:val="00C9590D"/>
    <w:rsid w:val="00C9624D"/>
    <w:rsid w:val="00C9626F"/>
    <w:rsid w:val="00C9685D"/>
    <w:rsid w:val="00C969DA"/>
    <w:rsid w:val="00C96CE5"/>
    <w:rsid w:val="00C978AF"/>
    <w:rsid w:val="00CA054D"/>
    <w:rsid w:val="00CA090C"/>
    <w:rsid w:val="00CA1668"/>
    <w:rsid w:val="00CA2150"/>
    <w:rsid w:val="00CA2C77"/>
    <w:rsid w:val="00CA2FCD"/>
    <w:rsid w:val="00CA401A"/>
    <w:rsid w:val="00CA444F"/>
    <w:rsid w:val="00CA4A59"/>
    <w:rsid w:val="00CA5245"/>
    <w:rsid w:val="00CA5E70"/>
    <w:rsid w:val="00CA71F4"/>
    <w:rsid w:val="00CA787A"/>
    <w:rsid w:val="00CA7B09"/>
    <w:rsid w:val="00CB01C0"/>
    <w:rsid w:val="00CB0750"/>
    <w:rsid w:val="00CB0EB4"/>
    <w:rsid w:val="00CB12A5"/>
    <w:rsid w:val="00CB1CAC"/>
    <w:rsid w:val="00CB1D2B"/>
    <w:rsid w:val="00CB2680"/>
    <w:rsid w:val="00CB27E6"/>
    <w:rsid w:val="00CB2F2A"/>
    <w:rsid w:val="00CB5B1A"/>
    <w:rsid w:val="00CB5CD5"/>
    <w:rsid w:val="00CB6792"/>
    <w:rsid w:val="00CB6B22"/>
    <w:rsid w:val="00CB6BF8"/>
    <w:rsid w:val="00CB6ED2"/>
    <w:rsid w:val="00CB7F5F"/>
    <w:rsid w:val="00CC0AA6"/>
    <w:rsid w:val="00CC1B39"/>
    <w:rsid w:val="00CC1BFA"/>
    <w:rsid w:val="00CC1C2C"/>
    <w:rsid w:val="00CC2125"/>
    <w:rsid w:val="00CC245B"/>
    <w:rsid w:val="00CC25FD"/>
    <w:rsid w:val="00CC2DF5"/>
    <w:rsid w:val="00CC2E9F"/>
    <w:rsid w:val="00CC35EA"/>
    <w:rsid w:val="00CC3786"/>
    <w:rsid w:val="00CC3848"/>
    <w:rsid w:val="00CC3AA0"/>
    <w:rsid w:val="00CC3B08"/>
    <w:rsid w:val="00CC3BFE"/>
    <w:rsid w:val="00CC3E1B"/>
    <w:rsid w:val="00CC4299"/>
    <w:rsid w:val="00CC5675"/>
    <w:rsid w:val="00CC580D"/>
    <w:rsid w:val="00CC6D5E"/>
    <w:rsid w:val="00CC7806"/>
    <w:rsid w:val="00CD0200"/>
    <w:rsid w:val="00CD107B"/>
    <w:rsid w:val="00CD1190"/>
    <w:rsid w:val="00CD1521"/>
    <w:rsid w:val="00CD1527"/>
    <w:rsid w:val="00CD3F77"/>
    <w:rsid w:val="00CD5EE1"/>
    <w:rsid w:val="00CD687A"/>
    <w:rsid w:val="00CD6ADC"/>
    <w:rsid w:val="00CD6E34"/>
    <w:rsid w:val="00CD7193"/>
    <w:rsid w:val="00CE031C"/>
    <w:rsid w:val="00CE0CF8"/>
    <w:rsid w:val="00CE325F"/>
    <w:rsid w:val="00CE38C8"/>
    <w:rsid w:val="00CE47AF"/>
    <w:rsid w:val="00CE524F"/>
    <w:rsid w:val="00CE58CC"/>
    <w:rsid w:val="00CE592B"/>
    <w:rsid w:val="00CE59DA"/>
    <w:rsid w:val="00CE6274"/>
    <w:rsid w:val="00CE7533"/>
    <w:rsid w:val="00CE772F"/>
    <w:rsid w:val="00CE77B6"/>
    <w:rsid w:val="00CE7E01"/>
    <w:rsid w:val="00CF0626"/>
    <w:rsid w:val="00CF0A84"/>
    <w:rsid w:val="00CF13B6"/>
    <w:rsid w:val="00CF2B8D"/>
    <w:rsid w:val="00CF3A1B"/>
    <w:rsid w:val="00CF456B"/>
    <w:rsid w:val="00CF5A22"/>
    <w:rsid w:val="00CF7095"/>
    <w:rsid w:val="00CF73E3"/>
    <w:rsid w:val="00CF7525"/>
    <w:rsid w:val="00CF7D44"/>
    <w:rsid w:val="00D003CE"/>
    <w:rsid w:val="00D0045C"/>
    <w:rsid w:val="00D00F2F"/>
    <w:rsid w:val="00D019B0"/>
    <w:rsid w:val="00D0262E"/>
    <w:rsid w:val="00D03679"/>
    <w:rsid w:val="00D03A07"/>
    <w:rsid w:val="00D03A53"/>
    <w:rsid w:val="00D03BEC"/>
    <w:rsid w:val="00D04665"/>
    <w:rsid w:val="00D04805"/>
    <w:rsid w:val="00D0506A"/>
    <w:rsid w:val="00D05E3D"/>
    <w:rsid w:val="00D060BD"/>
    <w:rsid w:val="00D06139"/>
    <w:rsid w:val="00D06AB6"/>
    <w:rsid w:val="00D06D4B"/>
    <w:rsid w:val="00D07B88"/>
    <w:rsid w:val="00D102A7"/>
    <w:rsid w:val="00D110BD"/>
    <w:rsid w:val="00D11101"/>
    <w:rsid w:val="00D118D4"/>
    <w:rsid w:val="00D132B4"/>
    <w:rsid w:val="00D13675"/>
    <w:rsid w:val="00D13B3C"/>
    <w:rsid w:val="00D13F86"/>
    <w:rsid w:val="00D141E1"/>
    <w:rsid w:val="00D142CD"/>
    <w:rsid w:val="00D14876"/>
    <w:rsid w:val="00D15314"/>
    <w:rsid w:val="00D157B7"/>
    <w:rsid w:val="00D15B48"/>
    <w:rsid w:val="00D17012"/>
    <w:rsid w:val="00D17D6C"/>
    <w:rsid w:val="00D2145D"/>
    <w:rsid w:val="00D2155B"/>
    <w:rsid w:val="00D21736"/>
    <w:rsid w:val="00D21DCA"/>
    <w:rsid w:val="00D232C2"/>
    <w:rsid w:val="00D23D11"/>
    <w:rsid w:val="00D244B6"/>
    <w:rsid w:val="00D2471F"/>
    <w:rsid w:val="00D24854"/>
    <w:rsid w:val="00D24B8C"/>
    <w:rsid w:val="00D24D94"/>
    <w:rsid w:val="00D253F4"/>
    <w:rsid w:val="00D255A8"/>
    <w:rsid w:val="00D255FD"/>
    <w:rsid w:val="00D2609B"/>
    <w:rsid w:val="00D26541"/>
    <w:rsid w:val="00D271DB"/>
    <w:rsid w:val="00D2754D"/>
    <w:rsid w:val="00D2758E"/>
    <w:rsid w:val="00D275C6"/>
    <w:rsid w:val="00D27A43"/>
    <w:rsid w:val="00D27B27"/>
    <w:rsid w:val="00D30D5B"/>
    <w:rsid w:val="00D31CE7"/>
    <w:rsid w:val="00D32D30"/>
    <w:rsid w:val="00D3320A"/>
    <w:rsid w:val="00D33610"/>
    <w:rsid w:val="00D339D7"/>
    <w:rsid w:val="00D33BE9"/>
    <w:rsid w:val="00D33F93"/>
    <w:rsid w:val="00D34FC6"/>
    <w:rsid w:val="00D355B6"/>
    <w:rsid w:val="00D357FF"/>
    <w:rsid w:val="00D36179"/>
    <w:rsid w:val="00D362CF"/>
    <w:rsid w:val="00D363DC"/>
    <w:rsid w:val="00D36425"/>
    <w:rsid w:val="00D41EAC"/>
    <w:rsid w:val="00D424C7"/>
    <w:rsid w:val="00D43AD2"/>
    <w:rsid w:val="00D43B2A"/>
    <w:rsid w:val="00D43CF1"/>
    <w:rsid w:val="00D43D3D"/>
    <w:rsid w:val="00D43D83"/>
    <w:rsid w:val="00D45119"/>
    <w:rsid w:val="00D46849"/>
    <w:rsid w:val="00D47575"/>
    <w:rsid w:val="00D50E31"/>
    <w:rsid w:val="00D51125"/>
    <w:rsid w:val="00D517B8"/>
    <w:rsid w:val="00D51FD0"/>
    <w:rsid w:val="00D52297"/>
    <w:rsid w:val="00D5243B"/>
    <w:rsid w:val="00D533EC"/>
    <w:rsid w:val="00D53CBB"/>
    <w:rsid w:val="00D55580"/>
    <w:rsid w:val="00D5608A"/>
    <w:rsid w:val="00D56180"/>
    <w:rsid w:val="00D566CC"/>
    <w:rsid w:val="00D568AC"/>
    <w:rsid w:val="00D568C6"/>
    <w:rsid w:val="00D56A95"/>
    <w:rsid w:val="00D57403"/>
    <w:rsid w:val="00D57680"/>
    <w:rsid w:val="00D57985"/>
    <w:rsid w:val="00D57B9B"/>
    <w:rsid w:val="00D6014D"/>
    <w:rsid w:val="00D602DE"/>
    <w:rsid w:val="00D6076E"/>
    <w:rsid w:val="00D6091C"/>
    <w:rsid w:val="00D60D0D"/>
    <w:rsid w:val="00D61022"/>
    <w:rsid w:val="00D6223B"/>
    <w:rsid w:val="00D62B56"/>
    <w:rsid w:val="00D63B48"/>
    <w:rsid w:val="00D64723"/>
    <w:rsid w:val="00D648D3"/>
    <w:rsid w:val="00D64A52"/>
    <w:rsid w:val="00D65D0D"/>
    <w:rsid w:val="00D65D37"/>
    <w:rsid w:val="00D66F9E"/>
    <w:rsid w:val="00D67263"/>
    <w:rsid w:val="00D676E4"/>
    <w:rsid w:val="00D67EA3"/>
    <w:rsid w:val="00D70F16"/>
    <w:rsid w:val="00D712B3"/>
    <w:rsid w:val="00D71EC7"/>
    <w:rsid w:val="00D720F5"/>
    <w:rsid w:val="00D7254B"/>
    <w:rsid w:val="00D72617"/>
    <w:rsid w:val="00D72F57"/>
    <w:rsid w:val="00D733F4"/>
    <w:rsid w:val="00D73B09"/>
    <w:rsid w:val="00D73E1D"/>
    <w:rsid w:val="00D742F6"/>
    <w:rsid w:val="00D74C6C"/>
    <w:rsid w:val="00D758D8"/>
    <w:rsid w:val="00D766E1"/>
    <w:rsid w:val="00D7688C"/>
    <w:rsid w:val="00D76A44"/>
    <w:rsid w:val="00D7703B"/>
    <w:rsid w:val="00D770DE"/>
    <w:rsid w:val="00D77242"/>
    <w:rsid w:val="00D772C3"/>
    <w:rsid w:val="00D778E9"/>
    <w:rsid w:val="00D80050"/>
    <w:rsid w:val="00D807F1"/>
    <w:rsid w:val="00D815EF"/>
    <w:rsid w:val="00D81949"/>
    <w:rsid w:val="00D81F26"/>
    <w:rsid w:val="00D822E2"/>
    <w:rsid w:val="00D82A59"/>
    <w:rsid w:val="00D83687"/>
    <w:rsid w:val="00D843F2"/>
    <w:rsid w:val="00D851DC"/>
    <w:rsid w:val="00D855FC"/>
    <w:rsid w:val="00D85DD0"/>
    <w:rsid w:val="00D86231"/>
    <w:rsid w:val="00D86726"/>
    <w:rsid w:val="00D86FBB"/>
    <w:rsid w:val="00D87DED"/>
    <w:rsid w:val="00D9057B"/>
    <w:rsid w:val="00D90CED"/>
    <w:rsid w:val="00D91112"/>
    <w:rsid w:val="00D912AB"/>
    <w:rsid w:val="00D913B0"/>
    <w:rsid w:val="00D91923"/>
    <w:rsid w:val="00D91F1E"/>
    <w:rsid w:val="00D92D9D"/>
    <w:rsid w:val="00D93753"/>
    <w:rsid w:val="00D93AD2"/>
    <w:rsid w:val="00D952AE"/>
    <w:rsid w:val="00D9603E"/>
    <w:rsid w:val="00D96122"/>
    <w:rsid w:val="00D9633A"/>
    <w:rsid w:val="00D97336"/>
    <w:rsid w:val="00D975ED"/>
    <w:rsid w:val="00D97682"/>
    <w:rsid w:val="00DA019D"/>
    <w:rsid w:val="00DA0B6A"/>
    <w:rsid w:val="00DA0C52"/>
    <w:rsid w:val="00DA1A39"/>
    <w:rsid w:val="00DA2014"/>
    <w:rsid w:val="00DA213E"/>
    <w:rsid w:val="00DA2510"/>
    <w:rsid w:val="00DA3167"/>
    <w:rsid w:val="00DA3D8E"/>
    <w:rsid w:val="00DA40A6"/>
    <w:rsid w:val="00DA4156"/>
    <w:rsid w:val="00DA4DC3"/>
    <w:rsid w:val="00DA52B1"/>
    <w:rsid w:val="00DA6BD5"/>
    <w:rsid w:val="00DA6FA3"/>
    <w:rsid w:val="00DA72C2"/>
    <w:rsid w:val="00DA7534"/>
    <w:rsid w:val="00DA77A5"/>
    <w:rsid w:val="00DB0A6C"/>
    <w:rsid w:val="00DB0E36"/>
    <w:rsid w:val="00DB104F"/>
    <w:rsid w:val="00DB182F"/>
    <w:rsid w:val="00DB209D"/>
    <w:rsid w:val="00DB2237"/>
    <w:rsid w:val="00DB2723"/>
    <w:rsid w:val="00DB2F9B"/>
    <w:rsid w:val="00DB3293"/>
    <w:rsid w:val="00DB37C5"/>
    <w:rsid w:val="00DB3DBF"/>
    <w:rsid w:val="00DB4164"/>
    <w:rsid w:val="00DB41E5"/>
    <w:rsid w:val="00DB44F3"/>
    <w:rsid w:val="00DB484F"/>
    <w:rsid w:val="00DB5630"/>
    <w:rsid w:val="00DB572A"/>
    <w:rsid w:val="00DB7287"/>
    <w:rsid w:val="00DB746A"/>
    <w:rsid w:val="00DB7D17"/>
    <w:rsid w:val="00DC04F6"/>
    <w:rsid w:val="00DC0690"/>
    <w:rsid w:val="00DC1D65"/>
    <w:rsid w:val="00DC2754"/>
    <w:rsid w:val="00DC3009"/>
    <w:rsid w:val="00DC37A8"/>
    <w:rsid w:val="00DC3C57"/>
    <w:rsid w:val="00DC4966"/>
    <w:rsid w:val="00DC5501"/>
    <w:rsid w:val="00DC5DE4"/>
    <w:rsid w:val="00DC5E54"/>
    <w:rsid w:val="00DC6247"/>
    <w:rsid w:val="00DC6B52"/>
    <w:rsid w:val="00DC6D09"/>
    <w:rsid w:val="00DC6E99"/>
    <w:rsid w:val="00DC6F8E"/>
    <w:rsid w:val="00DC7154"/>
    <w:rsid w:val="00DC7421"/>
    <w:rsid w:val="00DC772B"/>
    <w:rsid w:val="00DC78C2"/>
    <w:rsid w:val="00DC79BF"/>
    <w:rsid w:val="00DC7E8A"/>
    <w:rsid w:val="00DD0084"/>
    <w:rsid w:val="00DD0526"/>
    <w:rsid w:val="00DD0A80"/>
    <w:rsid w:val="00DD0E45"/>
    <w:rsid w:val="00DD0F78"/>
    <w:rsid w:val="00DD24FD"/>
    <w:rsid w:val="00DD273C"/>
    <w:rsid w:val="00DD27CE"/>
    <w:rsid w:val="00DD3650"/>
    <w:rsid w:val="00DD3F28"/>
    <w:rsid w:val="00DD420C"/>
    <w:rsid w:val="00DD4446"/>
    <w:rsid w:val="00DD4537"/>
    <w:rsid w:val="00DD4E15"/>
    <w:rsid w:val="00DD519E"/>
    <w:rsid w:val="00DD64A6"/>
    <w:rsid w:val="00DD794F"/>
    <w:rsid w:val="00DD7D70"/>
    <w:rsid w:val="00DE002A"/>
    <w:rsid w:val="00DE08E0"/>
    <w:rsid w:val="00DE09BF"/>
    <w:rsid w:val="00DE0DA1"/>
    <w:rsid w:val="00DE1E4F"/>
    <w:rsid w:val="00DE2304"/>
    <w:rsid w:val="00DE27FE"/>
    <w:rsid w:val="00DE3138"/>
    <w:rsid w:val="00DE37F8"/>
    <w:rsid w:val="00DE3916"/>
    <w:rsid w:val="00DE4273"/>
    <w:rsid w:val="00DE4993"/>
    <w:rsid w:val="00DE4FCB"/>
    <w:rsid w:val="00DE5022"/>
    <w:rsid w:val="00DE5BCC"/>
    <w:rsid w:val="00DE5D07"/>
    <w:rsid w:val="00DE60E0"/>
    <w:rsid w:val="00DE6D8E"/>
    <w:rsid w:val="00DE72A7"/>
    <w:rsid w:val="00DE7832"/>
    <w:rsid w:val="00DE7BDD"/>
    <w:rsid w:val="00DE7DEC"/>
    <w:rsid w:val="00DE7E92"/>
    <w:rsid w:val="00DF188E"/>
    <w:rsid w:val="00DF18FC"/>
    <w:rsid w:val="00DF332D"/>
    <w:rsid w:val="00DF341B"/>
    <w:rsid w:val="00DF4357"/>
    <w:rsid w:val="00DF5D2B"/>
    <w:rsid w:val="00DF5DF7"/>
    <w:rsid w:val="00DF6341"/>
    <w:rsid w:val="00DF76DA"/>
    <w:rsid w:val="00E00B15"/>
    <w:rsid w:val="00E00E8E"/>
    <w:rsid w:val="00E01CE0"/>
    <w:rsid w:val="00E0269F"/>
    <w:rsid w:val="00E02FBA"/>
    <w:rsid w:val="00E03B0B"/>
    <w:rsid w:val="00E04ABA"/>
    <w:rsid w:val="00E04D76"/>
    <w:rsid w:val="00E04E50"/>
    <w:rsid w:val="00E05630"/>
    <w:rsid w:val="00E065DA"/>
    <w:rsid w:val="00E06DBB"/>
    <w:rsid w:val="00E0782E"/>
    <w:rsid w:val="00E07A1C"/>
    <w:rsid w:val="00E10149"/>
    <w:rsid w:val="00E10D0F"/>
    <w:rsid w:val="00E1120E"/>
    <w:rsid w:val="00E11340"/>
    <w:rsid w:val="00E1146E"/>
    <w:rsid w:val="00E118D2"/>
    <w:rsid w:val="00E11F3F"/>
    <w:rsid w:val="00E122A1"/>
    <w:rsid w:val="00E13CCA"/>
    <w:rsid w:val="00E14019"/>
    <w:rsid w:val="00E15672"/>
    <w:rsid w:val="00E157D8"/>
    <w:rsid w:val="00E16372"/>
    <w:rsid w:val="00E16596"/>
    <w:rsid w:val="00E16AD8"/>
    <w:rsid w:val="00E16C75"/>
    <w:rsid w:val="00E17FFA"/>
    <w:rsid w:val="00E2050C"/>
    <w:rsid w:val="00E20E4D"/>
    <w:rsid w:val="00E20ED6"/>
    <w:rsid w:val="00E21358"/>
    <w:rsid w:val="00E2249B"/>
    <w:rsid w:val="00E22986"/>
    <w:rsid w:val="00E22A0D"/>
    <w:rsid w:val="00E23D8A"/>
    <w:rsid w:val="00E2431C"/>
    <w:rsid w:val="00E244F6"/>
    <w:rsid w:val="00E25359"/>
    <w:rsid w:val="00E258DB"/>
    <w:rsid w:val="00E260A7"/>
    <w:rsid w:val="00E274A4"/>
    <w:rsid w:val="00E2771E"/>
    <w:rsid w:val="00E27F91"/>
    <w:rsid w:val="00E3113C"/>
    <w:rsid w:val="00E311EF"/>
    <w:rsid w:val="00E31F08"/>
    <w:rsid w:val="00E32180"/>
    <w:rsid w:val="00E3229B"/>
    <w:rsid w:val="00E32D61"/>
    <w:rsid w:val="00E3371E"/>
    <w:rsid w:val="00E33D18"/>
    <w:rsid w:val="00E34948"/>
    <w:rsid w:val="00E35D23"/>
    <w:rsid w:val="00E3631F"/>
    <w:rsid w:val="00E37569"/>
    <w:rsid w:val="00E37D65"/>
    <w:rsid w:val="00E401B2"/>
    <w:rsid w:val="00E409F4"/>
    <w:rsid w:val="00E41E30"/>
    <w:rsid w:val="00E4226B"/>
    <w:rsid w:val="00E426FD"/>
    <w:rsid w:val="00E42F73"/>
    <w:rsid w:val="00E43041"/>
    <w:rsid w:val="00E43D70"/>
    <w:rsid w:val="00E44CF4"/>
    <w:rsid w:val="00E44D45"/>
    <w:rsid w:val="00E45AD6"/>
    <w:rsid w:val="00E45C9B"/>
    <w:rsid w:val="00E461C6"/>
    <w:rsid w:val="00E466F3"/>
    <w:rsid w:val="00E46C40"/>
    <w:rsid w:val="00E47B2C"/>
    <w:rsid w:val="00E50237"/>
    <w:rsid w:val="00E51560"/>
    <w:rsid w:val="00E51670"/>
    <w:rsid w:val="00E51821"/>
    <w:rsid w:val="00E52B78"/>
    <w:rsid w:val="00E53571"/>
    <w:rsid w:val="00E53FC8"/>
    <w:rsid w:val="00E54347"/>
    <w:rsid w:val="00E5435A"/>
    <w:rsid w:val="00E5496D"/>
    <w:rsid w:val="00E54DAA"/>
    <w:rsid w:val="00E55424"/>
    <w:rsid w:val="00E556E2"/>
    <w:rsid w:val="00E55915"/>
    <w:rsid w:val="00E55B3F"/>
    <w:rsid w:val="00E55BB5"/>
    <w:rsid w:val="00E5793C"/>
    <w:rsid w:val="00E6049F"/>
    <w:rsid w:val="00E611DF"/>
    <w:rsid w:val="00E61432"/>
    <w:rsid w:val="00E61FD9"/>
    <w:rsid w:val="00E638B2"/>
    <w:rsid w:val="00E639FB"/>
    <w:rsid w:val="00E63B1B"/>
    <w:rsid w:val="00E646A0"/>
    <w:rsid w:val="00E6497B"/>
    <w:rsid w:val="00E65D55"/>
    <w:rsid w:val="00E65D5F"/>
    <w:rsid w:val="00E65E79"/>
    <w:rsid w:val="00E6656B"/>
    <w:rsid w:val="00E66BA2"/>
    <w:rsid w:val="00E671A7"/>
    <w:rsid w:val="00E67317"/>
    <w:rsid w:val="00E67416"/>
    <w:rsid w:val="00E67D8E"/>
    <w:rsid w:val="00E7066C"/>
    <w:rsid w:val="00E70F51"/>
    <w:rsid w:val="00E718B6"/>
    <w:rsid w:val="00E7195A"/>
    <w:rsid w:val="00E71F7E"/>
    <w:rsid w:val="00E721B1"/>
    <w:rsid w:val="00E723BA"/>
    <w:rsid w:val="00E73581"/>
    <w:rsid w:val="00E73FD4"/>
    <w:rsid w:val="00E7474A"/>
    <w:rsid w:val="00E756CA"/>
    <w:rsid w:val="00E763FD"/>
    <w:rsid w:val="00E8000E"/>
    <w:rsid w:val="00E80358"/>
    <w:rsid w:val="00E80728"/>
    <w:rsid w:val="00E80EA5"/>
    <w:rsid w:val="00E81313"/>
    <w:rsid w:val="00E81AF4"/>
    <w:rsid w:val="00E81DBB"/>
    <w:rsid w:val="00E81E59"/>
    <w:rsid w:val="00E822B0"/>
    <w:rsid w:val="00E833F7"/>
    <w:rsid w:val="00E83BDF"/>
    <w:rsid w:val="00E84F28"/>
    <w:rsid w:val="00E86B76"/>
    <w:rsid w:val="00E86EF9"/>
    <w:rsid w:val="00E86FCC"/>
    <w:rsid w:val="00E87105"/>
    <w:rsid w:val="00E87A1D"/>
    <w:rsid w:val="00E9094A"/>
    <w:rsid w:val="00E90EB8"/>
    <w:rsid w:val="00E9134F"/>
    <w:rsid w:val="00E91835"/>
    <w:rsid w:val="00E91D35"/>
    <w:rsid w:val="00E91EA2"/>
    <w:rsid w:val="00E9234A"/>
    <w:rsid w:val="00E925EF"/>
    <w:rsid w:val="00E926A5"/>
    <w:rsid w:val="00E92BF1"/>
    <w:rsid w:val="00E93CF5"/>
    <w:rsid w:val="00E94655"/>
    <w:rsid w:val="00E949EB"/>
    <w:rsid w:val="00E94EA7"/>
    <w:rsid w:val="00E94FF3"/>
    <w:rsid w:val="00E95A48"/>
    <w:rsid w:val="00E95A63"/>
    <w:rsid w:val="00E962CC"/>
    <w:rsid w:val="00E96EF8"/>
    <w:rsid w:val="00E97DDA"/>
    <w:rsid w:val="00EA0743"/>
    <w:rsid w:val="00EA17C3"/>
    <w:rsid w:val="00EA1D64"/>
    <w:rsid w:val="00EA2CAA"/>
    <w:rsid w:val="00EA31F6"/>
    <w:rsid w:val="00EA3443"/>
    <w:rsid w:val="00EA3864"/>
    <w:rsid w:val="00EA4B2F"/>
    <w:rsid w:val="00EA7BB2"/>
    <w:rsid w:val="00EA7F1C"/>
    <w:rsid w:val="00EB009B"/>
    <w:rsid w:val="00EB0427"/>
    <w:rsid w:val="00EB0AF9"/>
    <w:rsid w:val="00EB15B6"/>
    <w:rsid w:val="00EB23DA"/>
    <w:rsid w:val="00EB261E"/>
    <w:rsid w:val="00EB39D0"/>
    <w:rsid w:val="00EB3D06"/>
    <w:rsid w:val="00EB4916"/>
    <w:rsid w:val="00EB4B54"/>
    <w:rsid w:val="00EB67B3"/>
    <w:rsid w:val="00EB7AB5"/>
    <w:rsid w:val="00EB7CDF"/>
    <w:rsid w:val="00EC00C9"/>
    <w:rsid w:val="00EC0C5F"/>
    <w:rsid w:val="00EC0DD9"/>
    <w:rsid w:val="00EC1056"/>
    <w:rsid w:val="00EC2649"/>
    <w:rsid w:val="00EC31ED"/>
    <w:rsid w:val="00EC5836"/>
    <w:rsid w:val="00EC5946"/>
    <w:rsid w:val="00EC688C"/>
    <w:rsid w:val="00EC6A78"/>
    <w:rsid w:val="00EC7389"/>
    <w:rsid w:val="00EC784D"/>
    <w:rsid w:val="00ED047B"/>
    <w:rsid w:val="00ED0C89"/>
    <w:rsid w:val="00ED0CBB"/>
    <w:rsid w:val="00ED12CA"/>
    <w:rsid w:val="00ED12E3"/>
    <w:rsid w:val="00ED166C"/>
    <w:rsid w:val="00ED2E3E"/>
    <w:rsid w:val="00ED32FA"/>
    <w:rsid w:val="00ED35CE"/>
    <w:rsid w:val="00ED4A0E"/>
    <w:rsid w:val="00ED4B04"/>
    <w:rsid w:val="00ED4F2A"/>
    <w:rsid w:val="00ED57EA"/>
    <w:rsid w:val="00ED5BD4"/>
    <w:rsid w:val="00ED5D2A"/>
    <w:rsid w:val="00ED5E0E"/>
    <w:rsid w:val="00ED712B"/>
    <w:rsid w:val="00ED74F5"/>
    <w:rsid w:val="00EE07D3"/>
    <w:rsid w:val="00EE0832"/>
    <w:rsid w:val="00EE1463"/>
    <w:rsid w:val="00EE1996"/>
    <w:rsid w:val="00EE1C01"/>
    <w:rsid w:val="00EE22A3"/>
    <w:rsid w:val="00EE22AF"/>
    <w:rsid w:val="00EE2EA9"/>
    <w:rsid w:val="00EE3409"/>
    <w:rsid w:val="00EE3668"/>
    <w:rsid w:val="00EE389F"/>
    <w:rsid w:val="00EE4159"/>
    <w:rsid w:val="00EE429B"/>
    <w:rsid w:val="00EE4ADE"/>
    <w:rsid w:val="00EE56A5"/>
    <w:rsid w:val="00EE58B8"/>
    <w:rsid w:val="00EE6B52"/>
    <w:rsid w:val="00EE7434"/>
    <w:rsid w:val="00EE75D9"/>
    <w:rsid w:val="00EF0171"/>
    <w:rsid w:val="00EF0F63"/>
    <w:rsid w:val="00EF120C"/>
    <w:rsid w:val="00EF1314"/>
    <w:rsid w:val="00EF1602"/>
    <w:rsid w:val="00EF1A6A"/>
    <w:rsid w:val="00EF1B25"/>
    <w:rsid w:val="00EF1DA0"/>
    <w:rsid w:val="00EF21C8"/>
    <w:rsid w:val="00EF305A"/>
    <w:rsid w:val="00EF35EB"/>
    <w:rsid w:val="00EF3824"/>
    <w:rsid w:val="00EF4747"/>
    <w:rsid w:val="00EF475B"/>
    <w:rsid w:val="00EF4BF8"/>
    <w:rsid w:val="00EF4C8A"/>
    <w:rsid w:val="00EF73FD"/>
    <w:rsid w:val="00EF7A26"/>
    <w:rsid w:val="00EF7C0B"/>
    <w:rsid w:val="00EF7E4E"/>
    <w:rsid w:val="00F00BA2"/>
    <w:rsid w:val="00F00FCF"/>
    <w:rsid w:val="00F02253"/>
    <w:rsid w:val="00F03188"/>
    <w:rsid w:val="00F03973"/>
    <w:rsid w:val="00F03BBE"/>
    <w:rsid w:val="00F03C2E"/>
    <w:rsid w:val="00F04412"/>
    <w:rsid w:val="00F048AA"/>
    <w:rsid w:val="00F04A66"/>
    <w:rsid w:val="00F04B4B"/>
    <w:rsid w:val="00F05006"/>
    <w:rsid w:val="00F0504B"/>
    <w:rsid w:val="00F0516C"/>
    <w:rsid w:val="00F06135"/>
    <w:rsid w:val="00F066D5"/>
    <w:rsid w:val="00F067A2"/>
    <w:rsid w:val="00F07B9E"/>
    <w:rsid w:val="00F1065F"/>
    <w:rsid w:val="00F10BD5"/>
    <w:rsid w:val="00F1116F"/>
    <w:rsid w:val="00F1263A"/>
    <w:rsid w:val="00F12D76"/>
    <w:rsid w:val="00F12FFF"/>
    <w:rsid w:val="00F13466"/>
    <w:rsid w:val="00F13906"/>
    <w:rsid w:val="00F139C5"/>
    <w:rsid w:val="00F13A2A"/>
    <w:rsid w:val="00F14529"/>
    <w:rsid w:val="00F15B77"/>
    <w:rsid w:val="00F17D01"/>
    <w:rsid w:val="00F203B4"/>
    <w:rsid w:val="00F2075B"/>
    <w:rsid w:val="00F21236"/>
    <w:rsid w:val="00F2138C"/>
    <w:rsid w:val="00F21D74"/>
    <w:rsid w:val="00F239DF"/>
    <w:rsid w:val="00F23D2A"/>
    <w:rsid w:val="00F24837"/>
    <w:rsid w:val="00F256EF"/>
    <w:rsid w:val="00F2575F"/>
    <w:rsid w:val="00F2593B"/>
    <w:rsid w:val="00F260FD"/>
    <w:rsid w:val="00F262EB"/>
    <w:rsid w:val="00F27565"/>
    <w:rsid w:val="00F2761D"/>
    <w:rsid w:val="00F310D4"/>
    <w:rsid w:val="00F31D5A"/>
    <w:rsid w:val="00F32427"/>
    <w:rsid w:val="00F33172"/>
    <w:rsid w:val="00F33975"/>
    <w:rsid w:val="00F33B07"/>
    <w:rsid w:val="00F33DE9"/>
    <w:rsid w:val="00F33E79"/>
    <w:rsid w:val="00F340EF"/>
    <w:rsid w:val="00F35363"/>
    <w:rsid w:val="00F35A4E"/>
    <w:rsid w:val="00F35E6D"/>
    <w:rsid w:val="00F36000"/>
    <w:rsid w:val="00F3619A"/>
    <w:rsid w:val="00F36599"/>
    <w:rsid w:val="00F365F7"/>
    <w:rsid w:val="00F37301"/>
    <w:rsid w:val="00F3789E"/>
    <w:rsid w:val="00F40AAA"/>
    <w:rsid w:val="00F40B96"/>
    <w:rsid w:val="00F40BA7"/>
    <w:rsid w:val="00F40F9D"/>
    <w:rsid w:val="00F40FE5"/>
    <w:rsid w:val="00F41ACD"/>
    <w:rsid w:val="00F4296B"/>
    <w:rsid w:val="00F43749"/>
    <w:rsid w:val="00F43929"/>
    <w:rsid w:val="00F4455A"/>
    <w:rsid w:val="00F44575"/>
    <w:rsid w:val="00F45986"/>
    <w:rsid w:val="00F45ACD"/>
    <w:rsid w:val="00F45B5E"/>
    <w:rsid w:val="00F465D1"/>
    <w:rsid w:val="00F46CB6"/>
    <w:rsid w:val="00F473DC"/>
    <w:rsid w:val="00F4756D"/>
    <w:rsid w:val="00F47DE8"/>
    <w:rsid w:val="00F515CA"/>
    <w:rsid w:val="00F5263E"/>
    <w:rsid w:val="00F52923"/>
    <w:rsid w:val="00F53353"/>
    <w:rsid w:val="00F5357D"/>
    <w:rsid w:val="00F53EE1"/>
    <w:rsid w:val="00F542C1"/>
    <w:rsid w:val="00F546E8"/>
    <w:rsid w:val="00F5471F"/>
    <w:rsid w:val="00F550E3"/>
    <w:rsid w:val="00F55E73"/>
    <w:rsid w:val="00F55EDA"/>
    <w:rsid w:val="00F56C80"/>
    <w:rsid w:val="00F60092"/>
    <w:rsid w:val="00F61487"/>
    <w:rsid w:val="00F61C18"/>
    <w:rsid w:val="00F61EB8"/>
    <w:rsid w:val="00F629A6"/>
    <w:rsid w:val="00F629D4"/>
    <w:rsid w:val="00F63878"/>
    <w:rsid w:val="00F64D5B"/>
    <w:rsid w:val="00F653D1"/>
    <w:rsid w:val="00F654AE"/>
    <w:rsid w:val="00F65EF1"/>
    <w:rsid w:val="00F65F4B"/>
    <w:rsid w:val="00F66109"/>
    <w:rsid w:val="00F672DD"/>
    <w:rsid w:val="00F67A69"/>
    <w:rsid w:val="00F67B32"/>
    <w:rsid w:val="00F70856"/>
    <w:rsid w:val="00F70BFF"/>
    <w:rsid w:val="00F70C9D"/>
    <w:rsid w:val="00F71AEB"/>
    <w:rsid w:val="00F72376"/>
    <w:rsid w:val="00F72F9A"/>
    <w:rsid w:val="00F73E08"/>
    <w:rsid w:val="00F74BCF"/>
    <w:rsid w:val="00F74CD9"/>
    <w:rsid w:val="00F7635B"/>
    <w:rsid w:val="00F76567"/>
    <w:rsid w:val="00F769B5"/>
    <w:rsid w:val="00F77FEA"/>
    <w:rsid w:val="00F80A7B"/>
    <w:rsid w:val="00F80E5D"/>
    <w:rsid w:val="00F81540"/>
    <w:rsid w:val="00F81E78"/>
    <w:rsid w:val="00F827FD"/>
    <w:rsid w:val="00F82D62"/>
    <w:rsid w:val="00F83916"/>
    <w:rsid w:val="00F84B93"/>
    <w:rsid w:val="00F851CE"/>
    <w:rsid w:val="00F86699"/>
    <w:rsid w:val="00F8682A"/>
    <w:rsid w:val="00F87132"/>
    <w:rsid w:val="00F8766C"/>
    <w:rsid w:val="00F877B8"/>
    <w:rsid w:val="00F87DF8"/>
    <w:rsid w:val="00F901B3"/>
    <w:rsid w:val="00F903D4"/>
    <w:rsid w:val="00F90589"/>
    <w:rsid w:val="00F9063D"/>
    <w:rsid w:val="00F909AD"/>
    <w:rsid w:val="00F91219"/>
    <w:rsid w:val="00F91550"/>
    <w:rsid w:val="00F91C8A"/>
    <w:rsid w:val="00F91D68"/>
    <w:rsid w:val="00F92444"/>
    <w:rsid w:val="00F92808"/>
    <w:rsid w:val="00F92BFF"/>
    <w:rsid w:val="00F93230"/>
    <w:rsid w:val="00F9393E"/>
    <w:rsid w:val="00F93C16"/>
    <w:rsid w:val="00F9465C"/>
    <w:rsid w:val="00F94692"/>
    <w:rsid w:val="00F950FA"/>
    <w:rsid w:val="00F955B1"/>
    <w:rsid w:val="00F95E64"/>
    <w:rsid w:val="00F961B6"/>
    <w:rsid w:val="00F96FD0"/>
    <w:rsid w:val="00F97296"/>
    <w:rsid w:val="00F97518"/>
    <w:rsid w:val="00F97A78"/>
    <w:rsid w:val="00FA0B20"/>
    <w:rsid w:val="00FA1121"/>
    <w:rsid w:val="00FA1172"/>
    <w:rsid w:val="00FA16B3"/>
    <w:rsid w:val="00FA1BBD"/>
    <w:rsid w:val="00FA1CC0"/>
    <w:rsid w:val="00FA243C"/>
    <w:rsid w:val="00FA24E7"/>
    <w:rsid w:val="00FA3127"/>
    <w:rsid w:val="00FA3A0D"/>
    <w:rsid w:val="00FA3A7B"/>
    <w:rsid w:val="00FA4DAE"/>
    <w:rsid w:val="00FA5EE6"/>
    <w:rsid w:val="00FA6642"/>
    <w:rsid w:val="00FA7956"/>
    <w:rsid w:val="00FB04B1"/>
    <w:rsid w:val="00FB0824"/>
    <w:rsid w:val="00FB218C"/>
    <w:rsid w:val="00FB2824"/>
    <w:rsid w:val="00FB2B54"/>
    <w:rsid w:val="00FB2FCB"/>
    <w:rsid w:val="00FB3125"/>
    <w:rsid w:val="00FB3DB6"/>
    <w:rsid w:val="00FB4C9C"/>
    <w:rsid w:val="00FB5EF8"/>
    <w:rsid w:val="00FB6BC1"/>
    <w:rsid w:val="00FB7C55"/>
    <w:rsid w:val="00FC1074"/>
    <w:rsid w:val="00FC15F7"/>
    <w:rsid w:val="00FC1704"/>
    <w:rsid w:val="00FC1884"/>
    <w:rsid w:val="00FC1B17"/>
    <w:rsid w:val="00FC1D08"/>
    <w:rsid w:val="00FC1EAB"/>
    <w:rsid w:val="00FC2CCE"/>
    <w:rsid w:val="00FC2E41"/>
    <w:rsid w:val="00FC311F"/>
    <w:rsid w:val="00FC3583"/>
    <w:rsid w:val="00FC371D"/>
    <w:rsid w:val="00FC3864"/>
    <w:rsid w:val="00FC3A9C"/>
    <w:rsid w:val="00FC3B64"/>
    <w:rsid w:val="00FC41F6"/>
    <w:rsid w:val="00FC4FA4"/>
    <w:rsid w:val="00FC505D"/>
    <w:rsid w:val="00FC5F0B"/>
    <w:rsid w:val="00FC6393"/>
    <w:rsid w:val="00FC6E0F"/>
    <w:rsid w:val="00FD0058"/>
    <w:rsid w:val="00FD0587"/>
    <w:rsid w:val="00FD0C9E"/>
    <w:rsid w:val="00FD0E4E"/>
    <w:rsid w:val="00FD0FA2"/>
    <w:rsid w:val="00FD10E1"/>
    <w:rsid w:val="00FD183D"/>
    <w:rsid w:val="00FD1AE8"/>
    <w:rsid w:val="00FD2100"/>
    <w:rsid w:val="00FD2708"/>
    <w:rsid w:val="00FD347A"/>
    <w:rsid w:val="00FD3D3C"/>
    <w:rsid w:val="00FD3E41"/>
    <w:rsid w:val="00FD436C"/>
    <w:rsid w:val="00FD4399"/>
    <w:rsid w:val="00FD43E2"/>
    <w:rsid w:val="00FD446D"/>
    <w:rsid w:val="00FD4841"/>
    <w:rsid w:val="00FD4E52"/>
    <w:rsid w:val="00FD4F2C"/>
    <w:rsid w:val="00FD4FDD"/>
    <w:rsid w:val="00FD5868"/>
    <w:rsid w:val="00FD62D3"/>
    <w:rsid w:val="00FD6394"/>
    <w:rsid w:val="00FD7008"/>
    <w:rsid w:val="00FD7846"/>
    <w:rsid w:val="00FE0307"/>
    <w:rsid w:val="00FE0B9E"/>
    <w:rsid w:val="00FE0E50"/>
    <w:rsid w:val="00FE0E6C"/>
    <w:rsid w:val="00FE129B"/>
    <w:rsid w:val="00FE1CDC"/>
    <w:rsid w:val="00FE2378"/>
    <w:rsid w:val="00FE29C7"/>
    <w:rsid w:val="00FE41D7"/>
    <w:rsid w:val="00FE4276"/>
    <w:rsid w:val="00FE42EE"/>
    <w:rsid w:val="00FE4421"/>
    <w:rsid w:val="00FE4AF8"/>
    <w:rsid w:val="00FE5D09"/>
    <w:rsid w:val="00FE6CE7"/>
    <w:rsid w:val="00FE70C3"/>
    <w:rsid w:val="00FE70D0"/>
    <w:rsid w:val="00FE759D"/>
    <w:rsid w:val="00FF13F6"/>
    <w:rsid w:val="00FF19C6"/>
    <w:rsid w:val="00FF1A8B"/>
    <w:rsid w:val="00FF26CB"/>
    <w:rsid w:val="00FF2AD9"/>
    <w:rsid w:val="00FF359F"/>
    <w:rsid w:val="00FF3DCF"/>
    <w:rsid w:val="00FF4897"/>
    <w:rsid w:val="00FF492C"/>
    <w:rsid w:val="00FF4A21"/>
    <w:rsid w:val="00FF4CB1"/>
    <w:rsid w:val="00FF4CCA"/>
    <w:rsid w:val="00FF5033"/>
    <w:rsid w:val="00FF52AE"/>
    <w:rsid w:val="00FF5664"/>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25FD"/>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link w:val="ListParagraphChar"/>
    <w:uiPriority w:val="34"/>
    <w:qFormat/>
    <w:rsid w:val="004C3B02"/>
    <w:pPr>
      <w:numPr>
        <w:numId w:val="7"/>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6F6C4E"/>
    <w:pPr>
      <w:keepNext/>
      <w:keepLines/>
    </w:pPr>
    <w:rPr>
      <w:rFonts w:ascii="Arial Narrow" w:hAnsi="Arial Narrow" w:cs="Arial"/>
      <w:snapToGrid w:val="0"/>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CC25FD"/>
    <w:pPr>
      <w:numPr>
        <w:ilvl w:val="1"/>
        <w:numId w:val="8"/>
      </w:numPr>
      <w:spacing w:before="6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CC25FD"/>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6F6C4E"/>
    <w:rPr>
      <w:rFonts w:ascii="Arial Narrow" w:hAnsi="Arial Narrow" w:cs="Arial"/>
      <w:snapToGrid w:val="0"/>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842EDE"/>
    <w:pPr>
      <w:keepLines/>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842EDE"/>
    <w:rPr>
      <w:rFonts w:ascii="Arial Narrow" w:hAnsi="Arial Narrow" w:cs="Arial"/>
      <w:snapToGrid w:val="0"/>
      <w:sz w:val="18"/>
      <w:szCs w:val="22"/>
    </w:rPr>
  </w:style>
  <w:style w:type="paragraph" w:styleId="FootnoteText">
    <w:name w:val="footnote text"/>
    <w:basedOn w:val="Normal"/>
    <w:link w:val="FootnoteTextChar"/>
    <w:semiHidden/>
    <w:unhideWhenUsed/>
    <w:rsid w:val="00A5145E"/>
    <w:rPr>
      <w:sz w:val="20"/>
      <w:szCs w:val="20"/>
    </w:rPr>
  </w:style>
  <w:style w:type="character" w:customStyle="1" w:styleId="FootnoteTextChar">
    <w:name w:val="Footnote Text Char"/>
    <w:basedOn w:val="DefaultParagraphFont"/>
    <w:link w:val="FootnoteText"/>
    <w:semiHidden/>
    <w:rsid w:val="00A5145E"/>
    <w:rPr>
      <w:rFonts w:ascii="Calibri" w:hAnsi="Calibri" w:cs="Arial"/>
    </w:rPr>
  </w:style>
  <w:style w:type="character" w:styleId="FootnoteReference">
    <w:name w:val="footnote reference"/>
    <w:basedOn w:val="DefaultParagraphFont"/>
    <w:semiHidden/>
    <w:unhideWhenUsed/>
    <w:rsid w:val="00A5145E"/>
    <w:rPr>
      <w:vertAlign w:val="superscript"/>
    </w:rPr>
  </w:style>
  <w:style w:type="paragraph" w:customStyle="1" w:styleId="p1">
    <w:name w:val="p1"/>
    <w:basedOn w:val="Normal"/>
    <w:rsid w:val="00F5357D"/>
    <w:pPr>
      <w:jc w:val="left"/>
    </w:pPr>
    <w:rPr>
      <w:rFonts w:ascii="Helvetica" w:hAnsi="Helvetica" w:cs="Times New Roman"/>
      <w:color w:val="000000"/>
      <w:sz w:val="15"/>
      <w:szCs w:val="15"/>
      <w:lang w:eastAsia="en-GB"/>
    </w:rPr>
  </w:style>
  <w:style w:type="character" w:styleId="UnresolvedMention">
    <w:name w:val="Unresolved Mention"/>
    <w:basedOn w:val="DefaultParagraphFont"/>
    <w:uiPriority w:val="99"/>
    <w:semiHidden/>
    <w:unhideWhenUsed/>
    <w:rsid w:val="005E5E67"/>
    <w:rPr>
      <w:color w:val="605E5C"/>
      <w:shd w:val="clear" w:color="auto" w:fill="E1DFDD"/>
    </w:rPr>
  </w:style>
  <w:style w:type="character" w:customStyle="1" w:styleId="eop">
    <w:name w:val="eop"/>
    <w:basedOn w:val="DefaultParagraphFont"/>
    <w:rsid w:val="0093728C"/>
  </w:style>
  <w:style w:type="character" w:customStyle="1" w:styleId="normaltextrun">
    <w:name w:val="normaltextrun"/>
    <w:basedOn w:val="DefaultParagraphFont"/>
    <w:rsid w:val="0093728C"/>
  </w:style>
  <w:style w:type="paragraph" w:customStyle="1" w:styleId="paragraph">
    <w:name w:val="paragraph"/>
    <w:basedOn w:val="Normal"/>
    <w:rsid w:val="0093728C"/>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F5263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5263E"/>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4484175">
      <w:bodyDiv w:val="1"/>
      <w:marLeft w:val="0"/>
      <w:marRight w:val="0"/>
      <w:marTop w:val="0"/>
      <w:marBottom w:val="0"/>
      <w:divBdr>
        <w:top w:val="none" w:sz="0" w:space="0" w:color="auto"/>
        <w:left w:val="none" w:sz="0" w:space="0" w:color="auto"/>
        <w:bottom w:val="none" w:sz="0" w:space="0" w:color="auto"/>
        <w:right w:val="none" w:sz="0" w:space="0" w:color="auto"/>
      </w:divBdr>
    </w:div>
    <w:div w:id="218980192">
      <w:bodyDiv w:val="1"/>
      <w:marLeft w:val="0"/>
      <w:marRight w:val="0"/>
      <w:marTop w:val="0"/>
      <w:marBottom w:val="0"/>
      <w:divBdr>
        <w:top w:val="none" w:sz="0" w:space="0" w:color="auto"/>
        <w:left w:val="none" w:sz="0" w:space="0" w:color="auto"/>
        <w:bottom w:val="none" w:sz="0" w:space="0" w:color="auto"/>
        <w:right w:val="none" w:sz="0" w:space="0" w:color="auto"/>
      </w:divBdr>
    </w:div>
    <w:div w:id="24819505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42131408">
      <w:bodyDiv w:val="1"/>
      <w:marLeft w:val="0"/>
      <w:marRight w:val="0"/>
      <w:marTop w:val="0"/>
      <w:marBottom w:val="0"/>
      <w:divBdr>
        <w:top w:val="none" w:sz="0" w:space="0" w:color="auto"/>
        <w:left w:val="none" w:sz="0" w:space="0" w:color="auto"/>
        <w:bottom w:val="none" w:sz="0" w:space="0" w:color="auto"/>
        <w:right w:val="none" w:sz="0" w:space="0" w:color="auto"/>
      </w:divBdr>
    </w:div>
    <w:div w:id="577180655">
      <w:bodyDiv w:val="1"/>
      <w:marLeft w:val="0"/>
      <w:marRight w:val="0"/>
      <w:marTop w:val="0"/>
      <w:marBottom w:val="0"/>
      <w:divBdr>
        <w:top w:val="none" w:sz="0" w:space="0" w:color="auto"/>
        <w:left w:val="none" w:sz="0" w:space="0" w:color="auto"/>
        <w:bottom w:val="none" w:sz="0" w:space="0" w:color="auto"/>
        <w:right w:val="none" w:sz="0" w:space="0" w:color="auto"/>
      </w:divBdr>
    </w:div>
    <w:div w:id="679552726">
      <w:bodyDiv w:val="1"/>
      <w:marLeft w:val="0"/>
      <w:marRight w:val="0"/>
      <w:marTop w:val="0"/>
      <w:marBottom w:val="0"/>
      <w:divBdr>
        <w:top w:val="none" w:sz="0" w:space="0" w:color="auto"/>
        <w:left w:val="none" w:sz="0" w:space="0" w:color="auto"/>
        <w:bottom w:val="none" w:sz="0" w:space="0" w:color="auto"/>
        <w:right w:val="none" w:sz="0" w:space="0" w:color="auto"/>
      </w:divBdr>
    </w:div>
    <w:div w:id="689794865">
      <w:bodyDiv w:val="1"/>
      <w:marLeft w:val="0"/>
      <w:marRight w:val="0"/>
      <w:marTop w:val="0"/>
      <w:marBottom w:val="0"/>
      <w:divBdr>
        <w:top w:val="none" w:sz="0" w:space="0" w:color="auto"/>
        <w:left w:val="none" w:sz="0" w:space="0" w:color="auto"/>
        <w:bottom w:val="none" w:sz="0" w:space="0" w:color="auto"/>
        <w:right w:val="none" w:sz="0" w:space="0" w:color="auto"/>
      </w:divBdr>
    </w:div>
    <w:div w:id="711615870">
      <w:bodyDiv w:val="1"/>
      <w:marLeft w:val="0"/>
      <w:marRight w:val="0"/>
      <w:marTop w:val="0"/>
      <w:marBottom w:val="0"/>
      <w:divBdr>
        <w:top w:val="none" w:sz="0" w:space="0" w:color="auto"/>
        <w:left w:val="none" w:sz="0" w:space="0" w:color="auto"/>
        <w:bottom w:val="none" w:sz="0" w:space="0" w:color="auto"/>
        <w:right w:val="none" w:sz="0" w:space="0" w:color="auto"/>
      </w:divBdr>
    </w:div>
    <w:div w:id="733626856">
      <w:bodyDiv w:val="1"/>
      <w:marLeft w:val="0"/>
      <w:marRight w:val="0"/>
      <w:marTop w:val="0"/>
      <w:marBottom w:val="0"/>
      <w:divBdr>
        <w:top w:val="none" w:sz="0" w:space="0" w:color="auto"/>
        <w:left w:val="none" w:sz="0" w:space="0" w:color="auto"/>
        <w:bottom w:val="none" w:sz="0" w:space="0" w:color="auto"/>
        <w:right w:val="none" w:sz="0" w:space="0" w:color="auto"/>
      </w:divBdr>
    </w:div>
    <w:div w:id="759326306">
      <w:bodyDiv w:val="1"/>
      <w:marLeft w:val="0"/>
      <w:marRight w:val="0"/>
      <w:marTop w:val="0"/>
      <w:marBottom w:val="0"/>
      <w:divBdr>
        <w:top w:val="none" w:sz="0" w:space="0" w:color="auto"/>
        <w:left w:val="none" w:sz="0" w:space="0" w:color="auto"/>
        <w:bottom w:val="none" w:sz="0" w:space="0" w:color="auto"/>
        <w:right w:val="none" w:sz="0" w:space="0" w:color="auto"/>
      </w:divBdr>
    </w:div>
    <w:div w:id="769352495">
      <w:bodyDiv w:val="1"/>
      <w:marLeft w:val="0"/>
      <w:marRight w:val="0"/>
      <w:marTop w:val="0"/>
      <w:marBottom w:val="0"/>
      <w:divBdr>
        <w:top w:val="none" w:sz="0" w:space="0" w:color="auto"/>
        <w:left w:val="none" w:sz="0" w:space="0" w:color="auto"/>
        <w:bottom w:val="none" w:sz="0" w:space="0" w:color="auto"/>
        <w:right w:val="none" w:sz="0" w:space="0" w:color="auto"/>
      </w:divBdr>
      <w:divsChild>
        <w:div w:id="805464413">
          <w:marLeft w:val="0"/>
          <w:marRight w:val="0"/>
          <w:marTop w:val="0"/>
          <w:marBottom w:val="0"/>
          <w:divBdr>
            <w:top w:val="none" w:sz="0" w:space="0" w:color="auto"/>
            <w:left w:val="none" w:sz="0" w:space="0" w:color="auto"/>
            <w:bottom w:val="none" w:sz="0" w:space="0" w:color="auto"/>
            <w:right w:val="none" w:sz="0" w:space="0" w:color="auto"/>
          </w:divBdr>
        </w:div>
      </w:divsChild>
    </w:div>
    <w:div w:id="78030244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63710023">
      <w:bodyDiv w:val="1"/>
      <w:marLeft w:val="0"/>
      <w:marRight w:val="0"/>
      <w:marTop w:val="0"/>
      <w:marBottom w:val="0"/>
      <w:divBdr>
        <w:top w:val="none" w:sz="0" w:space="0" w:color="auto"/>
        <w:left w:val="none" w:sz="0" w:space="0" w:color="auto"/>
        <w:bottom w:val="none" w:sz="0" w:space="0" w:color="auto"/>
        <w:right w:val="none" w:sz="0" w:space="0" w:color="auto"/>
      </w:divBdr>
    </w:div>
    <w:div w:id="891617798">
      <w:bodyDiv w:val="1"/>
      <w:marLeft w:val="0"/>
      <w:marRight w:val="0"/>
      <w:marTop w:val="0"/>
      <w:marBottom w:val="0"/>
      <w:divBdr>
        <w:top w:val="none" w:sz="0" w:space="0" w:color="auto"/>
        <w:left w:val="none" w:sz="0" w:space="0" w:color="auto"/>
        <w:bottom w:val="none" w:sz="0" w:space="0" w:color="auto"/>
        <w:right w:val="none" w:sz="0" w:space="0" w:color="auto"/>
      </w:divBdr>
    </w:div>
    <w:div w:id="92099339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2881694">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76659109">
      <w:bodyDiv w:val="1"/>
      <w:marLeft w:val="0"/>
      <w:marRight w:val="0"/>
      <w:marTop w:val="0"/>
      <w:marBottom w:val="0"/>
      <w:divBdr>
        <w:top w:val="none" w:sz="0" w:space="0" w:color="auto"/>
        <w:left w:val="none" w:sz="0" w:space="0" w:color="auto"/>
        <w:bottom w:val="none" w:sz="0" w:space="0" w:color="auto"/>
        <w:right w:val="none" w:sz="0" w:space="0" w:color="auto"/>
      </w:divBdr>
      <w:divsChild>
        <w:div w:id="2096510795">
          <w:marLeft w:val="0"/>
          <w:marRight w:val="0"/>
          <w:marTop w:val="0"/>
          <w:marBottom w:val="0"/>
          <w:divBdr>
            <w:top w:val="none" w:sz="0" w:space="0" w:color="auto"/>
            <w:left w:val="none" w:sz="0" w:space="0" w:color="auto"/>
            <w:bottom w:val="none" w:sz="0" w:space="0" w:color="auto"/>
            <w:right w:val="none" w:sz="0" w:space="0" w:color="auto"/>
          </w:divBdr>
        </w:div>
      </w:divsChild>
    </w:div>
    <w:div w:id="1430466555">
      <w:bodyDiv w:val="1"/>
      <w:marLeft w:val="0"/>
      <w:marRight w:val="0"/>
      <w:marTop w:val="0"/>
      <w:marBottom w:val="0"/>
      <w:divBdr>
        <w:top w:val="none" w:sz="0" w:space="0" w:color="auto"/>
        <w:left w:val="none" w:sz="0" w:space="0" w:color="auto"/>
        <w:bottom w:val="none" w:sz="0" w:space="0" w:color="auto"/>
        <w:right w:val="none" w:sz="0" w:space="0" w:color="auto"/>
      </w:divBdr>
    </w:div>
    <w:div w:id="1535071628">
      <w:bodyDiv w:val="1"/>
      <w:marLeft w:val="0"/>
      <w:marRight w:val="0"/>
      <w:marTop w:val="0"/>
      <w:marBottom w:val="0"/>
      <w:divBdr>
        <w:top w:val="none" w:sz="0" w:space="0" w:color="auto"/>
        <w:left w:val="none" w:sz="0" w:space="0" w:color="auto"/>
        <w:bottom w:val="none" w:sz="0" w:space="0" w:color="auto"/>
        <w:right w:val="none" w:sz="0" w:space="0" w:color="auto"/>
      </w:divBdr>
    </w:div>
    <w:div w:id="1609503583">
      <w:bodyDiv w:val="1"/>
      <w:marLeft w:val="0"/>
      <w:marRight w:val="0"/>
      <w:marTop w:val="0"/>
      <w:marBottom w:val="0"/>
      <w:divBdr>
        <w:top w:val="none" w:sz="0" w:space="0" w:color="auto"/>
        <w:left w:val="none" w:sz="0" w:space="0" w:color="auto"/>
        <w:bottom w:val="none" w:sz="0" w:space="0" w:color="auto"/>
        <w:right w:val="none" w:sz="0" w:space="0" w:color="auto"/>
      </w:divBdr>
    </w:div>
    <w:div w:id="1732072249">
      <w:bodyDiv w:val="1"/>
      <w:marLeft w:val="0"/>
      <w:marRight w:val="0"/>
      <w:marTop w:val="0"/>
      <w:marBottom w:val="0"/>
      <w:divBdr>
        <w:top w:val="none" w:sz="0" w:space="0" w:color="auto"/>
        <w:left w:val="none" w:sz="0" w:space="0" w:color="auto"/>
        <w:bottom w:val="none" w:sz="0" w:space="0" w:color="auto"/>
        <w:right w:val="none" w:sz="0" w:space="0" w:color="auto"/>
      </w:divBdr>
    </w:div>
    <w:div w:id="187144874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602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aph.gov.au/Parliamentary_Business/Committees/Senate/Community_Affairs/Menopause/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79185-48B6-4A5A-A89C-1E6A4C75F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382212-8B82-4801-8503-639824C49D65}">
  <ds:schemaRefs>
    <ds:schemaRef ds:uri="http://www.w3.org/XML/1998/namespace"/>
    <ds:schemaRef ds:uri="http://purl.org/dc/terms/"/>
    <ds:schemaRef ds:uri="http://purl.org/dc/elements/1.1/"/>
    <ds:schemaRef ds:uri="http://schemas.microsoft.com/office/2006/documentManagement/types"/>
    <ds:schemaRef ds:uri="http://purl.org/dc/dcmitype/"/>
    <ds:schemaRef ds:uri="7f856f8d-13b3-495a-9a4b-41f8182eda4c"/>
    <ds:schemaRef ds:uri="http://schemas.openxmlformats.org/package/2006/metadata/core-properties"/>
    <ds:schemaRef ds:uri="http://schemas.microsoft.com/office/infopath/2007/PartnerControls"/>
    <ds:schemaRef ds:uri="72f95629-adac-4ec1-8738-e1cec852b92b"/>
    <ds:schemaRef ds:uri="http://schemas.microsoft.com/office/2006/metadata/properties"/>
  </ds:schemaRefs>
</ds:datastoreItem>
</file>

<file path=customXml/itemProps3.xml><?xml version="1.0" encoding="utf-8"?>
<ds:datastoreItem xmlns:ds="http://schemas.openxmlformats.org/officeDocument/2006/customXml" ds:itemID="{A39A7A6B-D858-4DA0-B3C5-63A0DE869A32}">
  <ds:schemaRefs>
    <ds:schemaRef ds:uri="http://schemas.microsoft.com/sharepoint/v3/contenttype/forms"/>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32</Pages>
  <Words>11629</Words>
  <Characters>65823</Characters>
  <Application>Microsoft Office Word</Application>
  <DocSecurity>0</DocSecurity>
  <Lines>1495</Lines>
  <Paragraphs>759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76693</CharactersWithSpaces>
  <SharedDoc>false</SharedDoc>
  <HLinks>
    <vt:vector size="6" baseType="variant">
      <vt:variant>
        <vt:i4>196625</vt:i4>
      </vt:variant>
      <vt:variant>
        <vt:i4>0</vt:i4>
      </vt:variant>
      <vt:variant>
        <vt:i4>0</vt:i4>
      </vt:variant>
      <vt:variant>
        <vt:i4>5</vt:i4>
      </vt:variant>
      <vt:variant>
        <vt:lpwstr>https://www.aph.gov.au/Parliamentary_Business/Committees/Senate/Community_Affairs/Menopause/Report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2026-03-02T03:42:00Z</dcterms:created>
  <dcterms:modified xsi:type="dcterms:W3CDTF">2026-03-02T03:46:00Z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56707a0c,484c202,43ba7d70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53b6e3d9,7a5a7c92,33647c84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2026-02-10T05:17:04Z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7af8d068-664f-4f61-8aff-ddd56755a38a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