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C6701A" w14:textId="6751AF14" w:rsidR="00B60939" w:rsidRPr="00D41179" w:rsidRDefault="00015090" w:rsidP="004A6040">
      <w:pPr>
        <w:pStyle w:val="1-MainHeading"/>
      </w:pPr>
      <w:bookmarkStart w:id="0" w:name="_Toc209001292"/>
      <w:r w:rsidRPr="00D41179">
        <w:t>6.07</w:t>
      </w:r>
      <w:r w:rsidR="00163F66" w:rsidRPr="00D41179">
        <w:tab/>
      </w:r>
      <w:r w:rsidR="0005249A" w:rsidRPr="00D41179">
        <w:t>Recombinant Zoster Vaccine</w:t>
      </w:r>
      <w:r w:rsidR="00163F66" w:rsidRPr="00D41179">
        <w:t>,</w:t>
      </w:r>
      <w:r w:rsidR="00163F66" w:rsidRPr="00D41179">
        <w:br/>
      </w:r>
      <w:r w:rsidR="003C6A96" w:rsidRPr="00D41179">
        <w:t>Powder and suspension for injection (0.5mL)</w:t>
      </w:r>
      <w:r w:rsidR="00163F66" w:rsidRPr="00D41179">
        <w:br/>
      </w:r>
      <w:r w:rsidR="00431249" w:rsidRPr="00D41179">
        <w:t>Shingrix</w:t>
      </w:r>
      <w:r w:rsidR="00B60939" w:rsidRPr="00D41179">
        <w:rPr>
          <w:vertAlign w:val="superscript"/>
        </w:rPr>
        <w:t>®</w:t>
      </w:r>
      <w:r w:rsidR="004A6040" w:rsidRPr="00D41179">
        <w:t>,</w:t>
      </w:r>
      <w:r w:rsidR="004A6040" w:rsidRPr="00D41179">
        <w:br/>
      </w:r>
      <w:r w:rsidR="00431249" w:rsidRPr="00D41179">
        <w:t>GSK Australia Pty Ltd</w:t>
      </w:r>
      <w:r w:rsidR="00B60939" w:rsidRPr="00D41179">
        <w:t>.</w:t>
      </w:r>
      <w:bookmarkEnd w:id="0"/>
      <w:r w:rsidR="00F73E08" w:rsidRPr="00D41179">
        <w:t xml:space="preserve"> </w:t>
      </w:r>
    </w:p>
    <w:p w14:paraId="11C00795" w14:textId="3DFB6D23" w:rsidR="00B50DB8" w:rsidRPr="00D41179" w:rsidRDefault="00B50DB8" w:rsidP="004A6040">
      <w:pPr>
        <w:pStyle w:val="2-SectionHeading"/>
      </w:pPr>
      <w:bookmarkStart w:id="1" w:name="_Toc209001294"/>
      <w:r w:rsidRPr="00D41179">
        <w:t xml:space="preserve">Purpose of </w:t>
      </w:r>
      <w:r w:rsidR="00CD7193" w:rsidRPr="00D41179">
        <w:t>s</w:t>
      </w:r>
      <w:r w:rsidR="00BB3A45" w:rsidRPr="00D41179">
        <w:t>ubmission</w:t>
      </w:r>
      <w:bookmarkEnd w:id="1"/>
    </w:p>
    <w:p w14:paraId="67419BC8" w14:textId="15090341" w:rsidR="00550D92" w:rsidRPr="00D41179" w:rsidRDefault="00550D92" w:rsidP="00A64F5D">
      <w:pPr>
        <w:pStyle w:val="3-BodyText"/>
        <w:numPr>
          <w:ilvl w:val="1"/>
          <w:numId w:val="10"/>
        </w:numPr>
        <w:ind w:left="709"/>
      </w:pPr>
      <w:r w:rsidRPr="00D41179">
        <w:t>The Category 2 submission requested National Immunisation Program (NIP) listing for recombinant zoster vaccine (RZV) with age eligibility criteria for non-Indigenous adults reduced from individuals aged 65 years of age (YOA) and over to individuals aged 60 YOA and over for prevention of herpes zoster (HZ) and post-herpetic neuralgia (PHN).</w:t>
      </w:r>
      <w:r w:rsidRPr="00D41179">
        <w:rPr>
          <w:color w:val="0066FF"/>
        </w:rPr>
        <w:t xml:space="preserve"> </w:t>
      </w:r>
    </w:p>
    <w:p w14:paraId="19414AA1" w14:textId="76B7F8FE" w:rsidR="002C2775" w:rsidRPr="00D41179" w:rsidRDefault="00550D92" w:rsidP="00F95319">
      <w:pPr>
        <w:pStyle w:val="3-BodyText"/>
      </w:pPr>
      <w:r w:rsidRPr="00D41179">
        <w:t xml:space="preserve">Listing was requested </w:t>
      </w:r>
      <w:proofErr w:type="gramStart"/>
      <w:r w:rsidRPr="00D41179">
        <w:t>on the basis of</w:t>
      </w:r>
      <w:proofErr w:type="gramEnd"/>
      <w:r w:rsidRPr="00D41179">
        <w:t xml:space="preserve"> a cost-effectiveness analysis versus vaccination at ≥65 years. </w:t>
      </w:r>
    </w:p>
    <w:p w14:paraId="3718DE61" w14:textId="4F97DCFB" w:rsidR="008B1757" w:rsidRPr="00D41179" w:rsidRDefault="00696EF9" w:rsidP="00ED2B74">
      <w:pPr>
        <w:pStyle w:val="Caption"/>
        <w:rPr>
          <w:rStyle w:val="CommentReference"/>
          <w:b/>
          <w:szCs w:val="24"/>
        </w:rPr>
      </w:pPr>
      <w:r w:rsidRPr="00D41179">
        <w:t>Table</w:t>
      </w:r>
      <w:r w:rsidR="00ED2B74" w:rsidRPr="00D41179">
        <w:t xml:space="preserve"> </w:t>
      </w:r>
      <w:r w:rsidRPr="00D41179">
        <w:fldChar w:fldCharType="begin"/>
      </w:r>
      <w:r w:rsidRPr="00D41179">
        <w:instrText>SEQ Table \* ARABIC</w:instrText>
      </w:r>
      <w:r w:rsidRPr="00D41179">
        <w:fldChar w:fldCharType="separate"/>
      </w:r>
      <w:r w:rsidR="00E7345C" w:rsidRPr="00D41179">
        <w:rPr>
          <w:noProof/>
        </w:rPr>
        <w:t>1</w:t>
      </w:r>
      <w:r w:rsidRPr="00D41179">
        <w:fldChar w:fldCharType="end"/>
      </w:r>
      <w:r w:rsidRPr="00D41179">
        <w:t>:</w:t>
      </w:r>
      <w:r w:rsidR="00BC591F" w:rsidRPr="00D41179">
        <w:rPr>
          <w:rStyle w:val="CommentReference"/>
          <w:b/>
          <w:szCs w:val="24"/>
        </w:rPr>
        <w:t xml:space="preserve"> </w:t>
      </w:r>
      <w:r w:rsidR="008B1757" w:rsidRPr="00D41179">
        <w:rPr>
          <w:rStyle w:val="CommentReference"/>
          <w:b/>
          <w:szCs w:val="24"/>
        </w:rPr>
        <w:t>Key components of the clinical issue addressed by the submission</w:t>
      </w:r>
      <w:r w:rsidR="007170DA" w:rsidRPr="00D41179">
        <w:rPr>
          <w:rStyle w:val="CommentReference"/>
          <w:b/>
          <w:szCs w:val="24"/>
        </w:rPr>
        <w:t xml:space="preserve"> (as stated in the 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1: Key components of the clinical issue addressed by the submission (as stated in the submission)"/>
      </w:tblPr>
      <w:tblGrid>
        <w:gridCol w:w="1666"/>
        <w:gridCol w:w="7351"/>
      </w:tblGrid>
      <w:tr w:rsidR="008B1757" w:rsidRPr="00D41179" w14:paraId="569F5103" w14:textId="77777777" w:rsidTr="002A2ADE">
        <w:trPr>
          <w:cantSplit/>
          <w:tblHeader/>
        </w:trPr>
        <w:tc>
          <w:tcPr>
            <w:tcW w:w="924" w:type="pct"/>
          </w:tcPr>
          <w:p w14:paraId="501803FB" w14:textId="77777777" w:rsidR="008B1757" w:rsidRPr="00D41179" w:rsidRDefault="008B1757" w:rsidP="00294858">
            <w:pPr>
              <w:pStyle w:val="In-tableHeading"/>
              <w:rPr>
                <w:szCs w:val="20"/>
              </w:rPr>
            </w:pPr>
            <w:r w:rsidRPr="00D41179">
              <w:t>Component</w:t>
            </w:r>
          </w:p>
        </w:tc>
        <w:tc>
          <w:tcPr>
            <w:tcW w:w="4076" w:type="pct"/>
          </w:tcPr>
          <w:p w14:paraId="445D9EBB" w14:textId="77777777" w:rsidR="008B1757" w:rsidRPr="00D41179" w:rsidRDefault="008B1757" w:rsidP="00294858">
            <w:pPr>
              <w:pStyle w:val="In-tableHeading"/>
            </w:pPr>
            <w:r w:rsidRPr="00D41179">
              <w:t>Description</w:t>
            </w:r>
          </w:p>
        </w:tc>
      </w:tr>
      <w:tr w:rsidR="008B1757" w:rsidRPr="00D41179" w14:paraId="2EB546E2" w14:textId="77777777" w:rsidTr="002A2ADE">
        <w:trPr>
          <w:cantSplit/>
        </w:trPr>
        <w:tc>
          <w:tcPr>
            <w:tcW w:w="924" w:type="pct"/>
          </w:tcPr>
          <w:p w14:paraId="38F3BB34" w14:textId="77777777" w:rsidR="008B1757" w:rsidRPr="00D41179" w:rsidRDefault="008B1757" w:rsidP="00F95692">
            <w:pPr>
              <w:pStyle w:val="TableText0"/>
            </w:pPr>
            <w:r w:rsidRPr="00D41179">
              <w:t>Population</w:t>
            </w:r>
          </w:p>
        </w:tc>
        <w:tc>
          <w:tcPr>
            <w:tcW w:w="4076" w:type="pct"/>
          </w:tcPr>
          <w:p w14:paraId="79618EEE" w14:textId="7AE1EE51" w:rsidR="00233C01" w:rsidRPr="00D41179" w:rsidRDefault="00550D92" w:rsidP="00F95692">
            <w:pPr>
              <w:pStyle w:val="TableText0"/>
              <w:rPr>
                <w:szCs w:val="20"/>
              </w:rPr>
            </w:pPr>
            <w:r w:rsidRPr="00D41179">
              <w:t>Non-Indigenous adults 60-64 y</w:t>
            </w:r>
          </w:p>
        </w:tc>
      </w:tr>
      <w:tr w:rsidR="00550D92" w:rsidRPr="00D41179" w14:paraId="0CA523AF" w14:textId="77777777">
        <w:trPr>
          <w:cantSplit/>
        </w:trPr>
        <w:tc>
          <w:tcPr>
            <w:tcW w:w="924" w:type="pct"/>
          </w:tcPr>
          <w:p w14:paraId="7B6D20D8" w14:textId="77777777" w:rsidR="00550D92" w:rsidRPr="00D41179" w:rsidRDefault="00550D92" w:rsidP="00F95692">
            <w:pPr>
              <w:pStyle w:val="TableText0"/>
            </w:pPr>
            <w:r w:rsidRPr="00D41179">
              <w:t>Intervention</w:t>
            </w:r>
          </w:p>
        </w:tc>
        <w:tc>
          <w:tcPr>
            <w:tcW w:w="4076" w:type="pct"/>
            <w:vAlign w:val="center"/>
          </w:tcPr>
          <w:p w14:paraId="2491E905" w14:textId="6A377E7D" w:rsidR="00550D92" w:rsidRPr="00D41179" w:rsidRDefault="00550D92" w:rsidP="00F95692">
            <w:pPr>
              <w:pStyle w:val="TableText0"/>
            </w:pPr>
            <w:r w:rsidRPr="00D41179">
              <w:t>RZV: 2 doses administered 2-6 months apart.</w:t>
            </w:r>
          </w:p>
        </w:tc>
      </w:tr>
      <w:tr w:rsidR="00550D92" w:rsidRPr="00D41179" w14:paraId="0F81EBE4" w14:textId="77777777" w:rsidTr="002A2ADE">
        <w:trPr>
          <w:cantSplit/>
        </w:trPr>
        <w:tc>
          <w:tcPr>
            <w:tcW w:w="924" w:type="pct"/>
          </w:tcPr>
          <w:p w14:paraId="3656B343" w14:textId="77777777" w:rsidR="00550D92" w:rsidRPr="00D41179" w:rsidRDefault="00550D92" w:rsidP="00F95692">
            <w:pPr>
              <w:pStyle w:val="TableText0"/>
            </w:pPr>
            <w:r w:rsidRPr="00D41179">
              <w:t>Comparator</w:t>
            </w:r>
          </w:p>
        </w:tc>
        <w:tc>
          <w:tcPr>
            <w:tcW w:w="4076" w:type="pct"/>
          </w:tcPr>
          <w:p w14:paraId="79DA71F6" w14:textId="0ADD7CD8" w:rsidR="00F14871" w:rsidRPr="00D41179" w:rsidRDefault="00F14871" w:rsidP="00F95692">
            <w:pPr>
              <w:pStyle w:val="TableText0"/>
              <w:rPr>
                <w:szCs w:val="20"/>
              </w:rPr>
            </w:pPr>
            <w:r w:rsidRPr="00D41179">
              <w:rPr>
                <w:szCs w:val="20"/>
              </w:rPr>
              <w:t>No vaccination from 60-64 y to inform economic comparison of delayed vaccination with RZV at 65 y (i.e., no vaccination from 60-64 YOA, followed by RZV at 65 YOA).</w:t>
            </w:r>
          </w:p>
          <w:p w14:paraId="3727DE24" w14:textId="0AFA56A2" w:rsidR="00550D92" w:rsidRPr="00D41179" w:rsidRDefault="00550D92" w:rsidP="00F95692">
            <w:pPr>
              <w:pStyle w:val="TableText0"/>
            </w:pPr>
          </w:p>
        </w:tc>
      </w:tr>
      <w:tr w:rsidR="00550D92" w:rsidRPr="00D41179" w14:paraId="02F86F0D" w14:textId="77777777" w:rsidTr="002A2ADE">
        <w:trPr>
          <w:cantSplit/>
        </w:trPr>
        <w:tc>
          <w:tcPr>
            <w:tcW w:w="924" w:type="pct"/>
          </w:tcPr>
          <w:p w14:paraId="06433105" w14:textId="77777777" w:rsidR="00550D92" w:rsidRPr="00D41179" w:rsidRDefault="00550D92" w:rsidP="00F95692">
            <w:pPr>
              <w:pStyle w:val="TableText0"/>
            </w:pPr>
            <w:r w:rsidRPr="00D41179">
              <w:t>Outcomes</w:t>
            </w:r>
          </w:p>
        </w:tc>
        <w:tc>
          <w:tcPr>
            <w:tcW w:w="4076" w:type="pct"/>
          </w:tcPr>
          <w:p w14:paraId="01A950B3" w14:textId="77777777" w:rsidR="00550D92" w:rsidRPr="00D41179" w:rsidRDefault="00550D92" w:rsidP="00550D92">
            <w:pPr>
              <w:widowControl w:val="0"/>
              <w:rPr>
                <w:rFonts w:ascii="Arial Narrow" w:hAnsi="Arial Narrow"/>
                <w:sz w:val="20"/>
                <w:szCs w:val="20"/>
                <w:u w:val="single"/>
              </w:rPr>
            </w:pPr>
            <w:r w:rsidRPr="00D41179">
              <w:rPr>
                <w:rFonts w:ascii="Arial Narrow" w:hAnsi="Arial Narrow"/>
                <w:sz w:val="20"/>
                <w:szCs w:val="20"/>
              </w:rPr>
              <w:t>Efficacy: VE vs HZ; VE vs PHN; VE vs non-PHN HZ-related complications</w:t>
            </w:r>
          </w:p>
          <w:p w14:paraId="5ABC4037" w14:textId="57898B56" w:rsidR="00550D92" w:rsidRPr="00D41179" w:rsidRDefault="00550D92" w:rsidP="00F95692">
            <w:pPr>
              <w:pStyle w:val="TableText0"/>
              <w:rPr>
                <w:rFonts w:eastAsia="Times New Roman" w:cs="Arial"/>
                <w:snapToGrid w:val="0"/>
                <w:color w:val="0066FF"/>
                <w:szCs w:val="20"/>
              </w:rPr>
            </w:pPr>
            <w:r w:rsidRPr="00D41179">
              <w:t>Safety: Solicited local and general AEs during the 7 days post vaccination; Unsolicited AEs during the 30 days post vaccination; All SAEs up until end of LTFU in ZOSTER-049</w:t>
            </w:r>
          </w:p>
        </w:tc>
      </w:tr>
      <w:tr w:rsidR="00550D92" w:rsidRPr="00D41179" w14:paraId="22223890" w14:textId="77777777" w:rsidTr="002A2ADE">
        <w:trPr>
          <w:cantSplit/>
        </w:trPr>
        <w:tc>
          <w:tcPr>
            <w:tcW w:w="924" w:type="pct"/>
          </w:tcPr>
          <w:p w14:paraId="0FC8FCE0" w14:textId="77777777" w:rsidR="00550D92" w:rsidRPr="00D41179" w:rsidRDefault="00550D92" w:rsidP="00F95692">
            <w:pPr>
              <w:pStyle w:val="TableText0"/>
            </w:pPr>
            <w:r w:rsidRPr="00D41179">
              <w:t>Clinical claim</w:t>
            </w:r>
          </w:p>
        </w:tc>
        <w:tc>
          <w:tcPr>
            <w:tcW w:w="4076" w:type="pct"/>
          </w:tcPr>
          <w:p w14:paraId="2C99C4DE" w14:textId="42EBEF50" w:rsidR="00550D92" w:rsidRPr="00D41179" w:rsidRDefault="00550D92" w:rsidP="00F95692">
            <w:pPr>
              <w:pStyle w:val="TableText0"/>
              <w:rPr>
                <w:rFonts w:eastAsia="Times New Roman" w:cs="Arial"/>
                <w:snapToGrid w:val="0"/>
                <w:color w:val="0066FF"/>
                <w:szCs w:val="20"/>
              </w:rPr>
            </w:pPr>
            <w:r w:rsidRPr="00D41179">
              <w:t>In non-Indigenous adults vaccinated at 60-64 y, RZV has superior efficacy and ‘slightly’ inferior safety when compared to no vaccination from 60-64 y. Overall, safety is comparable when vaccinated at 60-64 y compared to delayed vaccination at 65 y.</w:t>
            </w:r>
          </w:p>
        </w:tc>
      </w:tr>
    </w:tbl>
    <w:p w14:paraId="5E70A49D" w14:textId="77777777" w:rsidR="00550D92" w:rsidRPr="00D41179" w:rsidRDefault="00550D92" w:rsidP="00550D92">
      <w:pPr>
        <w:pStyle w:val="FooterTableFigure"/>
      </w:pPr>
      <w:r w:rsidRPr="00D41179">
        <w:t>Source: Table 1-1: Key components of the clinical issue addressed by the submission, p25 of the submission.</w:t>
      </w:r>
    </w:p>
    <w:p w14:paraId="22680390" w14:textId="1C3CC115" w:rsidR="00550D92" w:rsidRPr="00D41179" w:rsidRDefault="00550D92" w:rsidP="00550D92">
      <w:pPr>
        <w:pStyle w:val="FooterTableFigure"/>
      </w:pPr>
      <w:r w:rsidRPr="00D41179">
        <w:t>AE</w:t>
      </w:r>
      <w:r w:rsidR="000D0A9E" w:rsidRPr="00D41179">
        <w:t xml:space="preserve"> =</w:t>
      </w:r>
      <w:r w:rsidR="00C30D94" w:rsidRPr="00D41179">
        <w:t xml:space="preserve"> </w:t>
      </w:r>
      <w:r w:rsidRPr="00D41179">
        <w:t>adverse event; HZ</w:t>
      </w:r>
      <w:r w:rsidR="000D0A9E" w:rsidRPr="00D41179">
        <w:t xml:space="preserve"> = </w:t>
      </w:r>
      <w:r w:rsidRPr="00D41179">
        <w:t>herpes zoster (shingles), LTFU</w:t>
      </w:r>
      <w:r w:rsidR="000D0A9E" w:rsidRPr="00D41179">
        <w:t xml:space="preserve"> = </w:t>
      </w:r>
      <w:r w:rsidRPr="00D41179">
        <w:t>long term follow-up; PHN</w:t>
      </w:r>
      <w:r w:rsidR="000D0A9E" w:rsidRPr="00D41179">
        <w:t xml:space="preserve"> = </w:t>
      </w:r>
      <w:r w:rsidRPr="00D41179">
        <w:t>post-herpetic neuralgia; RZV</w:t>
      </w:r>
      <w:r w:rsidR="00A71DC2" w:rsidRPr="00D41179">
        <w:t xml:space="preserve"> = </w:t>
      </w:r>
      <w:r w:rsidRPr="00D41179">
        <w:t>recombinant zoster vaccine; SAE</w:t>
      </w:r>
      <w:r w:rsidR="00A71DC2" w:rsidRPr="00D41179">
        <w:t xml:space="preserve"> = </w:t>
      </w:r>
      <w:r w:rsidRPr="00D41179">
        <w:t>serious adverse event; VE</w:t>
      </w:r>
      <w:r w:rsidR="00A71DC2" w:rsidRPr="00D41179">
        <w:t xml:space="preserve"> =</w:t>
      </w:r>
      <w:r w:rsidRPr="00D41179">
        <w:t>vaccine efficacy, y</w:t>
      </w:r>
      <w:r w:rsidR="00A71DC2" w:rsidRPr="00D41179">
        <w:t xml:space="preserve"> = </w:t>
      </w:r>
      <w:r w:rsidRPr="00D41179">
        <w:t xml:space="preserve">year(s). </w:t>
      </w:r>
    </w:p>
    <w:p w14:paraId="6B4AB6C2" w14:textId="7F01D731" w:rsidR="005C25FF" w:rsidRPr="00D41179" w:rsidRDefault="005C25FF" w:rsidP="004A6040">
      <w:pPr>
        <w:pStyle w:val="2-SectionHeading"/>
      </w:pPr>
      <w:bookmarkStart w:id="2" w:name="_Toc209001295"/>
      <w:r w:rsidRPr="00D41179">
        <w:t>Background</w:t>
      </w:r>
      <w:bookmarkEnd w:id="2"/>
    </w:p>
    <w:p w14:paraId="2C521D6D" w14:textId="78CF03EE" w:rsidR="005C25FF" w:rsidRPr="00D41179" w:rsidRDefault="005C25FF" w:rsidP="000F1D34">
      <w:pPr>
        <w:pStyle w:val="Actual4Subsection"/>
      </w:pPr>
      <w:bookmarkStart w:id="3" w:name="_Toc22897638"/>
      <w:bookmarkStart w:id="4" w:name="_Toc209001296"/>
      <w:r w:rsidRPr="00D41179">
        <w:t>Registration status</w:t>
      </w:r>
      <w:bookmarkEnd w:id="3"/>
      <w:bookmarkEnd w:id="4"/>
    </w:p>
    <w:p w14:paraId="75905BF3" w14:textId="45532482" w:rsidR="00550D92" w:rsidRPr="00D41179" w:rsidRDefault="00550D92" w:rsidP="00F95319">
      <w:pPr>
        <w:pStyle w:val="3-BodyText"/>
      </w:pPr>
      <w:r w:rsidRPr="00D41179">
        <w:t xml:space="preserve">RZV was TGA registered on 2 </w:t>
      </w:r>
      <w:r w:rsidR="003345BB" w:rsidRPr="00D41179">
        <w:t xml:space="preserve">July </w:t>
      </w:r>
      <w:r w:rsidRPr="00D41179">
        <w:t xml:space="preserve">2018 for the prevention of HZ and PHN in adults aged </w:t>
      </w:r>
      <w:r w:rsidRPr="00D41179">
        <w:rPr>
          <w:rFonts w:cstheme="minorHAnsi"/>
        </w:rPr>
        <w:t>≥</w:t>
      </w:r>
      <w:r w:rsidRPr="00D41179">
        <w:t xml:space="preserve">50 years and extended to include adults aged </w:t>
      </w:r>
      <w:r w:rsidRPr="00D41179">
        <w:rPr>
          <w:rFonts w:cstheme="minorHAnsi"/>
        </w:rPr>
        <w:t>≥</w:t>
      </w:r>
      <w:r w:rsidRPr="00D41179">
        <w:t>18 years at increased risk of HZ on 1</w:t>
      </w:r>
      <w:r w:rsidR="005C6337" w:rsidRPr="00D41179">
        <w:t>6</w:t>
      </w:r>
      <w:r w:rsidRPr="00D41179">
        <w:t xml:space="preserve"> December 2021.</w:t>
      </w:r>
    </w:p>
    <w:p w14:paraId="3E2A6EAB" w14:textId="469C8C0C" w:rsidR="005C25FF" w:rsidRPr="00D41179" w:rsidRDefault="005C25FF" w:rsidP="000F1D34">
      <w:pPr>
        <w:pStyle w:val="Actual4Subsection"/>
      </w:pPr>
      <w:bookmarkStart w:id="5" w:name="_Toc22897639"/>
      <w:bookmarkStart w:id="6" w:name="_Toc209001297"/>
      <w:r w:rsidRPr="00D41179">
        <w:t>Previous PBAC consideration</w:t>
      </w:r>
      <w:bookmarkEnd w:id="5"/>
      <w:bookmarkEnd w:id="6"/>
    </w:p>
    <w:p w14:paraId="15BB8AF1" w14:textId="5159724D" w:rsidR="006E1887" w:rsidRPr="00D41179" w:rsidRDefault="006E1887" w:rsidP="006E1887">
      <w:pPr>
        <w:pStyle w:val="3-BodyText"/>
      </w:pPr>
      <w:r w:rsidRPr="00D41179">
        <w:t>At its March 2023 meeting, the PBAC recommended the inclusion of RZV on the NIP for the prevention of HZ and PHN for non-Indigenous individuals aged 70 years, Aboriginal and Torres Strait Islander individuals aged ≥50 years and immunocompromised individuals aged ≥18 years with specified medical conditions at high risk of HZ infection. The PBAC recommended expand</w:t>
      </w:r>
      <w:r w:rsidR="004339B5" w:rsidRPr="00D41179">
        <w:t>ing</w:t>
      </w:r>
      <w:r w:rsidRPr="00D41179">
        <w:t xml:space="preserve"> the list of specified </w:t>
      </w:r>
      <w:r w:rsidRPr="00D41179">
        <w:lastRenderedPageBreak/>
        <w:t xml:space="preserve">medical conditions at its November 2023 meeting to include several additional conditions and immunosuppressive therapies which the Australian Technical Advisory Group on Immunisation (ATAGI) considered conferred a moderate or high risk for HZ. </w:t>
      </w:r>
    </w:p>
    <w:p w14:paraId="7B7B4156" w14:textId="542F0981" w:rsidR="00550D92" w:rsidRPr="00D41179" w:rsidRDefault="00550D92" w:rsidP="00550D92">
      <w:pPr>
        <w:pStyle w:val="3-BodyText"/>
      </w:pPr>
      <w:r w:rsidRPr="00D41179">
        <w:t>At its March 2023 meeting, the PBAC did not recommend RZV for non-Indigenous individuals aged 65 to 69 years and aged ≥71 years. At its July 2023 meeting, the PBAC recommended that RZV be a designated vaccine for the purposes of the</w:t>
      </w:r>
      <w:r w:rsidRPr="00D41179">
        <w:rPr>
          <w:i/>
          <w:iCs/>
        </w:rPr>
        <w:t xml:space="preserve"> National Health Act 1953</w:t>
      </w:r>
      <w:r w:rsidRPr="00D41179">
        <w:t>, for individuals aged 65 YOA (primary program) and older (catch-up program).</w:t>
      </w:r>
    </w:p>
    <w:p w14:paraId="76E4EF3C" w14:textId="13163C2B" w:rsidR="00B60939" w:rsidRPr="00D41179" w:rsidRDefault="00B50DB8" w:rsidP="004E18E9">
      <w:pPr>
        <w:pStyle w:val="2-SectionHeading"/>
      </w:pPr>
      <w:bookmarkStart w:id="7" w:name="_Toc107902078"/>
      <w:bookmarkStart w:id="8" w:name="_Toc209001298"/>
      <w:bookmarkEnd w:id="7"/>
      <w:r w:rsidRPr="00D41179">
        <w:t>Requested listing</w:t>
      </w:r>
      <w:bookmarkEnd w:id="8"/>
    </w:p>
    <w:tbl>
      <w:tblPr>
        <w:tblStyle w:val="GridTable1Light"/>
        <w:tblW w:w="0" w:type="auto"/>
        <w:tblLook w:val="04A0" w:firstRow="1" w:lastRow="0" w:firstColumn="1" w:lastColumn="0" w:noHBand="0" w:noVBand="1"/>
        <w:tblCaption w:val="Requested listing"/>
      </w:tblPr>
      <w:tblGrid>
        <w:gridCol w:w="2541"/>
        <w:gridCol w:w="1322"/>
        <w:gridCol w:w="1514"/>
        <w:gridCol w:w="1696"/>
        <w:gridCol w:w="1944"/>
      </w:tblGrid>
      <w:tr w:rsidR="00370D54" w:rsidRPr="00D41179" w14:paraId="44510733" w14:textId="77777777" w:rsidTr="00F9569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1" w:type="dxa"/>
            <w:tcBorders>
              <w:top w:val="single" w:sz="4" w:space="0" w:color="auto"/>
              <w:left w:val="single" w:sz="4" w:space="0" w:color="auto"/>
              <w:right w:val="single" w:sz="4" w:space="0" w:color="auto"/>
            </w:tcBorders>
          </w:tcPr>
          <w:p w14:paraId="314D7873" w14:textId="4306D7AF" w:rsidR="000B1288" w:rsidRPr="00D41179" w:rsidRDefault="000B1288" w:rsidP="00F95692">
            <w:pPr>
              <w:pStyle w:val="TableText0"/>
            </w:pPr>
            <w:r w:rsidRPr="00D41179">
              <w:t>Vaccine and the circumstances in which vaccine may be provided</w:t>
            </w:r>
          </w:p>
        </w:tc>
        <w:tc>
          <w:tcPr>
            <w:tcW w:w="1322" w:type="dxa"/>
            <w:tcBorders>
              <w:top w:val="single" w:sz="4" w:space="0" w:color="auto"/>
              <w:left w:val="single" w:sz="4" w:space="0" w:color="auto"/>
              <w:right w:val="single" w:sz="4" w:space="0" w:color="auto"/>
            </w:tcBorders>
          </w:tcPr>
          <w:p w14:paraId="6BCA545A" w14:textId="3658D3A5" w:rsidR="000B1288" w:rsidRPr="00D41179" w:rsidRDefault="000B1288" w:rsidP="00F95692">
            <w:pPr>
              <w:pStyle w:val="TableText0"/>
              <w:cnfStyle w:val="100000000000" w:firstRow="1" w:lastRow="0" w:firstColumn="0" w:lastColumn="0" w:oddVBand="0" w:evenVBand="0" w:oddHBand="0" w:evenHBand="0" w:firstRowFirstColumn="0" w:firstRowLastColumn="0" w:lastRowFirstColumn="0" w:lastRowLastColumn="0"/>
            </w:pPr>
            <w:r w:rsidRPr="00D41179">
              <w:t>Proposed NNP</w:t>
            </w:r>
          </w:p>
        </w:tc>
        <w:tc>
          <w:tcPr>
            <w:tcW w:w="1514" w:type="dxa"/>
            <w:tcBorders>
              <w:top w:val="single" w:sz="4" w:space="0" w:color="auto"/>
              <w:left w:val="single" w:sz="4" w:space="0" w:color="auto"/>
              <w:right w:val="single" w:sz="4" w:space="0" w:color="auto"/>
            </w:tcBorders>
          </w:tcPr>
          <w:p w14:paraId="0412B0B1" w14:textId="0A57F7CE" w:rsidR="000B1288" w:rsidRPr="00D41179" w:rsidRDefault="000B1288" w:rsidP="00F95692">
            <w:pPr>
              <w:pStyle w:val="TableText0"/>
              <w:cnfStyle w:val="100000000000" w:firstRow="1" w:lastRow="0" w:firstColumn="0" w:lastColumn="0" w:oddVBand="0" w:evenVBand="0" w:oddHBand="0" w:evenHBand="0" w:firstRowFirstColumn="0" w:firstRowLastColumn="0" w:lastRowFirstColumn="0" w:lastRowLastColumn="0"/>
            </w:pPr>
            <w:r w:rsidRPr="00D41179">
              <w:t>Brand</w:t>
            </w:r>
          </w:p>
        </w:tc>
        <w:tc>
          <w:tcPr>
            <w:tcW w:w="1696" w:type="dxa"/>
            <w:tcBorders>
              <w:top w:val="single" w:sz="4" w:space="0" w:color="auto"/>
              <w:left w:val="single" w:sz="4" w:space="0" w:color="auto"/>
              <w:right w:val="single" w:sz="4" w:space="0" w:color="auto"/>
            </w:tcBorders>
          </w:tcPr>
          <w:p w14:paraId="5C1132C4" w14:textId="5DAD5190" w:rsidR="000B1288" w:rsidRPr="00D41179" w:rsidRDefault="000B1288" w:rsidP="00F95692">
            <w:pPr>
              <w:pStyle w:val="TableText0"/>
              <w:cnfStyle w:val="100000000000" w:firstRow="1" w:lastRow="0" w:firstColumn="0" w:lastColumn="0" w:oddVBand="0" w:evenVBand="0" w:oddHBand="0" w:evenHBand="0" w:firstRowFirstColumn="0" w:firstRowLastColumn="0" w:lastRowFirstColumn="0" w:lastRowLastColumn="0"/>
            </w:pPr>
            <w:r w:rsidRPr="00D41179">
              <w:t>Formulation</w:t>
            </w:r>
          </w:p>
        </w:tc>
        <w:tc>
          <w:tcPr>
            <w:tcW w:w="1944" w:type="dxa"/>
            <w:tcBorders>
              <w:top w:val="single" w:sz="4" w:space="0" w:color="auto"/>
              <w:left w:val="single" w:sz="4" w:space="0" w:color="auto"/>
            </w:tcBorders>
          </w:tcPr>
          <w:p w14:paraId="1AD57973" w14:textId="5C4D7C44" w:rsidR="000B1288" w:rsidRPr="00D41179" w:rsidRDefault="000B1288" w:rsidP="00F95692">
            <w:pPr>
              <w:pStyle w:val="TableText0"/>
              <w:cnfStyle w:val="100000000000" w:firstRow="1" w:lastRow="0" w:firstColumn="0" w:lastColumn="0" w:oddVBand="0" w:evenVBand="0" w:oddHBand="0" w:evenHBand="0" w:firstRowFirstColumn="0" w:firstRowLastColumn="0" w:lastRowFirstColumn="0" w:lastRowLastColumn="0"/>
            </w:pPr>
            <w:r w:rsidRPr="00D41179">
              <w:t>Number and timing of doses</w:t>
            </w:r>
          </w:p>
        </w:tc>
      </w:tr>
      <w:tr w:rsidR="00370D54" w:rsidRPr="00D41179" w14:paraId="555B73FC" w14:textId="77777777" w:rsidTr="00F95692">
        <w:tc>
          <w:tcPr>
            <w:cnfStyle w:val="001000000000" w:firstRow="0" w:lastRow="0" w:firstColumn="1" w:lastColumn="0" w:oddVBand="0" w:evenVBand="0" w:oddHBand="0" w:evenHBand="0" w:firstRowFirstColumn="0" w:firstRowLastColumn="0" w:lastRowFirstColumn="0" w:lastRowLastColumn="0"/>
            <w:tcW w:w="2541" w:type="dxa"/>
            <w:tcBorders>
              <w:left w:val="single" w:sz="4" w:space="0" w:color="auto"/>
              <w:bottom w:val="single" w:sz="4" w:space="0" w:color="auto"/>
              <w:right w:val="single" w:sz="4" w:space="0" w:color="auto"/>
            </w:tcBorders>
          </w:tcPr>
          <w:p w14:paraId="6C70A30B" w14:textId="12B78508" w:rsidR="000B1288" w:rsidRPr="00D41179" w:rsidRDefault="000B1288" w:rsidP="00F95692">
            <w:pPr>
              <w:pStyle w:val="TableText0"/>
              <w:rPr>
                <w:b w:val="0"/>
                <w:bCs w:val="0"/>
              </w:rPr>
            </w:pPr>
            <w:r w:rsidRPr="00D41179">
              <w:rPr>
                <w:b w:val="0"/>
                <w:bCs w:val="0"/>
              </w:rPr>
              <w:t>Recombinant varicella zoster virus glycoprotein E antigen (AS01</w:t>
            </w:r>
            <w:r w:rsidRPr="00D41179">
              <w:rPr>
                <w:b w:val="0"/>
                <w:bCs w:val="0"/>
                <w:vertAlign w:val="subscript"/>
              </w:rPr>
              <w:t>B</w:t>
            </w:r>
            <w:r w:rsidRPr="00D41179">
              <w:rPr>
                <w:b w:val="0"/>
                <w:bCs w:val="0"/>
              </w:rPr>
              <w:t xml:space="preserve"> Adjuvanted) vaccine</w:t>
            </w:r>
          </w:p>
        </w:tc>
        <w:tc>
          <w:tcPr>
            <w:tcW w:w="1322" w:type="dxa"/>
            <w:tcBorders>
              <w:left w:val="single" w:sz="4" w:space="0" w:color="auto"/>
              <w:bottom w:val="single" w:sz="4" w:space="0" w:color="auto"/>
              <w:right w:val="single" w:sz="4" w:space="0" w:color="auto"/>
            </w:tcBorders>
          </w:tcPr>
          <w:p w14:paraId="46A7B1B2" w14:textId="64BBA1DC" w:rsidR="000B1288" w:rsidRPr="00D41179" w:rsidRDefault="000B1288" w:rsidP="00F95692">
            <w:pPr>
              <w:pStyle w:val="TableText0"/>
              <w:cnfStyle w:val="000000000000" w:firstRow="0" w:lastRow="0" w:firstColumn="0" w:lastColumn="0" w:oddVBand="0" w:evenVBand="0" w:oddHBand="0" w:evenHBand="0" w:firstRowFirstColumn="0" w:firstRowLastColumn="0" w:lastRowFirstColumn="0" w:lastRowLastColumn="0"/>
            </w:pPr>
            <w:r w:rsidRPr="00D41179">
              <w:t>$</w:t>
            </w:r>
            <w:r w:rsidR="000E1EB2" w:rsidRPr="000E1EB2">
              <w:rPr>
                <w:sz w:val="2"/>
                <w:highlight w:val="black"/>
              </w:rPr>
              <w:t>redacted content</w:t>
            </w:r>
          </w:p>
        </w:tc>
        <w:tc>
          <w:tcPr>
            <w:tcW w:w="1514" w:type="dxa"/>
            <w:tcBorders>
              <w:left w:val="single" w:sz="4" w:space="0" w:color="auto"/>
              <w:bottom w:val="single" w:sz="4" w:space="0" w:color="auto"/>
              <w:right w:val="single" w:sz="4" w:space="0" w:color="auto"/>
            </w:tcBorders>
          </w:tcPr>
          <w:p w14:paraId="382BCFA3" w14:textId="2C7CB139" w:rsidR="000B1288" w:rsidRPr="00D41179" w:rsidRDefault="000B1288" w:rsidP="00F95692">
            <w:pPr>
              <w:pStyle w:val="TableText0"/>
              <w:cnfStyle w:val="000000000000" w:firstRow="0" w:lastRow="0" w:firstColumn="0" w:lastColumn="0" w:oddVBand="0" w:evenVBand="0" w:oddHBand="0" w:evenHBand="0" w:firstRowFirstColumn="0" w:firstRowLastColumn="0" w:lastRowFirstColumn="0" w:lastRowLastColumn="0"/>
            </w:pPr>
            <w:r w:rsidRPr="00D41179">
              <w:t>Shingrix</w:t>
            </w:r>
          </w:p>
        </w:tc>
        <w:tc>
          <w:tcPr>
            <w:tcW w:w="1696" w:type="dxa"/>
            <w:tcBorders>
              <w:left w:val="single" w:sz="4" w:space="0" w:color="auto"/>
              <w:bottom w:val="single" w:sz="4" w:space="0" w:color="auto"/>
              <w:right w:val="single" w:sz="4" w:space="0" w:color="auto"/>
            </w:tcBorders>
          </w:tcPr>
          <w:p w14:paraId="03C976C3" w14:textId="5CD7A12D" w:rsidR="000B1288" w:rsidRPr="00D41179" w:rsidRDefault="00D15672" w:rsidP="00F95692">
            <w:pPr>
              <w:pStyle w:val="TableText0"/>
              <w:cnfStyle w:val="000000000000" w:firstRow="0" w:lastRow="0" w:firstColumn="0" w:lastColumn="0" w:oddVBand="0" w:evenVBand="0" w:oddHBand="0" w:evenHBand="0" w:firstRowFirstColumn="0" w:firstRowLastColumn="0" w:lastRowFirstColumn="0" w:lastRowLastColumn="0"/>
            </w:pPr>
            <w:r w:rsidRPr="00D41179">
              <w:t>P</w:t>
            </w:r>
            <w:r w:rsidR="000B1288" w:rsidRPr="00D41179">
              <w:t>owder and suspension for injection, 0.5 mL</w:t>
            </w:r>
          </w:p>
        </w:tc>
        <w:tc>
          <w:tcPr>
            <w:tcW w:w="1944" w:type="dxa"/>
            <w:tcBorders>
              <w:left w:val="single" w:sz="4" w:space="0" w:color="auto"/>
            </w:tcBorders>
          </w:tcPr>
          <w:p w14:paraId="1FA00143" w14:textId="77777777" w:rsidR="000B1288" w:rsidRPr="00D41179" w:rsidRDefault="000B1288" w:rsidP="00F95692">
            <w:pPr>
              <w:pStyle w:val="TableText0"/>
              <w:cnfStyle w:val="000000000000" w:firstRow="0" w:lastRow="0" w:firstColumn="0" w:lastColumn="0" w:oddVBand="0" w:evenVBand="0" w:oddHBand="0" w:evenHBand="0" w:firstRowFirstColumn="0" w:firstRowLastColumn="0" w:lastRowFirstColumn="0" w:lastRowLastColumn="0"/>
            </w:pPr>
            <w:r w:rsidRPr="00D41179">
              <w:t xml:space="preserve">a. Two primary doses 2 to 6 months apart </w:t>
            </w:r>
          </w:p>
          <w:p w14:paraId="7FEE51F1" w14:textId="77777777" w:rsidR="00D15672" w:rsidRPr="00D41179" w:rsidRDefault="00D15672" w:rsidP="00F95692">
            <w:pPr>
              <w:pStyle w:val="TableText0"/>
              <w:cnfStyle w:val="000000000000" w:firstRow="0" w:lastRow="0" w:firstColumn="0" w:lastColumn="0" w:oddVBand="0" w:evenVBand="0" w:oddHBand="0" w:evenHBand="0" w:firstRowFirstColumn="0" w:firstRowLastColumn="0" w:lastRowFirstColumn="0" w:lastRowLastColumn="0"/>
            </w:pPr>
          </w:p>
          <w:p w14:paraId="62DDC272" w14:textId="67B40345" w:rsidR="000B1288" w:rsidRPr="00D41179" w:rsidRDefault="000B1288" w:rsidP="00F95692">
            <w:pPr>
              <w:pStyle w:val="TableText0"/>
              <w:cnfStyle w:val="000000000000" w:firstRow="0" w:lastRow="0" w:firstColumn="0" w:lastColumn="0" w:oddVBand="0" w:evenVBand="0" w:oddHBand="0" w:evenHBand="0" w:firstRowFirstColumn="0" w:firstRowLastColumn="0" w:lastRowFirstColumn="0" w:lastRowLastColumn="0"/>
            </w:pPr>
            <w:r w:rsidRPr="00D41179">
              <w:t xml:space="preserve">b. For subjects who are immunodeficient, immunosuppressed or likely to become immunosuppressed due to known disease or therapy, two primary doses can be given 1 to 2 months apart </w:t>
            </w:r>
          </w:p>
        </w:tc>
      </w:tr>
      <w:tr w:rsidR="00370D54" w:rsidRPr="00D41179" w14:paraId="4C312CB6" w14:textId="77777777" w:rsidTr="00F95692">
        <w:tc>
          <w:tcPr>
            <w:cnfStyle w:val="001000000000" w:firstRow="0" w:lastRow="0" w:firstColumn="1" w:lastColumn="0" w:oddVBand="0" w:evenVBand="0" w:oddHBand="0" w:evenHBand="0" w:firstRowFirstColumn="0" w:firstRowLastColumn="0" w:lastRowFirstColumn="0" w:lastRowLastColumn="0"/>
            <w:tcW w:w="9017" w:type="dxa"/>
            <w:gridSpan w:val="5"/>
            <w:tcBorders>
              <w:top w:val="single" w:sz="4" w:space="0" w:color="auto"/>
              <w:left w:val="single" w:sz="4" w:space="0" w:color="auto"/>
              <w:bottom w:val="single" w:sz="4" w:space="0" w:color="auto"/>
            </w:tcBorders>
          </w:tcPr>
          <w:p w14:paraId="129490B3" w14:textId="2725B3BE" w:rsidR="000B1288" w:rsidRPr="00D41179" w:rsidRDefault="000B1288" w:rsidP="00F95692">
            <w:pPr>
              <w:pStyle w:val="TableText0"/>
              <w:rPr>
                <w:b w:val="0"/>
                <w:bCs w:val="0"/>
              </w:rPr>
            </w:pPr>
            <w:r w:rsidRPr="00D41179">
              <w:rPr>
                <w:b w:val="0"/>
                <w:bCs w:val="0"/>
              </w:rPr>
              <w:t xml:space="preserve">Circumstances </w:t>
            </w:r>
          </w:p>
          <w:p w14:paraId="42A599D5" w14:textId="2E587530" w:rsidR="000B1288" w:rsidRPr="00D41179" w:rsidRDefault="000B1288" w:rsidP="00F95692">
            <w:pPr>
              <w:pStyle w:val="TableText0"/>
              <w:rPr>
                <w:b w:val="0"/>
                <w:bCs w:val="0"/>
              </w:rPr>
            </w:pPr>
            <w:r w:rsidRPr="00D41179">
              <w:rPr>
                <w:b w:val="0"/>
                <w:bCs w:val="0"/>
              </w:rPr>
              <w:t xml:space="preserve">Vaccine may be provided to a person who: </w:t>
            </w:r>
          </w:p>
          <w:p w14:paraId="6C609F6B" w14:textId="1AD7F560" w:rsidR="000B1288" w:rsidRPr="00D41179" w:rsidRDefault="000B1288" w:rsidP="00F95692">
            <w:pPr>
              <w:pStyle w:val="TableText0"/>
              <w:rPr>
                <w:b w:val="0"/>
                <w:bCs w:val="0"/>
              </w:rPr>
            </w:pPr>
            <w:r w:rsidRPr="00D41179">
              <w:rPr>
                <w:b w:val="0"/>
                <w:bCs w:val="0"/>
              </w:rPr>
              <w:t xml:space="preserve">(a) is at least 60 years of age; or </w:t>
            </w:r>
          </w:p>
          <w:p w14:paraId="24F72D01" w14:textId="77777777" w:rsidR="000B1288" w:rsidRPr="00D41179" w:rsidRDefault="000B1288" w:rsidP="00F95692">
            <w:pPr>
              <w:pStyle w:val="TableText0"/>
              <w:rPr>
                <w:b w:val="0"/>
                <w:bCs w:val="0"/>
              </w:rPr>
            </w:pPr>
            <w:r w:rsidRPr="00D41179">
              <w:rPr>
                <w:b w:val="0"/>
                <w:bCs w:val="0"/>
              </w:rPr>
              <w:t xml:space="preserve">b) is an Aboriginal and Torres Strait Islander individual who is at least 50 years of age; or </w:t>
            </w:r>
          </w:p>
          <w:p w14:paraId="54FA6D53" w14:textId="6A39AB38" w:rsidR="000B1288" w:rsidRPr="00D41179" w:rsidRDefault="000B1288" w:rsidP="00F95692">
            <w:pPr>
              <w:pStyle w:val="TableText0"/>
            </w:pPr>
            <w:r w:rsidRPr="00D41179">
              <w:rPr>
                <w:b w:val="0"/>
                <w:bCs w:val="0"/>
              </w:rPr>
              <w:t>(c) is at least 18 years of age and considered at increased risk of herpes zoster, due to an underlying condition and/or immunomodulatory/immunosuppressive treatments as specified.</w:t>
            </w:r>
          </w:p>
        </w:tc>
      </w:tr>
    </w:tbl>
    <w:p w14:paraId="5509552E" w14:textId="6C2FBEBF" w:rsidR="00FA7E8E" w:rsidRPr="00D41179" w:rsidRDefault="00D15672" w:rsidP="00F95692">
      <w:pPr>
        <w:pStyle w:val="TableText0"/>
      </w:pPr>
      <w:r w:rsidRPr="00D41179">
        <w:t>NNP = nationally negotiated price</w:t>
      </w:r>
    </w:p>
    <w:p w14:paraId="6FD50B0A" w14:textId="6D2086BC" w:rsidR="00550D92" w:rsidRPr="00D41179" w:rsidRDefault="00550D92" w:rsidP="00D15672">
      <w:pPr>
        <w:pStyle w:val="3-BodyText"/>
      </w:pPr>
      <w:r w:rsidRPr="00D41179">
        <w:t>The submission propose</w:t>
      </w:r>
      <w:r w:rsidR="00DF6E46" w:rsidRPr="00D41179">
        <w:t>d an</w:t>
      </w:r>
      <w:r w:rsidRPr="00D41179">
        <w:t xml:space="preserve"> amendment to the current NIP listing for RZV in non-Indigenous adults aged ≥65 years, to lower the minimum age to 60 years. The listing would be otherwise unchanged.</w:t>
      </w:r>
    </w:p>
    <w:p w14:paraId="30B482CF" w14:textId="3BFE96F4" w:rsidR="005375A0" w:rsidRPr="00D41179" w:rsidRDefault="00130798" w:rsidP="00D15672">
      <w:pPr>
        <w:pStyle w:val="3-BodyText"/>
      </w:pPr>
      <w:r w:rsidRPr="00D41179">
        <w:t>I</w:t>
      </w:r>
      <w:r w:rsidR="00E17FD0" w:rsidRPr="00D41179">
        <w:t xml:space="preserve">ndividuals aged 60-64 YOA </w:t>
      </w:r>
      <w:r w:rsidR="00633839" w:rsidRPr="00D41179">
        <w:t>who are considered at moderate to severe risk of HZ</w:t>
      </w:r>
      <w:r w:rsidR="00367657" w:rsidRPr="00D41179">
        <w:t>, due to an underlying immunocompromising condition and/or immunomodulatory/</w:t>
      </w:r>
      <w:r w:rsidR="005725EE" w:rsidRPr="00D41179">
        <w:t xml:space="preserve"> </w:t>
      </w:r>
      <w:r w:rsidR="00367657" w:rsidRPr="00D41179">
        <w:t xml:space="preserve">immunosuppressive treatments </w:t>
      </w:r>
      <w:r w:rsidR="003B04B0" w:rsidRPr="00D41179">
        <w:t xml:space="preserve">currently </w:t>
      </w:r>
      <w:r w:rsidR="00367657" w:rsidRPr="00D41179">
        <w:t>qualify for RZV on the NIP</w:t>
      </w:r>
      <w:r w:rsidR="003B2F1A" w:rsidRPr="00D41179">
        <w:t>.</w:t>
      </w:r>
    </w:p>
    <w:p w14:paraId="5C146758" w14:textId="12D4FB3C" w:rsidR="00A95396" w:rsidRPr="00D41179" w:rsidRDefault="00A95396" w:rsidP="00A95396">
      <w:pPr>
        <w:pStyle w:val="3-BodyText"/>
        <w:numPr>
          <w:ilvl w:val="0"/>
          <w:numId w:val="0"/>
        </w:numPr>
        <w:ind w:firstLine="720"/>
        <w:rPr>
          <w:i/>
          <w:iCs/>
        </w:rPr>
      </w:pPr>
      <w:r w:rsidRPr="00D41179">
        <w:rPr>
          <w:i/>
          <w:iCs/>
        </w:rPr>
        <w:t>For more detail on PBAC’s view, see section 7 PBAC outcome.</w:t>
      </w:r>
    </w:p>
    <w:p w14:paraId="7075B85C" w14:textId="62A47B7B" w:rsidR="00B50DB8" w:rsidRPr="00D41179" w:rsidDel="00195452" w:rsidRDefault="00203181" w:rsidP="004E18E9">
      <w:pPr>
        <w:pStyle w:val="2-SectionHeading"/>
      </w:pPr>
      <w:bookmarkStart w:id="9" w:name="_Toc209001299"/>
      <w:r w:rsidRPr="00D41179" w:rsidDel="00195452">
        <w:t xml:space="preserve">Population and </w:t>
      </w:r>
      <w:r w:rsidR="008E0D3C" w:rsidRPr="00D41179" w:rsidDel="00195452">
        <w:t>d</w:t>
      </w:r>
      <w:r w:rsidRPr="00D41179" w:rsidDel="00195452">
        <w:t>isease</w:t>
      </w:r>
      <w:bookmarkEnd w:id="9"/>
    </w:p>
    <w:p w14:paraId="02183A47" w14:textId="77777777" w:rsidR="00255F4A" w:rsidRPr="00D41179" w:rsidRDefault="00255F4A" w:rsidP="00255F4A">
      <w:pPr>
        <w:pStyle w:val="3-BodyText"/>
      </w:pPr>
      <w:r w:rsidRPr="00D41179">
        <w:t xml:space="preserve">Infection in humans with varicella zoster virus (VZV) causes varicella (chickenpox). After primary infection, the virus becomes latent in nerve ganglia of the head and neck. Reactivation of the latent infection in later life causes HZ, or shingles, a localised, painful, vesicular skin rash characterised by vesicles distributed along a single </w:t>
      </w:r>
      <w:r w:rsidRPr="00D41179">
        <w:lastRenderedPageBreak/>
        <w:t>dermatome. The rash is usually accompanied by acute, severe, and disabling pain typically lasting 10 – 15 days, causing interference with daily activities and scarring in many individuals. In Australia, HZ is a notifiable disease.</w:t>
      </w:r>
    </w:p>
    <w:p w14:paraId="3A266E67" w14:textId="149AC64A" w:rsidR="00255F4A" w:rsidRPr="00D41179" w:rsidRDefault="00255F4A" w:rsidP="00255F4A">
      <w:pPr>
        <w:pStyle w:val="3-BodyText"/>
      </w:pPr>
      <w:r w:rsidRPr="00D41179">
        <w:t>The Australian Immunisation Handbook (AIH) states the lifetime risk of HZ for people who live to 80 YOA is around 50% (AIH 2025</w:t>
      </w:r>
      <w:r w:rsidR="006C5D4B" w:rsidRPr="00D41179">
        <w:rPr>
          <w:rStyle w:val="FootnoteReference"/>
        </w:rPr>
        <w:footnoteReference w:id="1"/>
      </w:r>
      <w:r w:rsidRPr="00D41179">
        <w:t>). Older adults are particularly susceptible, and the risk of HZ and its complications increases with age as VZV-specific immune response declines. Two-thirds of HZ cases occur in individuals ≥50 years (Kawai et al, 2014</w:t>
      </w:r>
      <w:r w:rsidR="001045B8" w:rsidRPr="00D41179">
        <w:rPr>
          <w:rStyle w:val="FootnoteReference"/>
        </w:rPr>
        <w:footnoteReference w:id="2"/>
      </w:r>
      <w:r w:rsidRPr="00D41179">
        <w:t>; MacIntyre et al, 2015</w:t>
      </w:r>
      <w:r w:rsidR="00DD2335" w:rsidRPr="00D41179">
        <w:rPr>
          <w:rStyle w:val="FootnoteReference"/>
        </w:rPr>
        <w:footnoteReference w:id="3"/>
      </w:r>
      <w:r w:rsidRPr="00D41179">
        <w:t>; Sheel et al, 2018</w:t>
      </w:r>
      <w:r w:rsidR="00F00B14" w:rsidRPr="00D41179">
        <w:rPr>
          <w:rStyle w:val="FootnoteReference"/>
        </w:rPr>
        <w:footnoteReference w:id="4"/>
      </w:r>
      <w:r w:rsidRPr="00D41179">
        <w:t xml:space="preserve">). Based on ATAGI advice, the submission proposed an </w:t>
      </w:r>
      <w:r w:rsidR="00D85EB7" w:rsidRPr="00D41179">
        <w:t xml:space="preserve">annual </w:t>
      </w:r>
      <w:r w:rsidRPr="00D41179">
        <w:t xml:space="preserve">HZ </w:t>
      </w:r>
      <w:r w:rsidR="00D85EB7" w:rsidRPr="00D41179">
        <w:t xml:space="preserve">incidence </w:t>
      </w:r>
      <w:r w:rsidRPr="00D41179">
        <w:t>rate in the 60-64 year cohort of 1.08% (a mean of 1.26% [from MacIntyre et al, 2015, adjusted for age] and 0.89% [from Qian et al, 2022</w:t>
      </w:r>
      <w:r w:rsidR="00DC0581" w:rsidRPr="00D41179">
        <w:rPr>
          <w:rStyle w:val="FootnoteReference"/>
        </w:rPr>
        <w:footnoteReference w:id="5"/>
      </w:r>
      <w:r w:rsidRPr="00D41179">
        <w:t>]).</w:t>
      </w:r>
    </w:p>
    <w:p w14:paraId="2CD87E93" w14:textId="577FD05D" w:rsidR="00255F4A" w:rsidRPr="00D41179" w:rsidRDefault="00255F4A" w:rsidP="00255F4A">
      <w:pPr>
        <w:pStyle w:val="3-BodyText"/>
      </w:pPr>
      <w:r w:rsidRPr="00D41179">
        <w:t>HZ is associated with complications that occur more often in older adults (≥50 years), with incidence and severity increasing according to age. The most common HZ-associated complication is PHN, which can be defined as chronic neuropathic pain persisting for at least three months after rash onset (AIH 2025; Stein et al, 2009</w:t>
      </w:r>
      <w:r w:rsidR="0005173E" w:rsidRPr="00D41179">
        <w:rPr>
          <w:rStyle w:val="FootnoteReference"/>
        </w:rPr>
        <w:footnoteReference w:id="6"/>
      </w:r>
      <w:r w:rsidRPr="00D41179">
        <w:t xml:space="preserve">). An Australian study reported rates of PHN of 15% in adults 50-69 years and 26% in adults ≥80 years (MacIntyre et al, 2015). Other less common complications depend on the site of VZV reactivation and can include conditions such as keratitis, pneumonia or rarely, disseminated HZ. </w:t>
      </w:r>
    </w:p>
    <w:p w14:paraId="087C88AD" w14:textId="320C8812" w:rsidR="00255F4A" w:rsidRPr="00D41179" w:rsidRDefault="00255F4A" w:rsidP="00255F4A">
      <w:pPr>
        <w:pStyle w:val="3-BodyText"/>
      </w:pPr>
      <w:r w:rsidRPr="00D41179">
        <w:t>The proposed lowering of the age eligibility for non-Indigenous adults to ≥60 years would bring forward doses that would otherwise be administered at 65 years.</w:t>
      </w:r>
      <w:r w:rsidR="00D41179" w:rsidRPr="00D41179">
        <w:t xml:space="preserve"> </w:t>
      </w:r>
      <w:r w:rsidR="00884C02" w:rsidRPr="00D41179">
        <w:t>T</w:t>
      </w:r>
      <w:r w:rsidRPr="00D41179">
        <w:t xml:space="preserve">he need for a booster dose remains unknown due to uncertain waning (administration of a booster dose is not currently TGA-approved for RZV). This could increase adverse outcomes in adults over 70 </w:t>
      </w:r>
      <w:r w:rsidR="00734E0A" w:rsidRPr="00D41179">
        <w:t xml:space="preserve">YOA </w:t>
      </w:r>
      <w:r w:rsidRPr="00D41179">
        <w:t xml:space="preserve">with worse consequences than for the same events </w:t>
      </w:r>
      <w:r w:rsidRPr="00D41179">
        <w:lastRenderedPageBreak/>
        <w:t>occurring in the target 60-64 YOA cohort due to pushing back an at-risk period after vaccination waning.</w:t>
      </w:r>
    </w:p>
    <w:p w14:paraId="51E5AE96" w14:textId="136A63B1" w:rsidR="00B50DB8" w:rsidRPr="00D41179" w:rsidRDefault="00B50DB8" w:rsidP="004E18E9">
      <w:pPr>
        <w:pStyle w:val="2-SectionHeading"/>
      </w:pPr>
      <w:bookmarkStart w:id="10" w:name="_Toc209001300"/>
      <w:r w:rsidRPr="00D41179">
        <w:t>Comparator</w:t>
      </w:r>
      <w:bookmarkEnd w:id="10"/>
    </w:p>
    <w:p w14:paraId="47D9B48A" w14:textId="62F31AEA" w:rsidR="002C2775" w:rsidRPr="00D41179" w:rsidRDefault="00255F4A" w:rsidP="00F95319">
      <w:pPr>
        <w:pStyle w:val="3-BodyText"/>
      </w:pPr>
      <w:r w:rsidRPr="00D41179">
        <w:t xml:space="preserve">The submission nominated RZV vaccination at </w:t>
      </w:r>
      <w:r w:rsidRPr="00D41179">
        <w:rPr>
          <w:rFonts w:cstheme="minorHAnsi"/>
        </w:rPr>
        <w:t>≥</w:t>
      </w:r>
      <w:r w:rsidRPr="00D41179">
        <w:t xml:space="preserve">65 years as the comparator. There are no alternative vaccines for HZ. </w:t>
      </w:r>
      <w:r w:rsidR="001B2DC3" w:rsidRPr="00D41179">
        <w:t>The live zoster vaccine was</w:t>
      </w:r>
      <w:r w:rsidRPr="00D41179">
        <w:t xml:space="preserve"> removed from the NIP (31 October 2023) and the Australian Register of Therapeutic Goods (December 2024). </w:t>
      </w:r>
    </w:p>
    <w:p w14:paraId="7F9C27C8" w14:textId="77777777" w:rsidR="00223D5A" w:rsidRPr="00D41179" w:rsidRDefault="00223D5A" w:rsidP="00223D5A">
      <w:pPr>
        <w:pStyle w:val="2-SectionHeading"/>
        <w:numPr>
          <w:ilvl w:val="0"/>
          <w:numId w:val="1"/>
        </w:numPr>
      </w:pPr>
      <w:bookmarkStart w:id="11" w:name="_Toc209001301"/>
      <w:bookmarkStart w:id="12" w:name="_Toc22897640"/>
      <w:r w:rsidRPr="00D41179">
        <w:t>Consideration of the evidence</w:t>
      </w:r>
      <w:bookmarkEnd w:id="11"/>
    </w:p>
    <w:p w14:paraId="10747500" w14:textId="77777777" w:rsidR="00EC4962" w:rsidRPr="00D41179" w:rsidRDefault="00EC4962" w:rsidP="00465B67">
      <w:pPr>
        <w:pStyle w:val="Actual4Subsection"/>
      </w:pPr>
      <w:bookmarkStart w:id="13" w:name="_Toc209001302"/>
      <w:r w:rsidRPr="00D41179">
        <w:t>Sponsor hearing</w:t>
      </w:r>
    </w:p>
    <w:p w14:paraId="5EB94076" w14:textId="64CA353C" w:rsidR="00EC4962" w:rsidRPr="00D41179" w:rsidRDefault="00EC4962" w:rsidP="00EC4962">
      <w:pPr>
        <w:widowControl w:val="0"/>
        <w:numPr>
          <w:ilvl w:val="1"/>
          <w:numId w:val="1"/>
        </w:numPr>
        <w:spacing w:after="120"/>
        <w:rPr>
          <w:rFonts w:asciiTheme="minorHAnsi" w:hAnsiTheme="minorHAnsi"/>
          <w:snapToGrid w:val="0"/>
        </w:rPr>
      </w:pPr>
      <w:bookmarkStart w:id="14" w:name="_Hlk76382586"/>
      <w:r w:rsidRPr="00D41179">
        <w:rPr>
          <w:rFonts w:asciiTheme="minorHAnsi" w:hAnsiTheme="minorHAnsi"/>
          <w:bCs/>
          <w:snapToGrid w:val="0"/>
        </w:rPr>
        <w:t xml:space="preserve">The sponsor requested a hearing for this item. The clinician </w:t>
      </w:r>
      <w:r w:rsidR="00D40197" w:rsidRPr="00D41179">
        <w:rPr>
          <w:rFonts w:asciiTheme="minorHAnsi" w:hAnsiTheme="minorHAnsi"/>
          <w:bCs/>
          <w:snapToGrid w:val="0"/>
        </w:rPr>
        <w:t>noted protecting individuals aged 60 to 64 years of age was just as important as protecting individuals 65 to 69 years of age as the burden of HZ and PHN was similar.</w:t>
      </w:r>
      <w:r w:rsidR="00D41179" w:rsidRPr="00D41179">
        <w:rPr>
          <w:rFonts w:asciiTheme="minorHAnsi" w:hAnsiTheme="minorHAnsi"/>
          <w:bCs/>
          <w:snapToGrid w:val="0"/>
        </w:rPr>
        <w:t xml:space="preserve"> </w:t>
      </w:r>
      <w:r w:rsidR="00D75E8B" w:rsidRPr="00D41179">
        <w:rPr>
          <w:rFonts w:asciiTheme="minorHAnsi" w:hAnsiTheme="minorHAnsi"/>
          <w:bCs/>
          <w:snapToGrid w:val="0"/>
        </w:rPr>
        <w:t xml:space="preserve">The clinician </w:t>
      </w:r>
      <w:r w:rsidR="005C184F" w:rsidRPr="00D41179">
        <w:rPr>
          <w:rFonts w:asciiTheme="minorHAnsi" w:hAnsiTheme="minorHAnsi"/>
          <w:bCs/>
          <w:snapToGrid w:val="0"/>
        </w:rPr>
        <w:t xml:space="preserve">outlined the design and results of the </w:t>
      </w:r>
      <w:r w:rsidR="00D75E8B" w:rsidRPr="00D41179">
        <w:rPr>
          <w:rFonts w:asciiTheme="minorHAnsi" w:hAnsiTheme="minorHAnsi"/>
          <w:bCs/>
          <w:snapToGrid w:val="0"/>
        </w:rPr>
        <w:t xml:space="preserve">ZOSTER-049 </w:t>
      </w:r>
      <w:r w:rsidR="005C184F" w:rsidRPr="00D41179">
        <w:rPr>
          <w:rFonts w:asciiTheme="minorHAnsi" w:hAnsiTheme="minorHAnsi"/>
          <w:bCs/>
          <w:snapToGrid w:val="0"/>
        </w:rPr>
        <w:t>study</w:t>
      </w:r>
      <w:r w:rsidR="00403869" w:rsidRPr="00D41179">
        <w:rPr>
          <w:rFonts w:asciiTheme="minorHAnsi" w:hAnsiTheme="minorHAnsi"/>
          <w:bCs/>
          <w:snapToGrid w:val="0"/>
        </w:rPr>
        <w:t xml:space="preserve"> and</w:t>
      </w:r>
      <w:r w:rsidR="002900EF" w:rsidRPr="00D41179">
        <w:rPr>
          <w:rFonts w:asciiTheme="minorHAnsi" w:hAnsiTheme="minorHAnsi"/>
          <w:bCs/>
          <w:snapToGrid w:val="0"/>
        </w:rPr>
        <w:t xml:space="preserve"> emphasised the strength of the evidence regarding long term protection, </w:t>
      </w:r>
      <w:r w:rsidR="005C184F" w:rsidRPr="00D41179">
        <w:rPr>
          <w:rFonts w:asciiTheme="minorHAnsi" w:hAnsiTheme="minorHAnsi"/>
          <w:bCs/>
          <w:snapToGrid w:val="0"/>
        </w:rPr>
        <w:t>not</w:t>
      </w:r>
      <w:r w:rsidR="002900EF" w:rsidRPr="00D41179">
        <w:rPr>
          <w:rFonts w:asciiTheme="minorHAnsi" w:hAnsiTheme="minorHAnsi"/>
          <w:bCs/>
          <w:snapToGrid w:val="0"/>
        </w:rPr>
        <w:t xml:space="preserve">ing </w:t>
      </w:r>
      <w:r w:rsidR="005C184F" w:rsidRPr="00D41179">
        <w:rPr>
          <w:rFonts w:asciiTheme="minorHAnsi" w:hAnsiTheme="minorHAnsi"/>
          <w:bCs/>
          <w:snapToGrid w:val="0"/>
        </w:rPr>
        <w:t>the use of historical controls likely biased against R</w:t>
      </w:r>
      <w:r w:rsidR="005725EE" w:rsidRPr="00D41179">
        <w:rPr>
          <w:rFonts w:asciiTheme="minorHAnsi" w:hAnsiTheme="minorHAnsi"/>
          <w:bCs/>
          <w:snapToGrid w:val="0"/>
        </w:rPr>
        <w:t>Z</w:t>
      </w:r>
      <w:r w:rsidR="005C184F" w:rsidRPr="00D41179">
        <w:rPr>
          <w:rFonts w:asciiTheme="minorHAnsi" w:hAnsiTheme="minorHAnsi"/>
          <w:bCs/>
          <w:snapToGrid w:val="0"/>
        </w:rPr>
        <w:t>V</w:t>
      </w:r>
      <w:r w:rsidR="003335E9" w:rsidRPr="00D41179">
        <w:rPr>
          <w:rFonts w:asciiTheme="minorHAnsi" w:hAnsiTheme="minorHAnsi"/>
          <w:bCs/>
          <w:snapToGrid w:val="0"/>
        </w:rPr>
        <w:t xml:space="preserve"> as it did not account for increasing age. The clinician considered the immunogenicity data supported the robustness of the </w:t>
      </w:r>
      <w:r w:rsidR="00CB3297" w:rsidRPr="00D41179">
        <w:rPr>
          <w:rFonts w:asciiTheme="minorHAnsi" w:hAnsiTheme="minorHAnsi"/>
          <w:bCs/>
          <w:snapToGrid w:val="0"/>
        </w:rPr>
        <w:t>results of the ZOSTER-049 study.</w:t>
      </w:r>
      <w:r w:rsidR="00D41179" w:rsidRPr="00D41179">
        <w:rPr>
          <w:rFonts w:asciiTheme="minorHAnsi" w:hAnsiTheme="minorHAnsi"/>
          <w:bCs/>
          <w:snapToGrid w:val="0"/>
        </w:rPr>
        <w:t xml:space="preserve"> </w:t>
      </w:r>
    </w:p>
    <w:bookmarkEnd w:id="14"/>
    <w:p w14:paraId="690AB26C" w14:textId="77777777" w:rsidR="00EC4962" w:rsidRPr="00D41179" w:rsidRDefault="00EC4962" w:rsidP="00465B67">
      <w:pPr>
        <w:pStyle w:val="Actual4Subsection"/>
      </w:pPr>
      <w:r w:rsidRPr="00D41179">
        <w:t>Consumer inputs</w:t>
      </w:r>
    </w:p>
    <w:p w14:paraId="691B22EC" w14:textId="13E3021B" w:rsidR="00C02FC2" w:rsidRPr="00D41179" w:rsidRDefault="007F5057" w:rsidP="00675EA9">
      <w:pPr>
        <w:widowControl w:val="0"/>
        <w:numPr>
          <w:ilvl w:val="1"/>
          <w:numId w:val="1"/>
        </w:numPr>
        <w:spacing w:after="120"/>
        <w:rPr>
          <w:rFonts w:asciiTheme="minorHAnsi" w:hAnsiTheme="minorHAnsi"/>
          <w:snapToGrid w:val="0"/>
        </w:rPr>
      </w:pPr>
      <w:r w:rsidRPr="00D41179">
        <w:rPr>
          <w:rFonts w:asciiTheme="minorHAnsi" w:hAnsiTheme="minorHAnsi"/>
          <w:snapToGrid w:val="0"/>
        </w:rPr>
        <w:t xml:space="preserve">The PBAC noted and welcomed the input from health care professionals (5), </w:t>
      </w:r>
      <w:r w:rsidR="00891C07" w:rsidRPr="00D41179">
        <w:rPr>
          <w:rFonts w:asciiTheme="minorHAnsi" w:hAnsiTheme="minorHAnsi"/>
          <w:snapToGrid w:val="0"/>
        </w:rPr>
        <w:t>medical</w:t>
      </w:r>
      <w:r w:rsidRPr="00D41179">
        <w:rPr>
          <w:rFonts w:asciiTheme="minorHAnsi" w:hAnsiTheme="minorHAnsi"/>
          <w:snapToGrid w:val="0"/>
        </w:rPr>
        <w:t xml:space="preserve"> organisations (3), consumer groups (7) and individuals (2) for this item. </w:t>
      </w:r>
    </w:p>
    <w:p w14:paraId="6BE7B49B" w14:textId="76558613" w:rsidR="00C02FC2" w:rsidRPr="00D41179" w:rsidRDefault="00030B28">
      <w:pPr>
        <w:widowControl w:val="0"/>
        <w:numPr>
          <w:ilvl w:val="1"/>
          <w:numId w:val="1"/>
        </w:numPr>
        <w:spacing w:after="120"/>
        <w:rPr>
          <w:rFonts w:asciiTheme="minorHAnsi" w:hAnsiTheme="minorHAnsi"/>
          <w:snapToGrid w:val="0"/>
        </w:rPr>
      </w:pPr>
      <w:r w:rsidRPr="00D41179">
        <w:rPr>
          <w:rFonts w:asciiTheme="minorHAnsi" w:hAnsiTheme="minorHAnsi"/>
          <w:snapToGrid w:val="0"/>
        </w:rPr>
        <w:t xml:space="preserve">All health practitioner and health care professional inputs were supportive of broader subsidised access to RZV. </w:t>
      </w:r>
      <w:r w:rsidR="00891C07" w:rsidRPr="00D41179">
        <w:rPr>
          <w:rFonts w:asciiTheme="minorHAnsi" w:hAnsiTheme="minorHAnsi"/>
          <w:snapToGrid w:val="0"/>
        </w:rPr>
        <w:t xml:space="preserve">Comments from health care professionals and medical organisations noted </w:t>
      </w:r>
      <w:r w:rsidR="00AB455C" w:rsidRPr="00D41179">
        <w:rPr>
          <w:rFonts w:asciiTheme="minorHAnsi" w:hAnsiTheme="minorHAnsi"/>
          <w:snapToGrid w:val="0"/>
        </w:rPr>
        <w:t>the increased risk of HZ infection and associated morbidity</w:t>
      </w:r>
      <w:r w:rsidR="007A3452" w:rsidRPr="00D41179">
        <w:rPr>
          <w:rFonts w:asciiTheme="minorHAnsi" w:hAnsiTheme="minorHAnsi"/>
          <w:snapToGrid w:val="0"/>
        </w:rPr>
        <w:t xml:space="preserve"> outcomes</w:t>
      </w:r>
      <w:r w:rsidR="00AB455C" w:rsidRPr="00D41179">
        <w:rPr>
          <w:rFonts w:asciiTheme="minorHAnsi" w:hAnsiTheme="minorHAnsi"/>
          <w:snapToGrid w:val="0"/>
        </w:rPr>
        <w:t xml:space="preserve"> </w:t>
      </w:r>
      <w:r w:rsidR="008C3719" w:rsidRPr="00D41179">
        <w:rPr>
          <w:rFonts w:asciiTheme="minorHAnsi" w:hAnsiTheme="minorHAnsi"/>
          <w:snapToGrid w:val="0"/>
        </w:rPr>
        <w:t>with increasing age</w:t>
      </w:r>
      <w:r w:rsidR="00092789" w:rsidRPr="00D41179">
        <w:rPr>
          <w:rFonts w:asciiTheme="minorHAnsi" w:hAnsiTheme="minorHAnsi"/>
          <w:snapToGrid w:val="0"/>
        </w:rPr>
        <w:t xml:space="preserve">, </w:t>
      </w:r>
      <w:r w:rsidR="003532C7" w:rsidRPr="00D41179">
        <w:rPr>
          <w:rFonts w:asciiTheme="minorHAnsi" w:hAnsiTheme="minorHAnsi"/>
          <w:snapToGrid w:val="0"/>
        </w:rPr>
        <w:t xml:space="preserve">and the </w:t>
      </w:r>
      <w:r w:rsidR="00092789" w:rsidRPr="00D41179">
        <w:rPr>
          <w:rFonts w:asciiTheme="minorHAnsi" w:hAnsiTheme="minorHAnsi"/>
          <w:snapToGrid w:val="0"/>
        </w:rPr>
        <w:t>health system resource utilisation</w:t>
      </w:r>
      <w:r w:rsidR="004909E1" w:rsidRPr="00D41179">
        <w:rPr>
          <w:rFonts w:asciiTheme="minorHAnsi" w:hAnsiTheme="minorHAnsi"/>
          <w:snapToGrid w:val="0"/>
        </w:rPr>
        <w:t xml:space="preserve"> associated with managing morbidity outcomes</w:t>
      </w:r>
      <w:r w:rsidR="00A75E4F" w:rsidRPr="00D41179">
        <w:rPr>
          <w:rFonts w:asciiTheme="minorHAnsi" w:hAnsiTheme="minorHAnsi"/>
          <w:snapToGrid w:val="0"/>
        </w:rPr>
        <w:t xml:space="preserve"> which may be prevented where broader RZV access were available</w:t>
      </w:r>
      <w:r w:rsidR="00954C68" w:rsidRPr="00D41179">
        <w:rPr>
          <w:rFonts w:asciiTheme="minorHAnsi" w:hAnsiTheme="minorHAnsi"/>
          <w:snapToGrid w:val="0"/>
        </w:rPr>
        <w:t xml:space="preserve">. Medical organisations also emphasised </w:t>
      </w:r>
      <w:r w:rsidR="008C3719" w:rsidRPr="00D41179">
        <w:rPr>
          <w:rFonts w:asciiTheme="minorHAnsi" w:hAnsiTheme="minorHAnsi"/>
          <w:snapToGrid w:val="0"/>
        </w:rPr>
        <w:t xml:space="preserve">importance of RZV utilisation </w:t>
      </w:r>
      <w:r w:rsidR="00507824" w:rsidRPr="00D41179">
        <w:rPr>
          <w:rFonts w:asciiTheme="minorHAnsi" w:hAnsiTheme="minorHAnsi"/>
          <w:snapToGrid w:val="0"/>
        </w:rPr>
        <w:t>as preventative care and</w:t>
      </w:r>
      <w:r w:rsidR="008C3719" w:rsidRPr="00D41179">
        <w:rPr>
          <w:rFonts w:asciiTheme="minorHAnsi" w:hAnsiTheme="minorHAnsi"/>
          <w:snapToGrid w:val="0"/>
        </w:rPr>
        <w:t xml:space="preserve"> </w:t>
      </w:r>
      <w:r w:rsidR="00DB032D" w:rsidRPr="00D41179">
        <w:rPr>
          <w:rFonts w:asciiTheme="minorHAnsi" w:hAnsiTheme="minorHAnsi"/>
          <w:snapToGrid w:val="0"/>
        </w:rPr>
        <w:t>mitigating risk of HZ infection</w:t>
      </w:r>
      <w:r w:rsidR="003868B2" w:rsidRPr="00D41179">
        <w:rPr>
          <w:rFonts w:asciiTheme="minorHAnsi" w:hAnsiTheme="minorHAnsi"/>
          <w:snapToGrid w:val="0"/>
        </w:rPr>
        <w:t xml:space="preserve"> and </w:t>
      </w:r>
      <w:r w:rsidR="00FF5731" w:rsidRPr="00D41179">
        <w:rPr>
          <w:rFonts w:asciiTheme="minorHAnsi" w:hAnsiTheme="minorHAnsi"/>
          <w:snapToGrid w:val="0"/>
        </w:rPr>
        <w:t xml:space="preserve">consequential long-term </w:t>
      </w:r>
      <w:r w:rsidR="005E3DD1" w:rsidRPr="00D41179">
        <w:rPr>
          <w:rFonts w:asciiTheme="minorHAnsi" w:hAnsiTheme="minorHAnsi"/>
          <w:snapToGrid w:val="0"/>
        </w:rPr>
        <w:t>patient health</w:t>
      </w:r>
      <w:r w:rsidR="00092789" w:rsidRPr="00D41179">
        <w:rPr>
          <w:rFonts w:asciiTheme="minorHAnsi" w:hAnsiTheme="minorHAnsi"/>
          <w:snapToGrid w:val="0"/>
        </w:rPr>
        <w:t xml:space="preserve"> complications</w:t>
      </w:r>
      <w:r w:rsidR="007955A3" w:rsidRPr="00D41179">
        <w:rPr>
          <w:rFonts w:asciiTheme="minorHAnsi" w:hAnsiTheme="minorHAnsi"/>
          <w:snapToGrid w:val="0"/>
        </w:rPr>
        <w:t xml:space="preserve"> including neuropathic pain</w:t>
      </w:r>
      <w:r w:rsidR="00092789" w:rsidRPr="00D41179">
        <w:rPr>
          <w:rFonts w:asciiTheme="minorHAnsi" w:hAnsiTheme="minorHAnsi"/>
          <w:snapToGrid w:val="0"/>
        </w:rPr>
        <w:t xml:space="preserve">. </w:t>
      </w:r>
    </w:p>
    <w:p w14:paraId="0ECDD2CA" w14:textId="72508F8E" w:rsidR="00BE7740" w:rsidRPr="00D41179" w:rsidRDefault="00D7459B" w:rsidP="00BE7740">
      <w:pPr>
        <w:widowControl w:val="0"/>
        <w:numPr>
          <w:ilvl w:val="1"/>
          <w:numId w:val="1"/>
        </w:numPr>
        <w:spacing w:after="120"/>
        <w:rPr>
          <w:rFonts w:asciiTheme="minorHAnsi" w:hAnsiTheme="minorHAnsi"/>
          <w:snapToGrid w:val="0"/>
        </w:rPr>
      </w:pPr>
      <w:r w:rsidRPr="00D41179">
        <w:rPr>
          <w:rFonts w:asciiTheme="minorHAnsi" w:hAnsiTheme="minorHAnsi"/>
          <w:snapToGrid w:val="0"/>
        </w:rPr>
        <w:t xml:space="preserve">Comments from consumer groups and individuals </w:t>
      </w:r>
      <w:r w:rsidR="00030B28" w:rsidRPr="00D41179">
        <w:rPr>
          <w:rFonts w:asciiTheme="minorHAnsi" w:hAnsiTheme="minorHAnsi"/>
          <w:snapToGrid w:val="0"/>
        </w:rPr>
        <w:t xml:space="preserve">also </w:t>
      </w:r>
      <w:r w:rsidR="00F82083" w:rsidRPr="00D41179">
        <w:rPr>
          <w:rFonts w:asciiTheme="minorHAnsi" w:hAnsiTheme="minorHAnsi"/>
          <w:snapToGrid w:val="0"/>
        </w:rPr>
        <w:t xml:space="preserve">supported the </w:t>
      </w:r>
      <w:r w:rsidR="00A17BC2" w:rsidRPr="00D41179">
        <w:rPr>
          <w:rFonts w:asciiTheme="minorHAnsi" w:hAnsiTheme="minorHAnsi"/>
          <w:snapToGrid w:val="0"/>
        </w:rPr>
        <w:t xml:space="preserve">expansion of </w:t>
      </w:r>
      <w:r w:rsidR="00814AAA" w:rsidRPr="00D41179">
        <w:rPr>
          <w:rFonts w:asciiTheme="minorHAnsi" w:hAnsiTheme="minorHAnsi"/>
          <w:snapToGrid w:val="0"/>
        </w:rPr>
        <w:t xml:space="preserve">the eligible </w:t>
      </w:r>
      <w:r w:rsidR="002B54DB" w:rsidRPr="00D41179">
        <w:rPr>
          <w:rFonts w:asciiTheme="minorHAnsi" w:hAnsiTheme="minorHAnsi"/>
          <w:snapToGrid w:val="0"/>
        </w:rPr>
        <w:t>population</w:t>
      </w:r>
      <w:r w:rsidR="0029617E" w:rsidRPr="00D41179">
        <w:rPr>
          <w:rFonts w:asciiTheme="minorHAnsi" w:hAnsiTheme="minorHAnsi"/>
          <w:snapToGrid w:val="0"/>
        </w:rPr>
        <w:t xml:space="preserve"> </w:t>
      </w:r>
      <w:r w:rsidR="004B65DB" w:rsidRPr="00D41179">
        <w:rPr>
          <w:rFonts w:asciiTheme="minorHAnsi" w:hAnsiTheme="minorHAnsi"/>
          <w:snapToGrid w:val="0"/>
        </w:rPr>
        <w:t xml:space="preserve">that can access subsidised </w:t>
      </w:r>
      <w:r w:rsidR="0029617E" w:rsidRPr="00D41179">
        <w:rPr>
          <w:rFonts w:asciiTheme="minorHAnsi" w:hAnsiTheme="minorHAnsi"/>
          <w:snapToGrid w:val="0"/>
        </w:rPr>
        <w:t xml:space="preserve">RZV. Comments </w:t>
      </w:r>
      <w:r w:rsidR="00EF3857" w:rsidRPr="00D41179">
        <w:rPr>
          <w:rFonts w:asciiTheme="minorHAnsi" w:hAnsiTheme="minorHAnsi"/>
          <w:snapToGrid w:val="0"/>
        </w:rPr>
        <w:t xml:space="preserve">from </w:t>
      </w:r>
      <w:r w:rsidR="00593B6B" w:rsidRPr="00D41179">
        <w:rPr>
          <w:rFonts w:asciiTheme="minorHAnsi" w:hAnsiTheme="minorHAnsi"/>
          <w:snapToGrid w:val="0"/>
        </w:rPr>
        <w:t>Lung Foundation Australia</w:t>
      </w:r>
      <w:r w:rsidR="006E0529" w:rsidRPr="00D41179">
        <w:rPr>
          <w:rFonts w:asciiTheme="minorHAnsi" w:hAnsiTheme="minorHAnsi"/>
          <w:snapToGrid w:val="0"/>
        </w:rPr>
        <w:t xml:space="preserve"> </w:t>
      </w:r>
      <w:r w:rsidR="0029617E" w:rsidRPr="00D41179">
        <w:rPr>
          <w:rFonts w:asciiTheme="minorHAnsi" w:hAnsiTheme="minorHAnsi"/>
          <w:snapToGrid w:val="0"/>
        </w:rPr>
        <w:t xml:space="preserve">noted the </w:t>
      </w:r>
      <w:r w:rsidR="0070522E" w:rsidRPr="00D41179">
        <w:rPr>
          <w:rFonts w:asciiTheme="minorHAnsi" w:hAnsiTheme="minorHAnsi"/>
          <w:snapToGrid w:val="0"/>
        </w:rPr>
        <w:t>improvements in quality of life</w:t>
      </w:r>
      <w:r w:rsidR="00E67CDF" w:rsidRPr="00D41179">
        <w:rPr>
          <w:rFonts w:asciiTheme="minorHAnsi" w:hAnsiTheme="minorHAnsi"/>
          <w:snapToGrid w:val="0"/>
        </w:rPr>
        <w:t>, productivity benefits (citing ABS labour force data that 64% of people aged 60-64 were active participants in the workforce)</w:t>
      </w:r>
      <w:r w:rsidR="0026092A" w:rsidRPr="00D41179">
        <w:rPr>
          <w:rFonts w:asciiTheme="minorHAnsi" w:hAnsiTheme="minorHAnsi"/>
          <w:snapToGrid w:val="0"/>
        </w:rPr>
        <w:t xml:space="preserve"> and alleviation of </w:t>
      </w:r>
      <w:r w:rsidR="008503EC" w:rsidRPr="00D41179">
        <w:rPr>
          <w:rFonts w:asciiTheme="minorHAnsi" w:hAnsiTheme="minorHAnsi"/>
          <w:snapToGrid w:val="0"/>
        </w:rPr>
        <w:t>significant</w:t>
      </w:r>
      <w:r w:rsidR="001633B3" w:rsidRPr="00D41179">
        <w:rPr>
          <w:rFonts w:asciiTheme="minorHAnsi" w:hAnsiTheme="minorHAnsi"/>
          <w:snapToGrid w:val="0"/>
        </w:rPr>
        <w:t xml:space="preserve"> direct</w:t>
      </w:r>
      <w:r w:rsidR="008503EC" w:rsidRPr="00D41179">
        <w:rPr>
          <w:rFonts w:asciiTheme="minorHAnsi" w:hAnsiTheme="minorHAnsi"/>
          <w:snapToGrid w:val="0"/>
        </w:rPr>
        <w:t xml:space="preserve"> </w:t>
      </w:r>
      <w:r w:rsidR="0026092A" w:rsidRPr="00D41179">
        <w:rPr>
          <w:rFonts w:asciiTheme="minorHAnsi" w:hAnsiTheme="minorHAnsi"/>
          <w:snapToGrid w:val="0"/>
        </w:rPr>
        <w:t xml:space="preserve">cost burdens </w:t>
      </w:r>
      <w:r w:rsidR="00637DA0" w:rsidRPr="00D41179">
        <w:rPr>
          <w:rFonts w:asciiTheme="minorHAnsi" w:hAnsiTheme="minorHAnsi"/>
          <w:snapToGrid w:val="0"/>
        </w:rPr>
        <w:t>for individual patients</w:t>
      </w:r>
      <w:r w:rsidR="00301A79" w:rsidRPr="00D41179">
        <w:rPr>
          <w:rFonts w:asciiTheme="minorHAnsi" w:hAnsiTheme="minorHAnsi"/>
          <w:snapToGrid w:val="0"/>
        </w:rPr>
        <w:t xml:space="preserve">. </w:t>
      </w:r>
      <w:proofErr w:type="spellStart"/>
      <w:r w:rsidR="00301A79" w:rsidRPr="00D41179">
        <w:rPr>
          <w:rFonts w:asciiTheme="minorHAnsi" w:hAnsiTheme="minorHAnsi"/>
          <w:snapToGrid w:val="0"/>
        </w:rPr>
        <w:t>PainAustralia</w:t>
      </w:r>
      <w:proofErr w:type="spellEnd"/>
      <w:r w:rsidR="00301A79" w:rsidRPr="00D41179">
        <w:rPr>
          <w:rFonts w:asciiTheme="minorHAnsi" w:hAnsiTheme="minorHAnsi"/>
          <w:snapToGrid w:val="0"/>
        </w:rPr>
        <w:t xml:space="preserve"> and </w:t>
      </w:r>
      <w:r w:rsidR="005609AB" w:rsidRPr="00D41179">
        <w:rPr>
          <w:rFonts w:asciiTheme="minorHAnsi" w:hAnsiTheme="minorHAnsi"/>
          <w:snapToGrid w:val="0"/>
        </w:rPr>
        <w:t>the Country Women’s Association of NSW</w:t>
      </w:r>
      <w:r w:rsidR="00994AB2" w:rsidRPr="00D41179">
        <w:rPr>
          <w:rFonts w:asciiTheme="minorHAnsi" w:hAnsiTheme="minorHAnsi"/>
          <w:snapToGrid w:val="0"/>
        </w:rPr>
        <w:t xml:space="preserve"> </w:t>
      </w:r>
      <w:r w:rsidR="00773FD0" w:rsidRPr="00D41179">
        <w:rPr>
          <w:rFonts w:asciiTheme="minorHAnsi" w:hAnsiTheme="minorHAnsi"/>
          <w:snapToGrid w:val="0"/>
        </w:rPr>
        <w:t xml:space="preserve">(CWANSW) </w:t>
      </w:r>
      <w:r w:rsidR="00994AB2" w:rsidRPr="00D41179">
        <w:rPr>
          <w:rFonts w:asciiTheme="minorHAnsi" w:hAnsiTheme="minorHAnsi"/>
          <w:snapToGrid w:val="0"/>
        </w:rPr>
        <w:t>noted the indirect health system and</w:t>
      </w:r>
      <w:r w:rsidR="001633B3" w:rsidRPr="00D41179">
        <w:rPr>
          <w:rFonts w:asciiTheme="minorHAnsi" w:hAnsiTheme="minorHAnsi"/>
          <w:snapToGrid w:val="0"/>
        </w:rPr>
        <w:t xml:space="preserve"> </w:t>
      </w:r>
      <w:r w:rsidR="00040356" w:rsidRPr="00D41179">
        <w:rPr>
          <w:rFonts w:asciiTheme="minorHAnsi" w:hAnsiTheme="minorHAnsi"/>
          <w:snapToGrid w:val="0"/>
        </w:rPr>
        <w:t>carer costs</w:t>
      </w:r>
      <w:r w:rsidR="00994AB2" w:rsidRPr="00D41179">
        <w:rPr>
          <w:rFonts w:asciiTheme="minorHAnsi" w:hAnsiTheme="minorHAnsi"/>
          <w:snapToGrid w:val="0"/>
        </w:rPr>
        <w:t xml:space="preserve"> associated with </w:t>
      </w:r>
      <w:r w:rsidR="00CF4A4E" w:rsidRPr="00D41179">
        <w:rPr>
          <w:rFonts w:asciiTheme="minorHAnsi" w:hAnsiTheme="minorHAnsi"/>
          <w:snapToGrid w:val="0"/>
        </w:rPr>
        <w:t xml:space="preserve">HZ infection, especially where access to </w:t>
      </w:r>
      <w:r w:rsidR="000602BF" w:rsidRPr="00D41179">
        <w:rPr>
          <w:rFonts w:asciiTheme="minorHAnsi" w:hAnsiTheme="minorHAnsi"/>
          <w:snapToGrid w:val="0"/>
        </w:rPr>
        <w:t>primary healthcare</w:t>
      </w:r>
      <w:r w:rsidR="00CF4A4E" w:rsidRPr="00D41179">
        <w:rPr>
          <w:rFonts w:asciiTheme="minorHAnsi" w:hAnsiTheme="minorHAnsi"/>
          <w:snapToGrid w:val="0"/>
        </w:rPr>
        <w:t xml:space="preserve"> and treatment is already limited</w:t>
      </w:r>
      <w:r w:rsidR="000667AE" w:rsidRPr="00D41179">
        <w:rPr>
          <w:rFonts w:asciiTheme="minorHAnsi" w:hAnsiTheme="minorHAnsi"/>
          <w:snapToGrid w:val="0"/>
        </w:rPr>
        <w:t xml:space="preserve"> by geography and health practitioner availability</w:t>
      </w:r>
      <w:r w:rsidR="00554F76" w:rsidRPr="00D41179">
        <w:rPr>
          <w:rFonts w:asciiTheme="minorHAnsi" w:hAnsiTheme="minorHAnsi"/>
          <w:snapToGrid w:val="0"/>
        </w:rPr>
        <w:t xml:space="preserve">, as is the case in rural and regional areas. </w:t>
      </w:r>
    </w:p>
    <w:p w14:paraId="21CDC56F" w14:textId="2A1C08C6" w:rsidR="00C63F12" w:rsidRPr="00D41179" w:rsidRDefault="00055B69">
      <w:pPr>
        <w:widowControl w:val="0"/>
        <w:numPr>
          <w:ilvl w:val="1"/>
          <w:numId w:val="1"/>
        </w:numPr>
        <w:spacing w:after="120"/>
        <w:rPr>
          <w:rFonts w:asciiTheme="minorHAnsi" w:hAnsiTheme="minorHAnsi"/>
          <w:i/>
          <w:iCs/>
          <w:snapToGrid w:val="0"/>
        </w:rPr>
      </w:pPr>
      <w:r w:rsidRPr="00D41179">
        <w:rPr>
          <w:rFonts w:asciiTheme="minorHAnsi" w:hAnsiTheme="minorHAnsi"/>
          <w:snapToGrid w:val="0"/>
        </w:rPr>
        <w:lastRenderedPageBreak/>
        <w:t>C</w:t>
      </w:r>
      <w:r w:rsidR="004B65DB" w:rsidRPr="00D41179">
        <w:rPr>
          <w:rFonts w:asciiTheme="minorHAnsi" w:hAnsiTheme="minorHAnsi"/>
          <w:snapToGrid w:val="0"/>
        </w:rPr>
        <w:t xml:space="preserve">onsumer groups </w:t>
      </w:r>
      <w:r w:rsidRPr="00D41179">
        <w:rPr>
          <w:rFonts w:asciiTheme="minorHAnsi" w:hAnsiTheme="minorHAnsi"/>
          <w:snapToGrid w:val="0"/>
        </w:rPr>
        <w:t xml:space="preserve">with a particular </w:t>
      </w:r>
      <w:r w:rsidR="0088472D" w:rsidRPr="00D41179">
        <w:rPr>
          <w:rFonts w:asciiTheme="minorHAnsi" w:hAnsiTheme="minorHAnsi"/>
          <w:snapToGrid w:val="0"/>
        </w:rPr>
        <w:t xml:space="preserve">advocacy </w:t>
      </w:r>
      <w:r w:rsidRPr="00D41179">
        <w:rPr>
          <w:rFonts w:asciiTheme="minorHAnsi" w:hAnsiTheme="minorHAnsi"/>
          <w:snapToGrid w:val="0"/>
        </w:rPr>
        <w:t xml:space="preserve">focus on </w:t>
      </w:r>
      <w:r w:rsidR="005D5E2C" w:rsidRPr="00D41179">
        <w:rPr>
          <w:rFonts w:asciiTheme="minorHAnsi" w:hAnsiTheme="minorHAnsi"/>
          <w:snapToGrid w:val="0"/>
        </w:rPr>
        <w:t>clinical</w:t>
      </w:r>
      <w:r w:rsidR="004B65DB" w:rsidRPr="00D41179">
        <w:rPr>
          <w:rFonts w:asciiTheme="minorHAnsi" w:hAnsiTheme="minorHAnsi"/>
          <w:snapToGrid w:val="0"/>
        </w:rPr>
        <w:t xml:space="preserve"> </w:t>
      </w:r>
      <w:r w:rsidR="00F31A65" w:rsidRPr="00D41179">
        <w:rPr>
          <w:rFonts w:asciiTheme="minorHAnsi" w:hAnsiTheme="minorHAnsi"/>
          <w:snapToGrid w:val="0"/>
        </w:rPr>
        <w:t>condition</w:t>
      </w:r>
      <w:r w:rsidR="005D5E2C" w:rsidRPr="00D41179">
        <w:rPr>
          <w:rFonts w:asciiTheme="minorHAnsi" w:hAnsiTheme="minorHAnsi"/>
          <w:snapToGrid w:val="0"/>
        </w:rPr>
        <w:t>s</w:t>
      </w:r>
      <w:r w:rsidR="00FC715F" w:rsidRPr="00D41179">
        <w:rPr>
          <w:rFonts w:asciiTheme="minorHAnsi" w:hAnsiTheme="minorHAnsi"/>
          <w:snapToGrid w:val="0"/>
        </w:rPr>
        <w:t xml:space="preserve"> which </w:t>
      </w:r>
      <w:r w:rsidR="0088472D" w:rsidRPr="00D41179">
        <w:rPr>
          <w:rFonts w:asciiTheme="minorHAnsi" w:hAnsiTheme="minorHAnsi"/>
          <w:snapToGrid w:val="0"/>
        </w:rPr>
        <w:t>can present additional risk</w:t>
      </w:r>
      <w:r w:rsidR="00573968" w:rsidRPr="00D41179">
        <w:rPr>
          <w:rFonts w:asciiTheme="minorHAnsi" w:hAnsiTheme="minorHAnsi"/>
          <w:snapToGrid w:val="0"/>
        </w:rPr>
        <w:t xml:space="preserve"> factors</w:t>
      </w:r>
      <w:r w:rsidR="00F31A65" w:rsidRPr="00D41179">
        <w:rPr>
          <w:rFonts w:asciiTheme="minorHAnsi" w:hAnsiTheme="minorHAnsi"/>
          <w:snapToGrid w:val="0"/>
        </w:rPr>
        <w:t xml:space="preserve"> (Lung Foundation, Cro</w:t>
      </w:r>
      <w:r w:rsidR="00F43457" w:rsidRPr="00D41179">
        <w:rPr>
          <w:rFonts w:asciiTheme="minorHAnsi" w:hAnsiTheme="minorHAnsi"/>
          <w:snapToGrid w:val="0"/>
        </w:rPr>
        <w:t>h</w:t>
      </w:r>
      <w:r w:rsidR="00F31A65" w:rsidRPr="00D41179">
        <w:rPr>
          <w:rFonts w:asciiTheme="minorHAnsi" w:hAnsiTheme="minorHAnsi"/>
          <w:snapToGrid w:val="0"/>
        </w:rPr>
        <w:t xml:space="preserve">n’s and Colitis </w:t>
      </w:r>
      <w:r w:rsidR="005D5E2C" w:rsidRPr="00D41179">
        <w:rPr>
          <w:rFonts w:asciiTheme="minorHAnsi" w:hAnsiTheme="minorHAnsi"/>
          <w:snapToGrid w:val="0"/>
        </w:rPr>
        <w:t>Australia</w:t>
      </w:r>
      <w:r w:rsidR="001C4B9C" w:rsidRPr="00D41179">
        <w:rPr>
          <w:rFonts w:asciiTheme="minorHAnsi" w:hAnsiTheme="minorHAnsi"/>
          <w:snapToGrid w:val="0"/>
        </w:rPr>
        <w:t xml:space="preserve"> (CCA)</w:t>
      </w:r>
      <w:r w:rsidR="005D5E2C" w:rsidRPr="00D41179">
        <w:rPr>
          <w:rFonts w:asciiTheme="minorHAnsi" w:hAnsiTheme="minorHAnsi"/>
          <w:snapToGrid w:val="0"/>
        </w:rPr>
        <w:t>, Spleen Australia</w:t>
      </w:r>
      <w:r w:rsidR="00FC715F" w:rsidRPr="00D41179">
        <w:rPr>
          <w:rFonts w:asciiTheme="minorHAnsi" w:hAnsiTheme="minorHAnsi"/>
          <w:snapToGrid w:val="0"/>
        </w:rPr>
        <w:t>, Kidney Health Australia</w:t>
      </w:r>
      <w:r w:rsidR="0088472D" w:rsidRPr="00D41179">
        <w:rPr>
          <w:rFonts w:asciiTheme="minorHAnsi" w:hAnsiTheme="minorHAnsi"/>
          <w:snapToGrid w:val="0"/>
        </w:rPr>
        <w:t xml:space="preserve">, Hearts4heart) </w:t>
      </w:r>
      <w:r w:rsidR="00B42A3C" w:rsidRPr="00D41179">
        <w:rPr>
          <w:rFonts w:asciiTheme="minorHAnsi" w:hAnsiTheme="minorHAnsi"/>
          <w:snapToGrid w:val="0"/>
        </w:rPr>
        <w:t xml:space="preserve">noted the additional morbidity and/or mortality risks associated with </w:t>
      </w:r>
      <w:r w:rsidR="00142526" w:rsidRPr="00D41179">
        <w:rPr>
          <w:rFonts w:asciiTheme="minorHAnsi" w:hAnsiTheme="minorHAnsi"/>
          <w:snapToGrid w:val="0"/>
        </w:rPr>
        <w:t>HZ infections</w:t>
      </w:r>
      <w:r w:rsidR="0099473F" w:rsidRPr="00D41179">
        <w:rPr>
          <w:rFonts w:asciiTheme="minorHAnsi" w:hAnsiTheme="minorHAnsi"/>
          <w:snapToGrid w:val="0"/>
        </w:rPr>
        <w:t xml:space="preserve"> for particular subpopulations that have chronic medical conditions, </w:t>
      </w:r>
      <w:r w:rsidR="00AB4CF5" w:rsidRPr="00D41179">
        <w:rPr>
          <w:rFonts w:asciiTheme="minorHAnsi" w:hAnsiTheme="minorHAnsi"/>
          <w:snapToGrid w:val="0"/>
        </w:rPr>
        <w:t>including but not limited to</w:t>
      </w:r>
      <w:r w:rsidR="0099473F" w:rsidRPr="00D41179">
        <w:rPr>
          <w:rFonts w:asciiTheme="minorHAnsi" w:hAnsiTheme="minorHAnsi"/>
          <w:snapToGrid w:val="0"/>
        </w:rPr>
        <w:t xml:space="preserve"> chronic</w:t>
      </w:r>
      <w:r w:rsidR="00E96959" w:rsidRPr="00D41179">
        <w:rPr>
          <w:rFonts w:asciiTheme="minorHAnsi" w:hAnsiTheme="minorHAnsi"/>
          <w:snapToGrid w:val="0"/>
        </w:rPr>
        <w:t xml:space="preserve"> obstructive pulmonary disease </w:t>
      </w:r>
      <w:r w:rsidR="00D03BF4" w:rsidRPr="00D41179">
        <w:rPr>
          <w:rFonts w:asciiTheme="minorHAnsi" w:hAnsiTheme="minorHAnsi"/>
          <w:snapToGrid w:val="0"/>
        </w:rPr>
        <w:t xml:space="preserve">, </w:t>
      </w:r>
      <w:r w:rsidR="00BE7740" w:rsidRPr="00D41179">
        <w:rPr>
          <w:rFonts w:asciiTheme="minorHAnsi" w:hAnsiTheme="minorHAnsi"/>
          <w:snapToGrid w:val="0"/>
        </w:rPr>
        <w:t>Chronic Kidney Disease</w:t>
      </w:r>
      <w:r w:rsidR="00D41179" w:rsidRPr="00D41179">
        <w:rPr>
          <w:rFonts w:asciiTheme="minorHAnsi" w:hAnsiTheme="minorHAnsi"/>
          <w:snapToGrid w:val="0"/>
        </w:rPr>
        <w:t xml:space="preserve"> </w:t>
      </w:r>
      <w:r w:rsidR="00D03BF4" w:rsidRPr="00D41179">
        <w:rPr>
          <w:rFonts w:asciiTheme="minorHAnsi" w:hAnsiTheme="minorHAnsi"/>
          <w:snapToGrid w:val="0"/>
        </w:rPr>
        <w:t>and Inflammatory Bowel Disease</w:t>
      </w:r>
      <w:r w:rsidR="00733379" w:rsidRPr="00D41179">
        <w:rPr>
          <w:rFonts w:asciiTheme="minorHAnsi" w:hAnsiTheme="minorHAnsi"/>
          <w:snapToGrid w:val="0"/>
        </w:rPr>
        <w:t xml:space="preserve"> (IBD)</w:t>
      </w:r>
      <w:r w:rsidR="00B70C8C" w:rsidRPr="00D41179">
        <w:rPr>
          <w:rFonts w:asciiTheme="minorHAnsi" w:hAnsiTheme="minorHAnsi"/>
          <w:snapToGrid w:val="0"/>
        </w:rPr>
        <w:t>. Spleen Australia and</w:t>
      </w:r>
      <w:r w:rsidR="001C4B9C" w:rsidRPr="00D41179">
        <w:rPr>
          <w:rFonts w:asciiTheme="minorHAnsi" w:hAnsiTheme="minorHAnsi"/>
          <w:snapToGrid w:val="0"/>
        </w:rPr>
        <w:t xml:space="preserve"> CCA further</w:t>
      </w:r>
      <w:r w:rsidR="005F59A0" w:rsidRPr="00D41179">
        <w:rPr>
          <w:rFonts w:asciiTheme="minorHAnsi" w:hAnsiTheme="minorHAnsi"/>
          <w:snapToGrid w:val="0"/>
        </w:rPr>
        <w:t xml:space="preserve"> advocated for </w:t>
      </w:r>
      <w:r w:rsidR="00B41448" w:rsidRPr="00D41179">
        <w:rPr>
          <w:rFonts w:asciiTheme="minorHAnsi" w:hAnsiTheme="minorHAnsi"/>
          <w:snapToGrid w:val="0"/>
        </w:rPr>
        <w:t xml:space="preserve">the immunocompromised patient definition to be expanded to </w:t>
      </w:r>
      <w:r w:rsidR="0054699D" w:rsidRPr="00D41179">
        <w:rPr>
          <w:rFonts w:asciiTheme="minorHAnsi" w:hAnsiTheme="minorHAnsi"/>
          <w:snapToGrid w:val="0"/>
        </w:rPr>
        <w:t xml:space="preserve">ensure subsidised access to RZV for </w:t>
      </w:r>
      <w:r w:rsidR="008109F0" w:rsidRPr="00D41179">
        <w:rPr>
          <w:rFonts w:asciiTheme="minorHAnsi" w:hAnsiTheme="minorHAnsi"/>
          <w:snapToGrid w:val="0"/>
        </w:rPr>
        <w:t>certain at-risk populations</w:t>
      </w:r>
      <w:r w:rsidR="00C554A7" w:rsidRPr="00D41179">
        <w:rPr>
          <w:rFonts w:asciiTheme="minorHAnsi" w:hAnsiTheme="minorHAnsi"/>
          <w:snapToGrid w:val="0"/>
        </w:rPr>
        <w:t>. These</w:t>
      </w:r>
      <w:r w:rsidR="008109F0" w:rsidRPr="00D41179">
        <w:rPr>
          <w:rFonts w:asciiTheme="minorHAnsi" w:hAnsiTheme="minorHAnsi"/>
          <w:snapToGrid w:val="0"/>
        </w:rPr>
        <w:t xml:space="preserve"> </w:t>
      </w:r>
      <w:r w:rsidR="00C554A7" w:rsidRPr="00D41179">
        <w:rPr>
          <w:rFonts w:asciiTheme="minorHAnsi" w:hAnsiTheme="minorHAnsi"/>
          <w:snapToGrid w:val="0"/>
        </w:rPr>
        <w:t xml:space="preserve">include </w:t>
      </w:r>
      <w:proofErr w:type="spellStart"/>
      <w:r w:rsidR="008109F0" w:rsidRPr="00D41179">
        <w:rPr>
          <w:rFonts w:asciiTheme="minorHAnsi" w:hAnsiTheme="minorHAnsi"/>
          <w:snapToGrid w:val="0"/>
        </w:rPr>
        <w:t>asplenic</w:t>
      </w:r>
      <w:proofErr w:type="spellEnd"/>
      <w:r w:rsidR="008109F0" w:rsidRPr="00D41179">
        <w:rPr>
          <w:rFonts w:asciiTheme="minorHAnsi" w:hAnsiTheme="minorHAnsi"/>
          <w:snapToGrid w:val="0"/>
        </w:rPr>
        <w:t xml:space="preserve"> patients</w:t>
      </w:r>
      <w:r w:rsidR="009B4D8A" w:rsidRPr="00D41179">
        <w:rPr>
          <w:rFonts w:asciiTheme="minorHAnsi" w:hAnsiTheme="minorHAnsi"/>
          <w:snapToGrid w:val="0"/>
        </w:rPr>
        <w:t xml:space="preserve"> aged 50</w:t>
      </w:r>
      <w:r w:rsidR="00477DAC" w:rsidRPr="00D41179">
        <w:rPr>
          <w:rFonts w:asciiTheme="minorHAnsi" w:hAnsiTheme="minorHAnsi"/>
          <w:snapToGrid w:val="0"/>
        </w:rPr>
        <w:t xml:space="preserve"> years and over</w:t>
      </w:r>
      <w:r w:rsidR="009922BA" w:rsidRPr="00D41179">
        <w:rPr>
          <w:rFonts w:asciiTheme="minorHAnsi" w:hAnsiTheme="minorHAnsi"/>
          <w:snapToGrid w:val="0"/>
        </w:rPr>
        <w:t xml:space="preserve"> (especially </w:t>
      </w:r>
      <w:r w:rsidR="00733379" w:rsidRPr="00D41179">
        <w:rPr>
          <w:rFonts w:asciiTheme="minorHAnsi" w:hAnsiTheme="minorHAnsi"/>
          <w:snapToGrid w:val="0"/>
        </w:rPr>
        <w:t xml:space="preserve">those </w:t>
      </w:r>
      <w:r w:rsidR="009922BA" w:rsidRPr="00D41179">
        <w:rPr>
          <w:rFonts w:asciiTheme="minorHAnsi" w:hAnsiTheme="minorHAnsi"/>
          <w:snapToGrid w:val="0"/>
        </w:rPr>
        <w:t xml:space="preserve">patients </w:t>
      </w:r>
      <w:r w:rsidR="00C554A7" w:rsidRPr="00D41179">
        <w:rPr>
          <w:rFonts w:asciiTheme="minorHAnsi" w:hAnsiTheme="minorHAnsi"/>
          <w:snapToGrid w:val="0"/>
        </w:rPr>
        <w:t>who have experienced multiple episodes of shingles)</w:t>
      </w:r>
      <w:r w:rsidR="00C972CD" w:rsidRPr="00D41179">
        <w:rPr>
          <w:rFonts w:asciiTheme="minorHAnsi" w:hAnsiTheme="minorHAnsi"/>
          <w:snapToGrid w:val="0"/>
        </w:rPr>
        <w:t>,</w:t>
      </w:r>
      <w:r w:rsidR="008109F0" w:rsidRPr="00D41179">
        <w:rPr>
          <w:rFonts w:asciiTheme="minorHAnsi" w:hAnsiTheme="minorHAnsi"/>
          <w:snapToGrid w:val="0"/>
        </w:rPr>
        <w:t xml:space="preserve"> </w:t>
      </w:r>
      <w:r w:rsidR="005B4200" w:rsidRPr="00D41179">
        <w:rPr>
          <w:rFonts w:asciiTheme="minorHAnsi" w:hAnsiTheme="minorHAnsi"/>
          <w:snapToGrid w:val="0"/>
        </w:rPr>
        <w:t xml:space="preserve">or </w:t>
      </w:r>
      <w:r w:rsidR="00EF3B37" w:rsidRPr="00D41179">
        <w:rPr>
          <w:rFonts w:asciiTheme="minorHAnsi" w:hAnsiTheme="minorHAnsi"/>
          <w:snapToGrid w:val="0"/>
        </w:rPr>
        <w:t xml:space="preserve">patients </w:t>
      </w:r>
      <w:r w:rsidR="00510815" w:rsidRPr="00D41179">
        <w:rPr>
          <w:rFonts w:asciiTheme="minorHAnsi" w:hAnsiTheme="minorHAnsi"/>
          <w:snapToGrid w:val="0"/>
        </w:rPr>
        <w:t>on</w:t>
      </w:r>
      <w:r w:rsidR="00D6617B" w:rsidRPr="00D41179">
        <w:rPr>
          <w:rFonts w:asciiTheme="minorHAnsi" w:hAnsiTheme="minorHAnsi"/>
          <w:snapToGrid w:val="0"/>
        </w:rPr>
        <w:t xml:space="preserve"> (or about to commence)</w:t>
      </w:r>
      <w:r w:rsidR="00510815" w:rsidRPr="00D41179">
        <w:rPr>
          <w:rFonts w:asciiTheme="minorHAnsi" w:hAnsiTheme="minorHAnsi"/>
          <w:snapToGrid w:val="0"/>
        </w:rPr>
        <w:t xml:space="preserve"> </w:t>
      </w:r>
      <w:r w:rsidR="00EF3B37" w:rsidRPr="00D41179">
        <w:rPr>
          <w:rFonts w:asciiTheme="minorHAnsi" w:hAnsiTheme="minorHAnsi"/>
          <w:snapToGrid w:val="0"/>
        </w:rPr>
        <w:t>therapies that result in immunosuppression</w:t>
      </w:r>
      <w:r w:rsidR="00DF0BBA" w:rsidRPr="00D41179">
        <w:rPr>
          <w:rFonts w:asciiTheme="minorHAnsi" w:hAnsiTheme="minorHAnsi"/>
          <w:snapToGrid w:val="0"/>
        </w:rPr>
        <w:t xml:space="preserve"> (such as some IBD treatments)</w:t>
      </w:r>
      <w:r w:rsidR="00D03BF4" w:rsidRPr="00D41179">
        <w:rPr>
          <w:rFonts w:asciiTheme="minorHAnsi" w:hAnsiTheme="minorHAnsi"/>
          <w:snapToGrid w:val="0"/>
        </w:rPr>
        <w:t>.</w:t>
      </w:r>
      <w:r w:rsidR="005B4200" w:rsidRPr="00D41179">
        <w:rPr>
          <w:rFonts w:asciiTheme="minorHAnsi" w:hAnsiTheme="minorHAnsi"/>
          <w:snapToGrid w:val="0"/>
        </w:rPr>
        <w:t xml:space="preserve"> </w:t>
      </w:r>
    </w:p>
    <w:p w14:paraId="47AAA557" w14:textId="46B748FB" w:rsidR="00675EA9" w:rsidRPr="00D41179" w:rsidRDefault="00CC40FC" w:rsidP="00675EA9">
      <w:pPr>
        <w:widowControl w:val="0"/>
        <w:numPr>
          <w:ilvl w:val="1"/>
          <w:numId w:val="1"/>
        </w:numPr>
        <w:spacing w:after="120"/>
        <w:rPr>
          <w:rFonts w:asciiTheme="minorHAnsi" w:hAnsiTheme="minorHAnsi"/>
          <w:snapToGrid w:val="0"/>
        </w:rPr>
      </w:pPr>
      <w:r w:rsidRPr="00D41179">
        <w:rPr>
          <w:rFonts w:asciiTheme="minorHAnsi" w:hAnsiTheme="minorHAnsi"/>
          <w:bCs/>
          <w:snapToGrid w:val="0"/>
        </w:rPr>
        <w:t>I</w:t>
      </w:r>
      <w:r w:rsidR="007B7EDE" w:rsidRPr="00D41179">
        <w:rPr>
          <w:rFonts w:asciiTheme="minorHAnsi" w:hAnsiTheme="minorHAnsi"/>
          <w:bCs/>
          <w:snapToGrid w:val="0"/>
        </w:rPr>
        <w:t>nput</w:t>
      </w:r>
      <w:r w:rsidR="007B7EDE" w:rsidRPr="00D41179">
        <w:rPr>
          <w:rFonts w:asciiTheme="minorHAnsi" w:hAnsiTheme="minorHAnsi"/>
          <w:snapToGrid w:val="0"/>
        </w:rPr>
        <w:t xml:space="preserve"> from the </w:t>
      </w:r>
      <w:r w:rsidR="007B553E" w:rsidRPr="00D41179">
        <w:rPr>
          <w:rFonts w:asciiTheme="minorHAnsi" w:hAnsiTheme="minorHAnsi"/>
          <w:snapToGrid w:val="0"/>
        </w:rPr>
        <w:t xml:space="preserve">Immunisation Foundation of Australia (IFA) and the </w:t>
      </w:r>
      <w:r w:rsidR="007B7EDE" w:rsidRPr="00D41179">
        <w:rPr>
          <w:rFonts w:asciiTheme="minorHAnsi" w:hAnsiTheme="minorHAnsi"/>
          <w:snapToGrid w:val="0"/>
        </w:rPr>
        <w:t>Australian College of Nurse Practitioners (ACNP)</w:t>
      </w:r>
      <w:r w:rsidR="00720293" w:rsidRPr="00D41179">
        <w:rPr>
          <w:rFonts w:asciiTheme="minorHAnsi" w:hAnsiTheme="minorHAnsi"/>
          <w:snapToGrid w:val="0"/>
        </w:rPr>
        <w:t xml:space="preserve"> emphas</w:t>
      </w:r>
      <w:r w:rsidR="00266817" w:rsidRPr="00D41179">
        <w:rPr>
          <w:rFonts w:asciiTheme="minorHAnsi" w:hAnsiTheme="minorHAnsi"/>
          <w:snapToGrid w:val="0"/>
        </w:rPr>
        <w:t>ising the</w:t>
      </w:r>
      <w:r w:rsidR="00F83A24" w:rsidRPr="00D41179">
        <w:rPr>
          <w:rFonts w:asciiTheme="minorHAnsi" w:hAnsiTheme="minorHAnsi"/>
          <w:snapToGrid w:val="0"/>
        </w:rPr>
        <w:t xml:space="preserve"> clinical</w:t>
      </w:r>
      <w:r w:rsidR="00266817" w:rsidRPr="00D41179">
        <w:rPr>
          <w:rFonts w:asciiTheme="minorHAnsi" w:hAnsiTheme="minorHAnsi"/>
          <w:snapToGrid w:val="0"/>
        </w:rPr>
        <w:t xml:space="preserve"> complications</w:t>
      </w:r>
      <w:r w:rsidR="00804076" w:rsidRPr="00D41179">
        <w:rPr>
          <w:rFonts w:asciiTheme="minorHAnsi" w:hAnsiTheme="minorHAnsi"/>
          <w:snapToGrid w:val="0"/>
        </w:rPr>
        <w:t xml:space="preserve"> (post-herpetic neuralgia, chronic neuropathic pain, visual loss, hearing impairment and encephalitis),</w:t>
      </w:r>
      <w:r w:rsidR="00F83A24" w:rsidRPr="00D41179">
        <w:rPr>
          <w:rFonts w:asciiTheme="minorHAnsi" w:hAnsiTheme="minorHAnsi"/>
          <w:snapToGrid w:val="0"/>
        </w:rPr>
        <w:t xml:space="preserve"> personal and societal burden </w:t>
      </w:r>
      <w:r w:rsidR="00266817" w:rsidRPr="00D41179">
        <w:rPr>
          <w:rFonts w:asciiTheme="minorHAnsi" w:hAnsiTheme="minorHAnsi"/>
          <w:snapToGrid w:val="0"/>
        </w:rPr>
        <w:t xml:space="preserve">that arise from HZ </w:t>
      </w:r>
      <w:r w:rsidR="00D31614" w:rsidRPr="00D41179">
        <w:rPr>
          <w:rFonts w:asciiTheme="minorHAnsi" w:hAnsiTheme="minorHAnsi"/>
          <w:snapToGrid w:val="0"/>
        </w:rPr>
        <w:t>infection</w:t>
      </w:r>
      <w:r w:rsidR="0017395B" w:rsidRPr="00D41179">
        <w:rPr>
          <w:rFonts w:asciiTheme="minorHAnsi" w:hAnsiTheme="minorHAnsi"/>
          <w:snapToGrid w:val="0"/>
        </w:rPr>
        <w:t xml:space="preserve">. </w:t>
      </w:r>
      <w:r w:rsidRPr="00D41179">
        <w:rPr>
          <w:rFonts w:asciiTheme="minorHAnsi" w:hAnsiTheme="minorHAnsi"/>
          <w:bCs/>
          <w:snapToGrid w:val="0"/>
        </w:rPr>
        <w:t>Input noted</w:t>
      </w:r>
      <w:r w:rsidR="0017395B" w:rsidRPr="00D41179">
        <w:rPr>
          <w:rFonts w:asciiTheme="minorHAnsi" w:hAnsiTheme="minorHAnsi"/>
          <w:snapToGrid w:val="0"/>
        </w:rPr>
        <w:t xml:space="preserve"> that the burdens associated with HZ infection</w:t>
      </w:r>
      <w:r w:rsidR="00D31614" w:rsidRPr="00D41179">
        <w:rPr>
          <w:rFonts w:asciiTheme="minorHAnsi" w:hAnsiTheme="minorHAnsi"/>
          <w:snapToGrid w:val="0"/>
        </w:rPr>
        <w:t xml:space="preserve"> would be </w:t>
      </w:r>
      <w:r w:rsidR="00F83A24" w:rsidRPr="00D41179">
        <w:rPr>
          <w:rFonts w:asciiTheme="minorHAnsi" w:hAnsiTheme="minorHAnsi"/>
          <w:snapToGrid w:val="0"/>
        </w:rPr>
        <w:t xml:space="preserve">reduced with broader subsidised access to </w:t>
      </w:r>
      <w:r w:rsidR="00804076" w:rsidRPr="00D41179">
        <w:rPr>
          <w:rFonts w:asciiTheme="minorHAnsi" w:hAnsiTheme="minorHAnsi"/>
          <w:snapToGrid w:val="0"/>
        </w:rPr>
        <w:t>RZV as a health preventative measure</w:t>
      </w:r>
      <w:r w:rsidR="00E07D0E" w:rsidRPr="00D41179">
        <w:rPr>
          <w:rFonts w:asciiTheme="minorHAnsi" w:hAnsiTheme="minorHAnsi"/>
          <w:snapToGrid w:val="0"/>
        </w:rPr>
        <w:t xml:space="preserve">, </w:t>
      </w:r>
      <w:r w:rsidR="005131BF" w:rsidRPr="00D41179">
        <w:rPr>
          <w:rFonts w:asciiTheme="minorHAnsi" w:hAnsiTheme="minorHAnsi"/>
          <w:snapToGrid w:val="0"/>
        </w:rPr>
        <w:t>as well as</w:t>
      </w:r>
      <w:r w:rsidR="00E07D0E" w:rsidRPr="00D41179">
        <w:rPr>
          <w:rFonts w:asciiTheme="minorHAnsi" w:hAnsiTheme="minorHAnsi"/>
          <w:snapToGrid w:val="0"/>
        </w:rPr>
        <w:t xml:space="preserve"> the efficacy of RZV </w:t>
      </w:r>
      <w:r w:rsidR="005131BF" w:rsidRPr="00D41179">
        <w:rPr>
          <w:rFonts w:asciiTheme="minorHAnsi" w:hAnsiTheme="minorHAnsi"/>
          <w:snapToGrid w:val="0"/>
        </w:rPr>
        <w:t xml:space="preserve">and health outcome benefits </w:t>
      </w:r>
      <w:r w:rsidR="00E07D0E" w:rsidRPr="00D41179">
        <w:rPr>
          <w:rFonts w:asciiTheme="minorHAnsi" w:hAnsiTheme="minorHAnsi"/>
          <w:snapToGrid w:val="0"/>
        </w:rPr>
        <w:t xml:space="preserve">compared </w:t>
      </w:r>
      <w:r w:rsidR="003A138F" w:rsidRPr="00D41179">
        <w:rPr>
          <w:rFonts w:asciiTheme="minorHAnsi" w:hAnsiTheme="minorHAnsi"/>
          <w:snapToGrid w:val="0"/>
        </w:rPr>
        <w:t>to</w:t>
      </w:r>
      <w:r w:rsidR="00413018" w:rsidRPr="00D41179">
        <w:rPr>
          <w:rFonts w:asciiTheme="minorHAnsi" w:hAnsiTheme="minorHAnsi"/>
          <w:snapToGrid w:val="0"/>
        </w:rPr>
        <w:t xml:space="preserve"> </w:t>
      </w:r>
      <w:r w:rsidR="005131BF" w:rsidRPr="00D41179">
        <w:rPr>
          <w:rFonts w:asciiTheme="minorHAnsi" w:hAnsiTheme="minorHAnsi"/>
          <w:snapToGrid w:val="0"/>
        </w:rPr>
        <w:t xml:space="preserve">using </w:t>
      </w:r>
      <w:r w:rsidR="00413018" w:rsidRPr="00D41179">
        <w:rPr>
          <w:rFonts w:asciiTheme="minorHAnsi" w:hAnsiTheme="minorHAnsi"/>
          <w:snapToGrid w:val="0"/>
        </w:rPr>
        <w:t>existing treatments</w:t>
      </w:r>
      <w:r w:rsidR="005131BF" w:rsidRPr="00D41179">
        <w:rPr>
          <w:rFonts w:asciiTheme="minorHAnsi" w:hAnsiTheme="minorHAnsi"/>
          <w:snapToGrid w:val="0"/>
        </w:rPr>
        <w:t xml:space="preserve"> for HZ infection</w:t>
      </w:r>
      <w:r w:rsidR="00413018" w:rsidRPr="00D41179">
        <w:rPr>
          <w:rFonts w:asciiTheme="minorHAnsi" w:hAnsiTheme="minorHAnsi"/>
          <w:snapToGrid w:val="0"/>
        </w:rPr>
        <w:t xml:space="preserve">, including </w:t>
      </w:r>
      <w:r w:rsidR="00A5709F" w:rsidRPr="00D41179">
        <w:rPr>
          <w:rFonts w:asciiTheme="minorHAnsi" w:hAnsiTheme="minorHAnsi"/>
          <w:snapToGrid w:val="0"/>
        </w:rPr>
        <w:t xml:space="preserve">legacy vaccines and antiviral medications. </w:t>
      </w:r>
      <w:r w:rsidR="007E730B" w:rsidRPr="00D41179">
        <w:rPr>
          <w:rFonts w:asciiTheme="minorHAnsi" w:hAnsiTheme="minorHAnsi"/>
          <w:snapToGrid w:val="0"/>
        </w:rPr>
        <w:t xml:space="preserve">The PBAC also noted </w:t>
      </w:r>
      <w:r w:rsidR="00EF4EFB" w:rsidRPr="00D41179">
        <w:rPr>
          <w:rFonts w:asciiTheme="minorHAnsi" w:hAnsiTheme="minorHAnsi"/>
          <w:snapToGrid w:val="0"/>
        </w:rPr>
        <w:t xml:space="preserve">advice from </w:t>
      </w:r>
      <w:r w:rsidR="00610EFD" w:rsidRPr="00D41179">
        <w:rPr>
          <w:rFonts w:asciiTheme="minorHAnsi" w:hAnsiTheme="minorHAnsi"/>
          <w:snapToGrid w:val="0"/>
        </w:rPr>
        <w:t xml:space="preserve">The </w:t>
      </w:r>
      <w:r w:rsidR="00EF4EFB" w:rsidRPr="00D41179">
        <w:rPr>
          <w:rFonts w:asciiTheme="minorHAnsi" w:hAnsiTheme="minorHAnsi"/>
          <w:snapToGrid w:val="0"/>
        </w:rPr>
        <w:t xml:space="preserve">ACNP </w:t>
      </w:r>
      <w:r w:rsidR="00610EFD" w:rsidRPr="00D41179">
        <w:rPr>
          <w:rFonts w:asciiTheme="minorHAnsi" w:hAnsiTheme="minorHAnsi"/>
          <w:snapToGrid w:val="0"/>
        </w:rPr>
        <w:t xml:space="preserve">were </w:t>
      </w:r>
      <w:r w:rsidR="00045289" w:rsidRPr="00D41179">
        <w:rPr>
          <w:rFonts w:asciiTheme="minorHAnsi" w:hAnsiTheme="minorHAnsi"/>
          <w:snapToGrid w:val="0"/>
        </w:rPr>
        <w:t>support</w:t>
      </w:r>
      <w:r w:rsidR="00610EFD" w:rsidRPr="00D41179">
        <w:rPr>
          <w:rFonts w:asciiTheme="minorHAnsi" w:hAnsiTheme="minorHAnsi"/>
          <w:snapToGrid w:val="0"/>
        </w:rPr>
        <w:t>ive</w:t>
      </w:r>
      <w:r w:rsidR="00045289" w:rsidRPr="00D41179">
        <w:rPr>
          <w:rFonts w:asciiTheme="minorHAnsi" w:hAnsiTheme="minorHAnsi"/>
          <w:snapToGrid w:val="0"/>
        </w:rPr>
        <w:t xml:space="preserve"> </w:t>
      </w:r>
      <w:r w:rsidR="00610EFD" w:rsidRPr="00D41179">
        <w:rPr>
          <w:rFonts w:asciiTheme="minorHAnsi" w:hAnsiTheme="minorHAnsi"/>
          <w:snapToGrid w:val="0"/>
        </w:rPr>
        <w:t xml:space="preserve">of </w:t>
      </w:r>
      <w:r w:rsidR="00045289" w:rsidRPr="00D41179">
        <w:rPr>
          <w:rFonts w:asciiTheme="minorHAnsi" w:hAnsiTheme="minorHAnsi"/>
          <w:snapToGrid w:val="0"/>
        </w:rPr>
        <w:t>expand</w:t>
      </w:r>
      <w:r w:rsidR="00610EFD" w:rsidRPr="00D41179">
        <w:rPr>
          <w:rFonts w:asciiTheme="minorHAnsi" w:hAnsiTheme="minorHAnsi"/>
          <w:snapToGrid w:val="0"/>
        </w:rPr>
        <w:t>ing</w:t>
      </w:r>
      <w:r w:rsidR="00045289" w:rsidRPr="00D41179">
        <w:rPr>
          <w:rFonts w:asciiTheme="minorHAnsi" w:hAnsiTheme="minorHAnsi"/>
          <w:snapToGrid w:val="0"/>
        </w:rPr>
        <w:t xml:space="preserve"> </w:t>
      </w:r>
      <w:r w:rsidR="00F45530" w:rsidRPr="00D41179">
        <w:rPr>
          <w:rFonts w:asciiTheme="minorHAnsi" w:hAnsiTheme="minorHAnsi"/>
          <w:snapToGrid w:val="0"/>
        </w:rPr>
        <w:t>subsidised access for all patients aged 50 years and over</w:t>
      </w:r>
      <w:r w:rsidR="00B21E98" w:rsidRPr="00D41179">
        <w:rPr>
          <w:rFonts w:asciiTheme="minorHAnsi" w:hAnsiTheme="minorHAnsi"/>
          <w:snapToGrid w:val="0"/>
        </w:rPr>
        <w:t xml:space="preserve"> (in line with the TGA</w:t>
      </w:r>
      <w:r w:rsidR="0015330F" w:rsidRPr="00D41179">
        <w:rPr>
          <w:rFonts w:asciiTheme="minorHAnsi" w:hAnsiTheme="minorHAnsi"/>
          <w:snapToGrid w:val="0"/>
        </w:rPr>
        <w:t>-approved indication)</w:t>
      </w:r>
      <w:r w:rsidR="007640B1" w:rsidRPr="00D41179">
        <w:rPr>
          <w:rFonts w:asciiTheme="minorHAnsi" w:hAnsiTheme="minorHAnsi"/>
          <w:snapToGrid w:val="0"/>
        </w:rPr>
        <w:t xml:space="preserve">. </w:t>
      </w:r>
    </w:p>
    <w:p w14:paraId="6D283456" w14:textId="195E1ADD" w:rsidR="00265748" w:rsidRPr="00D41179" w:rsidRDefault="00B60939" w:rsidP="00EC4962">
      <w:pPr>
        <w:pStyle w:val="Actual4Subsection"/>
      </w:pPr>
      <w:r w:rsidRPr="00D41179">
        <w:t>Clinical trials</w:t>
      </w:r>
      <w:bookmarkEnd w:id="12"/>
      <w:bookmarkEnd w:id="13"/>
    </w:p>
    <w:p w14:paraId="44A9EACB" w14:textId="77777777" w:rsidR="00255F4A" w:rsidRPr="00D41179" w:rsidRDefault="00255F4A" w:rsidP="00A64F5D">
      <w:pPr>
        <w:keepNext/>
        <w:numPr>
          <w:ilvl w:val="1"/>
          <w:numId w:val="8"/>
        </w:numPr>
        <w:spacing w:before="60" w:after="60"/>
        <w:ind w:left="709"/>
        <w:rPr>
          <w:rFonts w:asciiTheme="minorHAnsi" w:eastAsiaTheme="minorHAnsi" w:hAnsiTheme="minorHAnsi" w:cstheme="minorBidi"/>
          <w:szCs w:val="22"/>
        </w:rPr>
      </w:pPr>
      <w:r w:rsidRPr="00D41179">
        <w:rPr>
          <w:rFonts w:asciiTheme="minorHAnsi" w:eastAsiaTheme="minorHAnsi" w:hAnsiTheme="minorHAnsi" w:cstheme="minorBidi"/>
          <w:szCs w:val="22"/>
        </w:rPr>
        <w:t>The submission was based on:</w:t>
      </w:r>
    </w:p>
    <w:p w14:paraId="45A140EB" w14:textId="656CBF66" w:rsidR="00255F4A" w:rsidRPr="00D41179" w:rsidRDefault="00255F4A" w:rsidP="00A64F5D">
      <w:pPr>
        <w:numPr>
          <w:ilvl w:val="0"/>
          <w:numId w:val="11"/>
        </w:numPr>
        <w:spacing w:before="60" w:after="60"/>
        <w:rPr>
          <w:rFonts w:asciiTheme="minorHAnsi" w:eastAsiaTheme="minorHAnsi" w:hAnsiTheme="minorHAnsi" w:cstheme="minorBidi"/>
          <w:szCs w:val="22"/>
        </w:rPr>
      </w:pPr>
      <w:r w:rsidRPr="00D41179">
        <w:rPr>
          <w:rFonts w:asciiTheme="minorHAnsi" w:eastAsiaTheme="minorHAnsi" w:hAnsiTheme="minorHAnsi" w:cstheme="minorBidi"/>
          <w:szCs w:val="22"/>
        </w:rPr>
        <w:t>Two head-to-head randomised controlled trials (RCTs) comparing RZV to placebo (ZOE-50 [N=15,411] and ZOE-70 [N=13,900]). The ZOE-50/-70 trials have previously been considered by PBAC (November 2018 and March 2023) and were unchanged for this submission.</w:t>
      </w:r>
    </w:p>
    <w:p w14:paraId="564442AC" w14:textId="16C29F08" w:rsidR="00255F4A" w:rsidRPr="00D41179" w:rsidRDefault="00255F4A" w:rsidP="00A64F5D">
      <w:pPr>
        <w:numPr>
          <w:ilvl w:val="0"/>
          <w:numId w:val="11"/>
        </w:numPr>
        <w:spacing w:before="60" w:after="60"/>
        <w:rPr>
          <w:rFonts w:asciiTheme="minorHAnsi" w:eastAsiaTheme="minorHAnsi" w:hAnsiTheme="minorHAnsi" w:cstheme="minorBidi"/>
          <w:szCs w:val="22"/>
        </w:rPr>
      </w:pPr>
      <w:r w:rsidRPr="00D41179">
        <w:rPr>
          <w:rFonts w:asciiTheme="minorHAnsi" w:eastAsiaTheme="minorHAnsi" w:hAnsiTheme="minorHAnsi" w:cstheme="minorBidi"/>
          <w:szCs w:val="22"/>
        </w:rPr>
        <w:t xml:space="preserve">One key single arm extension study, ZOSTER-049, which drew on vaccinated participants only from the ZOE-50/-70 trials (14,645 subjects received at least one RZV dose </w:t>
      </w:r>
      <w:r w:rsidR="00802A7E" w:rsidRPr="00D41179">
        <w:rPr>
          <w:rFonts w:asciiTheme="minorHAnsi" w:eastAsiaTheme="minorHAnsi" w:hAnsiTheme="minorHAnsi" w:cstheme="minorBidi"/>
          <w:szCs w:val="22"/>
        </w:rPr>
        <w:t>across both studies</w:t>
      </w:r>
      <w:r w:rsidRPr="00D41179">
        <w:rPr>
          <w:rFonts w:asciiTheme="minorHAnsi" w:eastAsiaTheme="minorHAnsi" w:hAnsiTheme="minorHAnsi" w:cstheme="minorBidi"/>
          <w:szCs w:val="22"/>
        </w:rPr>
        <w:t>). The ZOSTER-049 study enrolled 7,534 (51.4%) of the ZOE-50/-70 vaccinated participants</w:t>
      </w:r>
      <w:r w:rsidR="00BF04DE" w:rsidRPr="00D41179">
        <w:rPr>
          <w:rFonts w:asciiTheme="minorHAnsi" w:eastAsiaTheme="minorHAnsi" w:hAnsiTheme="minorHAnsi" w:cstheme="minorBidi"/>
          <w:szCs w:val="22"/>
        </w:rPr>
        <w:t>.</w:t>
      </w:r>
      <w:r w:rsidR="007D3084" w:rsidRPr="00D41179">
        <w:rPr>
          <w:rFonts w:asciiTheme="minorHAnsi" w:eastAsiaTheme="minorHAnsi" w:hAnsiTheme="minorHAnsi" w:cstheme="minorBidi"/>
          <w:szCs w:val="22"/>
        </w:rPr>
        <w:t xml:space="preserve"> The study</w:t>
      </w:r>
      <w:r w:rsidR="00BF04DE" w:rsidRPr="00D41179">
        <w:t xml:space="preserve"> commenced a median 5.6 years after the second dose of RZV in ZOE-50/-70 and was completed at </w:t>
      </w:r>
      <w:r w:rsidR="00FA1142" w:rsidRPr="00D41179">
        <w:t xml:space="preserve">a </w:t>
      </w:r>
      <w:r w:rsidR="00BF04DE" w:rsidRPr="00D41179">
        <w:t xml:space="preserve">median </w:t>
      </w:r>
      <w:r w:rsidR="00FA1142" w:rsidRPr="00D41179">
        <w:t xml:space="preserve">of </w:t>
      </w:r>
      <w:r w:rsidR="00BF04DE" w:rsidRPr="00D41179">
        <w:t xml:space="preserve">11.4 years post-vaccination in ZOE-50/-70 (approximately six years trial duration). </w:t>
      </w:r>
      <w:r w:rsidRPr="00D41179">
        <w:rPr>
          <w:rFonts w:asciiTheme="minorHAnsi" w:eastAsiaTheme="minorHAnsi" w:hAnsiTheme="minorHAnsi" w:cstheme="minorBidi"/>
          <w:szCs w:val="22"/>
        </w:rPr>
        <w:t xml:space="preserve">Data from interim analyses of ZOSTER-049 were previously considered in the March 2023 submission (results up to a mean 9.6 years post-vaccination). </w:t>
      </w:r>
    </w:p>
    <w:p w14:paraId="13BEAF62" w14:textId="6C91195D" w:rsidR="00255F4A" w:rsidRPr="00D41179" w:rsidRDefault="00255F4A" w:rsidP="00A64F5D">
      <w:pPr>
        <w:numPr>
          <w:ilvl w:val="1"/>
          <w:numId w:val="8"/>
        </w:numPr>
        <w:spacing w:before="60" w:after="60"/>
        <w:ind w:left="709"/>
        <w:rPr>
          <w:rFonts w:asciiTheme="minorHAnsi" w:eastAsiaTheme="minorHAnsi" w:hAnsiTheme="minorHAnsi" w:cstheme="minorBidi"/>
          <w:szCs w:val="22"/>
        </w:rPr>
      </w:pPr>
      <w:r w:rsidRPr="00D41179">
        <w:rPr>
          <w:rFonts w:asciiTheme="minorHAnsi" w:eastAsiaTheme="minorHAnsi" w:hAnsiTheme="minorHAnsi" w:cstheme="minorBidi"/>
          <w:szCs w:val="22"/>
        </w:rPr>
        <w:t>Vaccine efficacy (VE) against HZ, PHN and non-PHN complications were presented based on the ZOSTER-049 final analysis</w:t>
      </w:r>
      <w:r w:rsidR="00173310" w:rsidRPr="00D41179">
        <w:rPr>
          <w:rFonts w:asciiTheme="minorHAnsi" w:eastAsiaTheme="minorHAnsi" w:hAnsiTheme="minorHAnsi" w:cstheme="minorBidi"/>
          <w:szCs w:val="22"/>
        </w:rPr>
        <w:t xml:space="preserve"> compared </w:t>
      </w:r>
      <w:r w:rsidR="00B421AD" w:rsidRPr="00D41179">
        <w:rPr>
          <w:rFonts w:asciiTheme="minorHAnsi" w:eastAsiaTheme="minorHAnsi" w:hAnsiTheme="minorHAnsi" w:cstheme="minorBidi"/>
          <w:szCs w:val="22"/>
        </w:rPr>
        <w:t>to</w:t>
      </w:r>
      <w:r w:rsidR="00D70783" w:rsidRPr="00D41179">
        <w:rPr>
          <w:rFonts w:asciiTheme="minorHAnsi" w:eastAsiaTheme="minorHAnsi" w:hAnsiTheme="minorHAnsi" w:cstheme="minorBidi"/>
          <w:szCs w:val="22"/>
        </w:rPr>
        <w:t xml:space="preserve"> </w:t>
      </w:r>
      <w:r w:rsidR="00173310" w:rsidRPr="00D41179">
        <w:rPr>
          <w:rFonts w:asciiTheme="minorHAnsi" w:eastAsiaTheme="minorHAnsi" w:hAnsiTheme="minorHAnsi" w:cstheme="minorBidi"/>
          <w:szCs w:val="22"/>
        </w:rPr>
        <w:t>a historical control</w:t>
      </w:r>
      <w:r w:rsidR="004518CC" w:rsidRPr="00D41179">
        <w:rPr>
          <w:rFonts w:asciiTheme="minorHAnsi" w:eastAsiaTheme="minorHAnsi" w:hAnsiTheme="minorHAnsi" w:cstheme="minorBidi"/>
          <w:szCs w:val="22"/>
        </w:rPr>
        <w:t xml:space="preserve"> over the duration of the long-term follow up period</w:t>
      </w:r>
      <w:r w:rsidR="001A6DFE" w:rsidRPr="00D41179">
        <w:rPr>
          <w:rFonts w:asciiTheme="minorHAnsi" w:eastAsiaTheme="minorHAnsi" w:hAnsiTheme="minorHAnsi" w:cstheme="minorBidi"/>
          <w:szCs w:val="22"/>
        </w:rPr>
        <w:t>; i.e. timing of analysis starts approximately six years post-vaccination</w:t>
      </w:r>
      <w:r w:rsidRPr="00D41179">
        <w:rPr>
          <w:rFonts w:asciiTheme="minorHAnsi" w:eastAsiaTheme="minorHAnsi" w:hAnsiTheme="minorHAnsi" w:cstheme="minorBidi"/>
          <w:szCs w:val="22"/>
        </w:rPr>
        <w:t xml:space="preserve"> </w:t>
      </w:r>
    </w:p>
    <w:p w14:paraId="6C591101" w14:textId="263ED643" w:rsidR="005A06C8" w:rsidRPr="00D41179" w:rsidRDefault="005A06C8" w:rsidP="00A64F5D">
      <w:pPr>
        <w:numPr>
          <w:ilvl w:val="1"/>
          <w:numId w:val="8"/>
        </w:numPr>
        <w:spacing w:before="60" w:after="60"/>
        <w:ind w:left="709"/>
        <w:rPr>
          <w:rFonts w:asciiTheme="minorHAnsi" w:eastAsiaTheme="minorHAnsi" w:hAnsiTheme="minorHAnsi" w:cstheme="minorBidi"/>
          <w:szCs w:val="22"/>
        </w:rPr>
      </w:pPr>
      <w:r w:rsidRPr="00D41179">
        <w:rPr>
          <w:rFonts w:asciiTheme="minorHAnsi" w:eastAsiaTheme="minorHAnsi" w:hAnsiTheme="minorHAnsi" w:cstheme="minorBidi"/>
          <w:szCs w:val="22"/>
        </w:rPr>
        <w:lastRenderedPageBreak/>
        <w:t>A follow-up study of ZOSTER-049 is currently ongoing assessing protection up to 15 years post initial vaccination, and 10 years post booster vaccination (ZOSTER-101</w:t>
      </w:r>
      <w:r w:rsidR="00760CBA" w:rsidRPr="00D41179">
        <w:rPr>
          <w:rFonts w:asciiTheme="minorHAnsi" w:eastAsiaTheme="minorHAnsi" w:hAnsiTheme="minorHAnsi" w:cstheme="minorBidi"/>
          <w:szCs w:val="22"/>
        </w:rPr>
        <w:t xml:space="preserve">, </w:t>
      </w:r>
      <w:r w:rsidRPr="00D41179">
        <w:rPr>
          <w:rFonts w:asciiTheme="minorHAnsi" w:eastAsiaTheme="minorHAnsi" w:hAnsiTheme="minorHAnsi" w:cstheme="minorBidi"/>
          <w:szCs w:val="22"/>
        </w:rPr>
        <w:t>NCT05371080</w:t>
      </w:r>
      <w:r w:rsidR="001C62B9" w:rsidRPr="00D41179">
        <w:rPr>
          <w:rStyle w:val="FootnoteReference"/>
          <w:rFonts w:asciiTheme="minorHAnsi" w:eastAsiaTheme="minorHAnsi" w:hAnsiTheme="minorHAnsi" w:cstheme="minorBidi"/>
          <w:szCs w:val="22"/>
        </w:rPr>
        <w:footnoteReference w:id="7"/>
      </w:r>
      <w:r w:rsidRPr="00D41179">
        <w:rPr>
          <w:rFonts w:asciiTheme="minorHAnsi" w:eastAsiaTheme="minorHAnsi" w:hAnsiTheme="minorHAnsi" w:cstheme="minorBidi"/>
          <w:szCs w:val="22"/>
        </w:rPr>
        <w:t>).</w:t>
      </w:r>
    </w:p>
    <w:p w14:paraId="155AEF7D" w14:textId="23900475" w:rsidR="0005173E" w:rsidRPr="00D41179" w:rsidRDefault="00255F4A" w:rsidP="00A64F5D">
      <w:pPr>
        <w:numPr>
          <w:ilvl w:val="1"/>
          <w:numId w:val="8"/>
        </w:numPr>
        <w:spacing w:before="60" w:after="60"/>
        <w:ind w:left="709"/>
        <w:rPr>
          <w:rFonts w:asciiTheme="minorHAnsi" w:eastAsiaTheme="minorHAnsi" w:hAnsiTheme="minorHAnsi" w:cstheme="minorBidi"/>
          <w:szCs w:val="22"/>
        </w:rPr>
      </w:pPr>
      <w:r w:rsidRPr="00D41179">
        <w:rPr>
          <w:rFonts w:asciiTheme="minorHAnsi" w:eastAsiaTheme="minorHAnsi" w:hAnsiTheme="minorHAnsi" w:cstheme="minorBidi"/>
          <w:szCs w:val="22"/>
        </w:rPr>
        <w:t xml:space="preserve">Details of the key trials presented in the submission are provided in </w:t>
      </w:r>
      <w:r w:rsidR="00ED2B74" w:rsidRPr="00D41179">
        <w:rPr>
          <w:rFonts w:asciiTheme="minorHAnsi" w:eastAsiaTheme="minorHAnsi" w:hAnsiTheme="minorHAnsi" w:cstheme="minorBidi"/>
          <w:szCs w:val="22"/>
        </w:rPr>
        <w:fldChar w:fldCharType="begin"/>
      </w:r>
      <w:r w:rsidR="00ED2B74" w:rsidRPr="00D41179">
        <w:rPr>
          <w:rFonts w:asciiTheme="minorHAnsi" w:eastAsiaTheme="minorHAnsi" w:hAnsiTheme="minorHAnsi" w:cstheme="minorBidi"/>
          <w:szCs w:val="22"/>
        </w:rPr>
        <w:instrText xml:space="preserve"> REF _Ref207877689 \h </w:instrText>
      </w:r>
      <w:r w:rsidR="00D41179" w:rsidRPr="00D41179">
        <w:rPr>
          <w:rFonts w:asciiTheme="minorHAnsi" w:eastAsiaTheme="minorHAnsi" w:hAnsiTheme="minorHAnsi" w:cstheme="minorBidi"/>
          <w:szCs w:val="22"/>
        </w:rPr>
        <w:instrText xml:space="preserve"> \* MERGEFORMAT </w:instrText>
      </w:r>
      <w:r w:rsidR="00ED2B74" w:rsidRPr="00D41179">
        <w:rPr>
          <w:rFonts w:asciiTheme="minorHAnsi" w:eastAsiaTheme="minorHAnsi" w:hAnsiTheme="minorHAnsi" w:cstheme="minorBidi"/>
          <w:szCs w:val="22"/>
        </w:rPr>
      </w:r>
      <w:r w:rsidR="00ED2B74" w:rsidRPr="00D41179">
        <w:rPr>
          <w:rFonts w:asciiTheme="minorHAnsi" w:eastAsiaTheme="minorHAnsi" w:hAnsiTheme="minorHAnsi" w:cstheme="minorBidi"/>
          <w:szCs w:val="22"/>
        </w:rPr>
        <w:fldChar w:fldCharType="separate"/>
      </w:r>
      <w:r w:rsidR="00E7345C" w:rsidRPr="00D41179">
        <w:t xml:space="preserve">Table </w:t>
      </w:r>
      <w:r w:rsidR="00E7345C" w:rsidRPr="00D41179">
        <w:rPr>
          <w:noProof/>
        </w:rPr>
        <w:t>2</w:t>
      </w:r>
      <w:r w:rsidR="00ED2B74" w:rsidRPr="00D41179">
        <w:rPr>
          <w:rFonts w:asciiTheme="minorHAnsi" w:eastAsiaTheme="minorHAnsi" w:hAnsiTheme="minorHAnsi" w:cstheme="minorBidi"/>
          <w:szCs w:val="22"/>
        </w:rPr>
        <w:fldChar w:fldCharType="end"/>
      </w:r>
      <w:r w:rsidR="00B702C3" w:rsidRPr="00D41179">
        <w:rPr>
          <w:rFonts w:asciiTheme="minorHAnsi" w:eastAsiaTheme="minorHAnsi" w:hAnsiTheme="minorHAnsi" w:cstheme="minorBidi"/>
          <w:szCs w:val="22"/>
        </w:rPr>
        <w:t>.</w:t>
      </w:r>
    </w:p>
    <w:p w14:paraId="04E94255" w14:textId="77777777" w:rsidR="0005173E" w:rsidRPr="00D41179" w:rsidRDefault="0005173E">
      <w:pPr>
        <w:jc w:val="left"/>
        <w:rPr>
          <w:rFonts w:asciiTheme="minorHAnsi" w:eastAsiaTheme="minorHAnsi" w:hAnsiTheme="minorHAnsi" w:cstheme="minorBidi"/>
          <w:szCs w:val="22"/>
        </w:rPr>
      </w:pPr>
      <w:r w:rsidRPr="00D41179">
        <w:rPr>
          <w:rFonts w:asciiTheme="minorHAnsi" w:eastAsiaTheme="minorHAnsi" w:hAnsiTheme="minorHAnsi" w:cstheme="minorBidi"/>
          <w:szCs w:val="22"/>
        </w:rPr>
        <w:br w:type="page"/>
      </w:r>
    </w:p>
    <w:p w14:paraId="50672CA5" w14:textId="52DFDC4D" w:rsidR="00255F4A" w:rsidRPr="00D41179" w:rsidRDefault="00255F4A" w:rsidP="007020F6">
      <w:pPr>
        <w:pStyle w:val="Caption"/>
        <w:rPr>
          <w:rStyle w:val="CommentReference"/>
          <w:b/>
          <w:szCs w:val="24"/>
        </w:rPr>
      </w:pPr>
      <w:bookmarkStart w:id="15" w:name="_Ref104803956"/>
      <w:bookmarkStart w:id="16" w:name="_Ref207722528"/>
      <w:bookmarkStart w:id="17" w:name="_Ref207877689"/>
      <w:r w:rsidRPr="00D41179">
        <w:lastRenderedPageBreak/>
        <w:t>Table</w:t>
      </w:r>
      <w:bookmarkEnd w:id="15"/>
      <w:bookmarkEnd w:id="16"/>
      <w:r w:rsidR="00ED2B74" w:rsidRPr="00D41179">
        <w:t xml:space="preserve"> </w:t>
      </w:r>
      <w:r w:rsidRPr="00D41179">
        <w:fldChar w:fldCharType="begin"/>
      </w:r>
      <w:r w:rsidRPr="00D41179">
        <w:instrText>SEQ Table \* ARABIC</w:instrText>
      </w:r>
      <w:r w:rsidRPr="00D41179">
        <w:fldChar w:fldCharType="separate"/>
      </w:r>
      <w:r w:rsidR="00E7345C" w:rsidRPr="00D41179">
        <w:rPr>
          <w:noProof/>
        </w:rPr>
        <w:t>2</w:t>
      </w:r>
      <w:r w:rsidRPr="00D41179">
        <w:fldChar w:fldCharType="end"/>
      </w:r>
      <w:bookmarkEnd w:id="17"/>
      <w:r w:rsidRPr="00D41179">
        <w:t>:</w:t>
      </w:r>
      <w:r w:rsidRPr="00D41179">
        <w:rPr>
          <w:rStyle w:val="CommentReference"/>
          <w:b/>
          <w:szCs w:val="24"/>
        </w:rPr>
        <w:t xml:space="preserve"> Key trials and associated reports presented in the 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Caption w:val="Table 2: Key trials and associated reports presented in the submission"/>
      </w:tblPr>
      <w:tblGrid>
        <w:gridCol w:w="1435"/>
        <w:gridCol w:w="5459"/>
        <w:gridCol w:w="2123"/>
      </w:tblGrid>
      <w:tr w:rsidR="00255F4A" w:rsidRPr="00D41179" w14:paraId="1491B240" w14:textId="77777777" w:rsidTr="00255F4A">
        <w:trPr>
          <w:tblHeader/>
        </w:trPr>
        <w:tc>
          <w:tcPr>
            <w:tcW w:w="796" w:type="pct"/>
            <w:tcBorders>
              <w:bottom w:val="single" w:sz="4" w:space="0" w:color="auto"/>
            </w:tcBorders>
            <w:vAlign w:val="center"/>
          </w:tcPr>
          <w:p w14:paraId="21289E78" w14:textId="77777777" w:rsidR="00255F4A" w:rsidRPr="00D41179" w:rsidRDefault="00255F4A" w:rsidP="00294858">
            <w:pPr>
              <w:pStyle w:val="In-tableHeading"/>
            </w:pPr>
            <w:r w:rsidRPr="00D41179">
              <w:t>Trial ID</w:t>
            </w:r>
          </w:p>
        </w:tc>
        <w:tc>
          <w:tcPr>
            <w:tcW w:w="3027" w:type="pct"/>
            <w:tcBorders>
              <w:bottom w:val="single" w:sz="4" w:space="0" w:color="auto"/>
            </w:tcBorders>
            <w:vAlign w:val="center"/>
          </w:tcPr>
          <w:p w14:paraId="2E5423FB" w14:textId="77777777" w:rsidR="00255F4A" w:rsidRPr="00D41179" w:rsidRDefault="00255F4A" w:rsidP="00294858">
            <w:pPr>
              <w:pStyle w:val="In-tableHeading"/>
            </w:pPr>
            <w:r w:rsidRPr="00D41179">
              <w:t>Protocol title/ Publication title</w:t>
            </w:r>
          </w:p>
        </w:tc>
        <w:tc>
          <w:tcPr>
            <w:tcW w:w="1177" w:type="pct"/>
            <w:tcBorders>
              <w:bottom w:val="single" w:sz="4" w:space="0" w:color="auto"/>
            </w:tcBorders>
          </w:tcPr>
          <w:p w14:paraId="6CF52B79" w14:textId="77777777" w:rsidR="00255F4A" w:rsidRPr="00D41179" w:rsidRDefault="00255F4A" w:rsidP="00294858">
            <w:pPr>
              <w:pStyle w:val="In-tableHeading"/>
            </w:pPr>
            <w:r w:rsidRPr="00D41179">
              <w:t>Publication citation</w:t>
            </w:r>
          </w:p>
        </w:tc>
      </w:tr>
      <w:tr w:rsidR="00255F4A" w:rsidRPr="00D41179" w14:paraId="7AA315BD" w14:textId="77777777">
        <w:tc>
          <w:tcPr>
            <w:tcW w:w="796" w:type="pct"/>
            <w:vMerge w:val="restart"/>
          </w:tcPr>
          <w:p w14:paraId="34700D4E" w14:textId="77777777" w:rsidR="00255F4A" w:rsidRPr="00D41179" w:rsidRDefault="00255F4A" w:rsidP="00F95692">
            <w:pPr>
              <w:pStyle w:val="TableText0"/>
            </w:pPr>
            <w:r w:rsidRPr="00D41179">
              <w:t>ZOE-50 (NCT01165177)</w:t>
            </w:r>
          </w:p>
        </w:tc>
        <w:tc>
          <w:tcPr>
            <w:tcW w:w="3027" w:type="pct"/>
            <w:tcBorders>
              <w:bottom w:val="nil"/>
            </w:tcBorders>
            <w:shd w:val="clear" w:color="auto" w:fill="DAEEF3" w:themeFill="accent5" w:themeFillTint="33"/>
            <w:vAlign w:val="center"/>
          </w:tcPr>
          <w:p w14:paraId="49BB2AD3" w14:textId="621684DE" w:rsidR="00255F4A" w:rsidRPr="00D41179" w:rsidRDefault="001D7962" w:rsidP="00F95692">
            <w:pPr>
              <w:pStyle w:val="TableText0"/>
            </w:pPr>
            <w:r w:rsidRPr="00D41179">
              <w:t>CSR:</w:t>
            </w:r>
            <w:r w:rsidRPr="00D41179">
              <w:br/>
            </w:r>
            <w:r w:rsidR="00255F4A" w:rsidRPr="00D41179">
              <w:t>Efficacy, safety, and immunogenicity study of GlaxoSmithKline (GSK) Biologicals’ Herpes Zoster (HZ) vaccine GSK1437173A in adults aged ≥50 years.</w:t>
            </w:r>
          </w:p>
        </w:tc>
        <w:tc>
          <w:tcPr>
            <w:tcW w:w="1177" w:type="pct"/>
            <w:tcBorders>
              <w:bottom w:val="nil"/>
            </w:tcBorders>
            <w:shd w:val="clear" w:color="auto" w:fill="DAEEF3" w:themeFill="accent5" w:themeFillTint="33"/>
          </w:tcPr>
          <w:p w14:paraId="2C66B10D" w14:textId="77777777" w:rsidR="00255F4A" w:rsidRPr="00D41179" w:rsidRDefault="00255F4A" w:rsidP="00F95692">
            <w:pPr>
              <w:pStyle w:val="TableText0"/>
            </w:pPr>
            <w:r w:rsidRPr="00D41179">
              <w:t>End of study CSR (data lock point 12 October 2015)</w:t>
            </w:r>
          </w:p>
        </w:tc>
      </w:tr>
      <w:tr w:rsidR="00255F4A" w:rsidRPr="00D41179" w14:paraId="1060EABC" w14:textId="77777777">
        <w:tc>
          <w:tcPr>
            <w:tcW w:w="796" w:type="pct"/>
            <w:vMerge/>
            <w:tcBorders>
              <w:bottom w:val="nil"/>
            </w:tcBorders>
          </w:tcPr>
          <w:p w14:paraId="5D85E194" w14:textId="77777777" w:rsidR="00255F4A" w:rsidRPr="00D41179" w:rsidRDefault="00255F4A" w:rsidP="00F95692">
            <w:pPr>
              <w:pStyle w:val="TableText0"/>
            </w:pPr>
          </w:p>
        </w:tc>
        <w:tc>
          <w:tcPr>
            <w:tcW w:w="3027" w:type="pct"/>
            <w:tcBorders>
              <w:top w:val="nil"/>
              <w:bottom w:val="nil"/>
            </w:tcBorders>
            <w:shd w:val="clear" w:color="auto" w:fill="DAEEF3" w:themeFill="accent5" w:themeFillTint="33"/>
            <w:vAlign w:val="center"/>
          </w:tcPr>
          <w:p w14:paraId="742BD696" w14:textId="77777777" w:rsidR="00255F4A" w:rsidRPr="00D41179" w:rsidRDefault="00255F4A" w:rsidP="00F95692">
            <w:pPr>
              <w:pStyle w:val="TableText0"/>
              <w:rPr>
                <w:szCs w:val="18"/>
              </w:rPr>
            </w:pPr>
            <w:r w:rsidRPr="00D41179">
              <w:t>Primary publication:</w:t>
            </w:r>
          </w:p>
          <w:p w14:paraId="50D420F1" w14:textId="77777777" w:rsidR="00255F4A" w:rsidRPr="00D41179" w:rsidRDefault="00255F4A" w:rsidP="00F95692">
            <w:pPr>
              <w:pStyle w:val="TableText0"/>
            </w:pPr>
            <w:r w:rsidRPr="00D41179">
              <w:t xml:space="preserve">Lal H, Cunningham AL, Godeaux O, </w:t>
            </w:r>
            <w:proofErr w:type="spellStart"/>
            <w:r w:rsidRPr="00D41179">
              <w:t>Chlibek</w:t>
            </w:r>
            <w:proofErr w:type="spellEnd"/>
            <w:r w:rsidRPr="00D41179">
              <w:t xml:space="preserve"> R, Diez-Domingo J, Hwang SJ, Levin MJ, McElhaney JE, Poder A, Puig-</w:t>
            </w:r>
            <w:proofErr w:type="spellStart"/>
            <w:r w:rsidRPr="00D41179">
              <w:t>Barberà</w:t>
            </w:r>
            <w:proofErr w:type="spellEnd"/>
            <w:r w:rsidRPr="00D41179">
              <w:t xml:space="preserve"> J, </w:t>
            </w:r>
            <w:proofErr w:type="spellStart"/>
            <w:r w:rsidRPr="00D41179">
              <w:t>Vesikari</w:t>
            </w:r>
            <w:proofErr w:type="spellEnd"/>
            <w:r w:rsidRPr="00D41179">
              <w:t xml:space="preserve"> T. Efficacy of an adjuvanted herpes zoster subunit vaccine in older adults. </w:t>
            </w:r>
          </w:p>
        </w:tc>
        <w:tc>
          <w:tcPr>
            <w:tcW w:w="1177" w:type="pct"/>
            <w:tcBorders>
              <w:top w:val="nil"/>
              <w:bottom w:val="nil"/>
            </w:tcBorders>
            <w:shd w:val="clear" w:color="auto" w:fill="DAEEF3" w:themeFill="accent5" w:themeFillTint="33"/>
          </w:tcPr>
          <w:p w14:paraId="75009F7B" w14:textId="77777777" w:rsidR="00255F4A" w:rsidRPr="00D41179" w:rsidRDefault="00255F4A" w:rsidP="00F95692">
            <w:pPr>
              <w:pStyle w:val="TableText0"/>
            </w:pPr>
          </w:p>
          <w:p w14:paraId="33F31B09" w14:textId="77777777" w:rsidR="00255F4A" w:rsidRPr="00D41179" w:rsidRDefault="00255F4A" w:rsidP="00F95692">
            <w:pPr>
              <w:pStyle w:val="TableText0"/>
            </w:pPr>
            <w:r w:rsidRPr="00D41179">
              <w:t>New England Journal of Medicine. 2015 May 28;372(22):2087-96.</w:t>
            </w:r>
          </w:p>
        </w:tc>
      </w:tr>
      <w:tr w:rsidR="00255F4A" w:rsidRPr="00D41179" w14:paraId="64DCB04D" w14:textId="77777777">
        <w:trPr>
          <w:trHeight w:val="742"/>
        </w:trPr>
        <w:tc>
          <w:tcPr>
            <w:tcW w:w="796" w:type="pct"/>
            <w:vMerge w:val="restart"/>
          </w:tcPr>
          <w:p w14:paraId="7119E631" w14:textId="77777777" w:rsidR="00255F4A" w:rsidRPr="00D41179" w:rsidRDefault="00255F4A" w:rsidP="00F95692">
            <w:pPr>
              <w:pStyle w:val="TableText0"/>
            </w:pPr>
            <w:r w:rsidRPr="00D41179">
              <w:t>ZOE-70 (NCT01165229)</w:t>
            </w:r>
          </w:p>
        </w:tc>
        <w:tc>
          <w:tcPr>
            <w:tcW w:w="3027" w:type="pct"/>
            <w:tcBorders>
              <w:bottom w:val="nil"/>
            </w:tcBorders>
            <w:shd w:val="clear" w:color="auto" w:fill="DAEEF3" w:themeFill="accent5" w:themeFillTint="33"/>
            <w:vAlign w:val="center"/>
          </w:tcPr>
          <w:p w14:paraId="09A0D2FA" w14:textId="11A9A393" w:rsidR="00255F4A" w:rsidRPr="00D41179" w:rsidRDefault="001D7962" w:rsidP="00F95692">
            <w:pPr>
              <w:pStyle w:val="TableText0"/>
            </w:pPr>
            <w:r w:rsidRPr="00D41179">
              <w:t>CSR:</w:t>
            </w:r>
            <w:r w:rsidRPr="00D41179">
              <w:br/>
            </w:r>
            <w:r w:rsidR="00255F4A" w:rsidRPr="00D41179">
              <w:t>Efficacy, safety, and immunogenicity study of GlaxoSmithKline (GSK) Biologicals’ Herpes Zoster (HZ) vaccine GSK1437173A in adults aged ≥70 years</w:t>
            </w:r>
          </w:p>
        </w:tc>
        <w:tc>
          <w:tcPr>
            <w:tcW w:w="1177" w:type="pct"/>
            <w:tcBorders>
              <w:bottom w:val="nil"/>
            </w:tcBorders>
            <w:shd w:val="clear" w:color="auto" w:fill="DAEEF3" w:themeFill="accent5" w:themeFillTint="33"/>
          </w:tcPr>
          <w:p w14:paraId="79CA66F5" w14:textId="77777777" w:rsidR="00255F4A" w:rsidRPr="00D41179" w:rsidRDefault="00255F4A" w:rsidP="00F95692">
            <w:pPr>
              <w:pStyle w:val="TableText0"/>
            </w:pPr>
            <w:r w:rsidRPr="00D41179">
              <w:t>End of study CSR (data lock point 12 October 2015)</w:t>
            </w:r>
          </w:p>
        </w:tc>
      </w:tr>
      <w:tr w:rsidR="00255F4A" w:rsidRPr="00D41179" w14:paraId="0E506530" w14:textId="77777777">
        <w:tc>
          <w:tcPr>
            <w:tcW w:w="796" w:type="pct"/>
            <w:vMerge/>
            <w:tcBorders>
              <w:bottom w:val="nil"/>
            </w:tcBorders>
            <w:vAlign w:val="center"/>
          </w:tcPr>
          <w:p w14:paraId="01645803" w14:textId="77777777" w:rsidR="00255F4A" w:rsidRPr="00D41179" w:rsidRDefault="00255F4A" w:rsidP="00F95692">
            <w:pPr>
              <w:pStyle w:val="TableText0"/>
            </w:pPr>
          </w:p>
        </w:tc>
        <w:tc>
          <w:tcPr>
            <w:tcW w:w="3027" w:type="pct"/>
            <w:tcBorders>
              <w:top w:val="nil"/>
              <w:bottom w:val="single" w:sz="4" w:space="0" w:color="auto"/>
            </w:tcBorders>
            <w:shd w:val="clear" w:color="auto" w:fill="DAEEF3" w:themeFill="accent5" w:themeFillTint="33"/>
            <w:vAlign w:val="center"/>
          </w:tcPr>
          <w:p w14:paraId="01911CFF" w14:textId="77777777" w:rsidR="00255F4A" w:rsidRPr="00D41179" w:rsidRDefault="00255F4A" w:rsidP="00F95692">
            <w:pPr>
              <w:pStyle w:val="TableText0"/>
              <w:rPr>
                <w:szCs w:val="18"/>
              </w:rPr>
            </w:pPr>
            <w:r w:rsidRPr="00D41179">
              <w:t>Primary publication:</w:t>
            </w:r>
          </w:p>
          <w:p w14:paraId="37121511" w14:textId="77777777" w:rsidR="00255F4A" w:rsidRPr="00D41179" w:rsidRDefault="00255F4A" w:rsidP="00F95692">
            <w:pPr>
              <w:pStyle w:val="TableText0"/>
            </w:pPr>
            <w:r w:rsidRPr="00D41179">
              <w:t xml:space="preserve">Cunningham AL, Lal H, Kovac M, </w:t>
            </w:r>
            <w:proofErr w:type="spellStart"/>
            <w:r w:rsidRPr="00D41179">
              <w:t>Chlibek</w:t>
            </w:r>
            <w:proofErr w:type="spellEnd"/>
            <w:r w:rsidRPr="00D41179">
              <w:t xml:space="preserve"> R, Hwang SJ, Díez-Domingo J, Godeaux O, Levin MJ, McElhaney JE, Puig-</w:t>
            </w:r>
            <w:proofErr w:type="spellStart"/>
            <w:r w:rsidRPr="00D41179">
              <w:t>Barberà</w:t>
            </w:r>
            <w:proofErr w:type="spellEnd"/>
            <w:r w:rsidRPr="00D41179">
              <w:t xml:space="preserve"> J, Vanden Abeele C. Efficacy of the herpes zoster subunit vaccine in adults 70 years of age or older. </w:t>
            </w:r>
          </w:p>
        </w:tc>
        <w:tc>
          <w:tcPr>
            <w:tcW w:w="1177" w:type="pct"/>
            <w:tcBorders>
              <w:top w:val="nil"/>
              <w:bottom w:val="single" w:sz="4" w:space="0" w:color="auto"/>
            </w:tcBorders>
            <w:shd w:val="clear" w:color="auto" w:fill="DAEEF3" w:themeFill="accent5" w:themeFillTint="33"/>
          </w:tcPr>
          <w:p w14:paraId="4BBEF584" w14:textId="77777777" w:rsidR="00255F4A" w:rsidRPr="00D41179" w:rsidRDefault="00255F4A" w:rsidP="00F95692">
            <w:pPr>
              <w:pStyle w:val="TableText0"/>
            </w:pPr>
          </w:p>
          <w:p w14:paraId="77DDAD5B" w14:textId="77777777" w:rsidR="00255F4A" w:rsidRPr="00D41179" w:rsidRDefault="00255F4A" w:rsidP="00F95692">
            <w:pPr>
              <w:pStyle w:val="TableText0"/>
              <w:rPr>
                <w:i/>
              </w:rPr>
            </w:pPr>
            <w:r w:rsidRPr="00D41179">
              <w:t>New England Journal of Medicine. 2016 Sep 15;375(11):1019-32.</w:t>
            </w:r>
          </w:p>
        </w:tc>
      </w:tr>
      <w:tr w:rsidR="00CB1FB3" w:rsidRPr="00D41179" w14:paraId="2DB1E8F3" w14:textId="77777777" w:rsidTr="00503300">
        <w:tc>
          <w:tcPr>
            <w:tcW w:w="796" w:type="pct"/>
            <w:vMerge w:val="restart"/>
          </w:tcPr>
          <w:p w14:paraId="3D468FEB" w14:textId="578CD19F" w:rsidR="00CB1FB3" w:rsidRPr="00D41179" w:rsidRDefault="00CB1FB3" w:rsidP="00F95692">
            <w:pPr>
              <w:pStyle w:val="TableText0"/>
            </w:pPr>
            <w:bookmarkStart w:id="18" w:name="_Hlk205917312"/>
            <w:r w:rsidRPr="00D41179">
              <w:t>ZOE-50/-70 (pooled analyses)</w:t>
            </w:r>
            <w:bookmarkEnd w:id="18"/>
          </w:p>
        </w:tc>
        <w:tc>
          <w:tcPr>
            <w:tcW w:w="3027" w:type="pct"/>
            <w:tcBorders>
              <w:bottom w:val="nil"/>
            </w:tcBorders>
            <w:shd w:val="clear" w:color="auto" w:fill="DAEEF3" w:themeFill="accent5" w:themeFillTint="33"/>
            <w:vAlign w:val="center"/>
          </w:tcPr>
          <w:p w14:paraId="7BE7FC38" w14:textId="77777777" w:rsidR="00CB1FB3" w:rsidRPr="00D41179" w:rsidRDefault="00CB1FB3" w:rsidP="00F95692">
            <w:pPr>
              <w:pStyle w:val="TableText0"/>
            </w:pPr>
            <w:r w:rsidRPr="00D41179">
              <w:t>CSR:</w:t>
            </w:r>
            <w:r w:rsidRPr="00D41179">
              <w:br/>
              <w:t>Included in ZOE-70 CSR – see above</w:t>
            </w:r>
          </w:p>
          <w:p w14:paraId="570C0E06" w14:textId="12E99C89" w:rsidR="00E81A9A" w:rsidRPr="00D41179" w:rsidRDefault="00E81A9A" w:rsidP="00F95692">
            <w:pPr>
              <w:pStyle w:val="TableText0"/>
            </w:pPr>
          </w:p>
        </w:tc>
        <w:tc>
          <w:tcPr>
            <w:tcW w:w="1177" w:type="pct"/>
            <w:tcBorders>
              <w:bottom w:val="nil"/>
            </w:tcBorders>
            <w:shd w:val="clear" w:color="auto" w:fill="DAEEF3" w:themeFill="accent5" w:themeFillTint="33"/>
          </w:tcPr>
          <w:p w14:paraId="0482EC5A" w14:textId="20FC7B11" w:rsidR="00CB1FB3" w:rsidRPr="00D41179" w:rsidRDefault="00CB1FB3" w:rsidP="00F95692">
            <w:pPr>
              <w:pStyle w:val="TableText0"/>
            </w:pPr>
            <w:r w:rsidRPr="00D41179">
              <w:t>see above</w:t>
            </w:r>
          </w:p>
        </w:tc>
      </w:tr>
      <w:tr w:rsidR="00CB1FB3" w:rsidRPr="00D41179" w14:paraId="487691E7" w14:textId="77777777" w:rsidTr="00503300">
        <w:trPr>
          <w:trHeight w:val="884"/>
        </w:trPr>
        <w:tc>
          <w:tcPr>
            <w:tcW w:w="796" w:type="pct"/>
            <w:vMerge/>
            <w:vAlign w:val="center"/>
          </w:tcPr>
          <w:p w14:paraId="1D428B38" w14:textId="77777777" w:rsidR="00CB1FB3" w:rsidRPr="00D41179" w:rsidRDefault="00CB1FB3" w:rsidP="00F95692">
            <w:pPr>
              <w:pStyle w:val="TableText0"/>
            </w:pPr>
          </w:p>
        </w:tc>
        <w:tc>
          <w:tcPr>
            <w:tcW w:w="3027" w:type="pct"/>
            <w:tcBorders>
              <w:top w:val="nil"/>
              <w:bottom w:val="nil"/>
            </w:tcBorders>
            <w:shd w:val="clear" w:color="auto" w:fill="DAEEF3" w:themeFill="accent5" w:themeFillTint="33"/>
            <w:vAlign w:val="center"/>
          </w:tcPr>
          <w:p w14:paraId="659BBFBD" w14:textId="555F7FEA" w:rsidR="00CB1FB3" w:rsidRPr="00D41179" w:rsidRDefault="00CB1FB3" w:rsidP="00503300">
            <w:pPr>
              <w:pStyle w:val="TableText0"/>
            </w:pPr>
            <w:r w:rsidRPr="00D41179">
              <w:t>Primary publication:</w:t>
            </w:r>
            <w:r w:rsidRPr="00D41179">
              <w:br/>
              <w:t xml:space="preserve">Pre-specified pooled efficacy data in </w:t>
            </w:r>
            <w:r w:rsidRPr="00D41179">
              <w:rPr>
                <w:lang w:val="en"/>
              </w:rPr>
              <w:t>≥70 YOA included in primary publication for ZOE-70 – see above</w:t>
            </w:r>
            <w:r w:rsidRPr="00D41179">
              <w:t>.</w:t>
            </w:r>
          </w:p>
        </w:tc>
        <w:tc>
          <w:tcPr>
            <w:tcW w:w="1177" w:type="pct"/>
            <w:tcBorders>
              <w:top w:val="nil"/>
              <w:bottom w:val="nil"/>
            </w:tcBorders>
            <w:shd w:val="clear" w:color="auto" w:fill="DAEEF3" w:themeFill="accent5" w:themeFillTint="33"/>
          </w:tcPr>
          <w:p w14:paraId="2317A5C1" w14:textId="77777777" w:rsidR="00CB1FB3" w:rsidRPr="00D41179" w:rsidRDefault="00CB1FB3" w:rsidP="00F95692">
            <w:pPr>
              <w:pStyle w:val="TableText0"/>
            </w:pPr>
          </w:p>
          <w:p w14:paraId="5D3EACC3" w14:textId="0C3556D9" w:rsidR="00CB1FB3" w:rsidRPr="00D41179" w:rsidRDefault="00CB1FB3" w:rsidP="00503300">
            <w:pPr>
              <w:pStyle w:val="TableText0"/>
            </w:pPr>
            <w:r w:rsidRPr="00D41179">
              <w:t>see above</w:t>
            </w:r>
          </w:p>
        </w:tc>
      </w:tr>
      <w:tr w:rsidR="00CB1FB3" w:rsidRPr="00D41179" w14:paraId="719F1814" w14:textId="77777777" w:rsidTr="00503300">
        <w:trPr>
          <w:trHeight w:val="1178"/>
        </w:trPr>
        <w:tc>
          <w:tcPr>
            <w:tcW w:w="796" w:type="pct"/>
            <w:vMerge/>
            <w:vAlign w:val="center"/>
          </w:tcPr>
          <w:p w14:paraId="5B1C332B" w14:textId="77777777" w:rsidR="00CB1FB3" w:rsidRPr="00D41179" w:rsidRDefault="00CB1FB3" w:rsidP="00F95692">
            <w:pPr>
              <w:pStyle w:val="TableText0"/>
            </w:pPr>
          </w:p>
        </w:tc>
        <w:tc>
          <w:tcPr>
            <w:tcW w:w="3027" w:type="pct"/>
            <w:tcBorders>
              <w:top w:val="nil"/>
              <w:bottom w:val="single" w:sz="4" w:space="0" w:color="auto"/>
            </w:tcBorders>
            <w:shd w:val="clear" w:color="auto" w:fill="FFFFFF" w:themeFill="background1"/>
            <w:vAlign w:val="center"/>
          </w:tcPr>
          <w:p w14:paraId="504CD81F" w14:textId="77777777" w:rsidR="00CB1FB3" w:rsidRPr="00D41179" w:rsidRDefault="00CB1FB3" w:rsidP="00CB1FB3">
            <w:pPr>
              <w:pStyle w:val="TableText0"/>
              <w:shd w:val="clear" w:color="auto" w:fill="FFFFFF" w:themeFill="background1"/>
            </w:pPr>
            <w:r w:rsidRPr="00D41179">
              <w:t>Supporting publication:</w:t>
            </w:r>
            <w:r w:rsidRPr="00D41179">
              <w:br/>
              <w:t>Post-hoc immunogenicity data in ≥50 YOA pooled and by age strata:</w:t>
            </w:r>
          </w:p>
          <w:p w14:paraId="63E3CDF6" w14:textId="77777777" w:rsidR="00CB1FB3" w:rsidRPr="00D41179" w:rsidRDefault="00CB1FB3" w:rsidP="00CB1FB3">
            <w:pPr>
              <w:pStyle w:val="TableText0"/>
              <w:shd w:val="clear" w:color="auto" w:fill="FFFFFF" w:themeFill="background1"/>
            </w:pPr>
            <w:r w:rsidRPr="00D41179">
              <w:rPr>
                <w:szCs w:val="20"/>
              </w:rPr>
              <w:t xml:space="preserve">Cunningham AL, Heineman TC, Lal H, Godeaux O, </w:t>
            </w:r>
            <w:proofErr w:type="spellStart"/>
            <w:r w:rsidRPr="00D41179">
              <w:rPr>
                <w:szCs w:val="20"/>
              </w:rPr>
              <w:t>Chlibek</w:t>
            </w:r>
            <w:proofErr w:type="spellEnd"/>
            <w:r w:rsidRPr="00D41179">
              <w:rPr>
                <w:szCs w:val="20"/>
              </w:rPr>
              <w:t xml:space="preserve"> R, Hwang SJ, . . . Levin MJ. Immune responses to a recombinant glycoprotein e herpes zoster vaccine in adults aged 50 years or older.</w:t>
            </w:r>
          </w:p>
        </w:tc>
        <w:tc>
          <w:tcPr>
            <w:tcW w:w="1177" w:type="pct"/>
            <w:tcBorders>
              <w:top w:val="nil"/>
              <w:bottom w:val="single" w:sz="4" w:space="0" w:color="auto"/>
            </w:tcBorders>
            <w:shd w:val="clear" w:color="auto" w:fill="FFFFFF" w:themeFill="background1"/>
          </w:tcPr>
          <w:p w14:paraId="3561524D" w14:textId="60B8D834" w:rsidR="00CB1FB3" w:rsidRPr="00D41179" w:rsidRDefault="00CB1FB3" w:rsidP="00E50B6D">
            <w:pPr>
              <w:pStyle w:val="TableText0"/>
              <w:shd w:val="clear" w:color="auto" w:fill="FFFFFF" w:themeFill="background1"/>
            </w:pPr>
            <w:r w:rsidRPr="00D41179">
              <w:rPr>
                <w:szCs w:val="20"/>
              </w:rPr>
              <w:t>Journal of Infectious Diseases. 2018; 217(11): 1750-1760.</w:t>
            </w:r>
          </w:p>
        </w:tc>
      </w:tr>
      <w:tr w:rsidR="00255F4A" w:rsidRPr="00D41179" w14:paraId="164AF99F" w14:textId="77777777" w:rsidTr="00503300">
        <w:tc>
          <w:tcPr>
            <w:tcW w:w="796" w:type="pct"/>
            <w:vMerge w:val="restart"/>
            <w:tcBorders>
              <w:top w:val="single" w:sz="4" w:space="0" w:color="auto"/>
              <w:bottom w:val="single" w:sz="4" w:space="0" w:color="auto"/>
            </w:tcBorders>
          </w:tcPr>
          <w:p w14:paraId="07C81553" w14:textId="77777777" w:rsidR="00255F4A" w:rsidRPr="00D41179" w:rsidRDefault="00255F4A" w:rsidP="00F95692">
            <w:pPr>
              <w:pStyle w:val="TableText0"/>
            </w:pPr>
            <w:r w:rsidRPr="00D41179">
              <w:t>ZOSTER-049 / ZOE-LTFU (NCT02723773)</w:t>
            </w:r>
          </w:p>
        </w:tc>
        <w:tc>
          <w:tcPr>
            <w:tcW w:w="3027" w:type="pct"/>
            <w:tcBorders>
              <w:top w:val="single" w:sz="4" w:space="0" w:color="auto"/>
              <w:bottom w:val="single" w:sz="4" w:space="0" w:color="auto"/>
            </w:tcBorders>
            <w:vAlign w:val="center"/>
          </w:tcPr>
          <w:p w14:paraId="21E6D2CB" w14:textId="77777777" w:rsidR="00255F4A" w:rsidRPr="00D41179" w:rsidRDefault="00255F4A" w:rsidP="00F95692">
            <w:pPr>
              <w:pStyle w:val="TableText0"/>
            </w:pPr>
            <w:r w:rsidRPr="00D41179">
              <w:t xml:space="preserve">A phase </w:t>
            </w:r>
            <w:proofErr w:type="spellStart"/>
            <w:r w:rsidRPr="00D41179">
              <w:t>IIIb</w:t>
            </w:r>
            <w:proofErr w:type="spellEnd"/>
            <w:r w:rsidRPr="00D41179">
              <w:t>, open-label, multi-country, multi-centre, long-term follow-up study (ZOE-LTFU) of studies 110390 and 113077 (ZOSTER-006/022) to assess the prophylactic efficacy, safety, and immunogenicity persistence of GSK Biologicals’ Herpes Zoster subunit (HZ/</w:t>
            </w:r>
            <w:proofErr w:type="spellStart"/>
            <w:r w:rsidRPr="00D41179">
              <w:t>su</w:t>
            </w:r>
            <w:proofErr w:type="spellEnd"/>
            <w:r w:rsidRPr="00D41179">
              <w:t>) vaccine and assessment of 1 or 2 additional doses on a 0 or 0, 2-month schedule in two subgroups of older adults.</w:t>
            </w:r>
          </w:p>
        </w:tc>
        <w:tc>
          <w:tcPr>
            <w:tcW w:w="1177" w:type="pct"/>
            <w:tcBorders>
              <w:top w:val="single" w:sz="4" w:space="0" w:color="auto"/>
              <w:bottom w:val="single" w:sz="4" w:space="0" w:color="auto"/>
            </w:tcBorders>
            <w:shd w:val="clear" w:color="auto" w:fill="FFFFFF" w:themeFill="background1"/>
          </w:tcPr>
          <w:p w14:paraId="2F316DB8" w14:textId="77777777" w:rsidR="00255F4A" w:rsidRPr="00D41179" w:rsidRDefault="00255F4A" w:rsidP="00F95692">
            <w:pPr>
              <w:pStyle w:val="TableText0"/>
              <w:rPr>
                <w:i/>
                <w:szCs w:val="18"/>
              </w:rPr>
            </w:pPr>
            <w:r w:rsidRPr="00D41179">
              <w:t>Final CSR (data lock point 01 December 2023)</w:t>
            </w:r>
          </w:p>
        </w:tc>
      </w:tr>
      <w:tr w:rsidR="00255F4A" w:rsidRPr="00D41179" w14:paraId="4DA2ED78" w14:textId="77777777" w:rsidTr="00255F4A">
        <w:tc>
          <w:tcPr>
            <w:tcW w:w="796" w:type="pct"/>
            <w:vMerge/>
            <w:tcBorders>
              <w:top w:val="single" w:sz="4" w:space="0" w:color="auto"/>
            </w:tcBorders>
          </w:tcPr>
          <w:p w14:paraId="55571111" w14:textId="77777777" w:rsidR="00255F4A" w:rsidRPr="00D41179" w:rsidRDefault="00255F4A" w:rsidP="00F95692">
            <w:pPr>
              <w:pStyle w:val="TableText0"/>
            </w:pPr>
          </w:p>
        </w:tc>
        <w:tc>
          <w:tcPr>
            <w:tcW w:w="3027" w:type="pct"/>
            <w:tcBorders>
              <w:top w:val="single" w:sz="4" w:space="0" w:color="auto"/>
              <w:bottom w:val="nil"/>
            </w:tcBorders>
            <w:shd w:val="clear" w:color="auto" w:fill="DAEEF3" w:themeFill="accent5" w:themeFillTint="33"/>
            <w:vAlign w:val="center"/>
          </w:tcPr>
          <w:p w14:paraId="2EE127F1" w14:textId="71D96C99" w:rsidR="00AE7956" w:rsidRPr="00D41179" w:rsidRDefault="00AE7956" w:rsidP="00F95692">
            <w:pPr>
              <w:pStyle w:val="TableText0"/>
              <w:rPr>
                <w:color w:val="215868" w:themeColor="accent5" w:themeShade="80"/>
              </w:rPr>
            </w:pPr>
            <w:r w:rsidRPr="00D41179">
              <w:t>Primary publication:</w:t>
            </w:r>
            <w:r w:rsidRPr="00D41179">
              <w:br/>
            </w:r>
            <w:proofErr w:type="spellStart"/>
            <w:r w:rsidRPr="00D41179">
              <w:t>Strezova</w:t>
            </w:r>
            <w:proofErr w:type="spellEnd"/>
            <w:r w:rsidRPr="00D41179">
              <w:t xml:space="preserve"> A, Domingo JD, Cunningham AL, Eto T, Andrews C, Arns C, Choo EJ, Hui DS, Icardi G, McNeil SA, Põder A. Final analysis of the ZOE-LTFU trial to 11 years post-vaccination: efficacy of the adjuvanted recombinant zoster vaccine against herpes zoster and related complications.</w:t>
            </w:r>
            <w:r w:rsidRPr="00D41179">
              <w:rPr>
                <w:color w:val="215868" w:themeColor="accent5" w:themeShade="80"/>
              </w:rPr>
              <w:t xml:space="preserve"> [final analysis; data lock point 1 December 2023]</w:t>
            </w:r>
          </w:p>
          <w:p w14:paraId="1B9C53CA" w14:textId="77777777" w:rsidR="00AE7956" w:rsidRPr="00D41179" w:rsidRDefault="00AE7956" w:rsidP="00F95692">
            <w:pPr>
              <w:pStyle w:val="TableText0"/>
            </w:pPr>
          </w:p>
          <w:p w14:paraId="08369DE2" w14:textId="06ACA35A" w:rsidR="00255F4A" w:rsidRPr="00D41179" w:rsidRDefault="00E9464D" w:rsidP="00F95692">
            <w:pPr>
              <w:pStyle w:val="TableText0"/>
              <w:rPr>
                <w:szCs w:val="18"/>
              </w:rPr>
            </w:pPr>
            <w:r w:rsidRPr="00D41179">
              <w:t>Supporting</w:t>
            </w:r>
            <w:r w:rsidR="00255F4A" w:rsidRPr="00D41179">
              <w:t xml:space="preserve"> publication:</w:t>
            </w:r>
          </w:p>
          <w:p w14:paraId="0C995D69" w14:textId="77777777" w:rsidR="00255F4A" w:rsidRPr="00D41179" w:rsidRDefault="00255F4A" w:rsidP="00F95692">
            <w:pPr>
              <w:pStyle w:val="TableText0"/>
              <w:rPr>
                <w:color w:val="215868" w:themeColor="accent5" w:themeShade="80"/>
              </w:rPr>
            </w:pPr>
            <w:proofErr w:type="spellStart"/>
            <w:r w:rsidRPr="00D41179">
              <w:t>Boutry</w:t>
            </w:r>
            <w:proofErr w:type="spellEnd"/>
            <w:r w:rsidRPr="00D41179">
              <w:t xml:space="preserve"> C, Hastie A, Diez-Domingo J, Tinoco JC, Yu CJ, Andrews C, </w:t>
            </w:r>
            <w:proofErr w:type="spellStart"/>
            <w:r w:rsidRPr="00D41179">
              <w:t>Beytout</w:t>
            </w:r>
            <w:proofErr w:type="spellEnd"/>
            <w:r w:rsidRPr="00D41179">
              <w:t xml:space="preserve"> J, Caso C, Cheng HS, Cheong HJ, Choo EJ. The adjuvanted recombinant zoster vaccine confers long-term protection against herpes zoster: interim results of an extension study of the pivotal phase 3 clinical trials ZOE-50 and ZOE-70.</w:t>
            </w:r>
            <w:r w:rsidRPr="00D41179">
              <w:rPr>
                <w:color w:val="215868" w:themeColor="accent5" w:themeShade="80"/>
              </w:rPr>
              <w:t xml:space="preserve"> [first interim analysis; data lock point 30 July 2019]</w:t>
            </w:r>
          </w:p>
          <w:p w14:paraId="32539F60" w14:textId="77777777" w:rsidR="00AE7956" w:rsidRPr="00D41179" w:rsidRDefault="00AE7956" w:rsidP="00F95692">
            <w:pPr>
              <w:pStyle w:val="TableText0"/>
              <w:rPr>
                <w:szCs w:val="18"/>
              </w:rPr>
            </w:pPr>
          </w:p>
        </w:tc>
        <w:tc>
          <w:tcPr>
            <w:tcW w:w="1177" w:type="pct"/>
            <w:tcBorders>
              <w:top w:val="single" w:sz="4" w:space="0" w:color="auto"/>
              <w:bottom w:val="nil"/>
            </w:tcBorders>
            <w:shd w:val="clear" w:color="auto" w:fill="DAEEF3" w:themeFill="accent5" w:themeFillTint="33"/>
          </w:tcPr>
          <w:p w14:paraId="4D15E929" w14:textId="7DD80EE0" w:rsidR="00255F4A" w:rsidRPr="00D41179" w:rsidRDefault="00AE7956" w:rsidP="00F95692">
            <w:pPr>
              <w:pStyle w:val="TableText0"/>
            </w:pPr>
            <w:proofErr w:type="spellStart"/>
            <w:r w:rsidRPr="00D41179">
              <w:t>eClinicalMedicine</w:t>
            </w:r>
            <w:proofErr w:type="spellEnd"/>
            <w:r w:rsidRPr="00D41179">
              <w:t>. 2025 May 1;83.</w:t>
            </w:r>
          </w:p>
          <w:p w14:paraId="596A0B89" w14:textId="77777777" w:rsidR="00AE7956" w:rsidRPr="00D41179" w:rsidRDefault="00AE7956" w:rsidP="00F95692">
            <w:pPr>
              <w:pStyle w:val="TableText0"/>
            </w:pPr>
          </w:p>
          <w:p w14:paraId="130500E6" w14:textId="77777777" w:rsidR="00AE7956" w:rsidRPr="00D41179" w:rsidRDefault="00AE7956" w:rsidP="00F95692">
            <w:pPr>
              <w:pStyle w:val="TableText0"/>
            </w:pPr>
          </w:p>
          <w:p w14:paraId="3964973E" w14:textId="77777777" w:rsidR="00AE7956" w:rsidRPr="00D41179" w:rsidRDefault="00AE7956" w:rsidP="00F95692">
            <w:pPr>
              <w:pStyle w:val="TableText0"/>
            </w:pPr>
          </w:p>
          <w:p w14:paraId="2A63B359" w14:textId="77777777" w:rsidR="00AE7956" w:rsidRPr="00D41179" w:rsidRDefault="00AE7956" w:rsidP="00F95692">
            <w:pPr>
              <w:pStyle w:val="TableText0"/>
            </w:pPr>
          </w:p>
          <w:p w14:paraId="023D5791" w14:textId="77777777" w:rsidR="00AE7956" w:rsidRPr="00D41179" w:rsidRDefault="00AE7956" w:rsidP="00F95692">
            <w:pPr>
              <w:pStyle w:val="TableText0"/>
            </w:pPr>
          </w:p>
          <w:p w14:paraId="5C9EA814" w14:textId="77777777" w:rsidR="00255F4A" w:rsidRPr="00D41179" w:rsidRDefault="00255F4A" w:rsidP="00F95692">
            <w:pPr>
              <w:pStyle w:val="TableText0"/>
              <w:rPr>
                <w:szCs w:val="18"/>
              </w:rPr>
            </w:pPr>
            <w:r w:rsidRPr="00D41179">
              <w:t>Clinical Infectious Diseases. 2022 Apr 15;74(8):1459-67.</w:t>
            </w:r>
          </w:p>
        </w:tc>
      </w:tr>
      <w:tr w:rsidR="00255F4A" w:rsidRPr="00D41179" w14:paraId="69A06DC5" w14:textId="77777777">
        <w:tc>
          <w:tcPr>
            <w:tcW w:w="796" w:type="pct"/>
            <w:vMerge/>
          </w:tcPr>
          <w:p w14:paraId="7E7CE523" w14:textId="77777777" w:rsidR="00255F4A" w:rsidRPr="00D41179" w:rsidRDefault="00255F4A" w:rsidP="00F95692">
            <w:pPr>
              <w:pStyle w:val="TableText0"/>
            </w:pPr>
          </w:p>
        </w:tc>
        <w:tc>
          <w:tcPr>
            <w:tcW w:w="3027" w:type="pct"/>
            <w:tcBorders>
              <w:top w:val="nil"/>
              <w:bottom w:val="nil"/>
            </w:tcBorders>
            <w:shd w:val="clear" w:color="auto" w:fill="DAEEF3" w:themeFill="accent5" w:themeFillTint="33"/>
            <w:vAlign w:val="center"/>
          </w:tcPr>
          <w:p w14:paraId="186F7A09" w14:textId="770FCB60" w:rsidR="00255F4A" w:rsidRPr="00D41179" w:rsidRDefault="00255F4A" w:rsidP="00F95692">
            <w:pPr>
              <w:pStyle w:val="TableText0"/>
              <w:rPr>
                <w:szCs w:val="18"/>
              </w:rPr>
            </w:pPr>
            <w:r w:rsidRPr="00D41179">
              <w:t>Supporting publication:</w:t>
            </w:r>
          </w:p>
          <w:p w14:paraId="07A96ABD" w14:textId="77777777" w:rsidR="00255F4A" w:rsidRPr="00D41179" w:rsidRDefault="00255F4A" w:rsidP="00F95692">
            <w:pPr>
              <w:pStyle w:val="TableText0"/>
            </w:pPr>
            <w:proofErr w:type="spellStart"/>
            <w:r w:rsidRPr="00D41179">
              <w:lastRenderedPageBreak/>
              <w:t>Strezova</w:t>
            </w:r>
            <w:proofErr w:type="spellEnd"/>
            <w:r w:rsidRPr="00D41179">
              <w:t xml:space="preserve"> A, Diez-Domingo J, Al Shawafi K, Tinoco JC, Shi M, Pirrotta P, </w:t>
            </w:r>
            <w:proofErr w:type="spellStart"/>
            <w:r w:rsidRPr="00D41179">
              <w:t>Mwakingwe</w:t>
            </w:r>
            <w:proofErr w:type="spellEnd"/>
            <w:r w:rsidRPr="00D41179">
              <w:t xml:space="preserve">-Omari A. Long-term protection against herpes zoster by the adjuvanted recombinant zoster vaccine: interim efficacy, immunogenicity, and safety results up to 10 years after initial vaccination. </w:t>
            </w:r>
            <w:r w:rsidRPr="00D41179">
              <w:rPr>
                <w:color w:val="215868" w:themeColor="accent5" w:themeShade="80"/>
              </w:rPr>
              <w:t>[second interim analysis; data lock point 19 August 2021]</w:t>
            </w:r>
          </w:p>
        </w:tc>
        <w:tc>
          <w:tcPr>
            <w:tcW w:w="1177" w:type="pct"/>
            <w:tcBorders>
              <w:top w:val="nil"/>
              <w:bottom w:val="nil"/>
            </w:tcBorders>
            <w:shd w:val="clear" w:color="auto" w:fill="DAEEF3" w:themeFill="accent5" w:themeFillTint="33"/>
          </w:tcPr>
          <w:p w14:paraId="0970825F" w14:textId="77777777" w:rsidR="00255F4A" w:rsidRPr="00D41179" w:rsidRDefault="00255F4A" w:rsidP="00F95692">
            <w:pPr>
              <w:pStyle w:val="TableText0"/>
            </w:pPr>
          </w:p>
          <w:p w14:paraId="3C462258" w14:textId="77777777" w:rsidR="00255F4A" w:rsidRPr="00D41179" w:rsidRDefault="00255F4A" w:rsidP="00F95692">
            <w:pPr>
              <w:pStyle w:val="TableText0"/>
            </w:pPr>
            <w:r w:rsidRPr="00D41179">
              <w:lastRenderedPageBreak/>
              <w:t>In Open Forum Infectious Diseases 2022 Oct 1 (Vol. 9, No. 10, p. ofac485). US: Oxford University Press.</w:t>
            </w:r>
          </w:p>
        </w:tc>
      </w:tr>
      <w:tr w:rsidR="00255F4A" w:rsidRPr="00D41179" w14:paraId="1F5DF7D9" w14:textId="77777777">
        <w:tc>
          <w:tcPr>
            <w:tcW w:w="796" w:type="pct"/>
            <w:vMerge/>
            <w:tcBorders>
              <w:bottom w:val="single" w:sz="4" w:space="0" w:color="auto"/>
            </w:tcBorders>
          </w:tcPr>
          <w:p w14:paraId="4AA01CAC" w14:textId="77777777" w:rsidR="00255F4A" w:rsidRPr="00D41179" w:rsidRDefault="00255F4A" w:rsidP="00F95692">
            <w:pPr>
              <w:pStyle w:val="TableText0"/>
            </w:pPr>
          </w:p>
        </w:tc>
        <w:tc>
          <w:tcPr>
            <w:tcW w:w="3027" w:type="pct"/>
            <w:tcBorders>
              <w:top w:val="nil"/>
              <w:bottom w:val="single" w:sz="4" w:space="0" w:color="auto"/>
            </w:tcBorders>
            <w:vAlign w:val="center"/>
          </w:tcPr>
          <w:p w14:paraId="7B78C0DB" w14:textId="22A506C2" w:rsidR="00255F4A" w:rsidRPr="00D41179" w:rsidRDefault="00255F4A" w:rsidP="00F95692">
            <w:pPr>
              <w:pStyle w:val="TableText0"/>
            </w:pPr>
          </w:p>
        </w:tc>
        <w:tc>
          <w:tcPr>
            <w:tcW w:w="1177" w:type="pct"/>
            <w:tcBorders>
              <w:top w:val="nil"/>
              <w:bottom w:val="single" w:sz="4" w:space="0" w:color="auto"/>
            </w:tcBorders>
          </w:tcPr>
          <w:p w14:paraId="628B919C" w14:textId="3D29A40C" w:rsidR="00255F4A" w:rsidRPr="00D41179" w:rsidRDefault="00255F4A" w:rsidP="00F95692">
            <w:pPr>
              <w:pStyle w:val="TableText0"/>
              <w:rPr>
                <w:szCs w:val="18"/>
              </w:rPr>
            </w:pPr>
          </w:p>
        </w:tc>
      </w:tr>
    </w:tbl>
    <w:p w14:paraId="13D66571" w14:textId="39392F1C" w:rsidR="00255F4A" w:rsidRPr="00D41179" w:rsidRDefault="00255F4A" w:rsidP="007020F6">
      <w:pPr>
        <w:pStyle w:val="FooterTableFigure"/>
        <w:keepNext/>
        <w:keepLines/>
        <w:widowControl w:val="0"/>
      </w:pPr>
      <w:r w:rsidRPr="00D41179">
        <w:t xml:space="preserve">Source: </w:t>
      </w:r>
      <w:r w:rsidR="00651A8D" w:rsidRPr="00D41179">
        <w:t>C</w:t>
      </w:r>
      <w:r w:rsidRPr="00D41179">
        <w:t>ompiled from:</w:t>
      </w:r>
      <w:r w:rsidR="00651A8D" w:rsidRPr="00D41179">
        <w:t xml:space="preserve"> </w:t>
      </w:r>
      <w:r w:rsidRPr="00D41179">
        <w:t>Table 2-4: Trials (and associated reports) presented in the submission, pp71-72 of the submission;</w:t>
      </w:r>
      <w:r w:rsidR="00651A8D" w:rsidRPr="00D41179">
        <w:t xml:space="preserve"> </w:t>
      </w:r>
      <w:r w:rsidRPr="00D41179">
        <w:t>Table 2 5: A summary of the supporting documentation and location of results for studies included in this submission, p75 pf the submission.</w:t>
      </w:r>
    </w:p>
    <w:p w14:paraId="22FE4C09" w14:textId="77777777" w:rsidR="00255F4A" w:rsidRPr="00D41179" w:rsidRDefault="00255F4A" w:rsidP="007020F6">
      <w:pPr>
        <w:pStyle w:val="FooterTableFigure"/>
        <w:keepNext/>
        <w:keepLines/>
        <w:widowControl w:val="0"/>
      </w:pPr>
      <w:r w:rsidRPr="00D41179">
        <w:rPr>
          <w:shd w:val="clear" w:color="auto" w:fill="DAEEF3" w:themeFill="accent5" w:themeFillTint="33"/>
        </w:rPr>
        <w:t>Text in blue indicates trials or publications previously presented to PBAC</w:t>
      </w:r>
      <w:r w:rsidRPr="00D41179">
        <w:t>.</w:t>
      </w:r>
    </w:p>
    <w:p w14:paraId="7813A074" w14:textId="21CCCA4C" w:rsidR="00224E1A" w:rsidRPr="00D41179" w:rsidRDefault="00224E1A" w:rsidP="00224E1A">
      <w:pPr>
        <w:pStyle w:val="3-BodyText"/>
      </w:pPr>
      <w:r w:rsidRPr="00D41179">
        <w:t>The key features of the included evidence are summarised in</w:t>
      </w:r>
      <w:r w:rsidR="008839FA" w:rsidRPr="00D41179">
        <w:t xml:space="preserve"> </w:t>
      </w:r>
      <w:r w:rsidR="008839FA" w:rsidRPr="00D41179">
        <w:fldChar w:fldCharType="begin"/>
      </w:r>
      <w:r w:rsidR="008839FA" w:rsidRPr="00D41179">
        <w:instrText xml:space="preserve"> REF _Ref207877784 \h  \* MERGEFORMAT </w:instrText>
      </w:r>
      <w:r w:rsidR="008839FA" w:rsidRPr="00D41179">
        <w:fldChar w:fldCharType="separate"/>
      </w:r>
      <w:r w:rsidR="00E7345C" w:rsidRPr="00D41179">
        <w:t>Table 3</w:t>
      </w:r>
      <w:r w:rsidR="008839FA" w:rsidRPr="00D41179">
        <w:fldChar w:fldCharType="end"/>
      </w:r>
      <w:r w:rsidR="008839FA" w:rsidRPr="00D41179">
        <w:t>.</w:t>
      </w:r>
    </w:p>
    <w:p w14:paraId="60109A4D" w14:textId="7FA5C249" w:rsidR="00224E1A" w:rsidRPr="00D41179" w:rsidRDefault="00224E1A" w:rsidP="00ED2B74">
      <w:pPr>
        <w:pStyle w:val="Caption"/>
        <w:rPr>
          <w:rStyle w:val="CommentReference"/>
          <w:rFonts w:eastAsiaTheme="majorEastAsia" w:cstheme="majorBidi"/>
          <w:b/>
          <w:szCs w:val="24"/>
        </w:rPr>
      </w:pPr>
      <w:bookmarkStart w:id="19" w:name="_Ref207877784"/>
      <w:r w:rsidRPr="00D41179">
        <w:rPr>
          <w:rStyle w:val="CommentReference"/>
          <w:rFonts w:eastAsiaTheme="majorEastAsia" w:cstheme="majorBidi"/>
          <w:b/>
          <w:szCs w:val="24"/>
        </w:rPr>
        <w:t>Table</w:t>
      </w:r>
      <w:r w:rsidR="00ED2B74" w:rsidRPr="00D41179">
        <w:rPr>
          <w:rStyle w:val="CommentReference"/>
          <w:rFonts w:eastAsiaTheme="majorEastAsia" w:cstheme="majorBidi"/>
          <w:b/>
          <w:szCs w:val="24"/>
        </w:rPr>
        <w:t xml:space="preserve"> </w:t>
      </w:r>
      <w:r w:rsidR="00ED2B74" w:rsidRPr="00D41179">
        <w:rPr>
          <w:rStyle w:val="CommentReference"/>
          <w:rFonts w:eastAsiaTheme="majorEastAsia" w:cstheme="majorBidi"/>
          <w:b/>
          <w:szCs w:val="24"/>
        </w:rPr>
        <w:fldChar w:fldCharType="begin"/>
      </w:r>
      <w:r w:rsidR="00ED2B74" w:rsidRPr="00D41179">
        <w:rPr>
          <w:rStyle w:val="CommentReference"/>
          <w:rFonts w:eastAsiaTheme="majorEastAsia" w:cstheme="majorBidi"/>
          <w:b/>
          <w:szCs w:val="24"/>
        </w:rPr>
        <w:instrText xml:space="preserve"> SEQ Table \* ARABIC </w:instrText>
      </w:r>
      <w:r w:rsidR="00ED2B74" w:rsidRPr="00D41179">
        <w:rPr>
          <w:rStyle w:val="CommentReference"/>
          <w:rFonts w:eastAsiaTheme="majorEastAsia" w:cstheme="majorBidi"/>
          <w:b/>
          <w:szCs w:val="24"/>
        </w:rPr>
        <w:fldChar w:fldCharType="separate"/>
      </w:r>
      <w:r w:rsidR="00E7345C" w:rsidRPr="00D41179">
        <w:rPr>
          <w:rStyle w:val="CommentReference"/>
          <w:rFonts w:eastAsiaTheme="majorEastAsia" w:cstheme="majorBidi"/>
          <w:b/>
          <w:noProof/>
          <w:szCs w:val="24"/>
        </w:rPr>
        <w:t>3</w:t>
      </w:r>
      <w:r w:rsidR="00ED2B74" w:rsidRPr="00D41179">
        <w:rPr>
          <w:rStyle w:val="CommentReference"/>
          <w:rFonts w:eastAsiaTheme="majorEastAsia" w:cstheme="majorBidi"/>
          <w:b/>
          <w:szCs w:val="24"/>
        </w:rPr>
        <w:fldChar w:fldCharType="end"/>
      </w:r>
      <w:bookmarkEnd w:id="19"/>
      <w:r w:rsidRPr="00D41179">
        <w:rPr>
          <w:rStyle w:val="CommentReference"/>
          <w:rFonts w:eastAsiaTheme="majorEastAsia" w:cstheme="majorBidi"/>
          <w:b/>
          <w:szCs w:val="24"/>
        </w:rPr>
        <w:t xml:space="preserve">: Key features of the included evidence: RZV versus placebo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Table 3: Key features of the included evidence: RZV versus placebo "/>
      </w:tblPr>
      <w:tblGrid>
        <w:gridCol w:w="1131"/>
        <w:gridCol w:w="709"/>
        <w:gridCol w:w="1558"/>
        <w:gridCol w:w="709"/>
        <w:gridCol w:w="1417"/>
        <w:gridCol w:w="2126"/>
        <w:gridCol w:w="1367"/>
      </w:tblGrid>
      <w:tr w:rsidR="00224E1A" w:rsidRPr="00D41179" w14:paraId="51DE69C5" w14:textId="77777777">
        <w:trPr>
          <w:cantSplit/>
          <w:tblHeader/>
        </w:trPr>
        <w:tc>
          <w:tcPr>
            <w:tcW w:w="627" w:type="pct"/>
            <w:vAlign w:val="center"/>
          </w:tcPr>
          <w:p w14:paraId="77FC7880" w14:textId="77777777" w:rsidR="00224E1A" w:rsidRPr="00D41179" w:rsidRDefault="00224E1A" w:rsidP="00294858">
            <w:pPr>
              <w:pStyle w:val="In-tableHeading"/>
            </w:pPr>
            <w:r w:rsidRPr="00D41179">
              <w:t>Trial</w:t>
            </w:r>
          </w:p>
        </w:tc>
        <w:tc>
          <w:tcPr>
            <w:tcW w:w="393" w:type="pct"/>
            <w:vAlign w:val="center"/>
          </w:tcPr>
          <w:p w14:paraId="2BA7C25C" w14:textId="77777777" w:rsidR="00224E1A" w:rsidRPr="00D41179" w:rsidRDefault="00224E1A" w:rsidP="00294858">
            <w:pPr>
              <w:pStyle w:val="In-tableHeading"/>
            </w:pPr>
            <w:r w:rsidRPr="00D41179">
              <w:t>N</w:t>
            </w:r>
          </w:p>
        </w:tc>
        <w:tc>
          <w:tcPr>
            <w:tcW w:w="864" w:type="pct"/>
            <w:vAlign w:val="center"/>
          </w:tcPr>
          <w:p w14:paraId="5DD800A3" w14:textId="77777777" w:rsidR="00224E1A" w:rsidRPr="00D41179" w:rsidRDefault="00224E1A" w:rsidP="00294858">
            <w:pPr>
              <w:pStyle w:val="In-tableHeading"/>
            </w:pPr>
            <w:r w:rsidRPr="00D41179">
              <w:t>Design/ duration</w:t>
            </w:r>
          </w:p>
        </w:tc>
        <w:tc>
          <w:tcPr>
            <w:tcW w:w="393" w:type="pct"/>
            <w:vAlign w:val="center"/>
          </w:tcPr>
          <w:p w14:paraId="429D566A" w14:textId="77777777" w:rsidR="00224E1A" w:rsidRPr="00D41179" w:rsidRDefault="00224E1A" w:rsidP="00294858">
            <w:pPr>
              <w:pStyle w:val="In-tableHeading"/>
            </w:pPr>
            <w:r w:rsidRPr="00D41179">
              <w:t>Risk of bias</w:t>
            </w:r>
          </w:p>
        </w:tc>
        <w:tc>
          <w:tcPr>
            <w:tcW w:w="786" w:type="pct"/>
            <w:vAlign w:val="center"/>
          </w:tcPr>
          <w:p w14:paraId="2908FB3F" w14:textId="77777777" w:rsidR="00224E1A" w:rsidRPr="00D41179" w:rsidRDefault="00224E1A" w:rsidP="00294858">
            <w:pPr>
              <w:pStyle w:val="In-tableHeading"/>
            </w:pPr>
            <w:r w:rsidRPr="00D41179">
              <w:t>Patient population</w:t>
            </w:r>
          </w:p>
        </w:tc>
        <w:tc>
          <w:tcPr>
            <w:tcW w:w="1179" w:type="pct"/>
            <w:vAlign w:val="center"/>
          </w:tcPr>
          <w:p w14:paraId="589B7873" w14:textId="77777777" w:rsidR="00224E1A" w:rsidRPr="00D41179" w:rsidRDefault="00224E1A" w:rsidP="00294858">
            <w:pPr>
              <w:pStyle w:val="In-tableHeading"/>
            </w:pPr>
            <w:r w:rsidRPr="00D41179">
              <w:t>Outcome(s)</w:t>
            </w:r>
          </w:p>
        </w:tc>
        <w:tc>
          <w:tcPr>
            <w:tcW w:w="758" w:type="pct"/>
            <w:vAlign w:val="center"/>
          </w:tcPr>
          <w:p w14:paraId="5F68C870" w14:textId="65F339DE" w:rsidR="00224E1A" w:rsidRPr="00D41179" w:rsidRDefault="00224E1A" w:rsidP="00294858">
            <w:pPr>
              <w:pStyle w:val="In-tableHeading"/>
            </w:pPr>
            <w:r w:rsidRPr="00D41179">
              <w:t>Use in modelled evaluation</w:t>
            </w:r>
          </w:p>
        </w:tc>
      </w:tr>
      <w:tr w:rsidR="00224E1A" w:rsidRPr="00D41179" w14:paraId="18CE3847" w14:textId="77777777">
        <w:trPr>
          <w:cantSplit/>
          <w:trHeight w:val="181"/>
        </w:trPr>
        <w:tc>
          <w:tcPr>
            <w:tcW w:w="5000" w:type="pct"/>
            <w:gridSpan w:val="7"/>
            <w:vAlign w:val="center"/>
          </w:tcPr>
          <w:p w14:paraId="5C8C98C9" w14:textId="77777777" w:rsidR="00224E1A" w:rsidRPr="00D41179" w:rsidRDefault="00224E1A" w:rsidP="00294858">
            <w:pPr>
              <w:pStyle w:val="In-tableHeading"/>
            </w:pPr>
            <w:r w:rsidRPr="00D41179">
              <w:t>RZV vs placebo (RCTs)</w:t>
            </w:r>
          </w:p>
        </w:tc>
      </w:tr>
      <w:tr w:rsidR="00224E1A" w:rsidRPr="00D41179" w14:paraId="2C2654D6" w14:textId="77777777">
        <w:trPr>
          <w:cantSplit/>
        </w:trPr>
        <w:tc>
          <w:tcPr>
            <w:tcW w:w="627" w:type="pct"/>
            <w:shd w:val="clear" w:color="auto" w:fill="DAEEF3" w:themeFill="accent5" w:themeFillTint="33"/>
            <w:vAlign w:val="center"/>
          </w:tcPr>
          <w:p w14:paraId="3A51CCCB" w14:textId="77777777" w:rsidR="00224E1A" w:rsidRPr="00D41179" w:rsidRDefault="00224E1A" w:rsidP="00F95692">
            <w:pPr>
              <w:pStyle w:val="TableText0"/>
            </w:pPr>
            <w:r w:rsidRPr="00D41179">
              <w:t>ZOE-50</w:t>
            </w:r>
          </w:p>
        </w:tc>
        <w:tc>
          <w:tcPr>
            <w:tcW w:w="393" w:type="pct"/>
            <w:shd w:val="clear" w:color="auto" w:fill="DAEEF3" w:themeFill="accent5" w:themeFillTint="33"/>
            <w:vAlign w:val="center"/>
          </w:tcPr>
          <w:p w14:paraId="6F2A48C8" w14:textId="77777777" w:rsidR="00224E1A" w:rsidRPr="00D41179" w:rsidRDefault="00224E1A" w:rsidP="00F95692">
            <w:pPr>
              <w:pStyle w:val="TableText0"/>
            </w:pPr>
            <w:r w:rsidRPr="00D41179">
              <w:t>15,411</w:t>
            </w:r>
          </w:p>
        </w:tc>
        <w:tc>
          <w:tcPr>
            <w:tcW w:w="864" w:type="pct"/>
            <w:shd w:val="clear" w:color="auto" w:fill="DAEEF3" w:themeFill="accent5" w:themeFillTint="33"/>
            <w:vAlign w:val="center"/>
          </w:tcPr>
          <w:p w14:paraId="443713F9" w14:textId="76D5C7F6" w:rsidR="00224E1A" w:rsidRPr="00D41179" w:rsidRDefault="00224E1A" w:rsidP="00E81A9A">
            <w:pPr>
              <w:pStyle w:val="Tabletext"/>
              <w:keepNext/>
            </w:pPr>
            <w:r w:rsidRPr="00D41179">
              <w:t xml:space="preserve">R, OB, MC, </w:t>
            </w:r>
          </w:p>
          <w:p w14:paraId="1005FFEA" w14:textId="3D2FB74F" w:rsidR="00224E1A" w:rsidRPr="00D41179" w:rsidRDefault="00224E1A" w:rsidP="00F95692">
            <w:pPr>
              <w:pStyle w:val="TableText0"/>
            </w:pPr>
            <w:r w:rsidRPr="00D41179">
              <w:t>3.</w:t>
            </w:r>
            <w:r w:rsidR="00E06EA7" w:rsidRPr="00D41179">
              <w:t>2</w:t>
            </w:r>
            <w:r w:rsidRPr="00D41179">
              <w:t xml:space="preserve"> years (mean, efficacy </w:t>
            </w:r>
            <w:proofErr w:type="spellStart"/>
            <w:r w:rsidRPr="00D41179">
              <w:t>mTVC</w:t>
            </w:r>
            <w:proofErr w:type="spellEnd"/>
            <w:r w:rsidRPr="00D41179">
              <w:t>)</w:t>
            </w:r>
          </w:p>
        </w:tc>
        <w:tc>
          <w:tcPr>
            <w:tcW w:w="393" w:type="pct"/>
            <w:shd w:val="clear" w:color="auto" w:fill="DAEEF3" w:themeFill="accent5" w:themeFillTint="33"/>
            <w:vAlign w:val="center"/>
          </w:tcPr>
          <w:p w14:paraId="51378049" w14:textId="77777777" w:rsidR="00224E1A" w:rsidRPr="00D41179" w:rsidRDefault="00224E1A" w:rsidP="00F95692">
            <w:pPr>
              <w:pStyle w:val="TableText0"/>
            </w:pPr>
            <w:r w:rsidRPr="00D41179">
              <w:t>Low</w:t>
            </w:r>
          </w:p>
        </w:tc>
        <w:tc>
          <w:tcPr>
            <w:tcW w:w="786" w:type="pct"/>
            <w:shd w:val="clear" w:color="auto" w:fill="DAEEF3" w:themeFill="accent5" w:themeFillTint="33"/>
            <w:vAlign w:val="center"/>
          </w:tcPr>
          <w:p w14:paraId="594146E9" w14:textId="77777777" w:rsidR="00224E1A" w:rsidRPr="00D41179" w:rsidRDefault="00224E1A" w:rsidP="00F95692">
            <w:pPr>
              <w:pStyle w:val="TableText0"/>
            </w:pPr>
            <w:r w:rsidRPr="00D41179">
              <w:t>Healthy individuals aged ≥ 50 years (mean 62.3 years)</w:t>
            </w:r>
          </w:p>
        </w:tc>
        <w:tc>
          <w:tcPr>
            <w:tcW w:w="1179" w:type="pct"/>
            <w:shd w:val="clear" w:color="auto" w:fill="DAEEF3" w:themeFill="accent5" w:themeFillTint="33"/>
            <w:vAlign w:val="center"/>
          </w:tcPr>
          <w:p w14:paraId="384A430B" w14:textId="378CEDD3" w:rsidR="00224E1A" w:rsidRPr="00D41179" w:rsidRDefault="00224E1A" w:rsidP="00FF01EA">
            <w:pPr>
              <w:pStyle w:val="Tabletext"/>
              <w:keepNext/>
            </w:pPr>
            <w:r w:rsidRPr="00D41179">
              <w:t>Vaccine efficacy against HZ</w:t>
            </w:r>
            <w:r w:rsidR="009267ED" w:rsidRPr="00D41179">
              <w:t xml:space="preserve"> </w:t>
            </w:r>
          </w:p>
          <w:p w14:paraId="13FAD424" w14:textId="77777777" w:rsidR="00224E1A" w:rsidRPr="00D41179" w:rsidRDefault="00224E1A" w:rsidP="00F95692">
            <w:pPr>
              <w:pStyle w:val="TableText0"/>
            </w:pPr>
            <w:r w:rsidRPr="00D41179">
              <w:t>Vaccine efficacy against PHN, HZ complications, HZ mortality, HZ hospitalisations, HZ pain, immunogenicity and reactogenicity, EQ-5D</w:t>
            </w:r>
          </w:p>
        </w:tc>
        <w:tc>
          <w:tcPr>
            <w:tcW w:w="758" w:type="pct"/>
            <w:shd w:val="clear" w:color="auto" w:fill="DAEEF3" w:themeFill="accent5" w:themeFillTint="33"/>
            <w:vAlign w:val="center"/>
          </w:tcPr>
          <w:p w14:paraId="18A92613" w14:textId="4E65346E" w:rsidR="00224E1A" w:rsidRPr="00D41179" w:rsidRDefault="00224E1A" w:rsidP="00F95692">
            <w:pPr>
              <w:pStyle w:val="TableText0"/>
            </w:pPr>
            <w:r w:rsidRPr="00D41179">
              <w:t>V</w:t>
            </w:r>
            <w:r w:rsidR="00483F27" w:rsidRPr="00D41179">
              <w:t>accine efficacy</w:t>
            </w:r>
            <w:r w:rsidRPr="00D41179">
              <w:t xml:space="preserve"> from </w:t>
            </w:r>
            <w:r w:rsidRPr="00D41179">
              <w:br/>
              <w:t xml:space="preserve">pooled ZOE-50/-70+ ZOSTER-049 estimate </w:t>
            </w:r>
          </w:p>
        </w:tc>
      </w:tr>
      <w:tr w:rsidR="00224E1A" w:rsidRPr="00D41179" w14:paraId="68E3F2DB" w14:textId="77777777">
        <w:trPr>
          <w:cantSplit/>
        </w:trPr>
        <w:tc>
          <w:tcPr>
            <w:tcW w:w="627" w:type="pct"/>
            <w:shd w:val="clear" w:color="auto" w:fill="DAEEF3" w:themeFill="accent5" w:themeFillTint="33"/>
            <w:vAlign w:val="center"/>
          </w:tcPr>
          <w:p w14:paraId="5591567B" w14:textId="77777777" w:rsidR="00224E1A" w:rsidRPr="00D41179" w:rsidRDefault="00224E1A" w:rsidP="00F95692">
            <w:pPr>
              <w:pStyle w:val="TableText0"/>
            </w:pPr>
            <w:r w:rsidRPr="00D41179">
              <w:t>ZOE-70</w:t>
            </w:r>
          </w:p>
        </w:tc>
        <w:tc>
          <w:tcPr>
            <w:tcW w:w="393" w:type="pct"/>
            <w:shd w:val="clear" w:color="auto" w:fill="DAEEF3" w:themeFill="accent5" w:themeFillTint="33"/>
            <w:vAlign w:val="center"/>
          </w:tcPr>
          <w:p w14:paraId="43AF8420" w14:textId="77777777" w:rsidR="00224E1A" w:rsidRPr="00D41179" w:rsidRDefault="00224E1A" w:rsidP="00F95692">
            <w:pPr>
              <w:pStyle w:val="TableText0"/>
            </w:pPr>
            <w:r w:rsidRPr="00D41179">
              <w:t>13,900</w:t>
            </w:r>
          </w:p>
        </w:tc>
        <w:tc>
          <w:tcPr>
            <w:tcW w:w="864" w:type="pct"/>
            <w:shd w:val="clear" w:color="auto" w:fill="DAEEF3" w:themeFill="accent5" w:themeFillTint="33"/>
            <w:vAlign w:val="center"/>
          </w:tcPr>
          <w:p w14:paraId="3F6C987E" w14:textId="140C7048" w:rsidR="00224E1A" w:rsidRPr="00D41179" w:rsidRDefault="00224E1A" w:rsidP="00E81A9A">
            <w:pPr>
              <w:pStyle w:val="Tabletext"/>
              <w:keepNext/>
            </w:pPr>
            <w:r w:rsidRPr="00D41179">
              <w:t xml:space="preserve">R, OB, MC, </w:t>
            </w:r>
          </w:p>
          <w:p w14:paraId="4422DD95" w14:textId="77777777" w:rsidR="00224E1A" w:rsidRPr="00D41179" w:rsidRDefault="00224E1A" w:rsidP="00F95692">
            <w:pPr>
              <w:pStyle w:val="TableText0"/>
            </w:pPr>
            <w:r w:rsidRPr="00D41179">
              <w:t xml:space="preserve">3.7 years (mean, efficacy </w:t>
            </w:r>
            <w:proofErr w:type="spellStart"/>
            <w:r w:rsidRPr="00D41179">
              <w:t>mTVC</w:t>
            </w:r>
            <w:proofErr w:type="spellEnd"/>
            <w:r w:rsidRPr="00D41179">
              <w:t>)</w:t>
            </w:r>
          </w:p>
        </w:tc>
        <w:tc>
          <w:tcPr>
            <w:tcW w:w="393" w:type="pct"/>
            <w:shd w:val="clear" w:color="auto" w:fill="DAEEF3" w:themeFill="accent5" w:themeFillTint="33"/>
            <w:vAlign w:val="center"/>
          </w:tcPr>
          <w:p w14:paraId="089B85BC" w14:textId="77777777" w:rsidR="00224E1A" w:rsidRPr="00D41179" w:rsidRDefault="00224E1A" w:rsidP="00F95692">
            <w:pPr>
              <w:pStyle w:val="TableText0"/>
            </w:pPr>
            <w:r w:rsidRPr="00D41179">
              <w:t>Low</w:t>
            </w:r>
          </w:p>
        </w:tc>
        <w:tc>
          <w:tcPr>
            <w:tcW w:w="786" w:type="pct"/>
            <w:shd w:val="clear" w:color="auto" w:fill="DAEEF3" w:themeFill="accent5" w:themeFillTint="33"/>
            <w:vAlign w:val="center"/>
          </w:tcPr>
          <w:p w14:paraId="5166204A" w14:textId="77777777" w:rsidR="00224E1A" w:rsidRPr="00D41179" w:rsidRDefault="00224E1A" w:rsidP="00F95692">
            <w:pPr>
              <w:pStyle w:val="TableText0"/>
            </w:pPr>
            <w:r w:rsidRPr="00D41179">
              <w:t>Healthy individuals aged ≥70 years (mean 75.6 years)</w:t>
            </w:r>
          </w:p>
        </w:tc>
        <w:tc>
          <w:tcPr>
            <w:tcW w:w="1179" w:type="pct"/>
            <w:shd w:val="clear" w:color="auto" w:fill="DAEEF3" w:themeFill="accent5" w:themeFillTint="33"/>
            <w:vAlign w:val="center"/>
          </w:tcPr>
          <w:p w14:paraId="55F18A0D" w14:textId="77777777" w:rsidR="00224E1A" w:rsidRPr="00D41179" w:rsidRDefault="00224E1A" w:rsidP="00F95692">
            <w:pPr>
              <w:pStyle w:val="TableText0"/>
            </w:pPr>
            <w:r w:rsidRPr="00D41179">
              <w:t>As above</w:t>
            </w:r>
          </w:p>
        </w:tc>
        <w:tc>
          <w:tcPr>
            <w:tcW w:w="758" w:type="pct"/>
            <w:shd w:val="clear" w:color="auto" w:fill="DAEEF3" w:themeFill="accent5" w:themeFillTint="33"/>
            <w:vAlign w:val="center"/>
          </w:tcPr>
          <w:p w14:paraId="2E4A0664" w14:textId="5A7C09AD" w:rsidR="00224E1A" w:rsidRPr="00D41179" w:rsidRDefault="00224E1A" w:rsidP="004722AB">
            <w:pPr>
              <w:pStyle w:val="TableText0"/>
            </w:pPr>
            <w:r w:rsidRPr="00D41179">
              <w:t>As above</w:t>
            </w:r>
          </w:p>
        </w:tc>
      </w:tr>
      <w:tr w:rsidR="00224E1A" w:rsidRPr="00D41179" w14:paraId="797B04E4" w14:textId="77777777">
        <w:trPr>
          <w:cantSplit/>
        </w:trPr>
        <w:tc>
          <w:tcPr>
            <w:tcW w:w="5000" w:type="pct"/>
            <w:gridSpan w:val="7"/>
            <w:vAlign w:val="center"/>
          </w:tcPr>
          <w:p w14:paraId="0BE8B52C" w14:textId="6D98B341" w:rsidR="00224E1A" w:rsidRPr="00D41179" w:rsidRDefault="00224E1A" w:rsidP="00294858">
            <w:pPr>
              <w:pStyle w:val="In-tableHeading"/>
            </w:pPr>
            <w:r w:rsidRPr="00D41179">
              <w:t>RZ</w:t>
            </w:r>
            <w:r w:rsidR="00FE322D" w:rsidRPr="00D41179">
              <w:t>V</w:t>
            </w:r>
            <w:r w:rsidRPr="00D41179">
              <w:t xml:space="preserve"> single arm extension study</w:t>
            </w:r>
          </w:p>
        </w:tc>
      </w:tr>
      <w:tr w:rsidR="0075635D" w:rsidRPr="00D41179" w14:paraId="5B9F37A4" w14:textId="77777777">
        <w:trPr>
          <w:cantSplit/>
        </w:trPr>
        <w:tc>
          <w:tcPr>
            <w:tcW w:w="627" w:type="pct"/>
            <w:vAlign w:val="center"/>
          </w:tcPr>
          <w:p w14:paraId="7F778999" w14:textId="67EFF9CE" w:rsidR="0075635D" w:rsidRPr="00D41179" w:rsidRDefault="0075635D" w:rsidP="0075635D">
            <w:pPr>
              <w:pStyle w:val="TableText0"/>
            </w:pPr>
            <w:r w:rsidRPr="00D41179">
              <w:t>ZOSTER-049 [Final analysis]</w:t>
            </w:r>
          </w:p>
        </w:tc>
        <w:tc>
          <w:tcPr>
            <w:tcW w:w="393" w:type="pct"/>
            <w:vAlign w:val="center"/>
          </w:tcPr>
          <w:p w14:paraId="27E6ACA4" w14:textId="77777777" w:rsidR="0075635D" w:rsidRPr="00D41179" w:rsidRDefault="0075635D" w:rsidP="0075635D">
            <w:pPr>
              <w:pStyle w:val="TableText0"/>
            </w:pPr>
            <w:r w:rsidRPr="00D41179">
              <w:t>7,529</w:t>
            </w:r>
            <w:r w:rsidRPr="00D41179">
              <w:rPr>
                <w:vertAlign w:val="superscript"/>
              </w:rPr>
              <w:t>a</w:t>
            </w:r>
          </w:p>
        </w:tc>
        <w:tc>
          <w:tcPr>
            <w:tcW w:w="864" w:type="pct"/>
            <w:vAlign w:val="center"/>
          </w:tcPr>
          <w:p w14:paraId="5779E55F" w14:textId="77777777" w:rsidR="0075635D" w:rsidRPr="00D41179" w:rsidRDefault="0075635D" w:rsidP="0075635D">
            <w:pPr>
              <w:pStyle w:val="TableText0"/>
            </w:pPr>
            <w:r w:rsidRPr="00D41179">
              <w:t xml:space="preserve">SA, OL, MC, 11.4 years post-vaccination (median, </w:t>
            </w:r>
            <w:proofErr w:type="spellStart"/>
            <w:r w:rsidRPr="00D41179">
              <w:t>mTVC</w:t>
            </w:r>
            <w:proofErr w:type="spellEnd"/>
            <w:r w:rsidRPr="00D41179">
              <w:t>)</w:t>
            </w:r>
          </w:p>
        </w:tc>
        <w:tc>
          <w:tcPr>
            <w:tcW w:w="393" w:type="pct"/>
            <w:vAlign w:val="center"/>
          </w:tcPr>
          <w:p w14:paraId="7A614686" w14:textId="308FAE0F" w:rsidR="0075635D" w:rsidRPr="00D41179" w:rsidRDefault="00C07649" w:rsidP="0075635D">
            <w:pPr>
              <w:pStyle w:val="TableText0"/>
            </w:pPr>
            <w:r w:rsidRPr="00D41179">
              <w:t>Serious</w:t>
            </w:r>
            <w:r w:rsidR="00BB6174" w:rsidRPr="00D41179">
              <w:t xml:space="preserve"> </w:t>
            </w:r>
            <w:r w:rsidR="0075635D" w:rsidRPr="00D41179">
              <w:rPr>
                <w:vertAlign w:val="superscript"/>
              </w:rPr>
              <w:t>b</w:t>
            </w:r>
          </w:p>
        </w:tc>
        <w:tc>
          <w:tcPr>
            <w:tcW w:w="786" w:type="pct"/>
            <w:vAlign w:val="center"/>
          </w:tcPr>
          <w:p w14:paraId="00DB7ACB" w14:textId="3F77E767" w:rsidR="0075635D" w:rsidRPr="00D41179" w:rsidRDefault="0075635D" w:rsidP="0075635D">
            <w:pPr>
              <w:pStyle w:val="TableText0"/>
            </w:pPr>
            <w:r w:rsidRPr="00D41179">
              <w:t>As above; from ZOE-50/-70 RZV participants only</w:t>
            </w:r>
          </w:p>
        </w:tc>
        <w:tc>
          <w:tcPr>
            <w:tcW w:w="1179" w:type="pct"/>
            <w:vAlign w:val="center"/>
          </w:tcPr>
          <w:p w14:paraId="7F0277D0" w14:textId="77777777" w:rsidR="0075635D" w:rsidRPr="00D41179" w:rsidRDefault="0075635D" w:rsidP="0075635D">
            <w:pPr>
              <w:pStyle w:val="TableText0"/>
            </w:pPr>
            <w:r w:rsidRPr="00D41179">
              <w:t>Vaccine efficacy against HZ</w:t>
            </w:r>
          </w:p>
          <w:p w14:paraId="1CBB5E00" w14:textId="77777777" w:rsidR="0075635D" w:rsidRPr="00D41179" w:rsidRDefault="0075635D" w:rsidP="0075635D">
            <w:pPr>
              <w:pStyle w:val="TableText0"/>
            </w:pPr>
            <w:r w:rsidRPr="00D41179">
              <w:t>Vaccine efficacy against PHN, non-PHN complications</w:t>
            </w:r>
          </w:p>
        </w:tc>
        <w:tc>
          <w:tcPr>
            <w:tcW w:w="758" w:type="pct"/>
            <w:vAlign w:val="center"/>
          </w:tcPr>
          <w:p w14:paraId="5B11F98B" w14:textId="6D616EE5" w:rsidR="0075635D" w:rsidRPr="00D41179" w:rsidRDefault="0075635D" w:rsidP="0075635D">
            <w:pPr>
              <w:pStyle w:val="TableText0"/>
            </w:pPr>
            <w:r w:rsidRPr="00D41179">
              <w:t>Vaccine efficacy in terms of reduction in the incidence of HZ</w:t>
            </w:r>
          </w:p>
        </w:tc>
      </w:tr>
    </w:tbl>
    <w:p w14:paraId="0A91E1C5" w14:textId="6D238FDC" w:rsidR="00224E1A" w:rsidRPr="00D41179" w:rsidRDefault="00224E1A" w:rsidP="00224E1A">
      <w:pPr>
        <w:pStyle w:val="FooterTableFigure"/>
      </w:pPr>
      <w:r w:rsidRPr="00D41179">
        <w:t xml:space="preserve">Source: Compiled from Table 4: Key features of the included evidence, para 6.9 </w:t>
      </w:r>
      <w:r w:rsidR="006F166B" w:rsidRPr="00D41179">
        <w:t>Public Summary Document (</w:t>
      </w:r>
      <w:r w:rsidRPr="00D41179">
        <w:t>PSD</w:t>
      </w:r>
      <w:r w:rsidR="006F166B" w:rsidRPr="00D41179">
        <w:t>)</w:t>
      </w:r>
      <w:r w:rsidRPr="00D41179">
        <w:t xml:space="preserve"> RZV March 2023 PBAC Meeting;</w:t>
      </w:r>
    </w:p>
    <w:p w14:paraId="198F033B" w14:textId="77777777" w:rsidR="00224E1A" w:rsidRPr="00D41179" w:rsidRDefault="00224E1A" w:rsidP="00224E1A">
      <w:pPr>
        <w:pStyle w:val="FooterTableFigure"/>
      </w:pPr>
      <w:r w:rsidRPr="00D41179">
        <w:t xml:space="preserve">Synopsis, pp4-39 ZOSTER-049 CSR. </w:t>
      </w:r>
    </w:p>
    <w:p w14:paraId="53AD1DD8" w14:textId="77777777" w:rsidR="00984C21" w:rsidRPr="00D41179" w:rsidRDefault="00224E1A" w:rsidP="00984C21">
      <w:pPr>
        <w:pStyle w:val="FooterTableFigure"/>
      </w:pPr>
      <w:r w:rsidRPr="00D41179">
        <w:t xml:space="preserve">MC = multi-centre; </w:t>
      </w:r>
      <w:proofErr w:type="spellStart"/>
      <w:r w:rsidRPr="00D41179">
        <w:t>mTVC</w:t>
      </w:r>
      <w:proofErr w:type="spellEnd"/>
      <w:r w:rsidRPr="00D41179">
        <w:t>: modified total vaccinated cohort</w:t>
      </w:r>
      <w:r w:rsidR="00984C21" w:rsidRPr="00D41179">
        <w:t xml:space="preserve"> (excluded those who did not receive a second vaccine dose </w:t>
      </w:r>
    </w:p>
    <w:p w14:paraId="1E7BBEE9" w14:textId="14BBD05D" w:rsidR="00224E1A" w:rsidRPr="00D41179" w:rsidRDefault="00984C21" w:rsidP="00984C21">
      <w:pPr>
        <w:pStyle w:val="FooterTableFigure"/>
      </w:pPr>
      <w:r w:rsidRPr="00D41179">
        <w:t>or who had confirmed HZ within 1 month after the second dose)</w:t>
      </w:r>
      <w:r w:rsidR="00224E1A" w:rsidRPr="00D41179">
        <w:t xml:space="preserve">; </w:t>
      </w:r>
      <w:r w:rsidR="00CD6924" w:rsidRPr="00D41179">
        <w:t>OB: observer blind</w:t>
      </w:r>
      <w:r w:rsidR="004D7620" w:rsidRPr="00D41179">
        <w:t>;</w:t>
      </w:r>
      <w:r w:rsidR="00D41179" w:rsidRPr="00D41179">
        <w:t xml:space="preserve"> </w:t>
      </w:r>
      <w:r w:rsidR="00224E1A" w:rsidRPr="00D41179">
        <w:t>OL = open label; R = randomised; SA = single arm; TVC : total vaccinated cohort.</w:t>
      </w:r>
    </w:p>
    <w:p w14:paraId="0C57A745" w14:textId="66EB9136" w:rsidR="00224E1A" w:rsidRPr="00D41179" w:rsidRDefault="00224E1A" w:rsidP="00224E1A">
      <w:pPr>
        <w:pStyle w:val="FooterTableFigure"/>
      </w:pPr>
      <w:proofErr w:type="spellStart"/>
      <w:r w:rsidRPr="00D41179">
        <w:t>a</w:t>
      </w:r>
      <w:proofErr w:type="spellEnd"/>
      <w:r w:rsidRPr="00D41179">
        <w:t xml:space="preserve"> The N=7</w:t>
      </w:r>
      <w:r w:rsidR="006F2621" w:rsidRPr="00D41179">
        <w:t>,</w:t>
      </w:r>
      <w:r w:rsidRPr="00D41179">
        <w:t>529 analysis set was defined as the TVC. Analyses were conducted using the N=7</w:t>
      </w:r>
      <w:r w:rsidR="001D75B5" w:rsidRPr="00D41179">
        <w:t>,</w:t>
      </w:r>
      <w:r w:rsidRPr="00D41179">
        <w:t xml:space="preserve">273 modified TVC or N=7,258 subset thereof. </w:t>
      </w:r>
    </w:p>
    <w:p w14:paraId="19B8C581" w14:textId="67768222" w:rsidR="00224E1A" w:rsidRPr="00D41179" w:rsidRDefault="00224E1A" w:rsidP="00224E1A">
      <w:pPr>
        <w:pStyle w:val="FooterTableFigure"/>
      </w:pPr>
      <w:r w:rsidRPr="00D41179">
        <w:t>b Risk of bias based on ROBINS-I.</w:t>
      </w:r>
      <w:r w:rsidR="009E1186" w:rsidRPr="00D41179">
        <w:t xml:space="preserve"> </w:t>
      </w:r>
      <w:r w:rsidR="00966330" w:rsidRPr="00D41179">
        <w:t>Incorrectly noted to be ‘low’ when considered in March 2023.</w:t>
      </w:r>
    </w:p>
    <w:p w14:paraId="607DAB9F" w14:textId="77777777" w:rsidR="00224E1A" w:rsidRPr="00D41179" w:rsidRDefault="00224E1A" w:rsidP="00224E1A">
      <w:pPr>
        <w:pStyle w:val="FooterTableFigure"/>
        <w:widowControl w:val="0"/>
      </w:pPr>
      <w:r w:rsidRPr="00D41179">
        <w:rPr>
          <w:shd w:val="clear" w:color="auto" w:fill="DAEEF3" w:themeFill="accent5" w:themeFillTint="33"/>
        </w:rPr>
        <w:t>Text in blue indicates trials previously presented to PBAC</w:t>
      </w:r>
      <w:r w:rsidRPr="00D41179">
        <w:t>.</w:t>
      </w:r>
    </w:p>
    <w:p w14:paraId="4CB12A6C" w14:textId="2001B260" w:rsidR="00224E1A" w:rsidRPr="00D41179" w:rsidRDefault="00224E1A" w:rsidP="00224E1A">
      <w:pPr>
        <w:pStyle w:val="3-BodyText"/>
      </w:pPr>
      <w:r w:rsidRPr="00D41179">
        <w:t xml:space="preserve">The ZOSTER-049 trial was a single arm study </w:t>
      </w:r>
      <w:r w:rsidR="00FA1142" w:rsidRPr="00D41179">
        <w:t xml:space="preserve">and </w:t>
      </w:r>
      <w:r w:rsidRPr="00D41179">
        <w:t>employed historical controls</w:t>
      </w:r>
      <w:r w:rsidR="00740869" w:rsidRPr="00D41179">
        <w:t xml:space="preserve"> derived from the observed values of the placebo arms in the ZOE-50/-70 parent studies</w:t>
      </w:r>
      <w:r w:rsidRPr="00D41179">
        <w:t xml:space="preserve"> for the analysis</w:t>
      </w:r>
      <w:r w:rsidR="00966330" w:rsidRPr="00D41179">
        <w:t>.</w:t>
      </w:r>
    </w:p>
    <w:p w14:paraId="3690BB60" w14:textId="06BA7180" w:rsidR="00FE6001" w:rsidRPr="00D41179" w:rsidRDefault="00224E1A" w:rsidP="00224E1A">
      <w:pPr>
        <w:pStyle w:val="3-BodyText"/>
      </w:pPr>
      <w:bookmarkStart w:id="20" w:name="_Ref215923153"/>
      <w:r w:rsidRPr="00D41179">
        <w:t>The ZOSTER-049 trial was at</w:t>
      </w:r>
      <w:r w:rsidR="00793E39" w:rsidRPr="00D41179">
        <w:t xml:space="preserve"> serious</w:t>
      </w:r>
      <w:r w:rsidRPr="00D41179">
        <w:t xml:space="preserve"> risk of bias due to multiple factors, including those identified by the ATAGI (missing data, absence of a placebo group, participant selection/exclusion from the study, and confounding due to difference in baseline risk between the vaccinated cohort and the historical control group) (ATAGI advice, April 2025) and further aspects raised in the </w:t>
      </w:r>
      <w:r w:rsidR="006E4120" w:rsidRPr="00D41179">
        <w:t>evaluation</w:t>
      </w:r>
      <w:r w:rsidRPr="00D41179">
        <w:t xml:space="preserve"> (selection bias in the modified total vaccinated cohort [</w:t>
      </w:r>
      <w:proofErr w:type="spellStart"/>
      <w:r w:rsidRPr="00D41179">
        <w:t>mTVC</w:t>
      </w:r>
      <w:proofErr w:type="spellEnd"/>
      <w:r w:rsidRPr="00D41179">
        <w:t xml:space="preserve">] analysis set; absence of an intent-to-treat analysis; attrition of subjects over time and inability to verify the historical controls construction or </w:t>
      </w:r>
      <w:r w:rsidRPr="00D41179">
        <w:lastRenderedPageBreak/>
        <w:t>methodology).</w:t>
      </w:r>
      <w:r w:rsidR="00E7468E" w:rsidRPr="00D41179">
        <w:t xml:space="preserve"> </w:t>
      </w:r>
      <w:r w:rsidR="001F34A5" w:rsidRPr="00D41179">
        <w:t>The</w:t>
      </w:r>
      <w:r w:rsidR="00CF742C" w:rsidRPr="00D41179">
        <w:t xml:space="preserve"> Pre Sub-Committee Response</w:t>
      </w:r>
      <w:r w:rsidR="001F34A5" w:rsidRPr="00D41179">
        <w:t xml:space="preserve"> </w:t>
      </w:r>
      <w:r w:rsidR="00CF742C" w:rsidRPr="00D41179">
        <w:t>(</w:t>
      </w:r>
      <w:r w:rsidR="001F34A5" w:rsidRPr="00D41179">
        <w:t>PSCR</w:t>
      </w:r>
      <w:r w:rsidR="00CF742C" w:rsidRPr="00D41179">
        <w:t>)</w:t>
      </w:r>
      <w:r w:rsidR="001F34A5" w:rsidRPr="00D41179">
        <w:t xml:space="preserve"> argued the ZOSTER-049 study is robust, reliable and in line with global standards, ensuring that differences in outcomes can be attributed to RZV.</w:t>
      </w:r>
      <w:bookmarkEnd w:id="20"/>
      <w:r w:rsidR="00D41179" w:rsidRPr="00D41179">
        <w:t xml:space="preserve"> </w:t>
      </w:r>
    </w:p>
    <w:p w14:paraId="4A4FE085" w14:textId="1C5613CC" w:rsidR="00B60939" w:rsidRPr="00D41179" w:rsidRDefault="00B60939" w:rsidP="000F1D34">
      <w:pPr>
        <w:pStyle w:val="Actual4Subsection"/>
      </w:pPr>
      <w:bookmarkStart w:id="21" w:name="_Toc22897641"/>
      <w:bookmarkStart w:id="22" w:name="_Toc209001303"/>
      <w:r w:rsidRPr="00D41179">
        <w:t>Comparative effectiveness</w:t>
      </w:r>
      <w:bookmarkEnd w:id="21"/>
      <w:bookmarkEnd w:id="22"/>
    </w:p>
    <w:p w14:paraId="5CF3D49F" w14:textId="4EACFB8D" w:rsidR="00E63460" w:rsidRPr="00D41179" w:rsidRDefault="00E63460" w:rsidP="00A64F5D">
      <w:pPr>
        <w:numPr>
          <w:ilvl w:val="1"/>
          <w:numId w:val="8"/>
        </w:numPr>
        <w:tabs>
          <w:tab w:val="left" w:pos="709"/>
        </w:tabs>
        <w:spacing w:before="60" w:after="60"/>
        <w:ind w:left="709"/>
        <w:rPr>
          <w:rFonts w:asciiTheme="minorHAnsi" w:eastAsiaTheme="minorHAnsi" w:hAnsiTheme="minorHAnsi" w:cstheme="minorBidi"/>
          <w:szCs w:val="22"/>
        </w:rPr>
      </w:pPr>
      <w:r w:rsidRPr="00D41179">
        <w:rPr>
          <w:rFonts w:asciiTheme="minorHAnsi" w:eastAsiaTheme="minorHAnsi" w:hAnsiTheme="minorHAnsi" w:cstheme="minorBidi"/>
          <w:szCs w:val="22"/>
        </w:rPr>
        <w:t xml:space="preserve">The results of the ZOE-50/-70 trials for VE (HZ and PHN cases) were unchanged compared to the March 2023 submission. </w:t>
      </w:r>
    </w:p>
    <w:p w14:paraId="7313BD7E" w14:textId="3529BDBE" w:rsidR="00224E1A" w:rsidRPr="00D41179" w:rsidRDefault="00224E1A" w:rsidP="00F95319">
      <w:pPr>
        <w:pStyle w:val="3-BodyText"/>
      </w:pPr>
      <w:r w:rsidRPr="00D41179">
        <w:t>Results of VE against HZ from the ZOSTER-049 study (primary outcome) at the final analysis (median 5.6 years post-vaccination at trial commencement to 11.4 years at completion) are presented in</w:t>
      </w:r>
      <w:r w:rsidR="008839FA" w:rsidRPr="00D41179">
        <w:t xml:space="preserve"> </w:t>
      </w:r>
      <w:r w:rsidR="008839FA" w:rsidRPr="00D41179">
        <w:fldChar w:fldCharType="begin"/>
      </w:r>
      <w:r w:rsidR="008839FA" w:rsidRPr="00D41179">
        <w:instrText xml:space="preserve"> REF _Ref207877885 \h </w:instrText>
      </w:r>
      <w:r w:rsidR="00AA20A5" w:rsidRPr="00D41179">
        <w:instrText xml:space="preserve"> \* MERGEFORMAT </w:instrText>
      </w:r>
      <w:r w:rsidR="008839FA" w:rsidRPr="00D41179">
        <w:fldChar w:fldCharType="separate"/>
      </w:r>
      <w:r w:rsidR="00EC6EE8" w:rsidRPr="00EC6EE8">
        <w:t>Table 4</w:t>
      </w:r>
      <w:r w:rsidR="008839FA" w:rsidRPr="00D41179">
        <w:fldChar w:fldCharType="end"/>
      </w:r>
      <w:r w:rsidRPr="00D41179">
        <w:t>. The primary outcome of VE against HZ in the overall population was 79.77% (95% CI: 73.72</w:t>
      </w:r>
      <w:r w:rsidR="00E27B76" w:rsidRPr="00D41179">
        <w:t>,</w:t>
      </w:r>
      <w:r w:rsidRPr="00D41179">
        <w:t xml:space="preserve"> 84.61) in adults ≥50 years. VE in the 60-69 years cohort was 87.14% (95% CI</w:t>
      </w:r>
      <w:r w:rsidR="00554D14" w:rsidRPr="00D41179">
        <w:t>:</w:t>
      </w:r>
      <w:r w:rsidRPr="00D41179">
        <w:t xml:space="preserve"> 74.17, 94.35).</w:t>
      </w:r>
    </w:p>
    <w:p w14:paraId="7058723F" w14:textId="258337D4" w:rsidR="00224E1A" w:rsidRPr="00D41179" w:rsidRDefault="00224E1A" w:rsidP="008839FA">
      <w:pPr>
        <w:pStyle w:val="Caption"/>
        <w:rPr>
          <w:rStyle w:val="CommentReference"/>
          <w:b/>
          <w:szCs w:val="24"/>
        </w:rPr>
      </w:pPr>
      <w:bookmarkStart w:id="23" w:name="_Ref207359463"/>
      <w:bookmarkStart w:id="24" w:name="_Ref207877885"/>
      <w:r w:rsidRPr="00D41179">
        <w:rPr>
          <w:rFonts w:eastAsiaTheme="majorEastAsia"/>
        </w:rPr>
        <w:t>Table</w:t>
      </w:r>
      <w:bookmarkEnd w:id="23"/>
      <w:r w:rsidR="008839FA" w:rsidRPr="00D41179">
        <w:rPr>
          <w:rFonts w:eastAsiaTheme="majorEastAsia"/>
        </w:rPr>
        <w:t xml:space="preserve"> </w:t>
      </w:r>
      <w:r w:rsidR="008839FA" w:rsidRPr="00D41179">
        <w:rPr>
          <w:rFonts w:eastAsiaTheme="majorEastAsia"/>
        </w:rPr>
        <w:fldChar w:fldCharType="begin"/>
      </w:r>
      <w:r w:rsidR="008839FA" w:rsidRPr="00D41179">
        <w:rPr>
          <w:rStyle w:val="CommentReference"/>
          <w:rFonts w:eastAsiaTheme="majorEastAsia" w:cstheme="majorBidi"/>
          <w:b/>
          <w:szCs w:val="24"/>
        </w:rPr>
        <w:instrText xml:space="preserve"> SEQ Table \* ARABIC </w:instrText>
      </w:r>
      <w:r w:rsidR="008839FA" w:rsidRPr="00D41179">
        <w:rPr>
          <w:rFonts w:eastAsiaTheme="majorEastAsia"/>
        </w:rPr>
        <w:fldChar w:fldCharType="separate"/>
      </w:r>
      <w:r w:rsidR="00E7345C" w:rsidRPr="00D41179">
        <w:rPr>
          <w:rStyle w:val="CommentReference"/>
          <w:rFonts w:eastAsiaTheme="majorEastAsia" w:cstheme="majorBidi"/>
          <w:b/>
          <w:noProof/>
          <w:szCs w:val="24"/>
        </w:rPr>
        <w:t>4</w:t>
      </w:r>
      <w:r w:rsidR="008839FA" w:rsidRPr="00D41179">
        <w:rPr>
          <w:rFonts w:eastAsiaTheme="majorEastAsia"/>
        </w:rPr>
        <w:fldChar w:fldCharType="end"/>
      </w:r>
      <w:bookmarkEnd w:id="24"/>
      <w:r w:rsidRPr="00D41179">
        <w:t>:</w:t>
      </w:r>
      <w:r w:rsidRPr="00D41179">
        <w:rPr>
          <w:rStyle w:val="CommentReference"/>
          <w:b/>
          <w:szCs w:val="24"/>
        </w:rPr>
        <w:t xml:space="preserve"> </w:t>
      </w:r>
      <w:r w:rsidRPr="00D41179">
        <w:t xml:space="preserve">VE against HZ </w:t>
      </w:r>
      <w:r w:rsidR="008851DD" w:rsidRPr="00D41179">
        <w:t>(</w:t>
      </w:r>
      <w:r w:rsidRPr="00D41179">
        <w:t>Poisson regression): ZOSTER-049 (</w:t>
      </w:r>
      <w:proofErr w:type="spellStart"/>
      <w:r w:rsidRPr="00D41179">
        <w:t>mTVC</w:t>
      </w:r>
      <w:proofErr w:type="spellEnd"/>
      <w:r w:rsidRPr="00D41179">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Caption w:val="Table 4: VE against HZ (Poisson regression): ZOSTER-049 (mTVC)"/>
      </w:tblPr>
      <w:tblGrid>
        <w:gridCol w:w="1272"/>
        <w:gridCol w:w="849"/>
        <w:gridCol w:w="709"/>
        <w:gridCol w:w="426"/>
        <w:gridCol w:w="849"/>
        <w:gridCol w:w="853"/>
        <w:gridCol w:w="709"/>
        <w:gridCol w:w="568"/>
        <w:gridCol w:w="849"/>
        <w:gridCol w:w="851"/>
        <w:gridCol w:w="1082"/>
      </w:tblGrid>
      <w:tr w:rsidR="00224E1A" w:rsidRPr="00D41179" w14:paraId="36AA6B36" w14:textId="77777777">
        <w:trPr>
          <w:trHeight w:val="170"/>
        </w:trPr>
        <w:tc>
          <w:tcPr>
            <w:tcW w:w="705" w:type="pct"/>
            <w:vMerge w:val="restart"/>
            <w:noWrap/>
            <w:vAlign w:val="center"/>
            <w:hideMark/>
          </w:tcPr>
          <w:p w14:paraId="0C23C956" w14:textId="77777777" w:rsidR="00224E1A" w:rsidRPr="00D41179" w:rsidRDefault="00224E1A">
            <w:pPr>
              <w:keepNext/>
              <w:jc w:val="left"/>
              <w:rPr>
                <w:rFonts w:ascii="Arial Narrow" w:hAnsi="Arial Narrow" w:cs="Calibri"/>
                <w:b/>
                <w:bCs/>
                <w:color w:val="000000"/>
                <w:sz w:val="20"/>
                <w:szCs w:val="20"/>
              </w:rPr>
            </w:pPr>
            <w:r w:rsidRPr="00D41179">
              <w:rPr>
                <w:rFonts w:ascii="Arial Narrow" w:hAnsi="Arial Narrow" w:cs="Calibri"/>
                <w:b/>
                <w:bCs/>
                <w:color w:val="000000"/>
                <w:sz w:val="20"/>
                <w:szCs w:val="20"/>
              </w:rPr>
              <w:t>Trial</w:t>
            </w:r>
          </w:p>
        </w:tc>
        <w:tc>
          <w:tcPr>
            <w:tcW w:w="471" w:type="pct"/>
            <w:vMerge w:val="restart"/>
            <w:vAlign w:val="center"/>
          </w:tcPr>
          <w:p w14:paraId="53EF91D4" w14:textId="77777777" w:rsidR="00224E1A" w:rsidRPr="00D41179" w:rsidRDefault="00224E1A">
            <w:pPr>
              <w:keepNext/>
              <w:jc w:val="left"/>
              <w:rPr>
                <w:rFonts w:ascii="Arial Narrow" w:hAnsi="Arial Narrow" w:cs="Calibri"/>
                <w:b/>
                <w:bCs/>
                <w:color w:val="000000"/>
                <w:sz w:val="20"/>
                <w:szCs w:val="20"/>
              </w:rPr>
            </w:pPr>
            <w:r w:rsidRPr="00D41179">
              <w:rPr>
                <w:rFonts w:ascii="Arial Narrow" w:hAnsi="Arial Narrow" w:cs="Calibri"/>
                <w:b/>
                <w:bCs/>
                <w:color w:val="000000"/>
                <w:sz w:val="20"/>
                <w:szCs w:val="20"/>
              </w:rPr>
              <w:t xml:space="preserve">Age, y </w:t>
            </w:r>
            <w:r w:rsidRPr="00D41179">
              <w:rPr>
                <w:rFonts w:ascii="Arial Narrow" w:hAnsi="Arial Narrow" w:cs="Calibri"/>
                <w:b/>
                <w:bCs/>
                <w:color w:val="000000"/>
                <w:sz w:val="20"/>
                <w:szCs w:val="20"/>
                <w:vertAlign w:val="superscript"/>
              </w:rPr>
              <w:t>1</w:t>
            </w:r>
          </w:p>
        </w:tc>
        <w:tc>
          <w:tcPr>
            <w:tcW w:w="1573" w:type="pct"/>
            <w:gridSpan w:val="4"/>
            <w:noWrap/>
            <w:vAlign w:val="center"/>
            <w:hideMark/>
          </w:tcPr>
          <w:p w14:paraId="28BA4497" w14:textId="77777777" w:rsidR="00224E1A" w:rsidRPr="00D41179" w:rsidRDefault="00224E1A">
            <w:pPr>
              <w:keepNext/>
              <w:jc w:val="center"/>
              <w:rPr>
                <w:rFonts w:ascii="Arial Narrow" w:hAnsi="Arial Narrow" w:cs="Calibri"/>
                <w:b/>
                <w:bCs/>
                <w:color w:val="000000"/>
                <w:sz w:val="20"/>
                <w:szCs w:val="20"/>
                <w:vertAlign w:val="superscript"/>
              </w:rPr>
            </w:pPr>
            <w:r w:rsidRPr="00D41179">
              <w:rPr>
                <w:rFonts w:ascii="Arial Narrow" w:hAnsi="Arial Narrow" w:cs="Calibri"/>
                <w:b/>
                <w:bCs/>
                <w:color w:val="000000"/>
                <w:sz w:val="20"/>
                <w:szCs w:val="20"/>
              </w:rPr>
              <w:t xml:space="preserve">RZV </w:t>
            </w:r>
            <w:r w:rsidRPr="00D41179">
              <w:rPr>
                <w:rFonts w:ascii="Arial Narrow" w:hAnsi="Arial Narrow" w:cs="Calibri"/>
                <w:b/>
                <w:bCs/>
                <w:color w:val="000000"/>
                <w:sz w:val="20"/>
                <w:szCs w:val="20"/>
                <w:vertAlign w:val="superscript"/>
              </w:rPr>
              <w:t>2</w:t>
            </w:r>
          </w:p>
        </w:tc>
        <w:tc>
          <w:tcPr>
            <w:tcW w:w="1651" w:type="pct"/>
            <w:gridSpan w:val="4"/>
            <w:noWrap/>
            <w:vAlign w:val="center"/>
            <w:hideMark/>
          </w:tcPr>
          <w:p w14:paraId="0CE60EC7" w14:textId="77777777" w:rsidR="00224E1A" w:rsidRPr="00D41179" w:rsidRDefault="00224E1A">
            <w:pPr>
              <w:keepNext/>
              <w:jc w:val="center"/>
              <w:rPr>
                <w:rFonts w:ascii="Arial Narrow" w:hAnsi="Arial Narrow" w:cs="Calibri"/>
                <w:b/>
                <w:bCs/>
                <w:color w:val="000000"/>
                <w:sz w:val="20"/>
                <w:szCs w:val="20"/>
                <w:vertAlign w:val="superscript"/>
              </w:rPr>
            </w:pPr>
            <w:r w:rsidRPr="00D41179">
              <w:rPr>
                <w:rFonts w:ascii="Arial Narrow" w:hAnsi="Arial Narrow" w:cs="Calibri"/>
                <w:b/>
                <w:bCs/>
                <w:color w:val="000000"/>
                <w:sz w:val="20"/>
                <w:szCs w:val="20"/>
              </w:rPr>
              <w:t xml:space="preserve">Placebo / historical control </w:t>
            </w:r>
            <w:r w:rsidRPr="00D41179">
              <w:rPr>
                <w:rFonts w:ascii="Arial Narrow" w:hAnsi="Arial Narrow" w:cs="Calibri"/>
                <w:b/>
                <w:bCs/>
                <w:color w:val="000000"/>
                <w:sz w:val="20"/>
                <w:szCs w:val="20"/>
                <w:vertAlign w:val="superscript"/>
              </w:rPr>
              <w:t>3</w:t>
            </w:r>
          </w:p>
        </w:tc>
        <w:tc>
          <w:tcPr>
            <w:tcW w:w="600" w:type="pct"/>
            <w:vMerge w:val="restart"/>
            <w:noWrap/>
            <w:vAlign w:val="center"/>
            <w:hideMark/>
          </w:tcPr>
          <w:p w14:paraId="70D1AB6D" w14:textId="77777777" w:rsidR="00224E1A" w:rsidRPr="00D41179" w:rsidRDefault="00224E1A">
            <w:pPr>
              <w:keepNext/>
              <w:jc w:val="center"/>
              <w:rPr>
                <w:rFonts w:ascii="Arial Narrow" w:hAnsi="Arial Narrow" w:cs="Calibri"/>
                <w:b/>
                <w:bCs/>
                <w:color w:val="000000"/>
                <w:sz w:val="20"/>
                <w:szCs w:val="20"/>
              </w:rPr>
            </w:pPr>
            <w:r w:rsidRPr="00D41179">
              <w:rPr>
                <w:rFonts w:ascii="Arial Narrow" w:hAnsi="Arial Narrow" w:cs="Calibri"/>
                <w:b/>
                <w:bCs/>
                <w:color w:val="000000"/>
                <w:sz w:val="20"/>
                <w:szCs w:val="20"/>
              </w:rPr>
              <w:t>VE</w:t>
            </w:r>
            <w:r w:rsidRPr="00D41179">
              <w:rPr>
                <w:rFonts w:ascii="Arial Narrow" w:hAnsi="Arial Narrow" w:cs="Calibri"/>
                <w:b/>
                <w:bCs/>
                <w:color w:val="000000"/>
                <w:sz w:val="20"/>
                <w:szCs w:val="20"/>
                <w:vertAlign w:val="subscript"/>
              </w:rPr>
              <w:t xml:space="preserve">HZ </w:t>
            </w:r>
            <w:r w:rsidRPr="00D41179">
              <w:rPr>
                <w:rFonts w:ascii="Arial Narrow" w:hAnsi="Arial Narrow" w:cs="Calibri"/>
                <w:b/>
                <w:bCs/>
                <w:color w:val="000000"/>
                <w:sz w:val="20"/>
                <w:szCs w:val="20"/>
              </w:rPr>
              <w:t xml:space="preserve">% </w:t>
            </w:r>
            <w:r w:rsidRPr="00D41179">
              <w:rPr>
                <w:rFonts w:ascii="Arial Narrow" w:hAnsi="Arial Narrow" w:cs="Calibri"/>
                <w:b/>
                <w:bCs/>
                <w:color w:val="000000"/>
                <w:sz w:val="20"/>
                <w:szCs w:val="20"/>
              </w:rPr>
              <w:br/>
              <w:t>(95% CI)</w:t>
            </w:r>
          </w:p>
        </w:tc>
      </w:tr>
      <w:tr w:rsidR="00224E1A" w:rsidRPr="00D41179" w14:paraId="4D29E233" w14:textId="77777777">
        <w:trPr>
          <w:trHeight w:val="170"/>
        </w:trPr>
        <w:tc>
          <w:tcPr>
            <w:tcW w:w="705" w:type="pct"/>
            <w:vMerge/>
            <w:vAlign w:val="center"/>
            <w:hideMark/>
          </w:tcPr>
          <w:p w14:paraId="42DFBEC6" w14:textId="77777777" w:rsidR="00224E1A" w:rsidRPr="00D41179" w:rsidRDefault="00224E1A">
            <w:pPr>
              <w:keepNext/>
              <w:jc w:val="left"/>
              <w:rPr>
                <w:rFonts w:ascii="Arial Narrow" w:hAnsi="Arial Narrow" w:cs="Calibri"/>
                <w:color w:val="000000"/>
                <w:sz w:val="20"/>
                <w:szCs w:val="20"/>
              </w:rPr>
            </w:pPr>
          </w:p>
        </w:tc>
        <w:tc>
          <w:tcPr>
            <w:tcW w:w="471" w:type="pct"/>
            <w:vMerge/>
            <w:vAlign w:val="center"/>
          </w:tcPr>
          <w:p w14:paraId="1CA688B3" w14:textId="77777777" w:rsidR="00224E1A" w:rsidRPr="00D41179" w:rsidRDefault="00224E1A">
            <w:pPr>
              <w:keepNext/>
              <w:jc w:val="left"/>
              <w:rPr>
                <w:rFonts w:ascii="Arial Narrow" w:hAnsi="Arial Narrow" w:cs="Calibri"/>
                <w:color w:val="000000"/>
                <w:sz w:val="20"/>
                <w:szCs w:val="20"/>
              </w:rPr>
            </w:pPr>
          </w:p>
        </w:tc>
        <w:tc>
          <w:tcPr>
            <w:tcW w:w="393" w:type="pct"/>
            <w:noWrap/>
            <w:vAlign w:val="center"/>
            <w:hideMark/>
          </w:tcPr>
          <w:p w14:paraId="3BD6FB8B" w14:textId="77777777" w:rsidR="00224E1A" w:rsidRPr="00D41179" w:rsidRDefault="00224E1A">
            <w:pPr>
              <w:keepNext/>
              <w:jc w:val="center"/>
              <w:rPr>
                <w:rFonts w:ascii="Arial Narrow" w:hAnsi="Arial Narrow" w:cs="Calibri"/>
                <w:b/>
                <w:bCs/>
                <w:color w:val="000000"/>
                <w:sz w:val="20"/>
                <w:szCs w:val="20"/>
              </w:rPr>
            </w:pPr>
            <w:r w:rsidRPr="00D41179">
              <w:rPr>
                <w:rFonts w:ascii="Arial Narrow" w:hAnsi="Arial Narrow" w:cs="Calibri"/>
                <w:b/>
                <w:bCs/>
                <w:color w:val="000000"/>
                <w:sz w:val="20"/>
                <w:szCs w:val="20"/>
              </w:rPr>
              <w:t>N</w:t>
            </w:r>
          </w:p>
        </w:tc>
        <w:tc>
          <w:tcPr>
            <w:tcW w:w="236" w:type="pct"/>
            <w:noWrap/>
            <w:vAlign w:val="center"/>
            <w:hideMark/>
          </w:tcPr>
          <w:p w14:paraId="417CC608" w14:textId="77777777" w:rsidR="00224E1A" w:rsidRPr="00D41179" w:rsidRDefault="00224E1A">
            <w:pPr>
              <w:keepNext/>
              <w:jc w:val="center"/>
              <w:rPr>
                <w:rFonts w:ascii="Arial Narrow" w:hAnsi="Arial Narrow" w:cs="Calibri"/>
                <w:b/>
                <w:bCs/>
                <w:color w:val="000000"/>
                <w:sz w:val="20"/>
                <w:szCs w:val="20"/>
              </w:rPr>
            </w:pPr>
            <w:r w:rsidRPr="00D41179">
              <w:rPr>
                <w:rFonts w:ascii="Arial Narrow" w:hAnsi="Arial Narrow" w:cs="Calibri"/>
                <w:b/>
                <w:bCs/>
                <w:color w:val="000000"/>
                <w:sz w:val="20"/>
                <w:szCs w:val="20"/>
              </w:rPr>
              <w:t>n</w:t>
            </w:r>
          </w:p>
        </w:tc>
        <w:tc>
          <w:tcPr>
            <w:tcW w:w="471" w:type="pct"/>
            <w:noWrap/>
            <w:vAlign w:val="center"/>
            <w:hideMark/>
          </w:tcPr>
          <w:p w14:paraId="6AC60622" w14:textId="77777777" w:rsidR="00224E1A" w:rsidRPr="00D41179" w:rsidRDefault="00224E1A">
            <w:pPr>
              <w:keepNext/>
              <w:jc w:val="center"/>
              <w:rPr>
                <w:rFonts w:ascii="Arial Narrow" w:hAnsi="Arial Narrow" w:cs="Calibri"/>
                <w:b/>
                <w:bCs/>
                <w:color w:val="000000"/>
                <w:sz w:val="20"/>
                <w:szCs w:val="20"/>
              </w:rPr>
            </w:pPr>
            <w:r w:rsidRPr="00D41179">
              <w:rPr>
                <w:rFonts w:ascii="Arial Narrow" w:hAnsi="Arial Narrow" w:cs="Calibri"/>
                <w:b/>
                <w:bCs/>
                <w:color w:val="000000"/>
                <w:sz w:val="20"/>
                <w:szCs w:val="20"/>
              </w:rPr>
              <w:t>T (year)</w:t>
            </w:r>
          </w:p>
        </w:tc>
        <w:tc>
          <w:tcPr>
            <w:tcW w:w="473" w:type="pct"/>
            <w:noWrap/>
            <w:vAlign w:val="center"/>
            <w:hideMark/>
          </w:tcPr>
          <w:p w14:paraId="49E62F67" w14:textId="77777777" w:rsidR="00224E1A" w:rsidRPr="00D41179" w:rsidRDefault="00224E1A">
            <w:pPr>
              <w:keepNext/>
              <w:jc w:val="center"/>
              <w:rPr>
                <w:rFonts w:ascii="Arial Narrow" w:hAnsi="Arial Narrow" w:cs="Calibri"/>
                <w:b/>
                <w:bCs/>
                <w:color w:val="000000"/>
                <w:sz w:val="20"/>
                <w:szCs w:val="20"/>
              </w:rPr>
            </w:pPr>
            <w:r w:rsidRPr="00D41179">
              <w:rPr>
                <w:rFonts w:ascii="Arial Narrow" w:hAnsi="Arial Narrow" w:cs="Calibri"/>
                <w:b/>
                <w:bCs/>
                <w:color w:val="000000"/>
                <w:sz w:val="20"/>
                <w:szCs w:val="20"/>
              </w:rPr>
              <w:t>IR</w:t>
            </w:r>
            <w:r w:rsidRPr="00D41179">
              <w:rPr>
                <w:rFonts w:ascii="Arial Narrow" w:hAnsi="Arial Narrow" w:cs="Calibri"/>
                <w:b/>
                <w:bCs/>
                <w:color w:val="000000"/>
                <w:sz w:val="20"/>
                <w:szCs w:val="20"/>
                <w:vertAlign w:val="subscript"/>
              </w:rPr>
              <w:t>HZ</w:t>
            </w:r>
            <w:r w:rsidRPr="00D41179">
              <w:rPr>
                <w:rFonts w:ascii="Arial Narrow" w:hAnsi="Arial Narrow" w:cs="Calibri"/>
                <w:b/>
                <w:bCs/>
                <w:color w:val="000000"/>
                <w:sz w:val="20"/>
                <w:szCs w:val="20"/>
              </w:rPr>
              <w:t>/</w:t>
            </w:r>
            <w:r w:rsidRPr="00D41179">
              <w:rPr>
                <w:rFonts w:ascii="Arial Narrow" w:hAnsi="Arial Narrow" w:cs="Calibri"/>
                <w:b/>
                <w:bCs/>
                <w:color w:val="000000"/>
                <w:sz w:val="20"/>
                <w:szCs w:val="20"/>
              </w:rPr>
              <w:br/>
              <w:t>1,000 PYs</w:t>
            </w:r>
          </w:p>
        </w:tc>
        <w:tc>
          <w:tcPr>
            <w:tcW w:w="393" w:type="pct"/>
            <w:noWrap/>
            <w:vAlign w:val="center"/>
            <w:hideMark/>
          </w:tcPr>
          <w:p w14:paraId="1EB54F5F" w14:textId="77777777" w:rsidR="00224E1A" w:rsidRPr="00D41179" w:rsidRDefault="00224E1A">
            <w:pPr>
              <w:keepNext/>
              <w:jc w:val="center"/>
              <w:rPr>
                <w:rFonts w:ascii="Arial Narrow" w:hAnsi="Arial Narrow" w:cs="Calibri"/>
                <w:b/>
                <w:bCs/>
                <w:color w:val="000000"/>
                <w:sz w:val="20"/>
                <w:szCs w:val="20"/>
              </w:rPr>
            </w:pPr>
            <w:r w:rsidRPr="00D41179">
              <w:rPr>
                <w:rFonts w:ascii="Arial Narrow" w:hAnsi="Arial Narrow" w:cs="Calibri"/>
                <w:b/>
                <w:bCs/>
                <w:color w:val="000000"/>
                <w:sz w:val="20"/>
                <w:szCs w:val="20"/>
              </w:rPr>
              <w:t>N</w:t>
            </w:r>
          </w:p>
        </w:tc>
        <w:tc>
          <w:tcPr>
            <w:tcW w:w="315" w:type="pct"/>
            <w:noWrap/>
            <w:vAlign w:val="center"/>
            <w:hideMark/>
          </w:tcPr>
          <w:p w14:paraId="2CB2B7E5" w14:textId="77777777" w:rsidR="00224E1A" w:rsidRPr="00D41179" w:rsidRDefault="00224E1A">
            <w:pPr>
              <w:keepNext/>
              <w:jc w:val="center"/>
              <w:rPr>
                <w:rFonts w:ascii="Arial Narrow" w:hAnsi="Arial Narrow" w:cs="Calibri"/>
                <w:b/>
                <w:bCs/>
                <w:color w:val="000000"/>
                <w:sz w:val="20"/>
                <w:szCs w:val="20"/>
              </w:rPr>
            </w:pPr>
            <w:r w:rsidRPr="00D41179">
              <w:rPr>
                <w:rFonts w:ascii="Arial Narrow" w:hAnsi="Arial Narrow" w:cs="Calibri"/>
                <w:b/>
                <w:bCs/>
                <w:color w:val="000000"/>
                <w:sz w:val="20"/>
                <w:szCs w:val="20"/>
              </w:rPr>
              <w:t>n</w:t>
            </w:r>
          </w:p>
        </w:tc>
        <w:tc>
          <w:tcPr>
            <w:tcW w:w="471" w:type="pct"/>
            <w:noWrap/>
            <w:vAlign w:val="center"/>
            <w:hideMark/>
          </w:tcPr>
          <w:p w14:paraId="5F459180" w14:textId="77777777" w:rsidR="00224E1A" w:rsidRPr="00D41179" w:rsidRDefault="00224E1A">
            <w:pPr>
              <w:keepNext/>
              <w:jc w:val="center"/>
              <w:rPr>
                <w:rFonts w:ascii="Arial Narrow" w:hAnsi="Arial Narrow" w:cs="Calibri"/>
                <w:b/>
                <w:bCs/>
                <w:color w:val="000000"/>
                <w:sz w:val="20"/>
                <w:szCs w:val="20"/>
                <w:vertAlign w:val="superscript"/>
              </w:rPr>
            </w:pPr>
            <w:r w:rsidRPr="00D41179">
              <w:rPr>
                <w:rFonts w:ascii="Arial Narrow" w:hAnsi="Arial Narrow" w:cs="Calibri"/>
                <w:b/>
                <w:bCs/>
                <w:color w:val="000000"/>
                <w:sz w:val="20"/>
                <w:szCs w:val="20"/>
              </w:rPr>
              <w:t xml:space="preserve">T (year) </w:t>
            </w:r>
            <w:r w:rsidRPr="00D41179">
              <w:rPr>
                <w:rFonts w:ascii="Arial Narrow" w:hAnsi="Arial Narrow" w:cs="Calibri"/>
                <w:b/>
                <w:bCs/>
                <w:color w:val="000000"/>
                <w:sz w:val="20"/>
                <w:szCs w:val="20"/>
                <w:vertAlign w:val="superscript"/>
              </w:rPr>
              <w:t>4</w:t>
            </w:r>
          </w:p>
        </w:tc>
        <w:tc>
          <w:tcPr>
            <w:tcW w:w="472" w:type="pct"/>
            <w:noWrap/>
            <w:vAlign w:val="center"/>
            <w:hideMark/>
          </w:tcPr>
          <w:p w14:paraId="0AEBB604" w14:textId="77777777" w:rsidR="00224E1A" w:rsidRPr="00D41179" w:rsidRDefault="00224E1A">
            <w:pPr>
              <w:keepNext/>
              <w:jc w:val="center"/>
              <w:rPr>
                <w:rFonts w:ascii="Arial Narrow" w:hAnsi="Arial Narrow" w:cs="Calibri"/>
                <w:b/>
                <w:bCs/>
                <w:color w:val="000000"/>
                <w:sz w:val="20"/>
                <w:szCs w:val="20"/>
              </w:rPr>
            </w:pPr>
            <w:r w:rsidRPr="00D41179">
              <w:rPr>
                <w:rFonts w:ascii="Arial Narrow" w:hAnsi="Arial Narrow" w:cs="Calibri"/>
                <w:b/>
                <w:bCs/>
                <w:color w:val="000000"/>
                <w:sz w:val="20"/>
                <w:szCs w:val="20"/>
              </w:rPr>
              <w:t>IR</w:t>
            </w:r>
            <w:r w:rsidRPr="00D41179">
              <w:rPr>
                <w:rFonts w:ascii="Arial Narrow" w:hAnsi="Arial Narrow" w:cs="Calibri"/>
                <w:b/>
                <w:bCs/>
                <w:color w:val="000000"/>
                <w:sz w:val="20"/>
                <w:szCs w:val="20"/>
                <w:vertAlign w:val="subscript"/>
              </w:rPr>
              <w:t>HZ</w:t>
            </w:r>
            <w:r w:rsidRPr="00D41179">
              <w:rPr>
                <w:rFonts w:ascii="Arial Narrow" w:hAnsi="Arial Narrow" w:cs="Calibri"/>
                <w:b/>
                <w:bCs/>
                <w:color w:val="000000"/>
                <w:sz w:val="20"/>
                <w:szCs w:val="20"/>
              </w:rPr>
              <w:t>/</w:t>
            </w:r>
            <w:r w:rsidRPr="00D41179">
              <w:rPr>
                <w:rFonts w:ascii="Arial Narrow" w:hAnsi="Arial Narrow" w:cs="Calibri"/>
                <w:b/>
                <w:bCs/>
                <w:color w:val="000000"/>
                <w:sz w:val="20"/>
                <w:szCs w:val="20"/>
              </w:rPr>
              <w:br/>
              <w:t>1,000 PYs</w:t>
            </w:r>
          </w:p>
        </w:tc>
        <w:tc>
          <w:tcPr>
            <w:tcW w:w="600" w:type="pct"/>
            <w:vMerge/>
            <w:vAlign w:val="center"/>
            <w:hideMark/>
          </w:tcPr>
          <w:p w14:paraId="0FB27B1E" w14:textId="77777777" w:rsidR="00224E1A" w:rsidRPr="00D41179" w:rsidRDefault="00224E1A">
            <w:pPr>
              <w:keepNext/>
              <w:jc w:val="center"/>
              <w:rPr>
                <w:rFonts w:ascii="Arial Narrow" w:hAnsi="Arial Narrow" w:cs="Calibri"/>
                <w:color w:val="000000"/>
                <w:sz w:val="20"/>
                <w:szCs w:val="20"/>
              </w:rPr>
            </w:pPr>
          </w:p>
        </w:tc>
      </w:tr>
      <w:tr w:rsidR="00224E1A" w:rsidRPr="00D41179" w14:paraId="1AC0EE0C" w14:textId="77777777">
        <w:trPr>
          <w:trHeight w:val="170"/>
        </w:trPr>
        <w:tc>
          <w:tcPr>
            <w:tcW w:w="5000" w:type="pct"/>
            <w:gridSpan w:val="11"/>
            <w:noWrap/>
            <w:vAlign w:val="center"/>
            <w:hideMark/>
          </w:tcPr>
          <w:p w14:paraId="5AD7901F" w14:textId="77777777" w:rsidR="00224E1A" w:rsidRPr="00D41179" w:rsidRDefault="00224E1A">
            <w:pPr>
              <w:keepNext/>
              <w:jc w:val="left"/>
              <w:rPr>
                <w:rFonts w:ascii="Arial Narrow" w:hAnsi="Arial Narrow" w:cs="Calibri"/>
                <w:b/>
                <w:bCs/>
                <w:color w:val="000000"/>
                <w:sz w:val="20"/>
                <w:szCs w:val="20"/>
              </w:rPr>
            </w:pPr>
            <w:r w:rsidRPr="00D41179">
              <w:rPr>
                <w:rFonts w:ascii="Arial Narrow" w:hAnsi="Arial Narrow" w:cs="Calibri"/>
                <w:b/>
                <w:bCs/>
                <w:color w:val="000000"/>
                <w:sz w:val="20"/>
                <w:szCs w:val="20"/>
              </w:rPr>
              <w:t>VE</w:t>
            </w:r>
            <w:r w:rsidRPr="00D41179">
              <w:rPr>
                <w:rFonts w:ascii="Arial Narrow" w:hAnsi="Arial Narrow" w:cs="Calibri"/>
                <w:b/>
                <w:bCs/>
                <w:color w:val="000000"/>
                <w:sz w:val="20"/>
                <w:szCs w:val="20"/>
                <w:vertAlign w:val="subscript"/>
              </w:rPr>
              <w:t xml:space="preserve"> </w:t>
            </w:r>
            <w:r w:rsidRPr="00D41179">
              <w:rPr>
                <w:rFonts w:ascii="Arial Narrow" w:hAnsi="Arial Narrow" w:cs="Calibri"/>
                <w:b/>
                <w:bCs/>
                <w:color w:val="000000"/>
                <w:sz w:val="20"/>
                <w:szCs w:val="20"/>
              </w:rPr>
              <w:t>against HZ during ZOSTER-049 (median: 5.6 to 11.4 years post-vaccination)</w:t>
            </w:r>
          </w:p>
        </w:tc>
      </w:tr>
      <w:tr w:rsidR="00224E1A" w:rsidRPr="00D41179" w14:paraId="60A0F660" w14:textId="77777777">
        <w:trPr>
          <w:trHeight w:val="170"/>
        </w:trPr>
        <w:tc>
          <w:tcPr>
            <w:tcW w:w="705" w:type="pct"/>
            <w:vMerge w:val="restart"/>
            <w:noWrap/>
          </w:tcPr>
          <w:p w14:paraId="767914B4" w14:textId="77777777" w:rsidR="00224E1A" w:rsidRPr="00D41179" w:rsidRDefault="00224E1A">
            <w:pPr>
              <w:keepNext/>
              <w:jc w:val="left"/>
              <w:rPr>
                <w:rFonts w:ascii="Arial Narrow" w:hAnsi="Arial Narrow" w:cs="Calibri"/>
                <w:b/>
                <w:bCs/>
                <w:color w:val="000000"/>
                <w:sz w:val="20"/>
                <w:szCs w:val="20"/>
              </w:rPr>
            </w:pPr>
            <w:r w:rsidRPr="00D41179">
              <w:rPr>
                <w:rFonts w:ascii="Arial Narrow" w:hAnsi="Arial Narrow" w:cs="Calibri"/>
                <w:b/>
                <w:bCs/>
                <w:color w:val="000000"/>
                <w:sz w:val="20"/>
                <w:szCs w:val="20"/>
              </w:rPr>
              <w:t>ZOSTER-049 (</w:t>
            </w:r>
            <w:proofErr w:type="spellStart"/>
            <w:r w:rsidRPr="00D41179">
              <w:rPr>
                <w:rFonts w:ascii="Arial Narrow" w:hAnsi="Arial Narrow" w:cs="Calibri"/>
                <w:b/>
                <w:bCs/>
                <w:color w:val="000000"/>
                <w:sz w:val="20"/>
                <w:szCs w:val="20"/>
              </w:rPr>
              <w:t>mTVC</w:t>
            </w:r>
            <w:proofErr w:type="spellEnd"/>
            <w:r w:rsidRPr="00D41179">
              <w:rPr>
                <w:rFonts w:ascii="Arial Narrow" w:hAnsi="Arial Narrow" w:cs="Calibri"/>
                <w:b/>
                <w:bCs/>
                <w:color w:val="000000"/>
                <w:sz w:val="20"/>
                <w:szCs w:val="20"/>
              </w:rPr>
              <w:t>)</w:t>
            </w:r>
          </w:p>
        </w:tc>
        <w:tc>
          <w:tcPr>
            <w:tcW w:w="471" w:type="pct"/>
            <w:vAlign w:val="center"/>
          </w:tcPr>
          <w:p w14:paraId="1E1C2F22" w14:textId="046EF49E" w:rsidR="00224E1A" w:rsidRPr="00D41179" w:rsidRDefault="00224E1A">
            <w:pPr>
              <w:keepNext/>
              <w:jc w:val="left"/>
              <w:rPr>
                <w:rFonts w:ascii="Arial Narrow" w:hAnsi="Arial Narrow" w:cs="Calibri"/>
                <w:b/>
                <w:bCs/>
                <w:color w:val="000000"/>
                <w:sz w:val="20"/>
                <w:szCs w:val="20"/>
              </w:rPr>
            </w:pPr>
            <w:r w:rsidRPr="00D41179">
              <w:rPr>
                <w:rFonts w:ascii="Arial Narrow" w:hAnsi="Arial Narrow" w:cs="Calibri"/>
                <w:b/>
                <w:bCs/>
                <w:color w:val="000000"/>
                <w:sz w:val="20"/>
                <w:szCs w:val="20"/>
              </w:rPr>
              <w:t>Overall</w:t>
            </w:r>
            <w:r w:rsidR="00032A44" w:rsidRPr="00D41179">
              <w:rPr>
                <w:rFonts w:ascii="Arial Narrow" w:hAnsi="Arial Narrow" w:cs="Calibri"/>
                <w:b/>
                <w:bCs/>
                <w:color w:val="000000"/>
                <w:sz w:val="20"/>
                <w:szCs w:val="20"/>
                <w:vertAlign w:val="superscript"/>
              </w:rPr>
              <w:t>5</w:t>
            </w:r>
          </w:p>
        </w:tc>
        <w:tc>
          <w:tcPr>
            <w:tcW w:w="393" w:type="pct"/>
            <w:noWrap/>
            <w:vAlign w:val="center"/>
            <w:hideMark/>
          </w:tcPr>
          <w:p w14:paraId="3A48FB00" w14:textId="77777777" w:rsidR="00224E1A" w:rsidRPr="00D41179" w:rsidRDefault="00224E1A">
            <w:pPr>
              <w:keepNext/>
              <w:jc w:val="center"/>
              <w:rPr>
                <w:rFonts w:ascii="Arial Narrow" w:hAnsi="Arial Narrow" w:cs="Calibri"/>
                <w:color w:val="000000"/>
                <w:sz w:val="20"/>
                <w:szCs w:val="20"/>
              </w:rPr>
            </w:pPr>
            <w:r w:rsidRPr="00D41179">
              <w:rPr>
                <w:rFonts w:ascii="Arial Narrow" w:eastAsia="Calibri" w:hAnsi="Arial Narrow" w:cs="Calibri"/>
                <w:color w:val="000000"/>
                <w:sz w:val="20"/>
                <w:szCs w:val="20"/>
              </w:rPr>
              <w:t>7,258</w:t>
            </w:r>
          </w:p>
        </w:tc>
        <w:tc>
          <w:tcPr>
            <w:tcW w:w="236" w:type="pct"/>
            <w:noWrap/>
            <w:vAlign w:val="center"/>
            <w:hideMark/>
          </w:tcPr>
          <w:p w14:paraId="1CD20C10" w14:textId="77777777" w:rsidR="00224E1A" w:rsidRPr="00D41179" w:rsidRDefault="00224E1A">
            <w:pPr>
              <w:keepNext/>
              <w:jc w:val="center"/>
              <w:rPr>
                <w:rFonts w:ascii="Arial Narrow" w:hAnsi="Arial Narrow" w:cs="Calibri"/>
                <w:color w:val="000000"/>
                <w:sz w:val="20"/>
                <w:szCs w:val="20"/>
              </w:rPr>
            </w:pPr>
            <w:r w:rsidRPr="00D41179">
              <w:rPr>
                <w:rFonts w:ascii="Arial Narrow" w:eastAsia="Calibri" w:hAnsi="Arial Narrow" w:cs="Calibri"/>
                <w:color w:val="000000"/>
                <w:sz w:val="20"/>
                <w:szCs w:val="20"/>
              </w:rPr>
              <w:t>69</w:t>
            </w:r>
          </w:p>
        </w:tc>
        <w:tc>
          <w:tcPr>
            <w:tcW w:w="471" w:type="pct"/>
            <w:noWrap/>
            <w:vAlign w:val="center"/>
            <w:hideMark/>
          </w:tcPr>
          <w:p w14:paraId="41258C37" w14:textId="77777777" w:rsidR="00224E1A" w:rsidRPr="00D41179" w:rsidRDefault="00224E1A">
            <w:pPr>
              <w:keepNext/>
              <w:jc w:val="center"/>
              <w:rPr>
                <w:rFonts w:ascii="Arial Narrow" w:hAnsi="Arial Narrow" w:cs="Calibri"/>
                <w:color w:val="000000"/>
                <w:sz w:val="20"/>
                <w:szCs w:val="20"/>
              </w:rPr>
            </w:pPr>
            <w:r w:rsidRPr="00D41179">
              <w:rPr>
                <w:rFonts w:ascii="Arial Narrow" w:eastAsia="Calibri" w:hAnsi="Arial Narrow" w:cs="Calibri"/>
                <w:color w:val="000000"/>
                <w:sz w:val="20"/>
                <w:szCs w:val="20"/>
              </w:rPr>
              <w:t>39,109.3</w:t>
            </w:r>
          </w:p>
        </w:tc>
        <w:tc>
          <w:tcPr>
            <w:tcW w:w="473" w:type="pct"/>
            <w:noWrap/>
            <w:vAlign w:val="center"/>
            <w:hideMark/>
          </w:tcPr>
          <w:p w14:paraId="588101FB" w14:textId="77777777" w:rsidR="00224E1A" w:rsidRPr="00D41179" w:rsidRDefault="00224E1A">
            <w:pPr>
              <w:keepNext/>
              <w:jc w:val="center"/>
              <w:rPr>
                <w:rFonts w:ascii="Arial Narrow" w:hAnsi="Arial Narrow" w:cs="Calibri"/>
                <w:color w:val="000000"/>
                <w:sz w:val="20"/>
                <w:szCs w:val="20"/>
              </w:rPr>
            </w:pPr>
            <w:r w:rsidRPr="00D41179">
              <w:rPr>
                <w:rFonts w:ascii="Arial Narrow" w:eastAsia="Calibri" w:hAnsi="Arial Narrow" w:cs="Calibri"/>
                <w:color w:val="000000"/>
                <w:sz w:val="20"/>
                <w:szCs w:val="20"/>
              </w:rPr>
              <w:t>1.8</w:t>
            </w:r>
          </w:p>
        </w:tc>
        <w:tc>
          <w:tcPr>
            <w:tcW w:w="393" w:type="pct"/>
            <w:noWrap/>
            <w:vAlign w:val="center"/>
            <w:hideMark/>
          </w:tcPr>
          <w:p w14:paraId="6835D884" w14:textId="77777777" w:rsidR="00224E1A" w:rsidRPr="00D41179" w:rsidRDefault="00224E1A">
            <w:pPr>
              <w:keepNext/>
              <w:jc w:val="center"/>
              <w:rPr>
                <w:rFonts w:ascii="Arial Narrow" w:hAnsi="Arial Narrow" w:cs="Calibri"/>
                <w:color w:val="000000"/>
                <w:sz w:val="20"/>
                <w:szCs w:val="20"/>
              </w:rPr>
            </w:pPr>
            <w:r w:rsidRPr="00D41179">
              <w:rPr>
                <w:rFonts w:ascii="Arial Narrow" w:eastAsia="Calibri" w:hAnsi="Arial Narrow" w:cs="Calibri"/>
                <w:color w:val="000000"/>
                <w:sz w:val="20"/>
                <w:szCs w:val="20"/>
              </w:rPr>
              <w:t>7,258</w:t>
            </w:r>
          </w:p>
        </w:tc>
        <w:tc>
          <w:tcPr>
            <w:tcW w:w="315" w:type="pct"/>
            <w:noWrap/>
            <w:vAlign w:val="center"/>
            <w:hideMark/>
          </w:tcPr>
          <w:p w14:paraId="74C03417" w14:textId="77777777" w:rsidR="00224E1A" w:rsidRPr="00D41179" w:rsidRDefault="00224E1A">
            <w:pPr>
              <w:keepNext/>
              <w:jc w:val="center"/>
              <w:rPr>
                <w:rFonts w:ascii="Arial Narrow" w:hAnsi="Arial Narrow" w:cs="Calibri"/>
                <w:color w:val="000000"/>
                <w:sz w:val="20"/>
                <w:szCs w:val="20"/>
              </w:rPr>
            </w:pPr>
            <w:r w:rsidRPr="00D41179">
              <w:rPr>
                <w:rFonts w:ascii="Arial Narrow" w:eastAsia="Calibri" w:hAnsi="Arial Narrow" w:cs="Calibri"/>
                <w:color w:val="000000"/>
                <w:sz w:val="20"/>
                <w:szCs w:val="20"/>
              </w:rPr>
              <w:t>341</w:t>
            </w:r>
          </w:p>
        </w:tc>
        <w:tc>
          <w:tcPr>
            <w:tcW w:w="471" w:type="pct"/>
            <w:noWrap/>
            <w:vAlign w:val="center"/>
            <w:hideMark/>
          </w:tcPr>
          <w:p w14:paraId="0C9B4507" w14:textId="77777777" w:rsidR="00224E1A" w:rsidRPr="00D41179" w:rsidRDefault="00224E1A">
            <w:pPr>
              <w:keepNext/>
              <w:jc w:val="center"/>
              <w:rPr>
                <w:rFonts w:ascii="Arial Narrow" w:hAnsi="Arial Narrow" w:cs="Calibri"/>
                <w:color w:val="000000"/>
                <w:sz w:val="20"/>
                <w:szCs w:val="20"/>
              </w:rPr>
            </w:pPr>
            <w:r w:rsidRPr="00D41179">
              <w:rPr>
                <w:rFonts w:ascii="Arial Narrow" w:eastAsia="Calibri" w:hAnsi="Arial Narrow" w:cs="Calibri"/>
                <w:color w:val="000000"/>
                <w:sz w:val="20"/>
                <w:szCs w:val="20"/>
              </w:rPr>
              <w:t>39,109.3</w:t>
            </w:r>
          </w:p>
        </w:tc>
        <w:tc>
          <w:tcPr>
            <w:tcW w:w="472" w:type="pct"/>
            <w:noWrap/>
            <w:vAlign w:val="center"/>
            <w:hideMark/>
          </w:tcPr>
          <w:p w14:paraId="3BB3DBF5" w14:textId="77777777" w:rsidR="00224E1A" w:rsidRPr="00D41179" w:rsidRDefault="00224E1A">
            <w:pPr>
              <w:keepNext/>
              <w:jc w:val="center"/>
              <w:rPr>
                <w:rFonts w:ascii="Arial Narrow" w:hAnsi="Arial Narrow" w:cs="Calibri"/>
                <w:color w:val="000000"/>
                <w:sz w:val="20"/>
                <w:szCs w:val="20"/>
              </w:rPr>
            </w:pPr>
            <w:r w:rsidRPr="00D41179">
              <w:rPr>
                <w:rFonts w:ascii="Arial Narrow" w:eastAsia="Calibri" w:hAnsi="Arial Narrow" w:cs="Calibri"/>
                <w:color w:val="000000"/>
                <w:sz w:val="20"/>
                <w:szCs w:val="20"/>
              </w:rPr>
              <w:t>8.7</w:t>
            </w:r>
          </w:p>
        </w:tc>
        <w:tc>
          <w:tcPr>
            <w:tcW w:w="600" w:type="pct"/>
            <w:noWrap/>
            <w:vAlign w:val="center"/>
            <w:hideMark/>
          </w:tcPr>
          <w:p w14:paraId="7E0A2B9A" w14:textId="77777777" w:rsidR="00224E1A" w:rsidRPr="00D41179" w:rsidRDefault="00224E1A">
            <w:pPr>
              <w:keepNext/>
              <w:jc w:val="center"/>
              <w:rPr>
                <w:rFonts w:ascii="Arial Narrow" w:hAnsi="Arial Narrow" w:cs="Calibri"/>
                <w:color w:val="000000"/>
                <w:sz w:val="20"/>
                <w:szCs w:val="20"/>
              </w:rPr>
            </w:pPr>
            <w:r w:rsidRPr="00D41179">
              <w:rPr>
                <w:rFonts w:ascii="Arial Narrow" w:hAnsi="Arial Narrow" w:cs="Calibri"/>
                <w:color w:val="000000"/>
                <w:sz w:val="20"/>
                <w:szCs w:val="20"/>
              </w:rPr>
              <w:t>79.77</w:t>
            </w:r>
          </w:p>
          <w:p w14:paraId="6737BED6" w14:textId="77777777" w:rsidR="00224E1A" w:rsidRPr="00D41179" w:rsidRDefault="00224E1A">
            <w:pPr>
              <w:keepNext/>
              <w:jc w:val="center"/>
              <w:rPr>
                <w:rFonts w:ascii="Arial Narrow" w:hAnsi="Arial Narrow" w:cs="Calibri"/>
                <w:color w:val="000000"/>
                <w:sz w:val="20"/>
                <w:szCs w:val="20"/>
              </w:rPr>
            </w:pPr>
            <w:r w:rsidRPr="00D41179">
              <w:rPr>
                <w:rFonts w:ascii="Arial Narrow" w:hAnsi="Arial Narrow" w:cs="Calibri"/>
                <w:color w:val="000000"/>
                <w:sz w:val="20"/>
                <w:szCs w:val="20"/>
              </w:rPr>
              <w:t>(73.72, 84.61)</w:t>
            </w:r>
          </w:p>
        </w:tc>
      </w:tr>
      <w:tr w:rsidR="00224E1A" w:rsidRPr="00D41179" w14:paraId="632CD1F9" w14:textId="77777777">
        <w:trPr>
          <w:trHeight w:val="170"/>
        </w:trPr>
        <w:tc>
          <w:tcPr>
            <w:tcW w:w="705" w:type="pct"/>
            <w:vMerge/>
            <w:noWrap/>
          </w:tcPr>
          <w:p w14:paraId="1A18AA87" w14:textId="77777777" w:rsidR="00224E1A" w:rsidRPr="00D41179" w:rsidRDefault="00224E1A">
            <w:pPr>
              <w:keepNext/>
              <w:jc w:val="left"/>
              <w:rPr>
                <w:rFonts w:ascii="Arial Narrow" w:hAnsi="Arial Narrow" w:cs="Calibri"/>
                <w:b/>
                <w:bCs/>
                <w:color w:val="000000"/>
                <w:sz w:val="20"/>
                <w:szCs w:val="20"/>
              </w:rPr>
            </w:pPr>
          </w:p>
        </w:tc>
        <w:tc>
          <w:tcPr>
            <w:tcW w:w="471" w:type="pct"/>
            <w:vAlign w:val="center"/>
          </w:tcPr>
          <w:p w14:paraId="3F52B4DD" w14:textId="2FAAF9DC" w:rsidR="00224E1A" w:rsidRPr="00D41179" w:rsidRDefault="00224E1A">
            <w:pPr>
              <w:keepNext/>
              <w:jc w:val="left"/>
              <w:rPr>
                <w:rFonts w:ascii="Arial Narrow" w:hAnsi="Arial Narrow" w:cs="Calibri"/>
                <w:b/>
                <w:bCs/>
                <w:color w:val="000000"/>
                <w:sz w:val="20"/>
                <w:szCs w:val="20"/>
              </w:rPr>
            </w:pPr>
            <w:r w:rsidRPr="00D41179">
              <w:rPr>
                <w:rFonts w:ascii="Arial Narrow" w:hAnsi="Arial Narrow" w:cs="Calibri"/>
                <w:b/>
                <w:bCs/>
                <w:color w:val="000000"/>
                <w:sz w:val="20"/>
                <w:szCs w:val="20"/>
              </w:rPr>
              <w:t>50-59</w:t>
            </w:r>
            <w:r w:rsidR="00032A44" w:rsidRPr="00D41179">
              <w:rPr>
                <w:rFonts w:ascii="Arial Narrow" w:hAnsi="Arial Narrow" w:cs="Calibri"/>
                <w:b/>
                <w:bCs/>
                <w:color w:val="000000"/>
                <w:sz w:val="20"/>
                <w:szCs w:val="20"/>
                <w:vertAlign w:val="superscript"/>
              </w:rPr>
              <w:t>6</w:t>
            </w:r>
          </w:p>
        </w:tc>
        <w:tc>
          <w:tcPr>
            <w:tcW w:w="393" w:type="pct"/>
            <w:noWrap/>
            <w:vAlign w:val="center"/>
            <w:hideMark/>
          </w:tcPr>
          <w:p w14:paraId="62F1687C" w14:textId="77777777" w:rsidR="00224E1A" w:rsidRPr="00D41179" w:rsidRDefault="00224E1A">
            <w:pPr>
              <w:keepNext/>
              <w:jc w:val="center"/>
              <w:rPr>
                <w:rFonts w:ascii="Arial Narrow" w:hAnsi="Arial Narrow" w:cs="Calibri"/>
                <w:color w:val="000000"/>
                <w:sz w:val="20"/>
                <w:szCs w:val="20"/>
              </w:rPr>
            </w:pPr>
            <w:r w:rsidRPr="00D41179">
              <w:rPr>
                <w:rFonts w:ascii="Arial Narrow" w:eastAsia="Calibri" w:hAnsi="Arial Narrow" w:cs="Calibri"/>
                <w:color w:val="000000"/>
                <w:sz w:val="20"/>
                <w:szCs w:val="20"/>
              </w:rPr>
              <w:t>2,043</w:t>
            </w:r>
          </w:p>
        </w:tc>
        <w:tc>
          <w:tcPr>
            <w:tcW w:w="236" w:type="pct"/>
            <w:noWrap/>
            <w:vAlign w:val="center"/>
            <w:hideMark/>
          </w:tcPr>
          <w:p w14:paraId="624253F5" w14:textId="77777777" w:rsidR="00224E1A" w:rsidRPr="00D41179" w:rsidRDefault="00224E1A">
            <w:pPr>
              <w:keepNext/>
              <w:jc w:val="center"/>
              <w:rPr>
                <w:rFonts w:ascii="Arial Narrow" w:hAnsi="Arial Narrow" w:cs="Calibri"/>
                <w:color w:val="000000"/>
                <w:sz w:val="20"/>
                <w:szCs w:val="20"/>
              </w:rPr>
            </w:pPr>
            <w:r w:rsidRPr="00D41179">
              <w:rPr>
                <w:rFonts w:ascii="Arial Narrow" w:eastAsia="Calibri" w:hAnsi="Arial Narrow" w:cs="Calibri"/>
                <w:color w:val="000000"/>
                <w:sz w:val="20"/>
                <w:szCs w:val="20"/>
              </w:rPr>
              <w:t>12</w:t>
            </w:r>
          </w:p>
        </w:tc>
        <w:tc>
          <w:tcPr>
            <w:tcW w:w="471" w:type="pct"/>
            <w:noWrap/>
            <w:vAlign w:val="center"/>
            <w:hideMark/>
          </w:tcPr>
          <w:p w14:paraId="259BC1F6" w14:textId="77777777" w:rsidR="00224E1A" w:rsidRPr="00D41179" w:rsidRDefault="00224E1A">
            <w:pPr>
              <w:keepNext/>
              <w:jc w:val="center"/>
              <w:rPr>
                <w:rFonts w:ascii="Arial Narrow" w:hAnsi="Arial Narrow" w:cs="Calibri"/>
                <w:color w:val="000000"/>
                <w:sz w:val="20"/>
                <w:szCs w:val="20"/>
              </w:rPr>
            </w:pPr>
            <w:r w:rsidRPr="00D41179">
              <w:rPr>
                <w:rFonts w:ascii="Arial Narrow" w:eastAsia="Calibri" w:hAnsi="Arial Narrow" w:cs="Calibri"/>
                <w:color w:val="000000"/>
                <w:sz w:val="20"/>
                <w:szCs w:val="20"/>
              </w:rPr>
              <w:t>11,739.3</w:t>
            </w:r>
          </w:p>
        </w:tc>
        <w:tc>
          <w:tcPr>
            <w:tcW w:w="473" w:type="pct"/>
            <w:noWrap/>
            <w:vAlign w:val="center"/>
            <w:hideMark/>
          </w:tcPr>
          <w:p w14:paraId="636CB9AE" w14:textId="77777777" w:rsidR="00224E1A" w:rsidRPr="00D41179" w:rsidRDefault="00224E1A">
            <w:pPr>
              <w:keepNext/>
              <w:jc w:val="center"/>
              <w:rPr>
                <w:rFonts w:ascii="Arial Narrow" w:hAnsi="Arial Narrow" w:cs="Calibri"/>
                <w:color w:val="000000"/>
                <w:sz w:val="20"/>
                <w:szCs w:val="20"/>
              </w:rPr>
            </w:pPr>
            <w:r w:rsidRPr="00D41179">
              <w:rPr>
                <w:rFonts w:ascii="Arial Narrow" w:eastAsia="Calibri" w:hAnsi="Arial Narrow" w:cs="Calibri"/>
                <w:color w:val="000000"/>
                <w:sz w:val="20"/>
                <w:szCs w:val="20"/>
              </w:rPr>
              <w:t>1.0</w:t>
            </w:r>
          </w:p>
        </w:tc>
        <w:tc>
          <w:tcPr>
            <w:tcW w:w="393" w:type="pct"/>
            <w:noWrap/>
            <w:vAlign w:val="center"/>
            <w:hideMark/>
          </w:tcPr>
          <w:p w14:paraId="5D1C34B5" w14:textId="77777777" w:rsidR="00224E1A" w:rsidRPr="00D41179" w:rsidRDefault="00224E1A">
            <w:pPr>
              <w:keepNext/>
              <w:jc w:val="center"/>
              <w:rPr>
                <w:rFonts w:ascii="Arial Narrow" w:hAnsi="Arial Narrow" w:cs="Calibri"/>
                <w:color w:val="000000"/>
                <w:sz w:val="20"/>
                <w:szCs w:val="20"/>
              </w:rPr>
            </w:pPr>
            <w:r w:rsidRPr="00D41179">
              <w:rPr>
                <w:rFonts w:ascii="Arial Narrow" w:eastAsia="Calibri" w:hAnsi="Arial Narrow" w:cs="Calibri"/>
                <w:color w:val="000000"/>
                <w:sz w:val="20"/>
                <w:szCs w:val="20"/>
              </w:rPr>
              <w:t>2,043</w:t>
            </w:r>
          </w:p>
        </w:tc>
        <w:tc>
          <w:tcPr>
            <w:tcW w:w="315" w:type="pct"/>
            <w:noWrap/>
            <w:vAlign w:val="center"/>
            <w:hideMark/>
          </w:tcPr>
          <w:p w14:paraId="1E1EDE32" w14:textId="77777777" w:rsidR="00224E1A" w:rsidRPr="00D41179" w:rsidRDefault="00224E1A">
            <w:pPr>
              <w:keepNext/>
              <w:jc w:val="center"/>
              <w:rPr>
                <w:rFonts w:ascii="Arial Narrow" w:hAnsi="Arial Narrow" w:cs="Calibri"/>
                <w:color w:val="000000"/>
                <w:sz w:val="20"/>
                <w:szCs w:val="20"/>
              </w:rPr>
            </w:pPr>
            <w:r w:rsidRPr="00D41179">
              <w:rPr>
                <w:rFonts w:ascii="Arial Narrow" w:eastAsia="Calibri" w:hAnsi="Arial Narrow" w:cs="Calibri"/>
                <w:color w:val="000000"/>
                <w:sz w:val="20"/>
                <w:szCs w:val="20"/>
              </w:rPr>
              <w:t>90</w:t>
            </w:r>
          </w:p>
        </w:tc>
        <w:tc>
          <w:tcPr>
            <w:tcW w:w="471" w:type="pct"/>
            <w:noWrap/>
            <w:vAlign w:val="center"/>
            <w:hideMark/>
          </w:tcPr>
          <w:p w14:paraId="213EE0DC" w14:textId="77777777" w:rsidR="00224E1A" w:rsidRPr="00D41179" w:rsidRDefault="00224E1A">
            <w:pPr>
              <w:keepNext/>
              <w:jc w:val="center"/>
              <w:rPr>
                <w:rFonts w:ascii="Arial Narrow" w:hAnsi="Arial Narrow" w:cs="Calibri"/>
                <w:color w:val="000000"/>
                <w:sz w:val="20"/>
                <w:szCs w:val="20"/>
              </w:rPr>
            </w:pPr>
            <w:r w:rsidRPr="00D41179">
              <w:rPr>
                <w:rFonts w:ascii="Arial Narrow" w:eastAsia="Calibri" w:hAnsi="Arial Narrow" w:cs="Calibri"/>
                <w:color w:val="000000"/>
                <w:sz w:val="20"/>
                <w:szCs w:val="20"/>
              </w:rPr>
              <w:t>11,739.3</w:t>
            </w:r>
          </w:p>
        </w:tc>
        <w:tc>
          <w:tcPr>
            <w:tcW w:w="472" w:type="pct"/>
            <w:noWrap/>
            <w:vAlign w:val="center"/>
            <w:hideMark/>
          </w:tcPr>
          <w:p w14:paraId="04451059" w14:textId="77777777" w:rsidR="00224E1A" w:rsidRPr="00D41179" w:rsidRDefault="00224E1A">
            <w:pPr>
              <w:keepNext/>
              <w:jc w:val="center"/>
              <w:rPr>
                <w:rFonts w:ascii="Arial Narrow" w:hAnsi="Arial Narrow" w:cs="Calibri"/>
                <w:color w:val="000000"/>
                <w:sz w:val="20"/>
                <w:szCs w:val="20"/>
              </w:rPr>
            </w:pPr>
            <w:r w:rsidRPr="00D41179">
              <w:rPr>
                <w:rFonts w:ascii="Arial Narrow" w:eastAsia="Calibri" w:hAnsi="Arial Narrow" w:cs="Calibri"/>
                <w:color w:val="000000"/>
                <w:sz w:val="20"/>
                <w:szCs w:val="20"/>
              </w:rPr>
              <w:t>7.7</w:t>
            </w:r>
          </w:p>
        </w:tc>
        <w:tc>
          <w:tcPr>
            <w:tcW w:w="600" w:type="pct"/>
            <w:noWrap/>
            <w:vAlign w:val="center"/>
            <w:hideMark/>
          </w:tcPr>
          <w:p w14:paraId="6890D130" w14:textId="77777777" w:rsidR="00224E1A" w:rsidRPr="00D41179" w:rsidRDefault="00224E1A">
            <w:pPr>
              <w:keepNext/>
              <w:jc w:val="center"/>
              <w:rPr>
                <w:rFonts w:ascii="Arial Narrow" w:hAnsi="Arial Narrow" w:cs="Calibri"/>
                <w:color w:val="000000"/>
                <w:sz w:val="20"/>
                <w:szCs w:val="20"/>
              </w:rPr>
            </w:pPr>
            <w:r w:rsidRPr="00D41179">
              <w:rPr>
                <w:rFonts w:ascii="Arial Narrow" w:hAnsi="Arial Narrow" w:cs="Calibri"/>
                <w:color w:val="000000"/>
                <w:sz w:val="20"/>
                <w:szCs w:val="20"/>
              </w:rPr>
              <w:t>86.67</w:t>
            </w:r>
          </w:p>
          <w:p w14:paraId="16B61ABF" w14:textId="77777777" w:rsidR="00224E1A" w:rsidRPr="00D41179" w:rsidRDefault="00224E1A">
            <w:pPr>
              <w:keepNext/>
              <w:jc w:val="center"/>
              <w:rPr>
                <w:rFonts w:ascii="Arial Narrow" w:hAnsi="Arial Narrow" w:cs="Calibri"/>
                <w:color w:val="000000"/>
                <w:sz w:val="20"/>
                <w:szCs w:val="20"/>
              </w:rPr>
            </w:pPr>
            <w:r w:rsidRPr="00D41179">
              <w:rPr>
                <w:rFonts w:ascii="Arial Narrow" w:hAnsi="Arial Narrow" w:cs="Calibri"/>
                <w:color w:val="000000"/>
                <w:sz w:val="20"/>
                <w:szCs w:val="20"/>
              </w:rPr>
              <w:t>(75.55, 93.36)</w:t>
            </w:r>
          </w:p>
        </w:tc>
      </w:tr>
      <w:tr w:rsidR="00224E1A" w:rsidRPr="00D41179" w14:paraId="252C6AC8" w14:textId="77777777">
        <w:trPr>
          <w:trHeight w:val="170"/>
        </w:trPr>
        <w:tc>
          <w:tcPr>
            <w:tcW w:w="705" w:type="pct"/>
            <w:vMerge/>
            <w:noWrap/>
          </w:tcPr>
          <w:p w14:paraId="49802D53" w14:textId="77777777" w:rsidR="00224E1A" w:rsidRPr="00D41179" w:rsidRDefault="00224E1A">
            <w:pPr>
              <w:keepNext/>
              <w:jc w:val="left"/>
              <w:rPr>
                <w:rFonts w:ascii="Arial Narrow" w:hAnsi="Arial Narrow" w:cs="Calibri"/>
                <w:b/>
                <w:bCs/>
                <w:color w:val="000000"/>
                <w:sz w:val="20"/>
                <w:szCs w:val="20"/>
              </w:rPr>
            </w:pPr>
          </w:p>
        </w:tc>
        <w:tc>
          <w:tcPr>
            <w:tcW w:w="471" w:type="pct"/>
            <w:vAlign w:val="center"/>
          </w:tcPr>
          <w:p w14:paraId="5557AA42" w14:textId="4D404A0F" w:rsidR="00224E1A" w:rsidRPr="00D41179" w:rsidRDefault="00224E1A">
            <w:pPr>
              <w:keepNext/>
              <w:jc w:val="left"/>
              <w:rPr>
                <w:rFonts w:ascii="Arial Narrow" w:hAnsi="Arial Narrow" w:cs="Calibri"/>
                <w:b/>
                <w:bCs/>
                <w:color w:val="000000"/>
                <w:sz w:val="20"/>
                <w:szCs w:val="20"/>
              </w:rPr>
            </w:pPr>
            <w:r w:rsidRPr="00D41179">
              <w:rPr>
                <w:rFonts w:ascii="Arial Narrow" w:hAnsi="Arial Narrow" w:cs="Calibri"/>
                <w:b/>
                <w:bCs/>
                <w:color w:val="000000"/>
                <w:sz w:val="20"/>
                <w:szCs w:val="20"/>
              </w:rPr>
              <w:t>60-69</w:t>
            </w:r>
            <w:r w:rsidR="00032A44" w:rsidRPr="00D41179">
              <w:rPr>
                <w:rFonts w:ascii="Arial Narrow" w:hAnsi="Arial Narrow" w:cs="Calibri"/>
                <w:b/>
                <w:bCs/>
                <w:color w:val="000000"/>
                <w:sz w:val="20"/>
                <w:szCs w:val="20"/>
                <w:vertAlign w:val="superscript"/>
              </w:rPr>
              <w:t>6</w:t>
            </w:r>
          </w:p>
        </w:tc>
        <w:tc>
          <w:tcPr>
            <w:tcW w:w="393" w:type="pct"/>
            <w:noWrap/>
            <w:vAlign w:val="center"/>
            <w:hideMark/>
          </w:tcPr>
          <w:p w14:paraId="1F2B8F67" w14:textId="77777777" w:rsidR="00224E1A" w:rsidRPr="00D41179" w:rsidRDefault="00224E1A">
            <w:pPr>
              <w:keepNext/>
              <w:jc w:val="center"/>
              <w:rPr>
                <w:rFonts w:ascii="Arial Narrow" w:hAnsi="Arial Narrow" w:cs="Calibri"/>
                <w:color w:val="000000"/>
                <w:sz w:val="20"/>
                <w:szCs w:val="20"/>
              </w:rPr>
            </w:pPr>
            <w:r w:rsidRPr="00D41179">
              <w:rPr>
                <w:rFonts w:ascii="Arial Narrow" w:eastAsia="Calibri" w:hAnsi="Arial Narrow" w:cs="Calibri"/>
                <w:color w:val="000000"/>
                <w:sz w:val="20"/>
                <w:szCs w:val="20"/>
              </w:rPr>
              <w:t>1,242</w:t>
            </w:r>
          </w:p>
        </w:tc>
        <w:tc>
          <w:tcPr>
            <w:tcW w:w="236" w:type="pct"/>
            <w:noWrap/>
            <w:vAlign w:val="center"/>
            <w:hideMark/>
          </w:tcPr>
          <w:p w14:paraId="65292BB2" w14:textId="77777777" w:rsidR="00224E1A" w:rsidRPr="00D41179" w:rsidRDefault="00224E1A">
            <w:pPr>
              <w:keepNext/>
              <w:jc w:val="center"/>
              <w:rPr>
                <w:rFonts w:ascii="Arial Narrow" w:hAnsi="Arial Narrow" w:cs="Calibri"/>
                <w:color w:val="000000"/>
                <w:sz w:val="20"/>
                <w:szCs w:val="20"/>
              </w:rPr>
            </w:pPr>
            <w:r w:rsidRPr="00D41179">
              <w:rPr>
                <w:rFonts w:ascii="Arial Narrow" w:eastAsia="Calibri" w:hAnsi="Arial Narrow" w:cs="Calibri"/>
                <w:color w:val="000000"/>
                <w:sz w:val="20"/>
                <w:szCs w:val="20"/>
              </w:rPr>
              <w:t>9</w:t>
            </w:r>
          </w:p>
        </w:tc>
        <w:tc>
          <w:tcPr>
            <w:tcW w:w="471" w:type="pct"/>
            <w:noWrap/>
            <w:vAlign w:val="center"/>
            <w:hideMark/>
          </w:tcPr>
          <w:p w14:paraId="777E3E3A" w14:textId="77777777" w:rsidR="00224E1A" w:rsidRPr="00D41179" w:rsidRDefault="00224E1A">
            <w:pPr>
              <w:keepNext/>
              <w:jc w:val="center"/>
              <w:rPr>
                <w:rFonts w:ascii="Arial Narrow" w:hAnsi="Arial Narrow" w:cs="Calibri"/>
                <w:color w:val="000000"/>
                <w:sz w:val="20"/>
                <w:szCs w:val="20"/>
              </w:rPr>
            </w:pPr>
            <w:r w:rsidRPr="00D41179">
              <w:rPr>
                <w:rFonts w:ascii="Arial Narrow" w:eastAsia="Calibri" w:hAnsi="Arial Narrow" w:cs="Calibri"/>
                <w:color w:val="000000"/>
                <w:sz w:val="20"/>
                <w:szCs w:val="20"/>
              </w:rPr>
              <w:t>6,957.4</w:t>
            </w:r>
          </w:p>
        </w:tc>
        <w:tc>
          <w:tcPr>
            <w:tcW w:w="473" w:type="pct"/>
            <w:noWrap/>
            <w:vAlign w:val="center"/>
            <w:hideMark/>
          </w:tcPr>
          <w:p w14:paraId="41262CDC" w14:textId="77777777" w:rsidR="00224E1A" w:rsidRPr="00D41179" w:rsidRDefault="00224E1A">
            <w:pPr>
              <w:keepNext/>
              <w:jc w:val="center"/>
              <w:rPr>
                <w:rFonts w:ascii="Arial Narrow" w:hAnsi="Arial Narrow" w:cs="Calibri"/>
                <w:color w:val="000000"/>
                <w:sz w:val="20"/>
                <w:szCs w:val="20"/>
              </w:rPr>
            </w:pPr>
            <w:r w:rsidRPr="00D41179">
              <w:rPr>
                <w:rFonts w:ascii="Arial Narrow" w:eastAsia="Calibri" w:hAnsi="Arial Narrow" w:cs="Calibri"/>
                <w:color w:val="000000"/>
                <w:sz w:val="20"/>
                <w:szCs w:val="20"/>
              </w:rPr>
              <w:t>1.3</w:t>
            </w:r>
          </w:p>
        </w:tc>
        <w:tc>
          <w:tcPr>
            <w:tcW w:w="393" w:type="pct"/>
            <w:noWrap/>
            <w:vAlign w:val="center"/>
            <w:hideMark/>
          </w:tcPr>
          <w:p w14:paraId="7093BC13" w14:textId="77777777" w:rsidR="00224E1A" w:rsidRPr="00D41179" w:rsidRDefault="00224E1A">
            <w:pPr>
              <w:keepNext/>
              <w:jc w:val="center"/>
              <w:rPr>
                <w:rFonts w:ascii="Arial Narrow" w:hAnsi="Arial Narrow" w:cs="Calibri"/>
                <w:color w:val="000000"/>
                <w:sz w:val="20"/>
                <w:szCs w:val="20"/>
              </w:rPr>
            </w:pPr>
            <w:r w:rsidRPr="00D41179">
              <w:rPr>
                <w:rFonts w:ascii="Arial Narrow" w:eastAsia="Calibri" w:hAnsi="Arial Narrow" w:cs="Calibri"/>
                <w:color w:val="000000"/>
                <w:sz w:val="20"/>
                <w:szCs w:val="20"/>
              </w:rPr>
              <w:t>1,242</w:t>
            </w:r>
          </w:p>
        </w:tc>
        <w:tc>
          <w:tcPr>
            <w:tcW w:w="315" w:type="pct"/>
            <w:noWrap/>
            <w:vAlign w:val="center"/>
            <w:hideMark/>
          </w:tcPr>
          <w:p w14:paraId="6EA32208" w14:textId="77777777" w:rsidR="00224E1A" w:rsidRPr="00D41179" w:rsidRDefault="00224E1A">
            <w:pPr>
              <w:keepNext/>
              <w:jc w:val="center"/>
              <w:rPr>
                <w:rFonts w:ascii="Arial Narrow" w:hAnsi="Arial Narrow" w:cs="Calibri"/>
                <w:color w:val="000000"/>
                <w:sz w:val="20"/>
                <w:szCs w:val="20"/>
              </w:rPr>
            </w:pPr>
            <w:r w:rsidRPr="00D41179">
              <w:rPr>
                <w:rFonts w:ascii="Arial Narrow" w:eastAsia="Calibri" w:hAnsi="Arial Narrow" w:cs="Calibri"/>
                <w:color w:val="000000"/>
                <w:sz w:val="20"/>
                <w:szCs w:val="20"/>
              </w:rPr>
              <w:t>70</w:t>
            </w:r>
          </w:p>
        </w:tc>
        <w:tc>
          <w:tcPr>
            <w:tcW w:w="471" w:type="pct"/>
            <w:noWrap/>
            <w:vAlign w:val="center"/>
            <w:hideMark/>
          </w:tcPr>
          <w:p w14:paraId="035D73F0" w14:textId="77777777" w:rsidR="00224E1A" w:rsidRPr="00D41179" w:rsidRDefault="00224E1A">
            <w:pPr>
              <w:keepNext/>
              <w:jc w:val="center"/>
              <w:rPr>
                <w:rFonts w:ascii="Arial Narrow" w:hAnsi="Arial Narrow" w:cs="Calibri"/>
                <w:color w:val="000000"/>
                <w:sz w:val="20"/>
                <w:szCs w:val="20"/>
              </w:rPr>
            </w:pPr>
            <w:r w:rsidRPr="00D41179">
              <w:rPr>
                <w:rFonts w:ascii="Arial Narrow" w:eastAsia="Calibri" w:hAnsi="Arial Narrow" w:cs="Calibri"/>
                <w:color w:val="000000"/>
                <w:sz w:val="20"/>
                <w:szCs w:val="20"/>
              </w:rPr>
              <w:t>6,957.4</w:t>
            </w:r>
          </w:p>
        </w:tc>
        <w:tc>
          <w:tcPr>
            <w:tcW w:w="472" w:type="pct"/>
            <w:noWrap/>
            <w:vAlign w:val="center"/>
            <w:hideMark/>
          </w:tcPr>
          <w:p w14:paraId="33356860" w14:textId="77777777" w:rsidR="00224E1A" w:rsidRPr="00D41179" w:rsidRDefault="00224E1A">
            <w:pPr>
              <w:keepNext/>
              <w:jc w:val="center"/>
              <w:rPr>
                <w:rFonts w:ascii="Arial Narrow" w:hAnsi="Arial Narrow" w:cs="Calibri"/>
                <w:color w:val="000000"/>
                <w:sz w:val="20"/>
                <w:szCs w:val="20"/>
              </w:rPr>
            </w:pPr>
            <w:r w:rsidRPr="00D41179">
              <w:rPr>
                <w:rFonts w:ascii="Arial Narrow" w:eastAsia="Calibri" w:hAnsi="Arial Narrow" w:cs="Calibri"/>
                <w:color w:val="000000"/>
                <w:sz w:val="20"/>
                <w:szCs w:val="20"/>
              </w:rPr>
              <w:t>10.1</w:t>
            </w:r>
          </w:p>
        </w:tc>
        <w:tc>
          <w:tcPr>
            <w:tcW w:w="600" w:type="pct"/>
            <w:noWrap/>
            <w:vAlign w:val="center"/>
            <w:hideMark/>
          </w:tcPr>
          <w:p w14:paraId="22F1E878" w14:textId="77777777" w:rsidR="00224E1A" w:rsidRPr="00D41179" w:rsidRDefault="00224E1A">
            <w:pPr>
              <w:keepNext/>
              <w:jc w:val="center"/>
              <w:rPr>
                <w:rFonts w:ascii="Arial Narrow" w:hAnsi="Arial Narrow" w:cs="Calibri"/>
                <w:color w:val="000000"/>
                <w:sz w:val="20"/>
                <w:szCs w:val="20"/>
              </w:rPr>
            </w:pPr>
            <w:r w:rsidRPr="00D41179">
              <w:rPr>
                <w:rFonts w:ascii="Arial Narrow" w:hAnsi="Arial Narrow" w:cs="Calibri"/>
                <w:color w:val="000000"/>
                <w:sz w:val="20"/>
                <w:szCs w:val="20"/>
              </w:rPr>
              <w:t>87.14</w:t>
            </w:r>
          </w:p>
          <w:p w14:paraId="357002E9" w14:textId="77777777" w:rsidR="00224E1A" w:rsidRPr="00D41179" w:rsidRDefault="00224E1A">
            <w:pPr>
              <w:keepNext/>
              <w:jc w:val="center"/>
              <w:rPr>
                <w:rFonts w:ascii="Arial Narrow" w:hAnsi="Arial Narrow" w:cs="Calibri"/>
                <w:color w:val="000000"/>
                <w:sz w:val="20"/>
                <w:szCs w:val="20"/>
              </w:rPr>
            </w:pPr>
            <w:r w:rsidRPr="00D41179">
              <w:rPr>
                <w:rFonts w:ascii="Arial Narrow" w:hAnsi="Arial Narrow" w:cs="Calibri"/>
                <w:color w:val="000000"/>
                <w:sz w:val="20"/>
                <w:szCs w:val="20"/>
              </w:rPr>
              <w:t>(74.17, 94.35)</w:t>
            </w:r>
          </w:p>
        </w:tc>
      </w:tr>
      <w:tr w:rsidR="00224E1A" w:rsidRPr="00D41179" w14:paraId="644C9CFD" w14:textId="77777777">
        <w:trPr>
          <w:trHeight w:val="170"/>
        </w:trPr>
        <w:tc>
          <w:tcPr>
            <w:tcW w:w="705" w:type="pct"/>
            <w:vMerge/>
            <w:noWrap/>
          </w:tcPr>
          <w:p w14:paraId="34092EBC" w14:textId="77777777" w:rsidR="00224E1A" w:rsidRPr="00D41179" w:rsidRDefault="00224E1A">
            <w:pPr>
              <w:keepNext/>
              <w:jc w:val="left"/>
              <w:rPr>
                <w:rFonts w:ascii="Arial Narrow" w:hAnsi="Arial Narrow" w:cs="Calibri"/>
                <w:b/>
                <w:bCs/>
                <w:color w:val="000000"/>
                <w:sz w:val="20"/>
                <w:szCs w:val="20"/>
              </w:rPr>
            </w:pPr>
          </w:p>
        </w:tc>
        <w:tc>
          <w:tcPr>
            <w:tcW w:w="471" w:type="pct"/>
            <w:vAlign w:val="center"/>
          </w:tcPr>
          <w:p w14:paraId="5F529EFD" w14:textId="3665F2D2" w:rsidR="00224E1A" w:rsidRPr="00D41179" w:rsidRDefault="00224E1A">
            <w:pPr>
              <w:keepNext/>
              <w:jc w:val="left"/>
              <w:rPr>
                <w:rFonts w:ascii="Arial Narrow" w:hAnsi="Arial Narrow" w:cs="Calibri"/>
                <w:b/>
                <w:bCs/>
                <w:color w:val="000000"/>
                <w:sz w:val="20"/>
                <w:szCs w:val="20"/>
              </w:rPr>
            </w:pPr>
            <w:r w:rsidRPr="00D41179">
              <w:rPr>
                <w:rFonts w:ascii="Arial Narrow" w:hAnsi="Arial Narrow" w:cs="Calibri"/>
                <w:b/>
                <w:bCs/>
                <w:color w:val="000000"/>
                <w:sz w:val="20"/>
                <w:szCs w:val="20"/>
              </w:rPr>
              <w:t>≥70</w:t>
            </w:r>
            <w:r w:rsidR="00032A44" w:rsidRPr="00D41179">
              <w:rPr>
                <w:rFonts w:ascii="Arial Narrow" w:hAnsi="Arial Narrow" w:cs="Calibri"/>
                <w:b/>
                <w:bCs/>
                <w:color w:val="000000"/>
                <w:sz w:val="20"/>
                <w:szCs w:val="20"/>
                <w:vertAlign w:val="superscript"/>
              </w:rPr>
              <w:t>6</w:t>
            </w:r>
          </w:p>
        </w:tc>
        <w:tc>
          <w:tcPr>
            <w:tcW w:w="393" w:type="pct"/>
            <w:noWrap/>
            <w:vAlign w:val="center"/>
            <w:hideMark/>
          </w:tcPr>
          <w:p w14:paraId="7FAA2EB1" w14:textId="77777777" w:rsidR="00224E1A" w:rsidRPr="00D41179" w:rsidRDefault="00224E1A">
            <w:pPr>
              <w:keepNext/>
              <w:jc w:val="center"/>
              <w:rPr>
                <w:rFonts w:ascii="Arial Narrow" w:hAnsi="Arial Narrow" w:cs="Calibri"/>
                <w:color w:val="000000"/>
                <w:sz w:val="20"/>
                <w:szCs w:val="20"/>
              </w:rPr>
            </w:pPr>
            <w:r w:rsidRPr="00D41179">
              <w:rPr>
                <w:rFonts w:ascii="Arial Narrow" w:eastAsia="Calibri" w:hAnsi="Arial Narrow" w:cs="Calibri"/>
                <w:color w:val="000000"/>
                <w:sz w:val="20"/>
                <w:szCs w:val="20"/>
              </w:rPr>
              <w:t>3,973</w:t>
            </w:r>
          </w:p>
        </w:tc>
        <w:tc>
          <w:tcPr>
            <w:tcW w:w="236" w:type="pct"/>
            <w:noWrap/>
            <w:vAlign w:val="center"/>
            <w:hideMark/>
          </w:tcPr>
          <w:p w14:paraId="3ECE33E3" w14:textId="77777777" w:rsidR="00224E1A" w:rsidRPr="00D41179" w:rsidRDefault="00224E1A">
            <w:pPr>
              <w:keepNext/>
              <w:jc w:val="center"/>
              <w:rPr>
                <w:rFonts w:ascii="Arial Narrow" w:hAnsi="Arial Narrow" w:cs="Calibri"/>
                <w:color w:val="000000"/>
                <w:sz w:val="20"/>
                <w:szCs w:val="20"/>
              </w:rPr>
            </w:pPr>
            <w:r w:rsidRPr="00D41179">
              <w:rPr>
                <w:rFonts w:ascii="Arial Narrow" w:eastAsia="Calibri" w:hAnsi="Arial Narrow" w:cs="Calibri"/>
                <w:color w:val="000000"/>
                <w:sz w:val="20"/>
                <w:szCs w:val="20"/>
              </w:rPr>
              <w:t>48</w:t>
            </w:r>
          </w:p>
        </w:tc>
        <w:tc>
          <w:tcPr>
            <w:tcW w:w="471" w:type="pct"/>
            <w:noWrap/>
            <w:vAlign w:val="center"/>
            <w:hideMark/>
          </w:tcPr>
          <w:p w14:paraId="07A96169" w14:textId="77777777" w:rsidR="00224E1A" w:rsidRPr="00D41179" w:rsidRDefault="00224E1A">
            <w:pPr>
              <w:keepNext/>
              <w:jc w:val="center"/>
              <w:rPr>
                <w:rFonts w:ascii="Arial Narrow" w:hAnsi="Arial Narrow" w:cs="Calibri"/>
                <w:color w:val="000000"/>
                <w:sz w:val="20"/>
                <w:szCs w:val="20"/>
              </w:rPr>
            </w:pPr>
            <w:r w:rsidRPr="00D41179">
              <w:rPr>
                <w:rFonts w:ascii="Arial Narrow" w:eastAsia="Calibri" w:hAnsi="Arial Narrow" w:cs="Calibri"/>
                <w:color w:val="000000"/>
                <w:sz w:val="20"/>
                <w:szCs w:val="20"/>
              </w:rPr>
              <w:t>20,412.6</w:t>
            </w:r>
          </w:p>
        </w:tc>
        <w:tc>
          <w:tcPr>
            <w:tcW w:w="473" w:type="pct"/>
            <w:noWrap/>
            <w:vAlign w:val="center"/>
            <w:hideMark/>
          </w:tcPr>
          <w:p w14:paraId="080AB9BD" w14:textId="77777777" w:rsidR="00224E1A" w:rsidRPr="00D41179" w:rsidRDefault="00224E1A">
            <w:pPr>
              <w:keepNext/>
              <w:jc w:val="center"/>
              <w:rPr>
                <w:rFonts w:ascii="Arial Narrow" w:hAnsi="Arial Narrow" w:cs="Calibri"/>
                <w:color w:val="000000"/>
                <w:sz w:val="20"/>
                <w:szCs w:val="20"/>
              </w:rPr>
            </w:pPr>
            <w:r w:rsidRPr="00D41179">
              <w:rPr>
                <w:rFonts w:ascii="Arial Narrow" w:eastAsia="Calibri" w:hAnsi="Arial Narrow" w:cs="Calibri"/>
                <w:color w:val="000000"/>
                <w:sz w:val="20"/>
                <w:szCs w:val="20"/>
              </w:rPr>
              <w:t>2.4</w:t>
            </w:r>
          </w:p>
        </w:tc>
        <w:tc>
          <w:tcPr>
            <w:tcW w:w="393" w:type="pct"/>
            <w:noWrap/>
            <w:vAlign w:val="center"/>
            <w:hideMark/>
          </w:tcPr>
          <w:p w14:paraId="1E842ACE" w14:textId="77777777" w:rsidR="00224E1A" w:rsidRPr="00D41179" w:rsidRDefault="00224E1A">
            <w:pPr>
              <w:keepNext/>
              <w:jc w:val="center"/>
              <w:rPr>
                <w:rFonts w:ascii="Arial Narrow" w:hAnsi="Arial Narrow" w:cs="Calibri"/>
                <w:color w:val="000000"/>
                <w:sz w:val="20"/>
                <w:szCs w:val="20"/>
              </w:rPr>
            </w:pPr>
            <w:r w:rsidRPr="00D41179">
              <w:rPr>
                <w:rFonts w:ascii="Arial Narrow" w:eastAsia="Calibri" w:hAnsi="Arial Narrow" w:cs="Calibri"/>
                <w:color w:val="000000"/>
                <w:sz w:val="20"/>
                <w:szCs w:val="20"/>
              </w:rPr>
              <w:t>3,973</w:t>
            </w:r>
          </w:p>
        </w:tc>
        <w:tc>
          <w:tcPr>
            <w:tcW w:w="315" w:type="pct"/>
            <w:noWrap/>
            <w:vAlign w:val="center"/>
            <w:hideMark/>
          </w:tcPr>
          <w:p w14:paraId="4F6ADB94" w14:textId="77777777" w:rsidR="00224E1A" w:rsidRPr="00D41179" w:rsidRDefault="00224E1A">
            <w:pPr>
              <w:keepNext/>
              <w:jc w:val="center"/>
              <w:rPr>
                <w:rFonts w:ascii="Arial Narrow" w:hAnsi="Arial Narrow" w:cs="Calibri"/>
                <w:color w:val="000000"/>
                <w:sz w:val="20"/>
                <w:szCs w:val="20"/>
              </w:rPr>
            </w:pPr>
            <w:r w:rsidRPr="00D41179">
              <w:rPr>
                <w:rFonts w:ascii="Arial Narrow" w:eastAsia="Calibri" w:hAnsi="Arial Narrow" w:cs="Calibri"/>
                <w:color w:val="000000"/>
                <w:sz w:val="20"/>
                <w:szCs w:val="20"/>
              </w:rPr>
              <w:t>179</w:t>
            </w:r>
          </w:p>
        </w:tc>
        <w:tc>
          <w:tcPr>
            <w:tcW w:w="471" w:type="pct"/>
            <w:noWrap/>
            <w:vAlign w:val="center"/>
            <w:hideMark/>
          </w:tcPr>
          <w:p w14:paraId="5176A630" w14:textId="77777777" w:rsidR="00224E1A" w:rsidRPr="00D41179" w:rsidRDefault="00224E1A">
            <w:pPr>
              <w:keepNext/>
              <w:jc w:val="center"/>
              <w:rPr>
                <w:rFonts w:ascii="Arial Narrow" w:hAnsi="Arial Narrow" w:cs="Calibri"/>
                <w:color w:val="000000"/>
                <w:sz w:val="20"/>
                <w:szCs w:val="20"/>
              </w:rPr>
            </w:pPr>
            <w:r w:rsidRPr="00D41179">
              <w:rPr>
                <w:rFonts w:ascii="Arial Narrow" w:eastAsia="Calibri" w:hAnsi="Arial Narrow" w:cs="Calibri"/>
                <w:color w:val="000000"/>
                <w:sz w:val="20"/>
                <w:szCs w:val="20"/>
              </w:rPr>
              <w:t>20,412.6</w:t>
            </w:r>
          </w:p>
        </w:tc>
        <w:tc>
          <w:tcPr>
            <w:tcW w:w="472" w:type="pct"/>
            <w:noWrap/>
            <w:vAlign w:val="center"/>
            <w:hideMark/>
          </w:tcPr>
          <w:p w14:paraId="4FD26F14" w14:textId="77777777" w:rsidR="00224E1A" w:rsidRPr="00D41179" w:rsidRDefault="00224E1A">
            <w:pPr>
              <w:keepNext/>
              <w:jc w:val="center"/>
              <w:rPr>
                <w:rFonts w:ascii="Arial Narrow" w:hAnsi="Arial Narrow" w:cs="Calibri"/>
                <w:color w:val="000000"/>
                <w:sz w:val="20"/>
                <w:szCs w:val="20"/>
              </w:rPr>
            </w:pPr>
            <w:r w:rsidRPr="00D41179">
              <w:rPr>
                <w:rFonts w:ascii="Arial Narrow" w:eastAsia="Calibri" w:hAnsi="Arial Narrow" w:cs="Calibri"/>
                <w:color w:val="000000"/>
                <w:sz w:val="20"/>
                <w:szCs w:val="20"/>
              </w:rPr>
              <w:t>8.8</w:t>
            </w:r>
          </w:p>
        </w:tc>
        <w:tc>
          <w:tcPr>
            <w:tcW w:w="600" w:type="pct"/>
            <w:noWrap/>
            <w:vAlign w:val="center"/>
            <w:hideMark/>
          </w:tcPr>
          <w:p w14:paraId="56FC44D4" w14:textId="77777777" w:rsidR="00224E1A" w:rsidRPr="00D41179" w:rsidRDefault="00224E1A">
            <w:pPr>
              <w:keepNext/>
              <w:jc w:val="center"/>
              <w:rPr>
                <w:rFonts w:ascii="Arial Narrow" w:hAnsi="Arial Narrow" w:cs="Calibri"/>
                <w:color w:val="000000"/>
                <w:sz w:val="20"/>
                <w:szCs w:val="20"/>
              </w:rPr>
            </w:pPr>
            <w:r w:rsidRPr="00D41179">
              <w:rPr>
                <w:rFonts w:ascii="Arial Narrow" w:hAnsi="Arial Narrow" w:cs="Calibri"/>
                <w:color w:val="000000"/>
                <w:sz w:val="20"/>
                <w:szCs w:val="20"/>
              </w:rPr>
              <w:t>73.18</w:t>
            </w:r>
          </w:p>
          <w:p w14:paraId="26E96ECE" w14:textId="77777777" w:rsidR="00224E1A" w:rsidRPr="00D41179" w:rsidRDefault="00224E1A">
            <w:pPr>
              <w:keepNext/>
              <w:jc w:val="center"/>
              <w:rPr>
                <w:rFonts w:ascii="Arial Narrow" w:hAnsi="Arial Narrow" w:cs="Calibri"/>
                <w:color w:val="000000"/>
                <w:sz w:val="20"/>
                <w:szCs w:val="20"/>
              </w:rPr>
            </w:pPr>
            <w:r w:rsidRPr="00D41179">
              <w:rPr>
                <w:rFonts w:ascii="Arial Narrow" w:hAnsi="Arial Narrow" w:cs="Calibri"/>
                <w:color w:val="000000"/>
                <w:sz w:val="20"/>
                <w:szCs w:val="20"/>
              </w:rPr>
              <w:t>(62.94, 80.92)</w:t>
            </w:r>
          </w:p>
        </w:tc>
      </w:tr>
    </w:tbl>
    <w:p w14:paraId="6A2F930A" w14:textId="5B7BEDA9" w:rsidR="00224E1A" w:rsidRPr="00D41179" w:rsidRDefault="00224E1A" w:rsidP="00224E1A">
      <w:pPr>
        <w:pStyle w:val="TableNotes"/>
        <w:rPr>
          <w:rFonts w:eastAsia="Calibri"/>
        </w:rPr>
      </w:pPr>
      <w:r w:rsidRPr="00D41179">
        <w:rPr>
          <w:rFonts w:eastAsia="Calibri"/>
        </w:rPr>
        <w:t>Source: Table 2 23: Vaccine efficacy: First or only episode of HZ by age strata and overall using Poisson regression method (</w:t>
      </w:r>
      <w:proofErr w:type="spellStart"/>
      <w:r w:rsidRPr="00D41179">
        <w:rPr>
          <w:rFonts w:eastAsia="Calibri"/>
        </w:rPr>
        <w:t>mTVC</w:t>
      </w:r>
      <w:proofErr w:type="spellEnd"/>
      <w:r w:rsidRPr="00D41179">
        <w:rPr>
          <w:rFonts w:eastAsia="Calibri"/>
        </w:rPr>
        <w:t xml:space="preserve"> - pooled </w:t>
      </w:r>
      <w:r w:rsidR="006E4120" w:rsidRPr="00D41179">
        <w:rPr>
          <w:rFonts w:eastAsia="Calibri"/>
        </w:rPr>
        <w:t xml:space="preserve">ZOE-50/-70 </w:t>
      </w:r>
      <w:r w:rsidRPr="00D41179">
        <w:rPr>
          <w:rFonts w:eastAsia="Calibri"/>
        </w:rPr>
        <w:t xml:space="preserve">and </w:t>
      </w:r>
      <w:proofErr w:type="spellStart"/>
      <w:r w:rsidRPr="00D41179">
        <w:rPr>
          <w:rFonts w:eastAsia="Calibri"/>
        </w:rPr>
        <w:t>mTVC</w:t>
      </w:r>
      <w:proofErr w:type="spellEnd"/>
      <w:r w:rsidRPr="00D41179">
        <w:rPr>
          <w:rFonts w:eastAsia="Calibri"/>
        </w:rPr>
        <w:t xml:space="preserve"> – ZOSTER 049), p112 of the submission.</w:t>
      </w:r>
    </w:p>
    <w:p w14:paraId="3E28CD83" w14:textId="264A314A" w:rsidR="00224E1A" w:rsidRPr="00D41179" w:rsidRDefault="00224E1A" w:rsidP="00224E1A">
      <w:pPr>
        <w:pStyle w:val="TableNotes"/>
      </w:pPr>
      <w:r w:rsidRPr="00D41179">
        <w:rPr>
          <w:rFonts w:eastAsia="Calibri"/>
        </w:rPr>
        <w:t xml:space="preserve">CI = confidence interval;; HZ = herpes zoster; IR = incidence rate; LTFU = long-term follow-up; </w:t>
      </w:r>
      <w:proofErr w:type="spellStart"/>
      <w:r w:rsidRPr="00D41179">
        <w:rPr>
          <w:rFonts w:eastAsia="Calibri"/>
        </w:rPr>
        <w:t>mTVC</w:t>
      </w:r>
      <w:proofErr w:type="spellEnd"/>
      <w:r w:rsidRPr="00D41179">
        <w:rPr>
          <w:rFonts w:eastAsia="Calibri"/>
        </w:rPr>
        <w:t xml:space="preserve"> = modified total vaccinated cohort; n = number of individuals having at least one confirmed herpes zoster episode; N = number of individuals included in each group; PY = person-year; RZV, recombinant zoster vaccine (</w:t>
      </w:r>
      <w:r w:rsidRPr="00D41179">
        <w:rPr>
          <w:rFonts w:eastAsia="Calibri"/>
          <w:i/>
        </w:rPr>
        <w:t>Shingrix</w:t>
      </w:r>
      <w:r w:rsidRPr="00D41179">
        <w:rPr>
          <w:rFonts w:eastAsia="Calibri"/>
        </w:rPr>
        <w:t>); T (year) = sum of follow-up (censored at the first occurrence of a confirmed HZ episode) expressed in years; VE = vaccine efficacy.</w:t>
      </w:r>
    </w:p>
    <w:p w14:paraId="3E60DD20" w14:textId="6FCD6029" w:rsidR="00224E1A" w:rsidRPr="00D41179" w:rsidRDefault="00224E1A" w:rsidP="00224E1A">
      <w:pPr>
        <w:pStyle w:val="TableNotes"/>
        <w:rPr>
          <w:rFonts w:eastAsia="Calibri"/>
        </w:rPr>
      </w:pPr>
      <w:r w:rsidRPr="00D41179">
        <w:rPr>
          <w:vertAlign w:val="superscript"/>
        </w:rPr>
        <w:t>1</w:t>
      </w:r>
      <w:r w:rsidRPr="00D41179">
        <w:rPr>
          <w:rFonts w:eastAsia="Calibri"/>
        </w:rPr>
        <w:t xml:space="preserve"> Age strata defined by subjects’ age at first vaccination in ZOE-50/-70</w:t>
      </w:r>
      <w:r w:rsidR="00692170" w:rsidRPr="00D41179">
        <w:rPr>
          <w:rFonts w:eastAsia="Calibri"/>
        </w:rPr>
        <w:t xml:space="preserve"> </w:t>
      </w:r>
      <w:r w:rsidRPr="00D41179">
        <w:rPr>
          <w:rFonts w:eastAsia="Calibri"/>
        </w:rPr>
        <w:t xml:space="preserve">studies. </w:t>
      </w:r>
    </w:p>
    <w:p w14:paraId="6BEA676F" w14:textId="5C29A272" w:rsidR="00EC35E9" w:rsidRPr="00D41179" w:rsidRDefault="00224E1A" w:rsidP="00EC35E9">
      <w:pPr>
        <w:pStyle w:val="TableNotes"/>
        <w:rPr>
          <w:rFonts w:eastAsia="Calibri"/>
        </w:rPr>
      </w:pPr>
      <w:r w:rsidRPr="00D41179">
        <w:rPr>
          <w:vertAlign w:val="superscript"/>
        </w:rPr>
        <w:t>2</w:t>
      </w:r>
      <w:r w:rsidRPr="00D41179">
        <w:rPr>
          <w:rFonts w:eastAsia="Calibri"/>
        </w:rPr>
        <w:t xml:space="preserve"> </w:t>
      </w:r>
      <w:r w:rsidR="00EC35E9" w:rsidRPr="00D41179">
        <w:rPr>
          <w:rFonts w:eastAsia="Calibri"/>
        </w:rPr>
        <w:t>Data from participants in the LTFU and control groups of the ZOE-LTFU study.</w:t>
      </w:r>
    </w:p>
    <w:p w14:paraId="5B21A3EC" w14:textId="7ABC137F" w:rsidR="00692170" w:rsidRPr="00D41179" w:rsidRDefault="00692170" w:rsidP="00692170">
      <w:pPr>
        <w:pStyle w:val="TableNotes"/>
        <w:rPr>
          <w:rFonts w:eastAsia="Calibri"/>
        </w:rPr>
      </w:pPr>
      <w:r w:rsidRPr="00D41179">
        <w:rPr>
          <w:vertAlign w:val="superscript"/>
        </w:rPr>
        <w:t>3</w:t>
      </w:r>
      <w:r w:rsidRPr="00D41179">
        <w:rPr>
          <w:rFonts w:eastAsia="Calibri"/>
        </w:rPr>
        <w:t xml:space="preserve"> </w:t>
      </w:r>
      <w:r w:rsidR="00EC35E9" w:rsidRPr="00D41179">
        <w:rPr>
          <w:rFonts w:eastAsia="Calibri"/>
        </w:rPr>
        <w:t>Data from the placebo group of ZOE-50/70 were used to form the historical control. The number of participants (N) and follow-up period in the historical control were assumed to be the same as the vaccinated group. The n for historical controls represents the projected number of conﬁrmed HZ episodes based on the estimated incidence rates using placebo group data of ZOE-50/70.</w:t>
      </w:r>
    </w:p>
    <w:p w14:paraId="09E00ABC" w14:textId="5BA81B06" w:rsidR="00692170" w:rsidRPr="00D41179" w:rsidRDefault="00692170" w:rsidP="00692170">
      <w:pPr>
        <w:pStyle w:val="TableNotes"/>
        <w:rPr>
          <w:rFonts w:eastAsia="Calibri"/>
        </w:rPr>
      </w:pPr>
      <w:r w:rsidRPr="00D41179">
        <w:rPr>
          <w:vertAlign w:val="superscript"/>
        </w:rPr>
        <w:t>4</w:t>
      </w:r>
      <w:r w:rsidRPr="00D41179">
        <w:rPr>
          <w:rFonts w:eastAsia="Calibri"/>
        </w:rPr>
        <w:t xml:space="preserve"> Assumed to be the same as for RZV group from Year 6 onwards. </w:t>
      </w:r>
    </w:p>
    <w:p w14:paraId="2B8A37BE" w14:textId="27DDAC4B" w:rsidR="00032A44" w:rsidRPr="00D41179" w:rsidRDefault="00032A44" w:rsidP="00224E1A">
      <w:pPr>
        <w:pStyle w:val="TableNotes"/>
      </w:pPr>
      <w:r w:rsidRPr="00D41179">
        <w:rPr>
          <w:vertAlign w:val="superscript"/>
        </w:rPr>
        <w:t xml:space="preserve">5 </w:t>
      </w:r>
      <w:r w:rsidR="005448E4" w:rsidRPr="00D41179">
        <w:t xml:space="preserve">Primary objective </w:t>
      </w:r>
    </w:p>
    <w:p w14:paraId="51BFC92E" w14:textId="3CCAB625" w:rsidR="00692170" w:rsidRPr="00D41179" w:rsidRDefault="00032A44" w:rsidP="00224E1A">
      <w:pPr>
        <w:pStyle w:val="TableNotes"/>
        <w:rPr>
          <w:rStyle w:val="CommentReference"/>
          <w:rFonts w:eastAsia="Calibri"/>
          <w:b w:val="0"/>
          <w:sz w:val="18"/>
          <w:szCs w:val="22"/>
        </w:rPr>
      </w:pPr>
      <w:r w:rsidRPr="00D41179">
        <w:rPr>
          <w:vertAlign w:val="superscript"/>
        </w:rPr>
        <w:t xml:space="preserve">6 </w:t>
      </w:r>
      <w:r w:rsidR="005448E4" w:rsidRPr="00D41179">
        <w:t>Secondary objective</w:t>
      </w:r>
    </w:p>
    <w:p w14:paraId="3941FE52" w14:textId="6707CC00" w:rsidR="00224E1A" w:rsidRPr="00D41179" w:rsidRDefault="00224E1A" w:rsidP="00A64F5D">
      <w:pPr>
        <w:numPr>
          <w:ilvl w:val="1"/>
          <w:numId w:val="8"/>
        </w:numPr>
        <w:spacing w:before="60" w:after="60"/>
        <w:ind w:left="709"/>
      </w:pPr>
      <w:r w:rsidRPr="00D41179">
        <w:rPr>
          <w:rFonts w:asciiTheme="minorHAnsi" w:eastAsiaTheme="minorHAnsi" w:hAnsiTheme="minorHAnsi" w:cstheme="minorBidi"/>
          <w:szCs w:val="22"/>
        </w:rPr>
        <w:t>VE against HZ by year since vaccination was reported for ZOSTER-049 as a secondary outcome are presented in</w:t>
      </w:r>
      <w:r w:rsidR="008839FA" w:rsidRPr="00D41179">
        <w:rPr>
          <w:rFonts w:asciiTheme="minorHAnsi" w:eastAsiaTheme="minorHAnsi" w:hAnsiTheme="minorHAnsi" w:cstheme="minorBidi"/>
          <w:szCs w:val="22"/>
        </w:rPr>
        <w:t xml:space="preserve"> </w:t>
      </w:r>
      <w:r w:rsidR="008839FA" w:rsidRPr="00D41179">
        <w:rPr>
          <w:rFonts w:asciiTheme="minorHAnsi" w:eastAsiaTheme="minorHAnsi" w:hAnsiTheme="minorHAnsi" w:cstheme="minorBidi"/>
          <w:szCs w:val="22"/>
        </w:rPr>
        <w:fldChar w:fldCharType="begin"/>
      </w:r>
      <w:r w:rsidR="008839FA" w:rsidRPr="00D41179">
        <w:rPr>
          <w:rFonts w:asciiTheme="minorHAnsi" w:eastAsiaTheme="minorHAnsi" w:hAnsiTheme="minorHAnsi" w:cstheme="minorBidi"/>
          <w:szCs w:val="22"/>
        </w:rPr>
        <w:instrText xml:space="preserve"> REF _Ref207878213 \h </w:instrText>
      </w:r>
      <w:r w:rsidR="00D41179" w:rsidRPr="00D41179">
        <w:rPr>
          <w:rFonts w:asciiTheme="minorHAnsi" w:eastAsiaTheme="minorHAnsi" w:hAnsiTheme="minorHAnsi" w:cstheme="minorBidi"/>
          <w:szCs w:val="22"/>
        </w:rPr>
        <w:instrText xml:space="preserve"> \* MERGEFORMAT </w:instrText>
      </w:r>
      <w:r w:rsidR="008839FA" w:rsidRPr="00D41179">
        <w:rPr>
          <w:rFonts w:asciiTheme="minorHAnsi" w:eastAsiaTheme="minorHAnsi" w:hAnsiTheme="minorHAnsi" w:cstheme="minorBidi"/>
          <w:szCs w:val="22"/>
        </w:rPr>
      </w:r>
      <w:r w:rsidR="008839FA" w:rsidRPr="00D41179">
        <w:rPr>
          <w:rFonts w:asciiTheme="minorHAnsi" w:eastAsiaTheme="minorHAnsi" w:hAnsiTheme="minorHAnsi" w:cstheme="minorBidi"/>
          <w:szCs w:val="22"/>
        </w:rPr>
        <w:fldChar w:fldCharType="separate"/>
      </w:r>
      <w:r w:rsidR="00E7345C" w:rsidRPr="00D41179">
        <w:t xml:space="preserve">Table </w:t>
      </w:r>
      <w:r w:rsidR="00E7345C" w:rsidRPr="00D41179">
        <w:rPr>
          <w:noProof/>
        </w:rPr>
        <w:t>5</w:t>
      </w:r>
      <w:r w:rsidR="008839FA" w:rsidRPr="00D41179">
        <w:rPr>
          <w:rFonts w:asciiTheme="minorHAnsi" w:eastAsiaTheme="minorHAnsi" w:hAnsiTheme="minorHAnsi" w:cstheme="minorBidi"/>
          <w:szCs w:val="22"/>
        </w:rPr>
        <w:fldChar w:fldCharType="end"/>
      </w:r>
      <w:r w:rsidR="00700DBA" w:rsidRPr="00D41179">
        <w:rPr>
          <w:rFonts w:asciiTheme="minorHAnsi" w:eastAsiaTheme="minorHAnsi" w:hAnsiTheme="minorHAnsi" w:cstheme="minorBidi"/>
          <w:szCs w:val="22"/>
        </w:rPr>
        <w:t xml:space="preserve"> and </w:t>
      </w:r>
      <w:r w:rsidR="00700DBA" w:rsidRPr="00D41179">
        <w:rPr>
          <w:rFonts w:asciiTheme="minorHAnsi" w:eastAsiaTheme="minorHAnsi" w:hAnsiTheme="minorHAnsi" w:cstheme="minorBidi"/>
          <w:szCs w:val="22"/>
        </w:rPr>
        <w:fldChar w:fldCharType="begin"/>
      </w:r>
      <w:r w:rsidR="00700DBA" w:rsidRPr="00D41179">
        <w:rPr>
          <w:rFonts w:asciiTheme="minorHAnsi" w:eastAsiaTheme="minorHAnsi" w:hAnsiTheme="minorHAnsi" w:cstheme="minorBidi"/>
          <w:szCs w:val="22"/>
        </w:rPr>
        <w:instrText xml:space="preserve"> REF _Ref210987383 \h  \* MERGEFORMAT </w:instrText>
      </w:r>
      <w:r w:rsidR="00700DBA" w:rsidRPr="00D41179">
        <w:rPr>
          <w:rFonts w:asciiTheme="minorHAnsi" w:eastAsiaTheme="minorHAnsi" w:hAnsiTheme="minorHAnsi" w:cstheme="minorBidi"/>
          <w:szCs w:val="22"/>
        </w:rPr>
      </w:r>
      <w:r w:rsidR="00700DBA" w:rsidRPr="00D41179">
        <w:rPr>
          <w:rFonts w:asciiTheme="minorHAnsi" w:eastAsiaTheme="minorHAnsi" w:hAnsiTheme="minorHAnsi" w:cstheme="minorBidi"/>
          <w:szCs w:val="22"/>
        </w:rPr>
        <w:fldChar w:fldCharType="separate"/>
      </w:r>
      <w:r w:rsidR="00E7345C" w:rsidRPr="00D41179">
        <w:t xml:space="preserve">Figure </w:t>
      </w:r>
      <w:r w:rsidR="00E7345C" w:rsidRPr="00D41179">
        <w:rPr>
          <w:noProof/>
        </w:rPr>
        <w:t>1</w:t>
      </w:r>
      <w:r w:rsidR="00700DBA" w:rsidRPr="00D41179">
        <w:rPr>
          <w:rFonts w:asciiTheme="minorHAnsi" w:eastAsiaTheme="minorHAnsi" w:hAnsiTheme="minorHAnsi" w:cstheme="minorBidi"/>
          <w:szCs w:val="22"/>
        </w:rPr>
        <w:fldChar w:fldCharType="end"/>
      </w:r>
      <w:r w:rsidR="008839FA" w:rsidRPr="00D41179">
        <w:rPr>
          <w:rFonts w:asciiTheme="minorHAnsi" w:eastAsiaTheme="minorHAnsi" w:hAnsiTheme="minorHAnsi" w:cstheme="minorBidi"/>
          <w:szCs w:val="22"/>
        </w:rPr>
        <w:t>.</w:t>
      </w:r>
    </w:p>
    <w:p w14:paraId="48D76964" w14:textId="58096008" w:rsidR="00224E1A" w:rsidRPr="00D41179" w:rsidRDefault="00224E1A" w:rsidP="008839FA">
      <w:pPr>
        <w:pStyle w:val="Caption"/>
        <w:rPr>
          <w:rStyle w:val="CommentReference"/>
          <w:b/>
          <w:szCs w:val="24"/>
        </w:rPr>
      </w:pPr>
      <w:bookmarkStart w:id="25" w:name="_Ref207360258"/>
      <w:bookmarkStart w:id="26" w:name="_Ref207878213"/>
      <w:r w:rsidRPr="00D41179">
        <w:lastRenderedPageBreak/>
        <w:t>Table</w:t>
      </w:r>
      <w:bookmarkEnd w:id="25"/>
      <w:r w:rsidR="008839FA" w:rsidRPr="00D41179">
        <w:t xml:space="preserve"> </w:t>
      </w:r>
      <w:r w:rsidRPr="00D41179">
        <w:fldChar w:fldCharType="begin"/>
      </w:r>
      <w:r w:rsidRPr="00D41179">
        <w:instrText>SEQ Table \* ARABIC</w:instrText>
      </w:r>
      <w:r w:rsidRPr="00D41179">
        <w:fldChar w:fldCharType="separate"/>
      </w:r>
      <w:r w:rsidR="00E7345C" w:rsidRPr="00D41179">
        <w:rPr>
          <w:noProof/>
        </w:rPr>
        <w:t>5</w:t>
      </w:r>
      <w:r w:rsidRPr="00D41179">
        <w:fldChar w:fldCharType="end"/>
      </w:r>
      <w:bookmarkEnd w:id="26"/>
      <w:r w:rsidRPr="00D41179">
        <w:t>:</w:t>
      </w:r>
      <w:r w:rsidRPr="00D41179">
        <w:rPr>
          <w:rStyle w:val="CommentReference"/>
          <w:b/>
          <w:szCs w:val="24"/>
        </w:rPr>
        <w:t xml:space="preserve"> VE against HZ by year since vaccination, ZOSTER-049 secondary outcome</w:t>
      </w:r>
    </w:p>
    <w:tbl>
      <w:tblPr>
        <w:tblW w:w="495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AEEF3" w:themeFill="accent5" w:themeFillTint="33"/>
        <w:tblLayout w:type="fixed"/>
        <w:tblCellMar>
          <w:left w:w="28" w:type="dxa"/>
          <w:right w:w="28" w:type="dxa"/>
        </w:tblCellMar>
        <w:tblLook w:val="04A0" w:firstRow="1" w:lastRow="0" w:firstColumn="1" w:lastColumn="0" w:noHBand="0" w:noVBand="1"/>
        <w:tblCaption w:val="Table 5: VE against HZ by year since vaccination, ZOSTER-049 secondary outcome"/>
      </w:tblPr>
      <w:tblGrid>
        <w:gridCol w:w="419"/>
        <w:gridCol w:w="708"/>
        <w:gridCol w:w="871"/>
        <w:gridCol w:w="495"/>
        <w:gridCol w:w="868"/>
        <w:gridCol w:w="880"/>
        <w:gridCol w:w="650"/>
        <w:gridCol w:w="493"/>
        <w:gridCol w:w="868"/>
        <w:gridCol w:w="982"/>
        <w:gridCol w:w="1693"/>
      </w:tblGrid>
      <w:tr w:rsidR="00224E1A" w:rsidRPr="00D41179" w14:paraId="5078F4BD" w14:textId="77777777">
        <w:trPr>
          <w:trHeight w:val="170"/>
          <w:tblHeader/>
          <w:jc w:val="center"/>
        </w:trPr>
        <w:tc>
          <w:tcPr>
            <w:tcW w:w="235" w:type="pct"/>
            <w:vMerge w:val="restart"/>
            <w:noWrap/>
            <w:vAlign w:val="center"/>
            <w:hideMark/>
          </w:tcPr>
          <w:p w14:paraId="0AF2FEB2" w14:textId="77777777" w:rsidR="00224E1A" w:rsidRPr="00D41179" w:rsidRDefault="00224E1A">
            <w:pPr>
              <w:keepNext/>
              <w:jc w:val="left"/>
              <w:rPr>
                <w:rFonts w:ascii="Arial Narrow" w:hAnsi="Arial Narrow" w:cs="Calibri"/>
                <w:b/>
                <w:bCs/>
                <w:color w:val="000000"/>
                <w:sz w:val="20"/>
                <w:szCs w:val="20"/>
              </w:rPr>
            </w:pPr>
            <w:bookmarkStart w:id="27" w:name="_Hlk181987087"/>
            <w:r w:rsidRPr="00D41179">
              <w:rPr>
                <w:rFonts w:ascii="Arial Narrow" w:hAnsi="Arial Narrow" w:cs="Calibri"/>
                <w:b/>
                <w:bCs/>
                <w:color w:val="000000"/>
                <w:sz w:val="20"/>
                <w:szCs w:val="20"/>
              </w:rPr>
              <w:t>Year</w:t>
            </w:r>
          </w:p>
        </w:tc>
        <w:tc>
          <w:tcPr>
            <w:tcW w:w="397" w:type="pct"/>
            <w:vMerge w:val="restart"/>
            <w:noWrap/>
            <w:vAlign w:val="center"/>
            <w:hideMark/>
          </w:tcPr>
          <w:p w14:paraId="27219A9A" w14:textId="77777777" w:rsidR="00224E1A" w:rsidRPr="00D41179" w:rsidRDefault="00224E1A">
            <w:pPr>
              <w:keepNext/>
              <w:jc w:val="center"/>
              <w:rPr>
                <w:rFonts w:ascii="Arial Narrow" w:hAnsi="Arial Narrow" w:cs="Calibri"/>
                <w:b/>
                <w:bCs/>
                <w:color w:val="000000"/>
                <w:sz w:val="20"/>
                <w:szCs w:val="20"/>
              </w:rPr>
            </w:pPr>
            <w:r w:rsidRPr="00D41179">
              <w:rPr>
                <w:rFonts w:ascii="Arial Narrow" w:hAnsi="Arial Narrow" w:cs="Calibri"/>
                <w:b/>
                <w:bCs/>
                <w:color w:val="000000"/>
                <w:sz w:val="20"/>
                <w:szCs w:val="20"/>
              </w:rPr>
              <w:t>Age,</w:t>
            </w:r>
          </w:p>
          <w:p w14:paraId="4F34D8AA" w14:textId="77777777" w:rsidR="00224E1A" w:rsidRPr="00D41179" w:rsidRDefault="00224E1A">
            <w:pPr>
              <w:keepNext/>
              <w:jc w:val="center"/>
              <w:rPr>
                <w:rFonts w:ascii="Arial Narrow" w:hAnsi="Arial Narrow" w:cs="Calibri"/>
                <w:b/>
                <w:bCs/>
                <w:color w:val="000000"/>
                <w:sz w:val="20"/>
                <w:szCs w:val="20"/>
              </w:rPr>
            </w:pPr>
            <w:r w:rsidRPr="00D41179">
              <w:rPr>
                <w:rFonts w:ascii="Arial Narrow" w:hAnsi="Arial Narrow" w:cs="Calibri"/>
                <w:b/>
                <w:bCs/>
                <w:color w:val="000000"/>
                <w:sz w:val="20"/>
                <w:szCs w:val="20"/>
              </w:rPr>
              <w:t>years</w:t>
            </w:r>
            <w:r w:rsidRPr="00D41179">
              <w:rPr>
                <w:rFonts w:ascii="Arial Narrow" w:hAnsi="Arial Narrow" w:cs="Calibri"/>
                <w:b/>
                <w:bCs/>
                <w:color w:val="000000"/>
                <w:sz w:val="20"/>
                <w:szCs w:val="20"/>
                <w:vertAlign w:val="superscript"/>
              </w:rPr>
              <w:t>1</w:t>
            </w:r>
          </w:p>
        </w:tc>
        <w:tc>
          <w:tcPr>
            <w:tcW w:w="1744" w:type="pct"/>
            <w:gridSpan w:val="4"/>
            <w:noWrap/>
            <w:vAlign w:val="center"/>
            <w:hideMark/>
          </w:tcPr>
          <w:p w14:paraId="3968DFFA" w14:textId="77777777" w:rsidR="00224E1A" w:rsidRPr="00D41179" w:rsidRDefault="00224E1A">
            <w:pPr>
              <w:keepNext/>
              <w:jc w:val="center"/>
              <w:rPr>
                <w:rFonts w:ascii="Arial Narrow" w:hAnsi="Arial Narrow" w:cs="Calibri"/>
                <w:b/>
                <w:bCs/>
                <w:color w:val="000000"/>
                <w:sz w:val="20"/>
                <w:szCs w:val="20"/>
                <w:vertAlign w:val="superscript"/>
              </w:rPr>
            </w:pPr>
            <w:r w:rsidRPr="00D41179">
              <w:rPr>
                <w:rFonts w:ascii="Arial Narrow" w:hAnsi="Arial Narrow" w:cs="Calibri"/>
                <w:b/>
                <w:bCs/>
                <w:color w:val="000000"/>
                <w:sz w:val="20"/>
                <w:szCs w:val="20"/>
              </w:rPr>
              <w:t xml:space="preserve">RZV </w:t>
            </w:r>
            <w:r w:rsidRPr="00D41179">
              <w:rPr>
                <w:rFonts w:ascii="Arial Narrow" w:hAnsi="Arial Narrow" w:cs="Calibri"/>
                <w:b/>
                <w:bCs/>
                <w:color w:val="000000"/>
                <w:sz w:val="20"/>
                <w:szCs w:val="20"/>
                <w:vertAlign w:val="superscript"/>
              </w:rPr>
              <w:t>2</w:t>
            </w:r>
          </w:p>
        </w:tc>
        <w:tc>
          <w:tcPr>
            <w:tcW w:w="1676" w:type="pct"/>
            <w:gridSpan w:val="4"/>
            <w:noWrap/>
            <w:vAlign w:val="center"/>
            <w:hideMark/>
          </w:tcPr>
          <w:p w14:paraId="07655B15" w14:textId="77777777" w:rsidR="00224E1A" w:rsidRPr="00D41179" w:rsidRDefault="00224E1A">
            <w:pPr>
              <w:keepNext/>
              <w:jc w:val="center"/>
              <w:rPr>
                <w:rFonts w:ascii="Arial Narrow" w:hAnsi="Arial Narrow" w:cs="Calibri"/>
                <w:b/>
                <w:bCs/>
                <w:color w:val="000000"/>
                <w:sz w:val="20"/>
                <w:szCs w:val="20"/>
                <w:vertAlign w:val="superscript"/>
              </w:rPr>
            </w:pPr>
            <w:r w:rsidRPr="00D41179">
              <w:rPr>
                <w:rFonts w:ascii="Arial Narrow" w:hAnsi="Arial Narrow" w:cs="Calibri"/>
                <w:b/>
                <w:bCs/>
                <w:color w:val="000000"/>
                <w:sz w:val="20"/>
                <w:szCs w:val="20"/>
              </w:rPr>
              <w:t xml:space="preserve">Placebo / historical control </w:t>
            </w:r>
            <w:r w:rsidRPr="00D41179">
              <w:rPr>
                <w:rFonts w:ascii="Arial Narrow" w:hAnsi="Arial Narrow" w:cs="Calibri"/>
                <w:b/>
                <w:bCs/>
                <w:color w:val="000000"/>
                <w:sz w:val="20"/>
                <w:szCs w:val="20"/>
                <w:vertAlign w:val="superscript"/>
              </w:rPr>
              <w:t>3</w:t>
            </w:r>
          </w:p>
        </w:tc>
        <w:tc>
          <w:tcPr>
            <w:tcW w:w="947" w:type="pct"/>
            <w:vMerge w:val="restart"/>
            <w:noWrap/>
            <w:vAlign w:val="center"/>
            <w:hideMark/>
          </w:tcPr>
          <w:p w14:paraId="5663DF43" w14:textId="77777777" w:rsidR="00224E1A" w:rsidRPr="00D41179" w:rsidRDefault="00224E1A">
            <w:pPr>
              <w:keepNext/>
              <w:jc w:val="center"/>
              <w:rPr>
                <w:rFonts w:ascii="Arial Narrow" w:hAnsi="Arial Narrow" w:cs="Calibri"/>
                <w:b/>
                <w:bCs/>
                <w:color w:val="000000"/>
                <w:sz w:val="20"/>
                <w:szCs w:val="20"/>
              </w:rPr>
            </w:pPr>
            <w:r w:rsidRPr="00D41179">
              <w:rPr>
                <w:rFonts w:ascii="Arial Narrow" w:hAnsi="Arial Narrow" w:cs="Calibri"/>
                <w:b/>
                <w:bCs/>
                <w:color w:val="000000"/>
                <w:sz w:val="20"/>
                <w:szCs w:val="20"/>
              </w:rPr>
              <w:t>VE</w:t>
            </w:r>
            <w:r w:rsidRPr="00D41179">
              <w:rPr>
                <w:rFonts w:ascii="Arial Narrow" w:hAnsi="Arial Narrow" w:cs="Calibri"/>
                <w:b/>
                <w:bCs/>
                <w:color w:val="000000"/>
                <w:sz w:val="20"/>
                <w:szCs w:val="20"/>
                <w:vertAlign w:val="subscript"/>
              </w:rPr>
              <w:t xml:space="preserve">HZ </w:t>
            </w:r>
            <w:r w:rsidRPr="00D41179">
              <w:rPr>
                <w:rFonts w:ascii="Arial Narrow" w:hAnsi="Arial Narrow" w:cs="Calibri"/>
                <w:b/>
                <w:bCs/>
                <w:color w:val="000000"/>
                <w:sz w:val="20"/>
                <w:szCs w:val="20"/>
              </w:rPr>
              <w:t>% (95% CI)</w:t>
            </w:r>
          </w:p>
        </w:tc>
      </w:tr>
      <w:tr w:rsidR="00224E1A" w:rsidRPr="00D41179" w14:paraId="221935E1" w14:textId="77777777">
        <w:trPr>
          <w:trHeight w:val="170"/>
          <w:tblHeader/>
          <w:jc w:val="center"/>
        </w:trPr>
        <w:tc>
          <w:tcPr>
            <w:tcW w:w="235" w:type="pct"/>
            <w:vMerge/>
            <w:vAlign w:val="center"/>
            <w:hideMark/>
          </w:tcPr>
          <w:p w14:paraId="4B51E9F9" w14:textId="77777777" w:rsidR="00224E1A" w:rsidRPr="00D41179" w:rsidRDefault="00224E1A">
            <w:pPr>
              <w:keepNext/>
              <w:jc w:val="left"/>
              <w:rPr>
                <w:rFonts w:ascii="Arial Narrow" w:hAnsi="Arial Narrow" w:cs="Calibri"/>
                <w:color w:val="000000"/>
                <w:sz w:val="20"/>
                <w:szCs w:val="20"/>
              </w:rPr>
            </w:pPr>
          </w:p>
        </w:tc>
        <w:tc>
          <w:tcPr>
            <w:tcW w:w="397" w:type="pct"/>
            <w:vMerge/>
            <w:vAlign w:val="center"/>
            <w:hideMark/>
          </w:tcPr>
          <w:p w14:paraId="2089E434" w14:textId="77777777" w:rsidR="00224E1A" w:rsidRPr="00D41179" w:rsidRDefault="00224E1A">
            <w:pPr>
              <w:keepNext/>
              <w:jc w:val="center"/>
              <w:rPr>
                <w:rFonts w:ascii="Arial Narrow" w:hAnsi="Arial Narrow" w:cs="Calibri"/>
                <w:color w:val="000000"/>
                <w:sz w:val="20"/>
                <w:szCs w:val="20"/>
              </w:rPr>
            </w:pPr>
          </w:p>
        </w:tc>
        <w:tc>
          <w:tcPr>
            <w:tcW w:w="488" w:type="pct"/>
            <w:noWrap/>
            <w:vAlign w:val="center"/>
            <w:hideMark/>
          </w:tcPr>
          <w:p w14:paraId="65046433" w14:textId="77777777" w:rsidR="00224E1A" w:rsidRPr="00D41179" w:rsidRDefault="00224E1A">
            <w:pPr>
              <w:keepNext/>
              <w:jc w:val="center"/>
              <w:rPr>
                <w:rFonts w:ascii="Arial Narrow" w:hAnsi="Arial Narrow" w:cs="Calibri"/>
                <w:b/>
                <w:bCs/>
                <w:color w:val="000000"/>
                <w:sz w:val="20"/>
                <w:szCs w:val="20"/>
              </w:rPr>
            </w:pPr>
            <w:r w:rsidRPr="00D41179">
              <w:rPr>
                <w:rFonts w:ascii="Arial Narrow" w:hAnsi="Arial Narrow" w:cs="Calibri"/>
                <w:b/>
                <w:bCs/>
                <w:color w:val="000000"/>
                <w:sz w:val="20"/>
                <w:szCs w:val="20"/>
              </w:rPr>
              <w:t>N</w:t>
            </w:r>
          </w:p>
        </w:tc>
        <w:tc>
          <w:tcPr>
            <w:tcW w:w="277" w:type="pct"/>
            <w:noWrap/>
            <w:vAlign w:val="center"/>
            <w:hideMark/>
          </w:tcPr>
          <w:p w14:paraId="7484D30A" w14:textId="77777777" w:rsidR="00224E1A" w:rsidRPr="00D41179" w:rsidRDefault="00224E1A">
            <w:pPr>
              <w:keepNext/>
              <w:jc w:val="center"/>
              <w:rPr>
                <w:rFonts w:ascii="Arial Narrow" w:hAnsi="Arial Narrow" w:cs="Calibri"/>
                <w:b/>
                <w:bCs/>
                <w:color w:val="000000"/>
                <w:sz w:val="20"/>
                <w:szCs w:val="20"/>
              </w:rPr>
            </w:pPr>
            <w:r w:rsidRPr="00D41179">
              <w:rPr>
                <w:rFonts w:ascii="Arial Narrow" w:hAnsi="Arial Narrow" w:cs="Calibri"/>
                <w:b/>
                <w:bCs/>
                <w:color w:val="000000"/>
                <w:sz w:val="20"/>
                <w:szCs w:val="20"/>
              </w:rPr>
              <w:t>n</w:t>
            </w:r>
          </w:p>
        </w:tc>
        <w:tc>
          <w:tcPr>
            <w:tcW w:w="486" w:type="pct"/>
            <w:noWrap/>
            <w:vAlign w:val="center"/>
            <w:hideMark/>
          </w:tcPr>
          <w:p w14:paraId="26A110A9" w14:textId="77777777" w:rsidR="00224E1A" w:rsidRPr="00D41179" w:rsidRDefault="00224E1A">
            <w:pPr>
              <w:keepNext/>
              <w:jc w:val="center"/>
              <w:rPr>
                <w:rFonts w:ascii="Arial Narrow" w:hAnsi="Arial Narrow" w:cs="Calibri"/>
                <w:b/>
                <w:bCs/>
                <w:color w:val="000000"/>
                <w:sz w:val="20"/>
                <w:szCs w:val="20"/>
              </w:rPr>
            </w:pPr>
            <w:r w:rsidRPr="00D41179">
              <w:rPr>
                <w:rFonts w:ascii="Arial Narrow" w:hAnsi="Arial Narrow" w:cs="Calibri"/>
                <w:b/>
                <w:bCs/>
                <w:color w:val="000000"/>
                <w:sz w:val="20"/>
                <w:szCs w:val="20"/>
              </w:rPr>
              <w:t>T (year)</w:t>
            </w:r>
          </w:p>
        </w:tc>
        <w:tc>
          <w:tcPr>
            <w:tcW w:w="493" w:type="pct"/>
            <w:noWrap/>
            <w:vAlign w:val="center"/>
            <w:hideMark/>
          </w:tcPr>
          <w:p w14:paraId="0C08D7C6" w14:textId="77777777" w:rsidR="00224E1A" w:rsidRPr="00D41179" w:rsidRDefault="00224E1A">
            <w:pPr>
              <w:keepNext/>
              <w:jc w:val="center"/>
              <w:rPr>
                <w:rFonts w:ascii="Arial Narrow" w:hAnsi="Arial Narrow" w:cs="Calibri"/>
                <w:b/>
                <w:bCs/>
                <w:color w:val="000000"/>
                <w:sz w:val="20"/>
                <w:szCs w:val="20"/>
              </w:rPr>
            </w:pPr>
            <w:r w:rsidRPr="00D41179">
              <w:rPr>
                <w:rFonts w:ascii="Arial Narrow" w:hAnsi="Arial Narrow" w:cs="Calibri"/>
                <w:b/>
                <w:bCs/>
                <w:color w:val="000000"/>
                <w:sz w:val="20"/>
                <w:szCs w:val="20"/>
              </w:rPr>
              <w:t>IR</w:t>
            </w:r>
            <w:r w:rsidRPr="00D41179">
              <w:rPr>
                <w:rFonts w:ascii="Arial Narrow" w:hAnsi="Arial Narrow" w:cs="Calibri"/>
                <w:b/>
                <w:bCs/>
                <w:color w:val="000000"/>
                <w:sz w:val="20"/>
                <w:szCs w:val="20"/>
                <w:vertAlign w:val="subscript"/>
              </w:rPr>
              <w:t>HZ</w:t>
            </w:r>
            <w:r w:rsidRPr="00D41179">
              <w:rPr>
                <w:rFonts w:ascii="Arial Narrow" w:hAnsi="Arial Narrow" w:cs="Calibri"/>
                <w:b/>
                <w:bCs/>
                <w:color w:val="000000"/>
                <w:sz w:val="20"/>
                <w:szCs w:val="20"/>
              </w:rPr>
              <w:t>/</w:t>
            </w:r>
            <w:r w:rsidRPr="00D41179">
              <w:rPr>
                <w:rFonts w:ascii="Arial Narrow" w:hAnsi="Arial Narrow" w:cs="Calibri"/>
                <w:b/>
                <w:bCs/>
                <w:color w:val="000000"/>
                <w:sz w:val="20"/>
                <w:szCs w:val="20"/>
              </w:rPr>
              <w:br/>
              <w:t>1,000 PYs</w:t>
            </w:r>
          </w:p>
        </w:tc>
        <w:tc>
          <w:tcPr>
            <w:tcW w:w="364" w:type="pct"/>
            <w:noWrap/>
            <w:vAlign w:val="center"/>
            <w:hideMark/>
          </w:tcPr>
          <w:p w14:paraId="4A4A7922" w14:textId="77777777" w:rsidR="00224E1A" w:rsidRPr="00D41179" w:rsidRDefault="00224E1A">
            <w:pPr>
              <w:keepNext/>
              <w:jc w:val="center"/>
              <w:rPr>
                <w:rFonts w:ascii="Arial Narrow" w:hAnsi="Arial Narrow" w:cs="Calibri"/>
                <w:b/>
                <w:bCs/>
                <w:color w:val="000000"/>
                <w:sz w:val="20"/>
                <w:szCs w:val="20"/>
              </w:rPr>
            </w:pPr>
            <w:r w:rsidRPr="00D41179">
              <w:rPr>
                <w:rFonts w:ascii="Arial Narrow" w:hAnsi="Arial Narrow" w:cs="Calibri"/>
                <w:b/>
                <w:bCs/>
                <w:color w:val="000000"/>
                <w:sz w:val="20"/>
                <w:szCs w:val="20"/>
              </w:rPr>
              <w:t>N</w:t>
            </w:r>
          </w:p>
        </w:tc>
        <w:tc>
          <w:tcPr>
            <w:tcW w:w="276" w:type="pct"/>
            <w:noWrap/>
            <w:vAlign w:val="center"/>
            <w:hideMark/>
          </w:tcPr>
          <w:p w14:paraId="2615DBA7" w14:textId="77777777" w:rsidR="00224E1A" w:rsidRPr="00D41179" w:rsidRDefault="00224E1A">
            <w:pPr>
              <w:keepNext/>
              <w:jc w:val="center"/>
              <w:rPr>
                <w:rFonts w:ascii="Arial Narrow" w:hAnsi="Arial Narrow" w:cs="Calibri"/>
                <w:b/>
                <w:bCs/>
                <w:color w:val="000000"/>
                <w:sz w:val="20"/>
                <w:szCs w:val="20"/>
              </w:rPr>
            </w:pPr>
            <w:r w:rsidRPr="00D41179">
              <w:rPr>
                <w:rFonts w:ascii="Arial Narrow" w:hAnsi="Arial Narrow" w:cs="Calibri"/>
                <w:b/>
                <w:bCs/>
                <w:color w:val="000000"/>
                <w:sz w:val="20"/>
                <w:szCs w:val="20"/>
              </w:rPr>
              <w:t>n</w:t>
            </w:r>
          </w:p>
        </w:tc>
        <w:tc>
          <w:tcPr>
            <w:tcW w:w="486" w:type="pct"/>
            <w:noWrap/>
            <w:vAlign w:val="center"/>
            <w:hideMark/>
          </w:tcPr>
          <w:p w14:paraId="2F986864" w14:textId="77777777" w:rsidR="00224E1A" w:rsidRPr="00D41179" w:rsidRDefault="00224E1A">
            <w:pPr>
              <w:keepNext/>
              <w:jc w:val="center"/>
              <w:rPr>
                <w:rFonts w:ascii="Arial Narrow" w:hAnsi="Arial Narrow" w:cs="Calibri"/>
                <w:b/>
                <w:bCs/>
                <w:color w:val="000000"/>
                <w:sz w:val="20"/>
                <w:szCs w:val="20"/>
                <w:vertAlign w:val="superscript"/>
              </w:rPr>
            </w:pPr>
            <w:r w:rsidRPr="00D41179">
              <w:rPr>
                <w:rFonts w:ascii="Arial Narrow" w:hAnsi="Arial Narrow" w:cs="Calibri"/>
                <w:b/>
                <w:bCs/>
                <w:color w:val="000000"/>
                <w:sz w:val="20"/>
                <w:szCs w:val="20"/>
              </w:rPr>
              <w:t xml:space="preserve">T (year) </w:t>
            </w:r>
            <w:r w:rsidRPr="00D41179">
              <w:rPr>
                <w:rFonts w:ascii="Arial Narrow" w:hAnsi="Arial Narrow" w:cs="Calibri"/>
                <w:b/>
                <w:bCs/>
                <w:color w:val="000000"/>
                <w:sz w:val="20"/>
                <w:szCs w:val="20"/>
                <w:vertAlign w:val="superscript"/>
              </w:rPr>
              <w:t>4</w:t>
            </w:r>
          </w:p>
        </w:tc>
        <w:tc>
          <w:tcPr>
            <w:tcW w:w="550" w:type="pct"/>
            <w:noWrap/>
            <w:vAlign w:val="center"/>
            <w:hideMark/>
          </w:tcPr>
          <w:p w14:paraId="04E98C30" w14:textId="77777777" w:rsidR="00224E1A" w:rsidRPr="00D41179" w:rsidRDefault="00224E1A">
            <w:pPr>
              <w:keepNext/>
              <w:jc w:val="center"/>
              <w:rPr>
                <w:rFonts w:ascii="Arial Narrow" w:hAnsi="Arial Narrow" w:cs="Calibri"/>
                <w:b/>
                <w:bCs/>
                <w:color w:val="000000"/>
                <w:sz w:val="20"/>
                <w:szCs w:val="20"/>
              </w:rPr>
            </w:pPr>
            <w:r w:rsidRPr="00D41179">
              <w:rPr>
                <w:rFonts w:ascii="Arial Narrow" w:hAnsi="Arial Narrow" w:cs="Calibri"/>
                <w:b/>
                <w:bCs/>
                <w:color w:val="000000"/>
                <w:sz w:val="20"/>
                <w:szCs w:val="20"/>
              </w:rPr>
              <w:t>IR</w:t>
            </w:r>
            <w:r w:rsidRPr="00D41179">
              <w:rPr>
                <w:rFonts w:ascii="Arial Narrow" w:hAnsi="Arial Narrow" w:cs="Calibri"/>
                <w:b/>
                <w:bCs/>
                <w:color w:val="000000"/>
                <w:sz w:val="20"/>
                <w:szCs w:val="20"/>
                <w:vertAlign w:val="subscript"/>
              </w:rPr>
              <w:t>HZ</w:t>
            </w:r>
            <w:r w:rsidRPr="00D41179">
              <w:rPr>
                <w:rFonts w:ascii="Arial Narrow" w:hAnsi="Arial Narrow" w:cs="Calibri"/>
                <w:b/>
                <w:bCs/>
                <w:color w:val="000000"/>
                <w:sz w:val="20"/>
                <w:szCs w:val="20"/>
              </w:rPr>
              <w:t>/</w:t>
            </w:r>
            <w:r w:rsidRPr="00D41179">
              <w:rPr>
                <w:rFonts w:ascii="Arial Narrow" w:hAnsi="Arial Narrow" w:cs="Calibri"/>
                <w:b/>
                <w:bCs/>
                <w:color w:val="000000"/>
                <w:sz w:val="20"/>
                <w:szCs w:val="20"/>
              </w:rPr>
              <w:br/>
              <w:t>1,000 PYs</w:t>
            </w:r>
          </w:p>
        </w:tc>
        <w:tc>
          <w:tcPr>
            <w:tcW w:w="947" w:type="pct"/>
            <w:vMerge/>
            <w:vAlign w:val="center"/>
            <w:hideMark/>
          </w:tcPr>
          <w:p w14:paraId="0EB3C856" w14:textId="77777777" w:rsidR="00224E1A" w:rsidRPr="00D41179" w:rsidRDefault="00224E1A">
            <w:pPr>
              <w:keepNext/>
              <w:jc w:val="center"/>
              <w:rPr>
                <w:rFonts w:ascii="Arial Narrow" w:hAnsi="Arial Narrow" w:cs="Calibri"/>
                <w:color w:val="000000"/>
                <w:sz w:val="20"/>
                <w:szCs w:val="20"/>
              </w:rPr>
            </w:pPr>
          </w:p>
        </w:tc>
      </w:tr>
      <w:tr w:rsidR="00224E1A" w:rsidRPr="00D41179" w14:paraId="710C14F2" w14:textId="77777777">
        <w:trPr>
          <w:trHeight w:val="170"/>
          <w:jc w:val="center"/>
        </w:trPr>
        <w:tc>
          <w:tcPr>
            <w:tcW w:w="235" w:type="pct"/>
            <w:vMerge w:val="restart"/>
            <w:noWrap/>
            <w:vAlign w:val="center"/>
            <w:hideMark/>
          </w:tcPr>
          <w:p w14:paraId="3C34B9C7" w14:textId="77777777" w:rsidR="00224E1A" w:rsidRPr="00D41179" w:rsidRDefault="00224E1A">
            <w:pPr>
              <w:keepNext/>
              <w:jc w:val="left"/>
              <w:rPr>
                <w:rFonts w:ascii="Arial Narrow" w:hAnsi="Arial Narrow" w:cs="Calibri"/>
                <w:b/>
                <w:bCs/>
                <w:color w:val="000000"/>
                <w:sz w:val="20"/>
                <w:szCs w:val="20"/>
              </w:rPr>
            </w:pPr>
            <w:r w:rsidRPr="00D41179">
              <w:rPr>
                <w:rFonts w:ascii="Arial Narrow" w:hAnsi="Arial Narrow" w:cs="Calibri"/>
                <w:b/>
                <w:bCs/>
                <w:color w:val="000000"/>
                <w:sz w:val="20"/>
                <w:szCs w:val="20"/>
              </w:rPr>
              <w:t>Y 1</w:t>
            </w:r>
          </w:p>
        </w:tc>
        <w:tc>
          <w:tcPr>
            <w:tcW w:w="397" w:type="pct"/>
            <w:shd w:val="clear" w:color="auto" w:fill="DAEEF3" w:themeFill="accent5" w:themeFillTint="33"/>
            <w:noWrap/>
            <w:vAlign w:val="center"/>
            <w:hideMark/>
          </w:tcPr>
          <w:p w14:paraId="4DC7D43E" w14:textId="77777777" w:rsidR="00224E1A" w:rsidRPr="00D41179" w:rsidRDefault="00224E1A">
            <w:pPr>
              <w:keepNext/>
              <w:jc w:val="center"/>
              <w:rPr>
                <w:rFonts w:ascii="Arial Narrow" w:hAnsi="Arial Narrow" w:cs="Calibri"/>
                <w:color w:val="000000"/>
                <w:sz w:val="20"/>
                <w:szCs w:val="20"/>
              </w:rPr>
            </w:pPr>
            <w:r w:rsidRPr="00D41179">
              <w:rPr>
                <w:rFonts w:ascii="Arial Narrow" w:hAnsi="Arial Narrow" w:cs="Calibri"/>
                <w:color w:val="000000"/>
                <w:sz w:val="20"/>
                <w:szCs w:val="20"/>
              </w:rPr>
              <w:t>Overall</w:t>
            </w:r>
          </w:p>
        </w:tc>
        <w:tc>
          <w:tcPr>
            <w:tcW w:w="488" w:type="pct"/>
            <w:shd w:val="clear" w:color="auto" w:fill="DAEEF3" w:themeFill="accent5" w:themeFillTint="33"/>
            <w:noWrap/>
            <w:vAlign w:val="center"/>
            <w:hideMark/>
          </w:tcPr>
          <w:p w14:paraId="06263D45" w14:textId="77777777" w:rsidR="00224E1A" w:rsidRPr="00D41179" w:rsidRDefault="00224E1A">
            <w:pPr>
              <w:keepNext/>
              <w:jc w:val="center"/>
              <w:rPr>
                <w:rFonts w:ascii="Arial Narrow" w:hAnsi="Arial Narrow" w:cs="Calibri"/>
                <w:color w:val="000000"/>
                <w:sz w:val="20"/>
                <w:szCs w:val="20"/>
              </w:rPr>
            </w:pPr>
            <w:r w:rsidRPr="00D41179">
              <w:rPr>
                <w:rFonts w:ascii="Arial Narrow" w:eastAsia="Calibri" w:hAnsi="Arial Narrow" w:cs="Calibri"/>
                <w:color w:val="000000"/>
                <w:sz w:val="20"/>
                <w:szCs w:val="20"/>
              </w:rPr>
              <w:t>13,881</w:t>
            </w:r>
          </w:p>
        </w:tc>
        <w:tc>
          <w:tcPr>
            <w:tcW w:w="277" w:type="pct"/>
            <w:shd w:val="clear" w:color="auto" w:fill="DAEEF3" w:themeFill="accent5" w:themeFillTint="33"/>
            <w:noWrap/>
            <w:vAlign w:val="center"/>
            <w:hideMark/>
          </w:tcPr>
          <w:p w14:paraId="04094561" w14:textId="77777777" w:rsidR="00224E1A" w:rsidRPr="00D41179" w:rsidRDefault="00224E1A">
            <w:pPr>
              <w:keepNext/>
              <w:jc w:val="center"/>
              <w:rPr>
                <w:rFonts w:ascii="Arial Narrow" w:hAnsi="Arial Narrow" w:cs="Calibri"/>
                <w:color w:val="000000"/>
                <w:sz w:val="20"/>
                <w:szCs w:val="20"/>
              </w:rPr>
            </w:pPr>
            <w:r w:rsidRPr="00D41179">
              <w:rPr>
                <w:rFonts w:ascii="Arial Narrow" w:eastAsia="Calibri" w:hAnsi="Arial Narrow" w:cs="Calibri"/>
                <w:color w:val="000000"/>
                <w:sz w:val="20"/>
                <w:szCs w:val="20"/>
              </w:rPr>
              <w:t>3</w:t>
            </w:r>
          </w:p>
        </w:tc>
        <w:tc>
          <w:tcPr>
            <w:tcW w:w="486" w:type="pct"/>
            <w:shd w:val="clear" w:color="auto" w:fill="DAEEF3" w:themeFill="accent5" w:themeFillTint="33"/>
            <w:noWrap/>
            <w:vAlign w:val="center"/>
            <w:hideMark/>
          </w:tcPr>
          <w:p w14:paraId="72B74E63" w14:textId="77777777" w:rsidR="00224E1A" w:rsidRPr="00D41179" w:rsidRDefault="00224E1A">
            <w:pPr>
              <w:keepNext/>
              <w:jc w:val="center"/>
              <w:rPr>
                <w:rFonts w:ascii="Arial Narrow" w:hAnsi="Arial Narrow" w:cs="Calibri"/>
                <w:color w:val="000000"/>
                <w:sz w:val="20"/>
                <w:szCs w:val="20"/>
              </w:rPr>
            </w:pPr>
            <w:r w:rsidRPr="00D41179">
              <w:rPr>
                <w:rFonts w:ascii="Arial Narrow" w:eastAsia="Calibri" w:hAnsi="Arial Narrow" w:cs="Calibri"/>
                <w:color w:val="000000"/>
                <w:sz w:val="20"/>
                <w:szCs w:val="20"/>
              </w:rPr>
              <w:t>13,744.5</w:t>
            </w:r>
          </w:p>
        </w:tc>
        <w:tc>
          <w:tcPr>
            <w:tcW w:w="493" w:type="pct"/>
            <w:shd w:val="clear" w:color="auto" w:fill="DAEEF3" w:themeFill="accent5" w:themeFillTint="33"/>
            <w:noWrap/>
            <w:vAlign w:val="center"/>
            <w:hideMark/>
          </w:tcPr>
          <w:p w14:paraId="7D4715FC" w14:textId="77777777" w:rsidR="00224E1A" w:rsidRPr="00D41179" w:rsidRDefault="00224E1A">
            <w:pPr>
              <w:keepNext/>
              <w:jc w:val="center"/>
              <w:rPr>
                <w:rFonts w:ascii="Arial Narrow" w:hAnsi="Arial Narrow" w:cs="Calibri"/>
                <w:color w:val="000000"/>
                <w:sz w:val="20"/>
                <w:szCs w:val="20"/>
              </w:rPr>
            </w:pPr>
            <w:r w:rsidRPr="00D41179">
              <w:rPr>
                <w:rFonts w:ascii="Arial Narrow" w:eastAsia="Calibri" w:hAnsi="Arial Narrow" w:cs="Calibri"/>
                <w:color w:val="000000"/>
                <w:sz w:val="20"/>
                <w:szCs w:val="20"/>
              </w:rPr>
              <w:t>0.2</w:t>
            </w:r>
          </w:p>
        </w:tc>
        <w:tc>
          <w:tcPr>
            <w:tcW w:w="364" w:type="pct"/>
            <w:shd w:val="clear" w:color="auto" w:fill="DAEEF3" w:themeFill="accent5" w:themeFillTint="33"/>
            <w:noWrap/>
            <w:vAlign w:val="center"/>
            <w:hideMark/>
          </w:tcPr>
          <w:p w14:paraId="2B2365A6" w14:textId="77777777" w:rsidR="00224E1A" w:rsidRPr="00D41179" w:rsidRDefault="00224E1A">
            <w:pPr>
              <w:keepNext/>
              <w:jc w:val="center"/>
              <w:rPr>
                <w:rFonts w:ascii="Arial Narrow" w:hAnsi="Arial Narrow" w:cs="Calibri"/>
                <w:color w:val="000000"/>
                <w:sz w:val="20"/>
                <w:szCs w:val="20"/>
              </w:rPr>
            </w:pPr>
            <w:r w:rsidRPr="00D41179">
              <w:rPr>
                <w:rFonts w:ascii="Arial Narrow" w:eastAsia="Calibri" w:hAnsi="Arial Narrow" w:cs="Calibri"/>
                <w:color w:val="000000"/>
                <w:sz w:val="20"/>
                <w:szCs w:val="20"/>
              </w:rPr>
              <w:t>14,035</w:t>
            </w:r>
          </w:p>
        </w:tc>
        <w:tc>
          <w:tcPr>
            <w:tcW w:w="276" w:type="pct"/>
            <w:shd w:val="clear" w:color="auto" w:fill="DAEEF3" w:themeFill="accent5" w:themeFillTint="33"/>
            <w:noWrap/>
            <w:vAlign w:val="center"/>
            <w:hideMark/>
          </w:tcPr>
          <w:p w14:paraId="07FF69F3" w14:textId="77777777" w:rsidR="00224E1A" w:rsidRPr="00D41179" w:rsidRDefault="00224E1A">
            <w:pPr>
              <w:keepNext/>
              <w:jc w:val="center"/>
              <w:rPr>
                <w:rFonts w:ascii="Arial Narrow" w:hAnsi="Arial Narrow" w:cs="Calibri"/>
                <w:color w:val="000000"/>
                <w:sz w:val="20"/>
                <w:szCs w:val="20"/>
              </w:rPr>
            </w:pPr>
            <w:r w:rsidRPr="00D41179">
              <w:rPr>
                <w:rFonts w:ascii="Arial Narrow" w:eastAsia="Calibri" w:hAnsi="Arial Narrow" w:cs="Calibri"/>
                <w:color w:val="000000"/>
                <w:sz w:val="20"/>
                <w:szCs w:val="20"/>
              </w:rPr>
              <w:t>130</w:t>
            </w:r>
          </w:p>
        </w:tc>
        <w:tc>
          <w:tcPr>
            <w:tcW w:w="486" w:type="pct"/>
            <w:shd w:val="clear" w:color="auto" w:fill="DAEEF3" w:themeFill="accent5" w:themeFillTint="33"/>
            <w:noWrap/>
            <w:vAlign w:val="center"/>
            <w:hideMark/>
          </w:tcPr>
          <w:p w14:paraId="6C903E2E" w14:textId="77777777" w:rsidR="00224E1A" w:rsidRPr="00D41179" w:rsidRDefault="00224E1A">
            <w:pPr>
              <w:keepNext/>
              <w:jc w:val="center"/>
              <w:rPr>
                <w:rFonts w:ascii="Arial Narrow" w:hAnsi="Arial Narrow" w:cs="Calibri"/>
                <w:color w:val="000000"/>
                <w:sz w:val="20"/>
                <w:szCs w:val="20"/>
              </w:rPr>
            </w:pPr>
            <w:r w:rsidRPr="00D41179">
              <w:rPr>
                <w:rFonts w:ascii="Arial Narrow" w:eastAsia="Calibri" w:hAnsi="Arial Narrow" w:cs="Calibri"/>
                <w:color w:val="000000"/>
                <w:sz w:val="20"/>
                <w:szCs w:val="20"/>
              </w:rPr>
              <w:t>13,823.3</w:t>
            </w:r>
          </w:p>
        </w:tc>
        <w:tc>
          <w:tcPr>
            <w:tcW w:w="550" w:type="pct"/>
            <w:shd w:val="clear" w:color="auto" w:fill="DAEEF3" w:themeFill="accent5" w:themeFillTint="33"/>
            <w:noWrap/>
            <w:vAlign w:val="center"/>
            <w:hideMark/>
          </w:tcPr>
          <w:p w14:paraId="74AE5FAC" w14:textId="77777777" w:rsidR="00224E1A" w:rsidRPr="00D41179" w:rsidRDefault="00224E1A">
            <w:pPr>
              <w:keepNext/>
              <w:jc w:val="center"/>
              <w:rPr>
                <w:rFonts w:ascii="Arial Narrow" w:hAnsi="Arial Narrow" w:cs="Calibri"/>
                <w:color w:val="000000"/>
                <w:sz w:val="20"/>
                <w:szCs w:val="20"/>
              </w:rPr>
            </w:pPr>
            <w:r w:rsidRPr="00D41179">
              <w:rPr>
                <w:rFonts w:ascii="Arial Narrow" w:eastAsia="Calibri" w:hAnsi="Arial Narrow" w:cs="Calibri"/>
                <w:color w:val="000000"/>
                <w:sz w:val="20"/>
                <w:szCs w:val="20"/>
              </w:rPr>
              <w:t>9.4</w:t>
            </w:r>
          </w:p>
        </w:tc>
        <w:tc>
          <w:tcPr>
            <w:tcW w:w="947" w:type="pct"/>
            <w:shd w:val="clear" w:color="auto" w:fill="DAEEF3" w:themeFill="accent5" w:themeFillTint="33"/>
            <w:noWrap/>
            <w:vAlign w:val="center"/>
            <w:hideMark/>
          </w:tcPr>
          <w:p w14:paraId="60993827" w14:textId="77777777" w:rsidR="00224E1A" w:rsidRPr="00D41179" w:rsidRDefault="00224E1A">
            <w:pPr>
              <w:keepNext/>
              <w:jc w:val="center"/>
              <w:rPr>
                <w:rFonts w:ascii="Arial Narrow" w:hAnsi="Arial Narrow" w:cs="Calibri"/>
                <w:color w:val="000000"/>
                <w:sz w:val="20"/>
                <w:szCs w:val="20"/>
              </w:rPr>
            </w:pPr>
            <w:r w:rsidRPr="00D41179">
              <w:rPr>
                <w:rFonts w:ascii="Arial Narrow" w:hAnsi="Arial Narrow" w:cs="Calibri"/>
                <w:color w:val="000000"/>
                <w:sz w:val="20"/>
                <w:szCs w:val="20"/>
              </w:rPr>
              <w:t>97.68 (93.07, 99.53)</w:t>
            </w:r>
          </w:p>
        </w:tc>
      </w:tr>
      <w:tr w:rsidR="00224E1A" w:rsidRPr="00D41179" w14:paraId="603B32E3" w14:textId="77777777">
        <w:trPr>
          <w:trHeight w:val="170"/>
          <w:jc w:val="center"/>
        </w:trPr>
        <w:tc>
          <w:tcPr>
            <w:tcW w:w="235" w:type="pct"/>
            <w:vMerge/>
            <w:vAlign w:val="center"/>
            <w:hideMark/>
          </w:tcPr>
          <w:p w14:paraId="778C6D84" w14:textId="77777777" w:rsidR="00224E1A" w:rsidRPr="00D41179" w:rsidRDefault="00224E1A">
            <w:pPr>
              <w:keepNext/>
              <w:jc w:val="left"/>
              <w:rPr>
                <w:rFonts w:ascii="Arial Narrow" w:hAnsi="Arial Narrow" w:cs="Calibri"/>
                <w:b/>
                <w:bCs/>
                <w:color w:val="000000"/>
                <w:sz w:val="20"/>
                <w:szCs w:val="20"/>
              </w:rPr>
            </w:pPr>
          </w:p>
        </w:tc>
        <w:tc>
          <w:tcPr>
            <w:tcW w:w="397" w:type="pct"/>
            <w:noWrap/>
            <w:vAlign w:val="center"/>
            <w:hideMark/>
          </w:tcPr>
          <w:p w14:paraId="6152467B" w14:textId="77777777" w:rsidR="00224E1A" w:rsidRPr="00D41179" w:rsidRDefault="00224E1A">
            <w:pPr>
              <w:keepNext/>
              <w:jc w:val="center"/>
              <w:rPr>
                <w:rFonts w:ascii="Arial Narrow" w:hAnsi="Arial Narrow" w:cs="Calibri"/>
                <w:color w:val="000000"/>
                <w:sz w:val="20"/>
                <w:szCs w:val="20"/>
              </w:rPr>
            </w:pPr>
            <w:r w:rsidRPr="00D41179">
              <w:rPr>
                <w:rFonts w:ascii="Arial Narrow" w:hAnsi="Arial Narrow" w:cs="Calibri"/>
                <w:color w:val="000000"/>
                <w:sz w:val="20"/>
                <w:szCs w:val="20"/>
              </w:rPr>
              <w:t>50-59</w:t>
            </w:r>
          </w:p>
        </w:tc>
        <w:tc>
          <w:tcPr>
            <w:tcW w:w="488" w:type="pct"/>
            <w:noWrap/>
            <w:vAlign w:val="center"/>
            <w:hideMark/>
          </w:tcPr>
          <w:p w14:paraId="2C66BB52" w14:textId="77777777" w:rsidR="00224E1A" w:rsidRPr="00D41179" w:rsidRDefault="00224E1A">
            <w:pPr>
              <w:keepNext/>
              <w:jc w:val="center"/>
              <w:rPr>
                <w:rFonts w:ascii="Arial Narrow" w:hAnsi="Arial Narrow" w:cs="Calibri"/>
                <w:color w:val="000000"/>
                <w:sz w:val="20"/>
                <w:szCs w:val="20"/>
              </w:rPr>
            </w:pPr>
            <w:r w:rsidRPr="00D41179">
              <w:rPr>
                <w:rFonts w:ascii="Arial Narrow" w:eastAsia="Calibri" w:hAnsi="Arial Narrow" w:cs="Calibri"/>
                <w:color w:val="000000"/>
                <w:sz w:val="20"/>
                <w:szCs w:val="20"/>
              </w:rPr>
              <w:t>3,491</w:t>
            </w:r>
          </w:p>
        </w:tc>
        <w:tc>
          <w:tcPr>
            <w:tcW w:w="277" w:type="pct"/>
            <w:noWrap/>
            <w:vAlign w:val="center"/>
            <w:hideMark/>
          </w:tcPr>
          <w:p w14:paraId="7C2CFC12" w14:textId="77777777" w:rsidR="00224E1A" w:rsidRPr="00D41179" w:rsidRDefault="00224E1A">
            <w:pPr>
              <w:keepNext/>
              <w:jc w:val="center"/>
              <w:rPr>
                <w:rFonts w:ascii="Arial Narrow" w:hAnsi="Arial Narrow" w:cs="Calibri"/>
                <w:color w:val="000000"/>
                <w:sz w:val="20"/>
                <w:szCs w:val="20"/>
              </w:rPr>
            </w:pPr>
            <w:r w:rsidRPr="00D41179">
              <w:rPr>
                <w:rFonts w:ascii="Arial Narrow" w:eastAsia="Calibri" w:hAnsi="Arial Narrow" w:cs="Calibri"/>
                <w:color w:val="000000"/>
                <w:sz w:val="20"/>
                <w:szCs w:val="20"/>
              </w:rPr>
              <w:t>1</w:t>
            </w:r>
          </w:p>
        </w:tc>
        <w:tc>
          <w:tcPr>
            <w:tcW w:w="486" w:type="pct"/>
            <w:noWrap/>
            <w:vAlign w:val="center"/>
            <w:hideMark/>
          </w:tcPr>
          <w:p w14:paraId="64CF4316" w14:textId="77777777" w:rsidR="00224E1A" w:rsidRPr="00D41179" w:rsidRDefault="00224E1A">
            <w:pPr>
              <w:keepNext/>
              <w:jc w:val="center"/>
              <w:rPr>
                <w:rFonts w:ascii="Arial Narrow" w:hAnsi="Arial Narrow" w:cs="Calibri"/>
                <w:color w:val="000000"/>
                <w:sz w:val="20"/>
                <w:szCs w:val="20"/>
              </w:rPr>
            </w:pPr>
            <w:r w:rsidRPr="00D41179">
              <w:rPr>
                <w:rFonts w:ascii="Arial Narrow" w:eastAsia="Calibri" w:hAnsi="Arial Narrow" w:cs="Calibri"/>
                <w:color w:val="000000"/>
                <w:sz w:val="20"/>
                <w:szCs w:val="20"/>
              </w:rPr>
              <w:t>3,462.9</w:t>
            </w:r>
          </w:p>
        </w:tc>
        <w:tc>
          <w:tcPr>
            <w:tcW w:w="493" w:type="pct"/>
            <w:noWrap/>
            <w:vAlign w:val="center"/>
            <w:hideMark/>
          </w:tcPr>
          <w:p w14:paraId="7E4D8944" w14:textId="77777777" w:rsidR="00224E1A" w:rsidRPr="00D41179" w:rsidRDefault="00224E1A">
            <w:pPr>
              <w:keepNext/>
              <w:jc w:val="center"/>
              <w:rPr>
                <w:rFonts w:ascii="Arial Narrow" w:hAnsi="Arial Narrow" w:cs="Calibri"/>
                <w:color w:val="000000"/>
                <w:sz w:val="20"/>
                <w:szCs w:val="20"/>
              </w:rPr>
            </w:pPr>
            <w:r w:rsidRPr="00D41179">
              <w:rPr>
                <w:rFonts w:ascii="Arial Narrow" w:eastAsia="Calibri" w:hAnsi="Arial Narrow" w:cs="Calibri"/>
                <w:color w:val="000000"/>
                <w:sz w:val="20"/>
                <w:szCs w:val="20"/>
              </w:rPr>
              <w:t>0.3</w:t>
            </w:r>
          </w:p>
        </w:tc>
        <w:tc>
          <w:tcPr>
            <w:tcW w:w="364" w:type="pct"/>
            <w:noWrap/>
            <w:vAlign w:val="center"/>
            <w:hideMark/>
          </w:tcPr>
          <w:p w14:paraId="7F97F394" w14:textId="77777777" w:rsidR="00224E1A" w:rsidRPr="00D41179" w:rsidRDefault="00224E1A">
            <w:pPr>
              <w:keepNext/>
              <w:jc w:val="center"/>
              <w:rPr>
                <w:rFonts w:ascii="Arial Narrow" w:hAnsi="Arial Narrow" w:cs="Calibri"/>
                <w:color w:val="000000"/>
                <w:sz w:val="20"/>
                <w:szCs w:val="20"/>
              </w:rPr>
            </w:pPr>
            <w:r w:rsidRPr="00D41179">
              <w:rPr>
                <w:rFonts w:ascii="Arial Narrow" w:eastAsia="Calibri" w:hAnsi="Arial Narrow" w:cs="Calibri"/>
                <w:color w:val="000000"/>
                <w:sz w:val="20"/>
                <w:szCs w:val="20"/>
              </w:rPr>
              <w:t>3,523</w:t>
            </w:r>
          </w:p>
        </w:tc>
        <w:tc>
          <w:tcPr>
            <w:tcW w:w="276" w:type="pct"/>
            <w:noWrap/>
            <w:vAlign w:val="center"/>
            <w:hideMark/>
          </w:tcPr>
          <w:p w14:paraId="03687AF7" w14:textId="77777777" w:rsidR="00224E1A" w:rsidRPr="00D41179" w:rsidRDefault="00224E1A">
            <w:pPr>
              <w:keepNext/>
              <w:jc w:val="center"/>
              <w:rPr>
                <w:rFonts w:ascii="Arial Narrow" w:hAnsi="Arial Narrow" w:cs="Calibri"/>
                <w:color w:val="000000"/>
                <w:sz w:val="20"/>
                <w:szCs w:val="20"/>
              </w:rPr>
            </w:pPr>
            <w:r w:rsidRPr="00D41179">
              <w:rPr>
                <w:rFonts w:ascii="Arial Narrow" w:eastAsia="Calibri" w:hAnsi="Arial Narrow" w:cs="Calibri"/>
                <w:color w:val="000000"/>
                <w:sz w:val="20"/>
                <w:szCs w:val="20"/>
              </w:rPr>
              <w:t>31</w:t>
            </w:r>
          </w:p>
        </w:tc>
        <w:tc>
          <w:tcPr>
            <w:tcW w:w="486" w:type="pct"/>
            <w:noWrap/>
            <w:vAlign w:val="center"/>
            <w:hideMark/>
          </w:tcPr>
          <w:p w14:paraId="5A42157E" w14:textId="77777777" w:rsidR="00224E1A" w:rsidRPr="00D41179" w:rsidRDefault="00224E1A">
            <w:pPr>
              <w:keepNext/>
              <w:jc w:val="center"/>
              <w:rPr>
                <w:rFonts w:ascii="Arial Narrow" w:hAnsi="Arial Narrow" w:cs="Calibri"/>
                <w:color w:val="000000"/>
                <w:sz w:val="20"/>
                <w:szCs w:val="20"/>
              </w:rPr>
            </w:pPr>
            <w:r w:rsidRPr="00D41179">
              <w:rPr>
                <w:rFonts w:ascii="Arial Narrow" w:eastAsia="Calibri" w:hAnsi="Arial Narrow" w:cs="Calibri"/>
                <w:color w:val="000000"/>
                <w:sz w:val="20"/>
                <w:szCs w:val="20"/>
              </w:rPr>
              <w:t>3,475.0</w:t>
            </w:r>
          </w:p>
        </w:tc>
        <w:tc>
          <w:tcPr>
            <w:tcW w:w="550" w:type="pct"/>
            <w:noWrap/>
            <w:vAlign w:val="center"/>
            <w:hideMark/>
          </w:tcPr>
          <w:p w14:paraId="343F72B8" w14:textId="77777777" w:rsidR="00224E1A" w:rsidRPr="00D41179" w:rsidRDefault="00224E1A">
            <w:pPr>
              <w:keepNext/>
              <w:jc w:val="center"/>
              <w:rPr>
                <w:rFonts w:ascii="Arial Narrow" w:hAnsi="Arial Narrow" w:cs="Calibri"/>
                <w:color w:val="000000"/>
                <w:sz w:val="20"/>
                <w:szCs w:val="20"/>
              </w:rPr>
            </w:pPr>
            <w:r w:rsidRPr="00D41179">
              <w:rPr>
                <w:rFonts w:ascii="Arial Narrow" w:eastAsia="Calibri" w:hAnsi="Arial Narrow" w:cs="Calibri"/>
                <w:color w:val="000000"/>
                <w:sz w:val="20"/>
                <w:szCs w:val="20"/>
              </w:rPr>
              <w:t>8.9</w:t>
            </w:r>
          </w:p>
        </w:tc>
        <w:tc>
          <w:tcPr>
            <w:tcW w:w="947" w:type="pct"/>
            <w:noWrap/>
            <w:vAlign w:val="center"/>
            <w:hideMark/>
          </w:tcPr>
          <w:p w14:paraId="0120BE8F" w14:textId="77777777" w:rsidR="00224E1A" w:rsidRPr="00D41179" w:rsidRDefault="00224E1A">
            <w:pPr>
              <w:keepNext/>
              <w:jc w:val="center"/>
              <w:rPr>
                <w:rFonts w:ascii="Arial Narrow" w:hAnsi="Arial Narrow" w:cs="Calibri"/>
                <w:color w:val="000000"/>
                <w:sz w:val="20"/>
                <w:szCs w:val="20"/>
              </w:rPr>
            </w:pPr>
            <w:r w:rsidRPr="00D41179">
              <w:rPr>
                <w:rFonts w:ascii="Arial Narrow" w:hAnsi="Arial Narrow" w:cs="Calibri"/>
                <w:color w:val="000000"/>
                <w:sz w:val="20"/>
                <w:szCs w:val="20"/>
              </w:rPr>
              <w:t>96.76 (80.57, 99.92)</w:t>
            </w:r>
          </w:p>
        </w:tc>
      </w:tr>
      <w:tr w:rsidR="00224E1A" w:rsidRPr="00D41179" w14:paraId="22406F44" w14:textId="77777777">
        <w:trPr>
          <w:trHeight w:val="170"/>
          <w:jc w:val="center"/>
        </w:trPr>
        <w:tc>
          <w:tcPr>
            <w:tcW w:w="235" w:type="pct"/>
            <w:vMerge/>
            <w:vAlign w:val="center"/>
            <w:hideMark/>
          </w:tcPr>
          <w:p w14:paraId="5A1C1E7C" w14:textId="77777777" w:rsidR="00224E1A" w:rsidRPr="00D41179" w:rsidRDefault="00224E1A">
            <w:pPr>
              <w:keepNext/>
              <w:jc w:val="left"/>
              <w:rPr>
                <w:rFonts w:ascii="Arial Narrow" w:hAnsi="Arial Narrow" w:cs="Calibri"/>
                <w:b/>
                <w:bCs/>
                <w:color w:val="000000"/>
                <w:sz w:val="20"/>
                <w:szCs w:val="20"/>
              </w:rPr>
            </w:pPr>
          </w:p>
        </w:tc>
        <w:tc>
          <w:tcPr>
            <w:tcW w:w="397" w:type="pct"/>
            <w:noWrap/>
            <w:vAlign w:val="center"/>
            <w:hideMark/>
          </w:tcPr>
          <w:p w14:paraId="03CA4F32" w14:textId="77777777" w:rsidR="00224E1A" w:rsidRPr="00D41179" w:rsidRDefault="00224E1A">
            <w:pPr>
              <w:keepNext/>
              <w:jc w:val="center"/>
              <w:rPr>
                <w:rFonts w:ascii="Arial Narrow" w:hAnsi="Arial Narrow" w:cs="Calibri"/>
                <w:color w:val="000000"/>
                <w:sz w:val="20"/>
                <w:szCs w:val="20"/>
              </w:rPr>
            </w:pPr>
            <w:r w:rsidRPr="00D41179">
              <w:rPr>
                <w:rFonts w:ascii="Arial Narrow" w:hAnsi="Arial Narrow" w:cs="Calibri"/>
                <w:color w:val="000000"/>
                <w:sz w:val="20"/>
                <w:szCs w:val="20"/>
              </w:rPr>
              <w:t>60-69</w:t>
            </w:r>
          </w:p>
        </w:tc>
        <w:tc>
          <w:tcPr>
            <w:tcW w:w="488" w:type="pct"/>
            <w:noWrap/>
            <w:vAlign w:val="center"/>
            <w:hideMark/>
          </w:tcPr>
          <w:p w14:paraId="034CE3F8" w14:textId="77777777" w:rsidR="00224E1A" w:rsidRPr="00D41179" w:rsidRDefault="00224E1A">
            <w:pPr>
              <w:keepNext/>
              <w:jc w:val="center"/>
              <w:rPr>
                <w:rFonts w:ascii="Arial Narrow" w:hAnsi="Arial Narrow" w:cs="Calibri"/>
                <w:color w:val="000000"/>
                <w:sz w:val="20"/>
                <w:szCs w:val="20"/>
              </w:rPr>
            </w:pPr>
            <w:r w:rsidRPr="00D41179">
              <w:rPr>
                <w:rFonts w:ascii="Arial Narrow" w:eastAsia="Calibri" w:hAnsi="Arial Narrow" w:cs="Calibri"/>
                <w:color w:val="000000"/>
                <w:sz w:val="20"/>
                <w:szCs w:val="20"/>
              </w:rPr>
              <w:t>2,140</w:t>
            </w:r>
          </w:p>
        </w:tc>
        <w:tc>
          <w:tcPr>
            <w:tcW w:w="277" w:type="pct"/>
            <w:noWrap/>
            <w:vAlign w:val="center"/>
            <w:hideMark/>
          </w:tcPr>
          <w:p w14:paraId="37D25A6A" w14:textId="77777777" w:rsidR="00224E1A" w:rsidRPr="00D41179" w:rsidRDefault="00224E1A">
            <w:pPr>
              <w:keepNext/>
              <w:jc w:val="center"/>
              <w:rPr>
                <w:rFonts w:ascii="Arial Narrow" w:hAnsi="Arial Narrow" w:cs="Calibri"/>
                <w:color w:val="000000"/>
                <w:sz w:val="20"/>
                <w:szCs w:val="20"/>
              </w:rPr>
            </w:pPr>
            <w:r w:rsidRPr="00D41179">
              <w:rPr>
                <w:rFonts w:ascii="Arial Narrow" w:eastAsia="Calibri" w:hAnsi="Arial Narrow" w:cs="Calibri"/>
                <w:color w:val="000000"/>
                <w:sz w:val="20"/>
                <w:szCs w:val="20"/>
              </w:rPr>
              <w:t>0</w:t>
            </w:r>
          </w:p>
        </w:tc>
        <w:tc>
          <w:tcPr>
            <w:tcW w:w="486" w:type="pct"/>
            <w:noWrap/>
            <w:vAlign w:val="center"/>
            <w:hideMark/>
          </w:tcPr>
          <w:p w14:paraId="1BE36CA1" w14:textId="77777777" w:rsidR="00224E1A" w:rsidRPr="00D41179" w:rsidRDefault="00224E1A">
            <w:pPr>
              <w:keepNext/>
              <w:jc w:val="center"/>
              <w:rPr>
                <w:rFonts w:ascii="Arial Narrow" w:hAnsi="Arial Narrow" w:cs="Calibri"/>
                <w:color w:val="000000"/>
                <w:sz w:val="20"/>
                <w:szCs w:val="20"/>
              </w:rPr>
            </w:pPr>
            <w:r w:rsidRPr="00D41179">
              <w:rPr>
                <w:rFonts w:ascii="Arial Narrow" w:eastAsia="Calibri" w:hAnsi="Arial Narrow" w:cs="Calibri"/>
                <w:color w:val="000000"/>
                <w:sz w:val="20"/>
                <w:szCs w:val="20"/>
              </w:rPr>
              <w:t>2,125.3</w:t>
            </w:r>
          </w:p>
        </w:tc>
        <w:tc>
          <w:tcPr>
            <w:tcW w:w="493" w:type="pct"/>
            <w:noWrap/>
            <w:vAlign w:val="center"/>
            <w:hideMark/>
          </w:tcPr>
          <w:p w14:paraId="7ECB17FA" w14:textId="77777777" w:rsidR="00224E1A" w:rsidRPr="00D41179" w:rsidRDefault="00224E1A">
            <w:pPr>
              <w:keepNext/>
              <w:jc w:val="center"/>
              <w:rPr>
                <w:rFonts w:ascii="Arial Narrow" w:hAnsi="Arial Narrow" w:cs="Calibri"/>
                <w:color w:val="000000"/>
                <w:sz w:val="20"/>
                <w:szCs w:val="20"/>
              </w:rPr>
            </w:pPr>
            <w:r w:rsidRPr="00D41179">
              <w:rPr>
                <w:rFonts w:ascii="Arial Narrow" w:eastAsia="Calibri" w:hAnsi="Arial Narrow" w:cs="Calibri"/>
                <w:color w:val="000000"/>
                <w:sz w:val="20"/>
                <w:szCs w:val="20"/>
              </w:rPr>
              <w:t>0.0</w:t>
            </w:r>
          </w:p>
        </w:tc>
        <w:tc>
          <w:tcPr>
            <w:tcW w:w="364" w:type="pct"/>
            <w:noWrap/>
            <w:vAlign w:val="center"/>
            <w:hideMark/>
          </w:tcPr>
          <w:p w14:paraId="5063DA90" w14:textId="77777777" w:rsidR="00224E1A" w:rsidRPr="00D41179" w:rsidRDefault="00224E1A">
            <w:pPr>
              <w:keepNext/>
              <w:jc w:val="center"/>
              <w:rPr>
                <w:rFonts w:ascii="Arial Narrow" w:hAnsi="Arial Narrow" w:cs="Calibri"/>
                <w:color w:val="000000"/>
                <w:sz w:val="20"/>
                <w:szCs w:val="20"/>
              </w:rPr>
            </w:pPr>
            <w:r w:rsidRPr="00D41179">
              <w:rPr>
                <w:rFonts w:ascii="Arial Narrow" w:eastAsia="Calibri" w:hAnsi="Arial Narrow" w:cs="Calibri"/>
                <w:color w:val="000000"/>
                <w:sz w:val="20"/>
                <w:szCs w:val="20"/>
              </w:rPr>
              <w:t>2,166</w:t>
            </w:r>
          </w:p>
        </w:tc>
        <w:tc>
          <w:tcPr>
            <w:tcW w:w="276" w:type="pct"/>
            <w:noWrap/>
            <w:vAlign w:val="center"/>
            <w:hideMark/>
          </w:tcPr>
          <w:p w14:paraId="21C4B32F" w14:textId="77777777" w:rsidR="00224E1A" w:rsidRPr="00D41179" w:rsidRDefault="00224E1A">
            <w:pPr>
              <w:keepNext/>
              <w:jc w:val="center"/>
              <w:rPr>
                <w:rFonts w:ascii="Arial Narrow" w:hAnsi="Arial Narrow" w:cs="Calibri"/>
                <w:color w:val="000000"/>
                <w:sz w:val="20"/>
                <w:szCs w:val="20"/>
              </w:rPr>
            </w:pPr>
            <w:r w:rsidRPr="00D41179">
              <w:rPr>
                <w:rFonts w:ascii="Arial Narrow" w:eastAsia="Calibri" w:hAnsi="Arial Narrow" w:cs="Calibri"/>
                <w:color w:val="000000"/>
                <w:sz w:val="20"/>
                <w:szCs w:val="20"/>
              </w:rPr>
              <w:t>16</w:t>
            </w:r>
          </w:p>
        </w:tc>
        <w:tc>
          <w:tcPr>
            <w:tcW w:w="486" w:type="pct"/>
            <w:noWrap/>
            <w:vAlign w:val="center"/>
            <w:hideMark/>
          </w:tcPr>
          <w:p w14:paraId="121AE8FF" w14:textId="77777777" w:rsidR="00224E1A" w:rsidRPr="00D41179" w:rsidRDefault="00224E1A">
            <w:pPr>
              <w:keepNext/>
              <w:jc w:val="center"/>
              <w:rPr>
                <w:rFonts w:ascii="Arial Narrow" w:hAnsi="Arial Narrow" w:cs="Calibri"/>
                <w:color w:val="000000"/>
                <w:sz w:val="20"/>
                <w:szCs w:val="20"/>
              </w:rPr>
            </w:pPr>
            <w:r w:rsidRPr="00D41179">
              <w:rPr>
                <w:rFonts w:ascii="Arial Narrow" w:eastAsia="Calibri" w:hAnsi="Arial Narrow" w:cs="Calibri"/>
                <w:color w:val="000000"/>
                <w:sz w:val="20"/>
                <w:szCs w:val="20"/>
              </w:rPr>
              <w:t>2,142.1</w:t>
            </w:r>
          </w:p>
        </w:tc>
        <w:tc>
          <w:tcPr>
            <w:tcW w:w="550" w:type="pct"/>
            <w:noWrap/>
            <w:vAlign w:val="center"/>
            <w:hideMark/>
          </w:tcPr>
          <w:p w14:paraId="2D6926BA" w14:textId="77777777" w:rsidR="00224E1A" w:rsidRPr="00D41179" w:rsidRDefault="00224E1A">
            <w:pPr>
              <w:keepNext/>
              <w:jc w:val="center"/>
              <w:rPr>
                <w:rFonts w:ascii="Arial Narrow" w:hAnsi="Arial Narrow" w:cs="Calibri"/>
                <w:color w:val="000000"/>
                <w:sz w:val="20"/>
                <w:szCs w:val="20"/>
              </w:rPr>
            </w:pPr>
            <w:r w:rsidRPr="00D41179">
              <w:rPr>
                <w:rFonts w:ascii="Arial Narrow" w:eastAsia="Calibri" w:hAnsi="Arial Narrow" w:cs="Calibri"/>
                <w:color w:val="000000"/>
                <w:sz w:val="20"/>
                <w:szCs w:val="20"/>
              </w:rPr>
              <w:t>7.5</w:t>
            </w:r>
          </w:p>
        </w:tc>
        <w:tc>
          <w:tcPr>
            <w:tcW w:w="947" w:type="pct"/>
            <w:noWrap/>
            <w:vAlign w:val="center"/>
            <w:hideMark/>
          </w:tcPr>
          <w:p w14:paraId="35FF67DE" w14:textId="77777777" w:rsidR="00224E1A" w:rsidRPr="00D41179" w:rsidRDefault="00224E1A">
            <w:pPr>
              <w:keepNext/>
              <w:jc w:val="center"/>
              <w:rPr>
                <w:rFonts w:ascii="Arial Narrow" w:hAnsi="Arial Narrow" w:cs="Calibri"/>
                <w:color w:val="000000"/>
                <w:sz w:val="20"/>
                <w:szCs w:val="20"/>
              </w:rPr>
            </w:pPr>
            <w:r w:rsidRPr="00D41179">
              <w:rPr>
                <w:rFonts w:ascii="Arial Narrow" w:hAnsi="Arial Narrow" w:cs="Calibri"/>
                <w:color w:val="000000"/>
                <w:sz w:val="20"/>
                <w:szCs w:val="20"/>
              </w:rPr>
              <w:t>100.00(79.32, 100.00)</w:t>
            </w:r>
          </w:p>
        </w:tc>
      </w:tr>
      <w:tr w:rsidR="00224E1A" w:rsidRPr="00D41179" w14:paraId="57783695" w14:textId="77777777">
        <w:trPr>
          <w:trHeight w:val="170"/>
          <w:jc w:val="center"/>
        </w:trPr>
        <w:tc>
          <w:tcPr>
            <w:tcW w:w="235" w:type="pct"/>
            <w:vMerge/>
            <w:vAlign w:val="center"/>
            <w:hideMark/>
          </w:tcPr>
          <w:p w14:paraId="1CF93F59" w14:textId="77777777" w:rsidR="00224E1A" w:rsidRPr="00D41179" w:rsidRDefault="00224E1A">
            <w:pPr>
              <w:keepNext/>
              <w:jc w:val="left"/>
              <w:rPr>
                <w:rFonts w:ascii="Arial Narrow" w:hAnsi="Arial Narrow" w:cs="Calibri"/>
                <w:b/>
                <w:bCs/>
                <w:color w:val="000000"/>
                <w:sz w:val="20"/>
                <w:szCs w:val="20"/>
              </w:rPr>
            </w:pPr>
          </w:p>
        </w:tc>
        <w:tc>
          <w:tcPr>
            <w:tcW w:w="397" w:type="pct"/>
            <w:noWrap/>
            <w:vAlign w:val="center"/>
            <w:hideMark/>
          </w:tcPr>
          <w:p w14:paraId="2100034A" w14:textId="77777777" w:rsidR="00224E1A" w:rsidRPr="00D41179" w:rsidRDefault="00224E1A">
            <w:pPr>
              <w:keepNext/>
              <w:jc w:val="center"/>
              <w:rPr>
                <w:rFonts w:ascii="Arial Narrow" w:hAnsi="Arial Narrow" w:cs="Calibri"/>
                <w:color w:val="000000"/>
                <w:sz w:val="20"/>
                <w:szCs w:val="20"/>
              </w:rPr>
            </w:pPr>
            <w:r w:rsidRPr="00D41179">
              <w:rPr>
                <w:rFonts w:ascii="Arial Narrow" w:hAnsi="Arial Narrow" w:cs="Calibri"/>
                <w:color w:val="000000"/>
                <w:sz w:val="20"/>
                <w:szCs w:val="20"/>
              </w:rPr>
              <w:t>≥70</w:t>
            </w:r>
          </w:p>
        </w:tc>
        <w:tc>
          <w:tcPr>
            <w:tcW w:w="488" w:type="pct"/>
            <w:noWrap/>
            <w:vAlign w:val="center"/>
            <w:hideMark/>
          </w:tcPr>
          <w:p w14:paraId="188AEC13" w14:textId="77777777" w:rsidR="00224E1A" w:rsidRPr="00D41179" w:rsidRDefault="00224E1A">
            <w:pPr>
              <w:keepNext/>
              <w:jc w:val="center"/>
              <w:rPr>
                <w:rFonts w:ascii="Arial Narrow" w:hAnsi="Arial Narrow" w:cs="Calibri"/>
                <w:color w:val="000000"/>
                <w:sz w:val="20"/>
                <w:szCs w:val="20"/>
              </w:rPr>
            </w:pPr>
            <w:r w:rsidRPr="00D41179">
              <w:rPr>
                <w:rFonts w:ascii="Arial Narrow" w:eastAsia="Calibri" w:hAnsi="Arial Narrow" w:cs="Calibri"/>
                <w:color w:val="000000"/>
                <w:sz w:val="20"/>
                <w:szCs w:val="20"/>
              </w:rPr>
              <w:t>8,250</w:t>
            </w:r>
          </w:p>
        </w:tc>
        <w:tc>
          <w:tcPr>
            <w:tcW w:w="277" w:type="pct"/>
            <w:noWrap/>
            <w:vAlign w:val="center"/>
            <w:hideMark/>
          </w:tcPr>
          <w:p w14:paraId="248F659A" w14:textId="77777777" w:rsidR="00224E1A" w:rsidRPr="00D41179" w:rsidRDefault="00224E1A">
            <w:pPr>
              <w:keepNext/>
              <w:jc w:val="center"/>
              <w:rPr>
                <w:rFonts w:ascii="Arial Narrow" w:hAnsi="Arial Narrow" w:cs="Calibri"/>
                <w:color w:val="000000"/>
                <w:sz w:val="20"/>
                <w:szCs w:val="20"/>
              </w:rPr>
            </w:pPr>
            <w:r w:rsidRPr="00D41179">
              <w:rPr>
                <w:rFonts w:ascii="Arial Narrow" w:eastAsia="Calibri" w:hAnsi="Arial Narrow" w:cs="Calibri"/>
                <w:color w:val="000000"/>
                <w:sz w:val="20"/>
                <w:szCs w:val="20"/>
              </w:rPr>
              <w:t>2</w:t>
            </w:r>
          </w:p>
        </w:tc>
        <w:tc>
          <w:tcPr>
            <w:tcW w:w="486" w:type="pct"/>
            <w:noWrap/>
            <w:vAlign w:val="center"/>
            <w:hideMark/>
          </w:tcPr>
          <w:p w14:paraId="2C399079" w14:textId="77777777" w:rsidR="00224E1A" w:rsidRPr="00D41179" w:rsidRDefault="00224E1A">
            <w:pPr>
              <w:keepNext/>
              <w:jc w:val="center"/>
              <w:rPr>
                <w:rFonts w:ascii="Arial Narrow" w:hAnsi="Arial Narrow" w:cs="Calibri"/>
                <w:color w:val="000000"/>
                <w:sz w:val="20"/>
                <w:szCs w:val="20"/>
              </w:rPr>
            </w:pPr>
            <w:r w:rsidRPr="00D41179">
              <w:rPr>
                <w:rFonts w:ascii="Arial Narrow" w:eastAsia="Calibri" w:hAnsi="Arial Narrow" w:cs="Calibri"/>
                <w:color w:val="000000"/>
                <w:sz w:val="20"/>
                <w:szCs w:val="20"/>
              </w:rPr>
              <w:t>8,156.2</w:t>
            </w:r>
          </w:p>
        </w:tc>
        <w:tc>
          <w:tcPr>
            <w:tcW w:w="493" w:type="pct"/>
            <w:noWrap/>
            <w:vAlign w:val="center"/>
            <w:hideMark/>
          </w:tcPr>
          <w:p w14:paraId="37684F65" w14:textId="77777777" w:rsidR="00224E1A" w:rsidRPr="00D41179" w:rsidRDefault="00224E1A">
            <w:pPr>
              <w:keepNext/>
              <w:jc w:val="center"/>
              <w:rPr>
                <w:rFonts w:ascii="Arial Narrow" w:hAnsi="Arial Narrow" w:cs="Calibri"/>
                <w:color w:val="000000"/>
                <w:sz w:val="20"/>
                <w:szCs w:val="20"/>
              </w:rPr>
            </w:pPr>
            <w:r w:rsidRPr="00D41179">
              <w:rPr>
                <w:rFonts w:ascii="Arial Narrow" w:eastAsia="Calibri" w:hAnsi="Arial Narrow" w:cs="Calibri"/>
                <w:color w:val="000000"/>
                <w:sz w:val="20"/>
                <w:szCs w:val="20"/>
              </w:rPr>
              <w:t>0.2</w:t>
            </w:r>
          </w:p>
        </w:tc>
        <w:tc>
          <w:tcPr>
            <w:tcW w:w="364" w:type="pct"/>
            <w:noWrap/>
            <w:vAlign w:val="center"/>
            <w:hideMark/>
          </w:tcPr>
          <w:p w14:paraId="37BA9C93" w14:textId="77777777" w:rsidR="00224E1A" w:rsidRPr="00D41179" w:rsidRDefault="00224E1A">
            <w:pPr>
              <w:keepNext/>
              <w:jc w:val="center"/>
              <w:rPr>
                <w:rFonts w:ascii="Arial Narrow" w:hAnsi="Arial Narrow" w:cs="Calibri"/>
                <w:color w:val="000000"/>
                <w:sz w:val="20"/>
                <w:szCs w:val="20"/>
              </w:rPr>
            </w:pPr>
            <w:r w:rsidRPr="00D41179">
              <w:rPr>
                <w:rFonts w:ascii="Arial Narrow" w:eastAsia="Calibri" w:hAnsi="Arial Narrow" w:cs="Calibri"/>
                <w:color w:val="000000"/>
                <w:sz w:val="20"/>
                <w:szCs w:val="20"/>
              </w:rPr>
              <w:t>8,346</w:t>
            </w:r>
          </w:p>
        </w:tc>
        <w:tc>
          <w:tcPr>
            <w:tcW w:w="276" w:type="pct"/>
            <w:noWrap/>
            <w:vAlign w:val="center"/>
            <w:hideMark/>
          </w:tcPr>
          <w:p w14:paraId="0D1586CD" w14:textId="77777777" w:rsidR="00224E1A" w:rsidRPr="00D41179" w:rsidRDefault="00224E1A">
            <w:pPr>
              <w:keepNext/>
              <w:jc w:val="center"/>
              <w:rPr>
                <w:rFonts w:ascii="Arial Narrow" w:hAnsi="Arial Narrow" w:cs="Calibri"/>
                <w:color w:val="000000"/>
                <w:sz w:val="20"/>
                <w:szCs w:val="20"/>
              </w:rPr>
            </w:pPr>
            <w:r w:rsidRPr="00D41179">
              <w:rPr>
                <w:rFonts w:ascii="Arial Narrow" w:eastAsia="Calibri" w:hAnsi="Arial Narrow" w:cs="Calibri"/>
                <w:color w:val="000000"/>
                <w:sz w:val="20"/>
                <w:szCs w:val="20"/>
              </w:rPr>
              <w:t>83</w:t>
            </w:r>
          </w:p>
        </w:tc>
        <w:tc>
          <w:tcPr>
            <w:tcW w:w="486" w:type="pct"/>
            <w:noWrap/>
            <w:vAlign w:val="center"/>
            <w:hideMark/>
          </w:tcPr>
          <w:p w14:paraId="0DE12052" w14:textId="77777777" w:rsidR="00224E1A" w:rsidRPr="00D41179" w:rsidRDefault="00224E1A">
            <w:pPr>
              <w:keepNext/>
              <w:jc w:val="center"/>
              <w:rPr>
                <w:rFonts w:ascii="Arial Narrow" w:hAnsi="Arial Narrow" w:cs="Calibri"/>
                <w:color w:val="000000"/>
                <w:sz w:val="20"/>
                <w:szCs w:val="20"/>
              </w:rPr>
            </w:pPr>
            <w:r w:rsidRPr="00D41179">
              <w:rPr>
                <w:rFonts w:ascii="Arial Narrow" w:eastAsia="Calibri" w:hAnsi="Arial Narrow" w:cs="Calibri"/>
                <w:color w:val="000000"/>
                <w:sz w:val="20"/>
                <w:szCs w:val="20"/>
              </w:rPr>
              <w:t>8,206.2</w:t>
            </w:r>
          </w:p>
        </w:tc>
        <w:tc>
          <w:tcPr>
            <w:tcW w:w="550" w:type="pct"/>
            <w:noWrap/>
            <w:vAlign w:val="center"/>
            <w:hideMark/>
          </w:tcPr>
          <w:p w14:paraId="10A1A5F6" w14:textId="77777777" w:rsidR="00224E1A" w:rsidRPr="00D41179" w:rsidRDefault="00224E1A">
            <w:pPr>
              <w:keepNext/>
              <w:jc w:val="center"/>
              <w:rPr>
                <w:rFonts w:ascii="Arial Narrow" w:hAnsi="Arial Narrow" w:cs="Calibri"/>
                <w:color w:val="000000"/>
                <w:sz w:val="20"/>
                <w:szCs w:val="20"/>
              </w:rPr>
            </w:pPr>
            <w:r w:rsidRPr="00D41179">
              <w:rPr>
                <w:rFonts w:ascii="Arial Narrow" w:eastAsia="Calibri" w:hAnsi="Arial Narrow" w:cs="Calibri"/>
                <w:color w:val="000000"/>
                <w:sz w:val="20"/>
                <w:szCs w:val="20"/>
              </w:rPr>
              <w:t>10.1</w:t>
            </w:r>
          </w:p>
        </w:tc>
        <w:tc>
          <w:tcPr>
            <w:tcW w:w="947" w:type="pct"/>
            <w:noWrap/>
            <w:vAlign w:val="center"/>
            <w:hideMark/>
          </w:tcPr>
          <w:p w14:paraId="24687C60" w14:textId="77777777" w:rsidR="00224E1A" w:rsidRPr="00D41179" w:rsidRDefault="00224E1A">
            <w:pPr>
              <w:keepNext/>
              <w:jc w:val="center"/>
              <w:rPr>
                <w:rFonts w:ascii="Arial Narrow" w:hAnsi="Arial Narrow" w:cs="Calibri"/>
                <w:color w:val="000000"/>
                <w:sz w:val="20"/>
                <w:szCs w:val="20"/>
              </w:rPr>
            </w:pPr>
            <w:r w:rsidRPr="00D41179">
              <w:rPr>
                <w:rFonts w:ascii="Arial Narrow" w:hAnsi="Arial Narrow" w:cs="Calibri"/>
                <w:color w:val="000000"/>
                <w:sz w:val="20"/>
                <w:szCs w:val="20"/>
              </w:rPr>
              <w:t>97.57 (90.96, 99.71)</w:t>
            </w:r>
          </w:p>
        </w:tc>
      </w:tr>
      <w:bookmarkEnd w:id="27"/>
      <w:tr w:rsidR="00224E1A" w:rsidRPr="00D41179" w14:paraId="6679D397" w14:textId="77777777">
        <w:trPr>
          <w:trHeight w:val="170"/>
          <w:jc w:val="center"/>
        </w:trPr>
        <w:tc>
          <w:tcPr>
            <w:tcW w:w="235" w:type="pct"/>
            <w:vMerge w:val="restart"/>
            <w:noWrap/>
            <w:vAlign w:val="center"/>
            <w:hideMark/>
          </w:tcPr>
          <w:p w14:paraId="39D2C573" w14:textId="77777777" w:rsidR="00224E1A" w:rsidRPr="00D41179" w:rsidRDefault="00224E1A">
            <w:pPr>
              <w:keepNext/>
              <w:jc w:val="left"/>
              <w:rPr>
                <w:rFonts w:ascii="Arial Narrow" w:hAnsi="Arial Narrow" w:cs="Calibri"/>
                <w:b/>
                <w:bCs/>
                <w:color w:val="000000"/>
                <w:sz w:val="20"/>
                <w:szCs w:val="20"/>
              </w:rPr>
            </w:pPr>
            <w:r w:rsidRPr="00D41179">
              <w:rPr>
                <w:rFonts w:ascii="Arial Narrow" w:hAnsi="Arial Narrow" w:cs="Calibri"/>
                <w:b/>
                <w:bCs/>
                <w:color w:val="000000"/>
                <w:sz w:val="20"/>
                <w:szCs w:val="20"/>
              </w:rPr>
              <w:t>Y 2</w:t>
            </w:r>
          </w:p>
        </w:tc>
        <w:tc>
          <w:tcPr>
            <w:tcW w:w="397" w:type="pct"/>
            <w:shd w:val="clear" w:color="auto" w:fill="DAEEF3" w:themeFill="accent5" w:themeFillTint="33"/>
            <w:noWrap/>
            <w:vAlign w:val="center"/>
            <w:hideMark/>
          </w:tcPr>
          <w:p w14:paraId="65EDA604" w14:textId="77777777" w:rsidR="00224E1A" w:rsidRPr="00D41179" w:rsidRDefault="00224E1A">
            <w:pPr>
              <w:keepNext/>
              <w:jc w:val="center"/>
              <w:rPr>
                <w:rFonts w:ascii="Arial Narrow" w:hAnsi="Arial Narrow" w:cs="Calibri"/>
                <w:color w:val="000000"/>
                <w:sz w:val="20"/>
                <w:szCs w:val="20"/>
              </w:rPr>
            </w:pPr>
            <w:r w:rsidRPr="00D41179">
              <w:rPr>
                <w:rFonts w:ascii="Arial Narrow" w:hAnsi="Arial Narrow" w:cs="Calibri"/>
                <w:color w:val="000000"/>
                <w:sz w:val="20"/>
                <w:szCs w:val="20"/>
              </w:rPr>
              <w:t>Overall</w:t>
            </w:r>
          </w:p>
        </w:tc>
        <w:tc>
          <w:tcPr>
            <w:tcW w:w="488" w:type="pct"/>
            <w:shd w:val="clear" w:color="auto" w:fill="DAEEF3" w:themeFill="accent5" w:themeFillTint="33"/>
            <w:noWrap/>
            <w:vAlign w:val="center"/>
            <w:hideMark/>
          </w:tcPr>
          <w:p w14:paraId="6906CE1A" w14:textId="77777777" w:rsidR="00224E1A" w:rsidRPr="00D41179" w:rsidRDefault="00224E1A">
            <w:pPr>
              <w:keepNext/>
              <w:jc w:val="center"/>
              <w:rPr>
                <w:rFonts w:ascii="Arial Narrow" w:hAnsi="Arial Narrow" w:cs="Calibri"/>
                <w:color w:val="000000"/>
                <w:sz w:val="20"/>
                <w:szCs w:val="20"/>
              </w:rPr>
            </w:pPr>
            <w:r w:rsidRPr="00D41179">
              <w:rPr>
                <w:rFonts w:ascii="Arial Narrow" w:eastAsia="Calibri" w:hAnsi="Arial Narrow" w:cs="Calibri"/>
                <w:color w:val="000000"/>
                <w:sz w:val="20"/>
                <w:szCs w:val="20"/>
              </w:rPr>
              <w:t>13,569</w:t>
            </w:r>
          </w:p>
        </w:tc>
        <w:tc>
          <w:tcPr>
            <w:tcW w:w="277" w:type="pct"/>
            <w:shd w:val="clear" w:color="auto" w:fill="DAEEF3" w:themeFill="accent5" w:themeFillTint="33"/>
            <w:noWrap/>
            <w:vAlign w:val="center"/>
            <w:hideMark/>
          </w:tcPr>
          <w:p w14:paraId="451DB5CE" w14:textId="77777777" w:rsidR="00224E1A" w:rsidRPr="00D41179" w:rsidRDefault="00224E1A">
            <w:pPr>
              <w:keepNext/>
              <w:jc w:val="center"/>
              <w:rPr>
                <w:rFonts w:ascii="Arial Narrow" w:hAnsi="Arial Narrow" w:cs="Calibri"/>
                <w:color w:val="000000"/>
                <w:sz w:val="20"/>
                <w:szCs w:val="20"/>
              </w:rPr>
            </w:pPr>
            <w:r w:rsidRPr="00D41179">
              <w:rPr>
                <w:rFonts w:ascii="Arial Narrow" w:eastAsia="Calibri" w:hAnsi="Arial Narrow" w:cs="Calibri"/>
                <w:color w:val="000000"/>
                <w:sz w:val="20"/>
                <w:szCs w:val="20"/>
              </w:rPr>
              <w:t>10</w:t>
            </w:r>
          </w:p>
        </w:tc>
        <w:tc>
          <w:tcPr>
            <w:tcW w:w="486" w:type="pct"/>
            <w:shd w:val="clear" w:color="auto" w:fill="DAEEF3" w:themeFill="accent5" w:themeFillTint="33"/>
            <w:noWrap/>
            <w:vAlign w:val="center"/>
            <w:hideMark/>
          </w:tcPr>
          <w:p w14:paraId="1FD46B11" w14:textId="77777777" w:rsidR="00224E1A" w:rsidRPr="00D41179" w:rsidRDefault="00224E1A">
            <w:pPr>
              <w:keepNext/>
              <w:jc w:val="center"/>
              <w:rPr>
                <w:rFonts w:ascii="Arial Narrow" w:hAnsi="Arial Narrow" w:cs="Calibri"/>
                <w:color w:val="000000"/>
                <w:sz w:val="20"/>
                <w:szCs w:val="20"/>
              </w:rPr>
            </w:pPr>
            <w:r w:rsidRPr="00D41179">
              <w:rPr>
                <w:rFonts w:ascii="Arial Narrow" w:eastAsia="Calibri" w:hAnsi="Arial Narrow" w:cs="Calibri"/>
                <w:color w:val="000000"/>
                <w:sz w:val="20"/>
                <w:szCs w:val="20"/>
              </w:rPr>
              <w:t>13,415.6</w:t>
            </w:r>
          </w:p>
        </w:tc>
        <w:tc>
          <w:tcPr>
            <w:tcW w:w="493" w:type="pct"/>
            <w:shd w:val="clear" w:color="auto" w:fill="DAEEF3" w:themeFill="accent5" w:themeFillTint="33"/>
            <w:noWrap/>
            <w:vAlign w:val="center"/>
            <w:hideMark/>
          </w:tcPr>
          <w:p w14:paraId="331C2CBD" w14:textId="77777777" w:rsidR="00224E1A" w:rsidRPr="00D41179" w:rsidRDefault="00224E1A">
            <w:pPr>
              <w:keepNext/>
              <w:jc w:val="center"/>
              <w:rPr>
                <w:rFonts w:ascii="Arial Narrow" w:hAnsi="Arial Narrow" w:cs="Calibri"/>
                <w:color w:val="000000"/>
                <w:sz w:val="20"/>
                <w:szCs w:val="20"/>
              </w:rPr>
            </w:pPr>
            <w:r w:rsidRPr="00D41179">
              <w:rPr>
                <w:rFonts w:ascii="Arial Narrow" w:eastAsia="Calibri" w:hAnsi="Arial Narrow" w:cs="Calibri"/>
                <w:color w:val="000000"/>
                <w:sz w:val="20"/>
                <w:szCs w:val="20"/>
              </w:rPr>
              <w:t>0.7</w:t>
            </w:r>
          </w:p>
        </w:tc>
        <w:tc>
          <w:tcPr>
            <w:tcW w:w="364" w:type="pct"/>
            <w:shd w:val="clear" w:color="auto" w:fill="DAEEF3" w:themeFill="accent5" w:themeFillTint="33"/>
            <w:noWrap/>
            <w:vAlign w:val="center"/>
            <w:hideMark/>
          </w:tcPr>
          <w:p w14:paraId="5AED2606" w14:textId="77777777" w:rsidR="00224E1A" w:rsidRPr="00D41179" w:rsidRDefault="00224E1A">
            <w:pPr>
              <w:keepNext/>
              <w:jc w:val="center"/>
              <w:rPr>
                <w:rFonts w:ascii="Arial Narrow" w:hAnsi="Arial Narrow" w:cs="Calibri"/>
                <w:color w:val="000000"/>
                <w:sz w:val="20"/>
                <w:szCs w:val="20"/>
              </w:rPr>
            </w:pPr>
            <w:r w:rsidRPr="00D41179">
              <w:rPr>
                <w:rFonts w:ascii="Arial Narrow" w:eastAsia="Calibri" w:hAnsi="Arial Narrow" w:cs="Calibri"/>
                <w:color w:val="000000"/>
                <w:sz w:val="20"/>
                <w:szCs w:val="20"/>
              </w:rPr>
              <w:t>13,564</w:t>
            </w:r>
          </w:p>
        </w:tc>
        <w:tc>
          <w:tcPr>
            <w:tcW w:w="276" w:type="pct"/>
            <w:shd w:val="clear" w:color="auto" w:fill="DAEEF3" w:themeFill="accent5" w:themeFillTint="33"/>
            <w:noWrap/>
            <w:vAlign w:val="center"/>
            <w:hideMark/>
          </w:tcPr>
          <w:p w14:paraId="56D8AC70" w14:textId="77777777" w:rsidR="00224E1A" w:rsidRPr="00D41179" w:rsidRDefault="00224E1A">
            <w:pPr>
              <w:keepNext/>
              <w:jc w:val="center"/>
              <w:rPr>
                <w:rFonts w:ascii="Arial Narrow" w:hAnsi="Arial Narrow" w:cs="Calibri"/>
                <w:color w:val="000000"/>
                <w:sz w:val="20"/>
                <w:szCs w:val="20"/>
              </w:rPr>
            </w:pPr>
            <w:r w:rsidRPr="00D41179">
              <w:rPr>
                <w:rFonts w:ascii="Arial Narrow" w:eastAsia="Calibri" w:hAnsi="Arial Narrow" w:cs="Calibri"/>
                <w:color w:val="000000"/>
                <w:sz w:val="20"/>
                <w:szCs w:val="20"/>
              </w:rPr>
              <w:t>136</w:t>
            </w:r>
          </w:p>
        </w:tc>
        <w:tc>
          <w:tcPr>
            <w:tcW w:w="486" w:type="pct"/>
            <w:shd w:val="clear" w:color="auto" w:fill="DAEEF3" w:themeFill="accent5" w:themeFillTint="33"/>
            <w:noWrap/>
            <w:vAlign w:val="center"/>
            <w:hideMark/>
          </w:tcPr>
          <w:p w14:paraId="515C32FB" w14:textId="77777777" w:rsidR="00224E1A" w:rsidRPr="00D41179" w:rsidRDefault="00224E1A">
            <w:pPr>
              <w:keepNext/>
              <w:jc w:val="center"/>
              <w:rPr>
                <w:rFonts w:ascii="Arial Narrow" w:hAnsi="Arial Narrow" w:cs="Calibri"/>
                <w:color w:val="000000"/>
                <w:sz w:val="20"/>
                <w:szCs w:val="20"/>
              </w:rPr>
            </w:pPr>
            <w:r w:rsidRPr="00D41179">
              <w:rPr>
                <w:rFonts w:ascii="Arial Narrow" w:eastAsia="Calibri" w:hAnsi="Arial Narrow" w:cs="Calibri"/>
                <w:color w:val="000000"/>
                <w:sz w:val="20"/>
                <w:szCs w:val="20"/>
              </w:rPr>
              <w:t>13,332.5</w:t>
            </w:r>
          </w:p>
        </w:tc>
        <w:tc>
          <w:tcPr>
            <w:tcW w:w="550" w:type="pct"/>
            <w:shd w:val="clear" w:color="auto" w:fill="DAEEF3" w:themeFill="accent5" w:themeFillTint="33"/>
            <w:noWrap/>
            <w:vAlign w:val="center"/>
            <w:hideMark/>
          </w:tcPr>
          <w:p w14:paraId="591CAF68" w14:textId="77777777" w:rsidR="00224E1A" w:rsidRPr="00D41179" w:rsidRDefault="00224E1A">
            <w:pPr>
              <w:keepNext/>
              <w:jc w:val="center"/>
              <w:rPr>
                <w:rFonts w:ascii="Arial Narrow" w:hAnsi="Arial Narrow" w:cs="Calibri"/>
                <w:color w:val="000000"/>
                <w:sz w:val="20"/>
                <w:szCs w:val="20"/>
              </w:rPr>
            </w:pPr>
            <w:r w:rsidRPr="00D41179">
              <w:rPr>
                <w:rFonts w:ascii="Arial Narrow" w:eastAsia="Calibri" w:hAnsi="Arial Narrow" w:cs="Calibri"/>
                <w:color w:val="000000"/>
                <w:sz w:val="20"/>
                <w:szCs w:val="20"/>
              </w:rPr>
              <w:t>10.2</w:t>
            </w:r>
          </w:p>
        </w:tc>
        <w:tc>
          <w:tcPr>
            <w:tcW w:w="947" w:type="pct"/>
            <w:shd w:val="clear" w:color="auto" w:fill="DAEEF3" w:themeFill="accent5" w:themeFillTint="33"/>
            <w:noWrap/>
            <w:vAlign w:val="center"/>
            <w:hideMark/>
          </w:tcPr>
          <w:p w14:paraId="3C821C06" w14:textId="77777777" w:rsidR="00224E1A" w:rsidRPr="00D41179" w:rsidRDefault="00224E1A">
            <w:pPr>
              <w:keepNext/>
              <w:jc w:val="center"/>
              <w:rPr>
                <w:rFonts w:ascii="Arial Narrow" w:hAnsi="Arial Narrow" w:cs="Calibri"/>
                <w:color w:val="000000"/>
                <w:sz w:val="20"/>
                <w:szCs w:val="20"/>
              </w:rPr>
            </w:pPr>
            <w:r w:rsidRPr="00D41179">
              <w:rPr>
                <w:rFonts w:ascii="Arial Narrow" w:hAnsi="Arial Narrow" w:cs="Calibri"/>
                <w:color w:val="000000"/>
                <w:sz w:val="20"/>
                <w:szCs w:val="20"/>
              </w:rPr>
              <w:t>92.69 (86.15, 96.57)</w:t>
            </w:r>
          </w:p>
        </w:tc>
      </w:tr>
      <w:tr w:rsidR="00224E1A" w:rsidRPr="00D41179" w14:paraId="34B31A0A" w14:textId="77777777">
        <w:trPr>
          <w:trHeight w:val="170"/>
          <w:jc w:val="center"/>
        </w:trPr>
        <w:tc>
          <w:tcPr>
            <w:tcW w:w="235" w:type="pct"/>
            <w:vMerge/>
            <w:vAlign w:val="center"/>
            <w:hideMark/>
          </w:tcPr>
          <w:p w14:paraId="6AB737A5" w14:textId="77777777" w:rsidR="00224E1A" w:rsidRPr="00D41179" w:rsidRDefault="00224E1A">
            <w:pPr>
              <w:keepNext/>
              <w:jc w:val="left"/>
              <w:rPr>
                <w:rFonts w:ascii="Arial Narrow" w:hAnsi="Arial Narrow" w:cs="Calibri"/>
                <w:b/>
                <w:bCs/>
                <w:color w:val="000000"/>
                <w:sz w:val="20"/>
                <w:szCs w:val="20"/>
              </w:rPr>
            </w:pPr>
          </w:p>
        </w:tc>
        <w:tc>
          <w:tcPr>
            <w:tcW w:w="397" w:type="pct"/>
            <w:noWrap/>
            <w:vAlign w:val="center"/>
            <w:hideMark/>
          </w:tcPr>
          <w:p w14:paraId="11DEB572" w14:textId="77777777" w:rsidR="00224E1A" w:rsidRPr="00D41179" w:rsidRDefault="00224E1A">
            <w:pPr>
              <w:keepNext/>
              <w:jc w:val="center"/>
              <w:rPr>
                <w:rFonts w:ascii="Arial Narrow" w:hAnsi="Arial Narrow" w:cs="Calibri"/>
                <w:color w:val="000000"/>
                <w:sz w:val="20"/>
                <w:szCs w:val="20"/>
              </w:rPr>
            </w:pPr>
            <w:r w:rsidRPr="00D41179">
              <w:rPr>
                <w:rFonts w:ascii="Arial Narrow" w:hAnsi="Arial Narrow" w:cs="Calibri"/>
                <w:color w:val="000000"/>
                <w:sz w:val="20"/>
                <w:szCs w:val="20"/>
              </w:rPr>
              <w:t>50-59</w:t>
            </w:r>
          </w:p>
        </w:tc>
        <w:tc>
          <w:tcPr>
            <w:tcW w:w="488" w:type="pct"/>
            <w:noWrap/>
            <w:vAlign w:val="center"/>
            <w:hideMark/>
          </w:tcPr>
          <w:p w14:paraId="27E39D99" w14:textId="77777777" w:rsidR="00224E1A" w:rsidRPr="00D41179" w:rsidRDefault="00224E1A">
            <w:pPr>
              <w:keepNext/>
              <w:jc w:val="center"/>
              <w:rPr>
                <w:rFonts w:ascii="Arial Narrow" w:hAnsi="Arial Narrow" w:cs="Calibri"/>
                <w:color w:val="000000"/>
                <w:sz w:val="20"/>
                <w:szCs w:val="20"/>
              </w:rPr>
            </w:pPr>
            <w:r w:rsidRPr="00D41179">
              <w:rPr>
                <w:rFonts w:ascii="Arial Narrow" w:eastAsia="Calibri" w:hAnsi="Arial Narrow" w:cs="Calibri"/>
                <w:color w:val="000000"/>
                <w:sz w:val="20"/>
                <w:szCs w:val="20"/>
              </w:rPr>
              <w:t>3,421</w:t>
            </w:r>
          </w:p>
        </w:tc>
        <w:tc>
          <w:tcPr>
            <w:tcW w:w="277" w:type="pct"/>
            <w:noWrap/>
            <w:vAlign w:val="center"/>
            <w:hideMark/>
          </w:tcPr>
          <w:p w14:paraId="6221BF7C" w14:textId="77777777" w:rsidR="00224E1A" w:rsidRPr="00D41179" w:rsidRDefault="00224E1A">
            <w:pPr>
              <w:keepNext/>
              <w:jc w:val="center"/>
              <w:rPr>
                <w:rFonts w:ascii="Arial Narrow" w:hAnsi="Arial Narrow" w:cs="Calibri"/>
                <w:color w:val="000000"/>
                <w:sz w:val="20"/>
                <w:szCs w:val="20"/>
              </w:rPr>
            </w:pPr>
            <w:r w:rsidRPr="00D41179">
              <w:rPr>
                <w:rFonts w:ascii="Arial Narrow" w:eastAsia="Calibri" w:hAnsi="Arial Narrow" w:cs="Calibri"/>
                <w:color w:val="000000"/>
                <w:sz w:val="20"/>
                <w:szCs w:val="20"/>
              </w:rPr>
              <w:t>2</w:t>
            </w:r>
          </w:p>
        </w:tc>
        <w:tc>
          <w:tcPr>
            <w:tcW w:w="486" w:type="pct"/>
            <w:noWrap/>
            <w:vAlign w:val="center"/>
            <w:hideMark/>
          </w:tcPr>
          <w:p w14:paraId="43BBEE22" w14:textId="77777777" w:rsidR="00224E1A" w:rsidRPr="00D41179" w:rsidRDefault="00224E1A">
            <w:pPr>
              <w:keepNext/>
              <w:jc w:val="center"/>
              <w:rPr>
                <w:rFonts w:ascii="Arial Narrow" w:hAnsi="Arial Narrow" w:cs="Calibri"/>
                <w:color w:val="000000"/>
                <w:sz w:val="20"/>
                <w:szCs w:val="20"/>
              </w:rPr>
            </w:pPr>
            <w:r w:rsidRPr="00D41179">
              <w:rPr>
                <w:rFonts w:ascii="Arial Narrow" w:eastAsia="Calibri" w:hAnsi="Arial Narrow" w:cs="Calibri"/>
                <w:color w:val="000000"/>
                <w:sz w:val="20"/>
                <w:szCs w:val="20"/>
              </w:rPr>
              <w:t>3,400.0</w:t>
            </w:r>
          </w:p>
        </w:tc>
        <w:tc>
          <w:tcPr>
            <w:tcW w:w="493" w:type="pct"/>
            <w:noWrap/>
            <w:vAlign w:val="center"/>
            <w:hideMark/>
          </w:tcPr>
          <w:p w14:paraId="1BAB7262" w14:textId="77777777" w:rsidR="00224E1A" w:rsidRPr="00D41179" w:rsidRDefault="00224E1A">
            <w:pPr>
              <w:keepNext/>
              <w:jc w:val="center"/>
              <w:rPr>
                <w:rFonts w:ascii="Arial Narrow" w:hAnsi="Arial Narrow" w:cs="Calibri"/>
                <w:color w:val="000000"/>
                <w:sz w:val="20"/>
                <w:szCs w:val="20"/>
              </w:rPr>
            </w:pPr>
            <w:r w:rsidRPr="00D41179">
              <w:rPr>
                <w:rFonts w:ascii="Arial Narrow" w:eastAsia="Calibri" w:hAnsi="Arial Narrow" w:cs="Calibri"/>
                <w:color w:val="000000"/>
                <w:sz w:val="20"/>
                <w:szCs w:val="20"/>
              </w:rPr>
              <w:t>0.6</w:t>
            </w:r>
          </w:p>
        </w:tc>
        <w:tc>
          <w:tcPr>
            <w:tcW w:w="364" w:type="pct"/>
            <w:noWrap/>
            <w:vAlign w:val="center"/>
            <w:hideMark/>
          </w:tcPr>
          <w:p w14:paraId="1B4FDFE3" w14:textId="77777777" w:rsidR="00224E1A" w:rsidRPr="00D41179" w:rsidRDefault="00224E1A">
            <w:pPr>
              <w:keepNext/>
              <w:jc w:val="center"/>
              <w:rPr>
                <w:rFonts w:ascii="Arial Narrow" w:hAnsi="Arial Narrow" w:cs="Calibri"/>
                <w:color w:val="000000"/>
                <w:sz w:val="20"/>
                <w:szCs w:val="20"/>
              </w:rPr>
            </w:pPr>
            <w:r w:rsidRPr="00D41179">
              <w:rPr>
                <w:rFonts w:ascii="Arial Narrow" w:eastAsia="Calibri" w:hAnsi="Arial Narrow" w:cs="Calibri"/>
                <w:color w:val="000000"/>
                <w:sz w:val="20"/>
                <w:szCs w:val="20"/>
              </w:rPr>
              <w:t>3,427</w:t>
            </w:r>
          </w:p>
        </w:tc>
        <w:tc>
          <w:tcPr>
            <w:tcW w:w="276" w:type="pct"/>
            <w:noWrap/>
            <w:vAlign w:val="center"/>
            <w:hideMark/>
          </w:tcPr>
          <w:p w14:paraId="624CC97A" w14:textId="77777777" w:rsidR="00224E1A" w:rsidRPr="00D41179" w:rsidRDefault="00224E1A">
            <w:pPr>
              <w:keepNext/>
              <w:jc w:val="center"/>
              <w:rPr>
                <w:rFonts w:ascii="Arial Narrow" w:hAnsi="Arial Narrow" w:cs="Calibri"/>
                <w:color w:val="000000"/>
                <w:sz w:val="20"/>
                <w:szCs w:val="20"/>
              </w:rPr>
            </w:pPr>
            <w:r w:rsidRPr="00D41179">
              <w:rPr>
                <w:rFonts w:ascii="Arial Narrow" w:eastAsia="Calibri" w:hAnsi="Arial Narrow" w:cs="Calibri"/>
                <w:color w:val="000000"/>
                <w:sz w:val="20"/>
                <w:szCs w:val="20"/>
              </w:rPr>
              <w:t>27</w:t>
            </w:r>
          </w:p>
        </w:tc>
        <w:tc>
          <w:tcPr>
            <w:tcW w:w="486" w:type="pct"/>
            <w:noWrap/>
            <w:vAlign w:val="center"/>
            <w:hideMark/>
          </w:tcPr>
          <w:p w14:paraId="36DA2822" w14:textId="77777777" w:rsidR="00224E1A" w:rsidRPr="00D41179" w:rsidRDefault="00224E1A">
            <w:pPr>
              <w:keepNext/>
              <w:jc w:val="center"/>
              <w:rPr>
                <w:rFonts w:ascii="Arial Narrow" w:hAnsi="Arial Narrow" w:cs="Calibri"/>
                <w:color w:val="000000"/>
                <w:sz w:val="20"/>
                <w:szCs w:val="20"/>
              </w:rPr>
            </w:pPr>
            <w:r w:rsidRPr="00D41179">
              <w:rPr>
                <w:rFonts w:ascii="Arial Narrow" w:eastAsia="Calibri" w:hAnsi="Arial Narrow" w:cs="Calibri"/>
                <w:color w:val="000000"/>
                <w:sz w:val="20"/>
                <w:szCs w:val="20"/>
              </w:rPr>
              <w:t>3,385.0</w:t>
            </w:r>
          </w:p>
        </w:tc>
        <w:tc>
          <w:tcPr>
            <w:tcW w:w="550" w:type="pct"/>
            <w:noWrap/>
            <w:vAlign w:val="center"/>
            <w:hideMark/>
          </w:tcPr>
          <w:p w14:paraId="6A427FE2" w14:textId="77777777" w:rsidR="00224E1A" w:rsidRPr="00D41179" w:rsidRDefault="00224E1A">
            <w:pPr>
              <w:keepNext/>
              <w:jc w:val="center"/>
              <w:rPr>
                <w:rFonts w:ascii="Arial Narrow" w:hAnsi="Arial Narrow" w:cs="Calibri"/>
                <w:color w:val="000000"/>
                <w:sz w:val="20"/>
                <w:szCs w:val="20"/>
              </w:rPr>
            </w:pPr>
            <w:r w:rsidRPr="00D41179">
              <w:rPr>
                <w:rFonts w:ascii="Arial Narrow" w:eastAsia="Calibri" w:hAnsi="Arial Narrow" w:cs="Calibri"/>
                <w:color w:val="000000"/>
                <w:sz w:val="20"/>
                <w:szCs w:val="20"/>
              </w:rPr>
              <w:t>8.0</w:t>
            </w:r>
          </w:p>
        </w:tc>
        <w:tc>
          <w:tcPr>
            <w:tcW w:w="947" w:type="pct"/>
            <w:noWrap/>
            <w:vAlign w:val="center"/>
            <w:hideMark/>
          </w:tcPr>
          <w:p w14:paraId="1430F1A6" w14:textId="77777777" w:rsidR="00224E1A" w:rsidRPr="00D41179" w:rsidRDefault="00224E1A">
            <w:pPr>
              <w:keepNext/>
              <w:jc w:val="center"/>
              <w:rPr>
                <w:rFonts w:ascii="Arial Narrow" w:hAnsi="Arial Narrow" w:cs="Calibri"/>
                <w:color w:val="000000"/>
                <w:sz w:val="20"/>
                <w:szCs w:val="20"/>
              </w:rPr>
            </w:pPr>
            <w:r w:rsidRPr="00D41179">
              <w:rPr>
                <w:rFonts w:ascii="Arial Narrow" w:hAnsi="Arial Narrow" w:cs="Calibri"/>
                <w:color w:val="000000"/>
                <w:sz w:val="20"/>
                <w:szCs w:val="20"/>
              </w:rPr>
              <w:t>92.66 (70.78, 99.15)</w:t>
            </w:r>
          </w:p>
        </w:tc>
      </w:tr>
      <w:tr w:rsidR="00224E1A" w:rsidRPr="00D41179" w14:paraId="0166BBBA" w14:textId="77777777">
        <w:trPr>
          <w:trHeight w:val="170"/>
          <w:jc w:val="center"/>
        </w:trPr>
        <w:tc>
          <w:tcPr>
            <w:tcW w:w="235" w:type="pct"/>
            <w:vMerge/>
            <w:vAlign w:val="center"/>
            <w:hideMark/>
          </w:tcPr>
          <w:p w14:paraId="55FAB5F7" w14:textId="77777777" w:rsidR="00224E1A" w:rsidRPr="00D41179" w:rsidRDefault="00224E1A">
            <w:pPr>
              <w:keepNext/>
              <w:jc w:val="left"/>
              <w:rPr>
                <w:rFonts w:ascii="Arial Narrow" w:hAnsi="Arial Narrow" w:cs="Calibri"/>
                <w:b/>
                <w:bCs/>
                <w:color w:val="000000"/>
                <w:sz w:val="20"/>
                <w:szCs w:val="20"/>
              </w:rPr>
            </w:pPr>
          </w:p>
        </w:tc>
        <w:tc>
          <w:tcPr>
            <w:tcW w:w="397" w:type="pct"/>
            <w:noWrap/>
            <w:vAlign w:val="center"/>
            <w:hideMark/>
          </w:tcPr>
          <w:p w14:paraId="0E23B7C0" w14:textId="77777777" w:rsidR="00224E1A" w:rsidRPr="00D41179" w:rsidRDefault="00224E1A">
            <w:pPr>
              <w:keepNext/>
              <w:jc w:val="center"/>
              <w:rPr>
                <w:rFonts w:ascii="Arial Narrow" w:hAnsi="Arial Narrow" w:cs="Calibri"/>
                <w:color w:val="000000"/>
                <w:sz w:val="20"/>
                <w:szCs w:val="20"/>
              </w:rPr>
            </w:pPr>
            <w:r w:rsidRPr="00D41179">
              <w:rPr>
                <w:rFonts w:ascii="Arial Narrow" w:hAnsi="Arial Narrow" w:cs="Calibri"/>
                <w:color w:val="000000"/>
                <w:sz w:val="20"/>
                <w:szCs w:val="20"/>
              </w:rPr>
              <w:t>60-69</w:t>
            </w:r>
          </w:p>
        </w:tc>
        <w:tc>
          <w:tcPr>
            <w:tcW w:w="488" w:type="pct"/>
            <w:noWrap/>
            <w:vAlign w:val="center"/>
            <w:hideMark/>
          </w:tcPr>
          <w:p w14:paraId="0B4CED43" w14:textId="77777777" w:rsidR="00224E1A" w:rsidRPr="00D41179" w:rsidRDefault="00224E1A">
            <w:pPr>
              <w:keepNext/>
              <w:jc w:val="center"/>
              <w:rPr>
                <w:rFonts w:ascii="Arial Narrow" w:hAnsi="Arial Narrow" w:cs="Calibri"/>
                <w:color w:val="000000"/>
                <w:sz w:val="20"/>
                <w:szCs w:val="20"/>
              </w:rPr>
            </w:pPr>
            <w:r w:rsidRPr="00D41179">
              <w:rPr>
                <w:rFonts w:ascii="Arial Narrow" w:eastAsia="Calibri" w:hAnsi="Arial Narrow" w:cs="Calibri"/>
                <w:color w:val="000000"/>
                <w:sz w:val="20"/>
                <w:szCs w:val="20"/>
              </w:rPr>
              <w:t>2,109</w:t>
            </w:r>
          </w:p>
        </w:tc>
        <w:tc>
          <w:tcPr>
            <w:tcW w:w="277" w:type="pct"/>
            <w:noWrap/>
            <w:vAlign w:val="center"/>
            <w:hideMark/>
          </w:tcPr>
          <w:p w14:paraId="2136D2C6" w14:textId="77777777" w:rsidR="00224E1A" w:rsidRPr="00D41179" w:rsidRDefault="00224E1A">
            <w:pPr>
              <w:keepNext/>
              <w:jc w:val="center"/>
              <w:rPr>
                <w:rFonts w:ascii="Arial Narrow" w:hAnsi="Arial Narrow" w:cs="Calibri"/>
                <w:color w:val="000000"/>
                <w:sz w:val="20"/>
                <w:szCs w:val="20"/>
              </w:rPr>
            </w:pPr>
            <w:r w:rsidRPr="00D41179">
              <w:rPr>
                <w:rFonts w:ascii="Arial Narrow" w:eastAsia="Calibri" w:hAnsi="Arial Narrow" w:cs="Calibri"/>
                <w:color w:val="000000"/>
                <w:sz w:val="20"/>
                <w:szCs w:val="20"/>
              </w:rPr>
              <w:t>1</w:t>
            </w:r>
          </w:p>
        </w:tc>
        <w:tc>
          <w:tcPr>
            <w:tcW w:w="486" w:type="pct"/>
            <w:noWrap/>
            <w:vAlign w:val="center"/>
            <w:hideMark/>
          </w:tcPr>
          <w:p w14:paraId="4F40A895" w14:textId="77777777" w:rsidR="00224E1A" w:rsidRPr="00D41179" w:rsidRDefault="00224E1A">
            <w:pPr>
              <w:keepNext/>
              <w:jc w:val="center"/>
              <w:rPr>
                <w:rFonts w:ascii="Arial Narrow" w:hAnsi="Arial Narrow" w:cs="Calibri"/>
                <w:color w:val="000000"/>
                <w:sz w:val="20"/>
                <w:szCs w:val="20"/>
              </w:rPr>
            </w:pPr>
            <w:r w:rsidRPr="00D41179">
              <w:rPr>
                <w:rFonts w:ascii="Arial Narrow" w:eastAsia="Calibri" w:hAnsi="Arial Narrow" w:cs="Calibri"/>
                <w:color w:val="000000"/>
                <w:sz w:val="20"/>
                <w:szCs w:val="20"/>
              </w:rPr>
              <w:t>2,098.8</w:t>
            </w:r>
          </w:p>
        </w:tc>
        <w:tc>
          <w:tcPr>
            <w:tcW w:w="493" w:type="pct"/>
            <w:noWrap/>
            <w:vAlign w:val="center"/>
            <w:hideMark/>
          </w:tcPr>
          <w:p w14:paraId="7E902DDF" w14:textId="77777777" w:rsidR="00224E1A" w:rsidRPr="00D41179" w:rsidRDefault="00224E1A">
            <w:pPr>
              <w:keepNext/>
              <w:jc w:val="center"/>
              <w:rPr>
                <w:rFonts w:ascii="Arial Narrow" w:hAnsi="Arial Narrow" w:cs="Calibri"/>
                <w:color w:val="000000"/>
                <w:sz w:val="20"/>
                <w:szCs w:val="20"/>
              </w:rPr>
            </w:pPr>
            <w:r w:rsidRPr="00D41179">
              <w:rPr>
                <w:rFonts w:ascii="Arial Narrow" w:eastAsia="Calibri" w:hAnsi="Arial Narrow" w:cs="Calibri"/>
                <w:color w:val="000000"/>
                <w:sz w:val="20"/>
                <w:szCs w:val="20"/>
              </w:rPr>
              <w:t>0.5</w:t>
            </w:r>
          </w:p>
        </w:tc>
        <w:tc>
          <w:tcPr>
            <w:tcW w:w="364" w:type="pct"/>
            <w:noWrap/>
            <w:vAlign w:val="center"/>
            <w:hideMark/>
          </w:tcPr>
          <w:p w14:paraId="7C3CCABB" w14:textId="77777777" w:rsidR="00224E1A" w:rsidRPr="00D41179" w:rsidRDefault="00224E1A">
            <w:pPr>
              <w:keepNext/>
              <w:jc w:val="center"/>
              <w:rPr>
                <w:rFonts w:ascii="Arial Narrow" w:hAnsi="Arial Narrow" w:cs="Calibri"/>
                <w:color w:val="000000"/>
                <w:sz w:val="20"/>
                <w:szCs w:val="20"/>
              </w:rPr>
            </w:pPr>
            <w:r w:rsidRPr="00D41179">
              <w:rPr>
                <w:rFonts w:ascii="Arial Narrow" w:eastAsia="Calibri" w:hAnsi="Arial Narrow" w:cs="Calibri"/>
                <w:color w:val="000000"/>
                <w:sz w:val="20"/>
                <w:szCs w:val="20"/>
              </w:rPr>
              <w:t>2,113</w:t>
            </w:r>
          </w:p>
        </w:tc>
        <w:tc>
          <w:tcPr>
            <w:tcW w:w="276" w:type="pct"/>
            <w:noWrap/>
            <w:vAlign w:val="center"/>
            <w:hideMark/>
          </w:tcPr>
          <w:p w14:paraId="433A588D" w14:textId="77777777" w:rsidR="00224E1A" w:rsidRPr="00D41179" w:rsidRDefault="00224E1A">
            <w:pPr>
              <w:keepNext/>
              <w:jc w:val="center"/>
              <w:rPr>
                <w:rFonts w:ascii="Arial Narrow" w:hAnsi="Arial Narrow" w:cs="Calibri"/>
                <w:color w:val="000000"/>
                <w:sz w:val="20"/>
                <w:szCs w:val="20"/>
              </w:rPr>
            </w:pPr>
            <w:r w:rsidRPr="00D41179">
              <w:rPr>
                <w:rFonts w:ascii="Arial Narrow" w:eastAsia="Calibri" w:hAnsi="Arial Narrow" w:cs="Calibri"/>
                <w:color w:val="000000"/>
                <w:sz w:val="20"/>
                <w:szCs w:val="20"/>
              </w:rPr>
              <w:t>22</w:t>
            </w:r>
          </w:p>
        </w:tc>
        <w:tc>
          <w:tcPr>
            <w:tcW w:w="486" w:type="pct"/>
            <w:noWrap/>
            <w:vAlign w:val="center"/>
            <w:hideMark/>
          </w:tcPr>
          <w:p w14:paraId="3063F35D" w14:textId="77777777" w:rsidR="00224E1A" w:rsidRPr="00D41179" w:rsidRDefault="00224E1A">
            <w:pPr>
              <w:keepNext/>
              <w:jc w:val="center"/>
              <w:rPr>
                <w:rFonts w:ascii="Arial Narrow" w:hAnsi="Arial Narrow" w:cs="Calibri"/>
                <w:color w:val="000000"/>
                <w:sz w:val="20"/>
                <w:szCs w:val="20"/>
              </w:rPr>
            </w:pPr>
            <w:r w:rsidRPr="00D41179">
              <w:rPr>
                <w:rFonts w:ascii="Arial Narrow" w:eastAsia="Calibri" w:hAnsi="Arial Narrow" w:cs="Calibri"/>
                <w:color w:val="000000"/>
                <w:sz w:val="20"/>
                <w:szCs w:val="20"/>
              </w:rPr>
              <w:t>2,087.0</w:t>
            </w:r>
          </w:p>
        </w:tc>
        <w:tc>
          <w:tcPr>
            <w:tcW w:w="550" w:type="pct"/>
            <w:noWrap/>
            <w:vAlign w:val="center"/>
            <w:hideMark/>
          </w:tcPr>
          <w:p w14:paraId="057BFDF9" w14:textId="77777777" w:rsidR="00224E1A" w:rsidRPr="00D41179" w:rsidRDefault="00224E1A">
            <w:pPr>
              <w:keepNext/>
              <w:jc w:val="center"/>
              <w:rPr>
                <w:rFonts w:ascii="Arial Narrow" w:hAnsi="Arial Narrow" w:cs="Calibri"/>
                <w:color w:val="000000"/>
                <w:sz w:val="20"/>
                <w:szCs w:val="20"/>
              </w:rPr>
            </w:pPr>
            <w:r w:rsidRPr="00D41179">
              <w:rPr>
                <w:rFonts w:ascii="Arial Narrow" w:eastAsia="Calibri" w:hAnsi="Arial Narrow" w:cs="Calibri"/>
                <w:color w:val="000000"/>
                <w:sz w:val="20"/>
                <w:szCs w:val="20"/>
              </w:rPr>
              <w:t>10.5</w:t>
            </w:r>
          </w:p>
        </w:tc>
        <w:tc>
          <w:tcPr>
            <w:tcW w:w="947" w:type="pct"/>
            <w:noWrap/>
            <w:vAlign w:val="center"/>
            <w:hideMark/>
          </w:tcPr>
          <w:p w14:paraId="00CADC01" w14:textId="77777777" w:rsidR="00224E1A" w:rsidRPr="00D41179" w:rsidRDefault="00224E1A">
            <w:pPr>
              <w:keepNext/>
              <w:jc w:val="center"/>
              <w:rPr>
                <w:rFonts w:ascii="Arial Narrow" w:hAnsi="Arial Narrow" w:cs="Calibri"/>
                <w:color w:val="000000"/>
                <w:sz w:val="20"/>
                <w:szCs w:val="20"/>
              </w:rPr>
            </w:pPr>
            <w:r w:rsidRPr="00D41179">
              <w:rPr>
                <w:rFonts w:ascii="Arial Narrow" w:hAnsi="Arial Narrow" w:cs="Calibri"/>
                <w:color w:val="000000"/>
                <w:sz w:val="20"/>
                <w:szCs w:val="20"/>
              </w:rPr>
              <w:t>95.49 (72.11, 99.89)</w:t>
            </w:r>
          </w:p>
        </w:tc>
      </w:tr>
      <w:tr w:rsidR="00224E1A" w:rsidRPr="00D41179" w14:paraId="3F74A0D6" w14:textId="77777777">
        <w:trPr>
          <w:trHeight w:val="170"/>
          <w:jc w:val="center"/>
        </w:trPr>
        <w:tc>
          <w:tcPr>
            <w:tcW w:w="235" w:type="pct"/>
            <w:vMerge/>
            <w:vAlign w:val="center"/>
            <w:hideMark/>
          </w:tcPr>
          <w:p w14:paraId="5D3C8C3C" w14:textId="77777777" w:rsidR="00224E1A" w:rsidRPr="00D41179" w:rsidRDefault="00224E1A">
            <w:pPr>
              <w:keepNext/>
              <w:jc w:val="left"/>
              <w:rPr>
                <w:rFonts w:ascii="Arial Narrow" w:hAnsi="Arial Narrow" w:cs="Calibri"/>
                <w:b/>
                <w:bCs/>
                <w:color w:val="000000"/>
                <w:sz w:val="20"/>
                <w:szCs w:val="20"/>
              </w:rPr>
            </w:pPr>
          </w:p>
        </w:tc>
        <w:tc>
          <w:tcPr>
            <w:tcW w:w="397" w:type="pct"/>
            <w:noWrap/>
            <w:vAlign w:val="center"/>
            <w:hideMark/>
          </w:tcPr>
          <w:p w14:paraId="76DCD1F0" w14:textId="77777777" w:rsidR="00224E1A" w:rsidRPr="00D41179" w:rsidRDefault="00224E1A">
            <w:pPr>
              <w:keepNext/>
              <w:jc w:val="center"/>
              <w:rPr>
                <w:rFonts w:ascii="Arial Narrow" w:hAnsi="Arial Narrow" w:cs="Calibri"/>
                <w:color w:val="000000"/>
                <w:sz w:val="20"/>
                <w:szCs w:val="20"/>
              </w:rPr>
            </w:pPr>
            <w:r w:rsidRPr="00D41179">
              <w:rPr>
                <w:rFonts w:ascii="Arial Narrow" w:hAnsi="Arial Narrow" w:cs="Calibri"/>
                <w:color w:val="000000"/>
                <w:sz w:val="20"/>
                <w:szCs w:val="20"/>
              </w:rPr>
              <w:t>≥70</w:t>
            </w:r>
          </w:p>
        </w:tc>
        <w:tc>
          <w:tcPr>
            <w:tcW w:w="488" w:type="pct"/>
            <w:noWrap/>
            <w:vAlign w:val="center"/>
            <w:hideMark/>
          </w:tcPr>
          <w:p w14:paraId="106EEA9D" w14:textId="77777777" w:rsidR="00224E1A" w:rsidRPr="00D41179" w:rsidRDefault="00224E1A">
            <w:pPr>
              <w:keepNext/>
              <w:jc w:val="center"/>
              <w:rPr>
                <w:rFonts w:ascii="Arial Narrow" w:hAnsi="Arial Narrow" w:cs="Calibri"/>
                <w:color w:val="000000"/>
                <w:sz w:val="20"/>
                <w:szCs w:val="20"/>
              </w:rPr>
            </w:pPr>
            <w:r w:rsidRPr="00D41179">
              <w:rPr>
                <w:rFonts w:ascii="Arial Narrow" w:eastAsia="Calibri" w:hAnsi="Arial Narrow" w:cs="Calibri"/>
                <w:color w:val="000000"/>
                <w:sz w:val="20"/>
                <w:szCs w:val="20"/>
              </w:rPr>
              <w:t>8,039</w:t>
            </w:r>
          </w:p>
        </w:tc>
        <w:tc>
          <w:tcPr>
            <w:tcW w:w="277" w:type="pct"/>
            <w:noWrap/>
            <w:vAlign w:val="center"/>
            <w:hideMark/>
          </w:tcPr>
          <w:p w14:paraId="0A2B376B" w14:textId="77777777" w:rsidR="00224E1A" w:rsidRPr="00D41179" w:rsidRDefault="00224E1A">
            <w:pPr>
              <w:keepNext/>
              <w:jc w:val="center"/>
              <w:rPr>
                <w:rFonts w:ascii="Arial Narrow" w:hAnsi="Arial Narrow" w:cs="Calibri"/>
                <w:color w:val="000000"/>
                <w:sz w:val="20"/>
                <w:szCs w:val="20"/>
              </w:rPr>
            </w:pPr>
            <w:r w:rsidRPr="00D41179">
              <w:rPr>
                <w:rFonts w:ascii="Arial Narrow" w:eastAsia="Calibri" w:hAnsi="Arial Narrow" w:cs="Calibri"/>
                <w:color w:val="000000"/>
                <w:sz w:val="20"/>
                <w:szCs w:val="20"/>
              </w:rPr>
              <w:t>7</w:t>
            </w:r>
          </w:p>
        </w:tc>
        <w:tc>
          <w:tcPr>
            <w:tcW w:w="486" w:type="pct"/>
            <w:noWrap/>
            <w:vAlign w:val="center"/>
            <w:hideMark/>
          </w:tcPr>
          <w:p w14:paraId="36F9C80F" w14:textId="77777777" w:rsidR="00224E1A" w:rsidRPr="00D41179" w:rsidRDefault="00224E1A">
            <w:pPr>
              <w:keepNext/>
              <w:jc w:val="center"/>
              <w:rPr>
                <w:rFonts w:ascii="Arial Narrow" w:hAnsi="Arial Narrow" w:cs="Calibri"/>
                <w:color w:val="000000"/>
                <w:sz w:val="20"/>
                <w:szCs w:val="20"/>
              </w:rPr>
            </w:pPr>
            <w:r w:rsidRPr="00D41179">
              <w:rPr>
                <w:rFonts w:ascii="Arial Narrow" w:eastAsia="Calibri" w:hAnsi="Arial Narrow" w:cs="Calibri"/>
                <w:color w:val="000000"/>
                <w:sz w:val="20"/>
                <w:szCs w:val="20"/>
              </w:rPr>
              <w:t>7,916.9</w:t>
            </w:r>
          </w:p>
        </w:tc>
        <w:tc>
          <w:tcPr>
            <w:tcW w:w="493" w:type="pct"/>
            <w:noWrap/>
            <w:vAlign w:val="center"/>
            <w:hideMark/>
          </w:tcPr>
          <w:p w14:paraId="277CA62B" w14:textId="77777777" w:rsidR="00224E1A" w:rsidRPr="00D41179" w:rsidRDefault="00224E1A">
            <w:pPr>
              <w:keepNext/>
              <w:jc w:val="center"/>
              <w:rPr>
                <w:rFonts w:ascii="Arial Narrow" w:hAnsi="Arial Narrow" w:cs="Calibri"/>
                <w:color w:val="000000"/>
                <w:sz w:val="20"/>
                <w:szCs w:val="20"/>
              </w:rPr>
            </w:pPr>
            <w:r w:rsidRPr="00D41179">
              <w:rPr>
                <w:rFonts w:ascii="Arial Narrow" w:eastAsia="Calibri" w:hAnsi="Arial Narrow" w:cs="Calibri"/>
                <w:color w:val="000000"/>
                <w:sz w:val="20"/>
                <w:szCs w:val="20"/>
              </w:rPr>
              <w:t>0.9</w:t>
            </w:r>
          </w:p>
        </w:tc>
        <w:tc>
          <w:tcPr>
            <w:tcW w:w="364" w:type="pct"/>
            <w:noWrap/>
            <w:vAlign w:val="center"/>
            <w:hideMark/>
          </w:tcPr>
          <w:p w14:paraId="73FF745E" w14:textId="77777777" w:rsidR="00224E1A" w:rsidRPr="00D41179" w:rsidRDefault="00224E1A">
            <w:pPr>
              <w:keepNext/>
              <w:jc w:val="center"/>
              <w:rPr>
                <w:rFonts w:ascii="Arial Narrow" w:hAnsi="Arial Narrow" w:cs="Calibri"/>
                <w:color w:val="000000"/>
                <w:sz w:val="20"/>
                <w:szCs w:val="20"/>
              </w:rPr>
            </w:pPr>
            <w:r w:rsidRPr="00D41179">
              <w:rPr>
                <w:rFonts w:ascii="Arial Narrow" w:eastAsia="Calibri" w:hAnsi="Arial Narrow" w:cs="Calibri"/>
                <w:color w:val="000000"/>
                <w:sz w:val="20"/>
                <w:szCs w:val="20"/>
              </w:rPr>
              <w:t>8,024</w:t>
            </w:r>
          </w:p>
        </w:tc>
        <w:tc>
          <w:tcPr>
            <w:tcW w:w="276" w:type="pct"/>
            <w:noWrap/>
            <w:vAlign w:val="center"/>
            <w:hideMark/>
          </w:tcPr>
          <w:p w14:paraId="2A20358F" w14:textId="77777777" w:rsidR="00224E1A" w:rsidRPr="00D41179" w:rsidRDefault="00224E1A">
            <w:pPr>
              <w:keepNext/>
              <w:jc w:val="center"/>
              <w:rPr>
                <w:rFonts w:ascii="Arial Narrow" w:hAnsi="Arial Narrow" w:cs="Calibri"/>
                <w:color w:val="000000"/>
                <w:sz w:val="20"/>
                <w:szCs w:val="20"/>
              </w:rPr>
            </w:pPr>
            <w:r w:rsidRPr="00D41179">
              <w:rPr>
                <w:rFonts w:ascii="Arial Narrow" w:eastAsia="Calibri" w:hAnsi="Arial Narrow" w:cs="Calibri"/>
                <w:color w:val="000000"/>
                <w:sz w:val="20"/>
                <w:szCs w:val="20"/>
              </w:rPr>
              <w:t>87</w:t>
            </w:r>
          </w:p>
        </w:tc>
        <w:tc>
          <w:tcPr>
            <w:tcW w:w="486" w:type="pct"/>
            <w:noWrap/>
            <w:vAlign w:val="center"/>
            <w:hideMark/>
          </w:tcPr>
          <w:p w14:paraId="30B368B8" w14:textId="77777777" w:rsidR="00224E1A" w:rsidRPr="00D41179" w:rsidRDefault="00224E1A">
            <w:pPr>
              <w:keepNext/>
              <w:jc w:val="center"/>
              <w:rPr>
                <w:rFonts w:ascii="Arial Narrow" w:hAnsi="Arial Narrow" w:cs="Calibri"/>
                <w:color w:val="000000"/>
                <w:sz w:val="20"/>
                <w:szCs w:val="20"/>
              </w:rPr>
            </w:pPr>
            <w:r w:rsidRPr="00D41179">
              <w:rPr>
                <w:rFonts w:ascii="Arial Narrow" w:eastAsia="Calibri" w:hAnsi="Arial Narrow" w:cs="Calibri"/>
                <w:color w:val="000000"/>
                <w:sz w:val="20"/>
                <w:szCs w:val="20"/>
              </w:rPr>
              <w:t>7,860.5</w:t>
            </w:r>
          </w:p>
        </w:tc>
        <w:tc>
          <w:tcPr>
            <w:tcW w:w="550" w:type="pct"/>
            <w:noWrap/>
            <w:vAlign w:val="center"/>
            <w:hideMark/>
          </w:tcPr>
          <w:p w14:paraId="6DC53667" w14:textId="77777777" w:rsidR="00224E1A" w:rsidRPr="00D41179" w:rsidRDefault="00224E1A">
            <w:pPr>
              <w:keepNext/>
              <w:jc w:val="center"/>
              <w:rPr>
                <w:rFonts w:ascii="Arial Narrow" w:hAnsi="Arial Narrow" w:cs="Calibri"/>
                <w:color w:val="000000"/>
                <w:sz w:val="20"/>
                <w:szCs w:val="20"/>
              </w:rPr>
            </w:pPr>
            <w:r w:rsidRPr="00D41179">
              <w:rPr>
                <w:rFonts w:ascii="Arial Narrow" w:eastAsia="Calibri" w:hAnsi="Arial Narrow" w:cs="Calibri"/>
                <w:color w:val="000000"/>
                <w:sz w:val="20"/>
                <w:szCs w:val="20"/>
              </w:rPr>
              <w:t>11.1</w:t>
            </w:r>
          </w:p>
        </w:tc>
        <w:tc>
          <w:tcPr>
            <w:tcW w:w="947" w:type="pct"/>
            <w:noWrap/>
            <w:vAlign w:val="center"/>
            <w:hideMark/>
          </w:tcPr>
          <w:p w14:paraId="41C50C46" w14:textId="77777777" w:rsidR="00224E1A" w:rsidRPr="00D41179" w:rsidRDefault="00224E1A">
            <w:pPr>
              <w:keepNext/>
              <w:jc w:val="center"/>
              <w:rPr>
                <w:rFonts w:ascii="Arial Narrow" w:hAnsi="Arial Narrow" w:cs="Calibri"/>
                <w:color w:val="000000"/>
                <w:sz w:val="20"/>
                <w:szCs w:val="20"/>
              </w:rPr>
            </w:pPr>
            <w:r w:rsidRPr="00D41179">
              <w:rPr>
                <w:rFonts w:ascii="Arial Narrow" w:hAnsi="Arial Narrow" w:cs="Calibri"/>
                <w:color w:val="000000"/>
                <w:sz w:val="20"/>
                <w:szCs w:val="20"/>
              </w:rPr>
              <w:t>92.01 (82.82, 96.88)</w:t>
            </w:r>
          </w:p>
        </w:tc>
      </w:tr>
      <w:tr w:rsidR="00224E1A" w:rsidRPr="00D41179" w14:paraId="252806FA" w14:textId="77777777">
        <w:trPr>
          <w:trHeight w:val="170"/>
          <w:jc w:val="center"/>
        </w:trPr>
        <w:tc>
          <w:tcPr>
            <w:tcW w:w="235" w:type="pct"/>
            <w:vMerge w:val="restart"/>
            <w:noWrap/>
            <w:vAlign w:val="center"/>
            <w:hideMark/>
          </w:tcPr>
          <w:p w14:paraId="784B0F8D" w14:textId="77777777" w:rsidR="00224E1A" w:rsidRPr="00D41179" w:rsidRDefault="00224E1A">
            <w:pPr>
              <w:keepNext/>
              <w:jc w:val="left"/>
              <w:rPr>
                <w:rFonts w:ascii="Arial Narrow" w:hAnsi="Arial Narrow" w:cs="Calibri"/>
                <w:b/>
                <w:bCs/>
                <w:color w:val="000000"/>
                <w:sz w:val="20"/>
                <w:szCs w:val="20"/>
              </w:rPr>
            </w:pPr>
            <w:r w:rsidRPr="00D41179">
              <w:rPr>
                <w:rFonts w:ascii="Arial Narrow" w:hAnsi="Arial Narrow" w:cs="Calibri"/>
                <w:b/>
                <w:bCs/>
                <w:color w:val="000000"/>
                <w:sz w:val="20"/>
                <w:szCs w:val="20"/>
              </w:rPr>
              <w:t>Y 3</w:t>
            </w:r>
          </w:p>
        </w:tc>
        <w:tc>
          <w:tcPr>
            <w:tcW w:w="397" w:type="pct"/>
            <w:shd w:val="clear" w:color="auto" w:fill="DAEEF3" w:themeFill="accent5" w:themeFillTint="33"/>
            <w:noWrap/>
            <w:vAlign w:val="center"/>
            <w:hideMark/>
          </w:tcPr>
          <w:p w14:paraId="72A07DF2" w14:textId="77777777" w:rsidR="00224E1A" w:rsidRPr="00D41179" w:rsidRDefault="00224E1A">
            <w:pPr>
              <w:keepNext/>
              <w:jc w:val="center"/>
              <w:rPr>
                <w:rFonts w:ascii="Arial Narrow" w:hAnsi="Arial Narrow" w:cs="Calibri"/>
                <w:color w:val="000000"/>
                <w:sz w:val="20"/>
                <w:szCs w:val="20"/>
              </w:rPr>
            </w:pPr>
            <w:r w:rsidRPr="00D41179">
              <w:rPr>
                <w:rFonts w:ascii="Arial Narrow" w:hAnsi="Arial Narrow" w:cs="Calibri"/>
                <w:color w:val="000000"/>
                <w:sz w:val="20"/>
                <w:szCs w:val="20"/>
              </w:rPr>
              <w:t>Overall</w:t>
            </w:r>
          </w:p>
        </w:tc>
        <w:tc>
          <w:tcPr>
            <w:tcW w:w="488" w:type="pct"/>
            <w:shd w:val="clear" w:color="auto" w:fill="DAEEF3" w:themeFill="accent5" w:themeFillTint="33"/>
            <w:noWrap/>
            <w:vAlign w:val="center"/>
            <w:hideMark/>
          </w:tcPr>
          <w:p w14:paraId="120C9225" w14:textId="77777777" w:rsidR="00224E1A" w:rsidRPr="00D41179" w:rsidRDefault="00224E1A">
            <w:pPr>
              <w:keepNext/>
              <w:jc w:val="center"/>
              <w:rPr>
                <w:rFonts w:ascii="Arial Narrow" w:hAnsi="Arial Narrow" w:cs="Calibri"/>
                <w:color w:val="000000"/>
                <w:sz w:val="20"/>
                <w:szCs w:val="20"/>
              </w:rPr>
            </w:pPr>
            <w:r w:rsidRPr="00D41179">
              <w:rPr>
                <w:rFonts w:ascii="Arial Narrow" w:eastAsia="Calibri" w:hAnsi="Arial Narrow" w:cs="Calibri"/>
                <w:color w:val="000000"/>
                <w:sz w:val="20"/>
                <w:szCs w:val="20"/>
              </w:rPr>
              <w:t>13,185</w:t>
            </w:r>
          </w:p>
        </w:tc>
        <w:tc>
          <w:tcPr>
            <w:tcW w:w="277" w:type="pct"/>
            <w:shd w:val="clear" w:color="auto" w:fill="DAEEF3" w:themeFill="accent5" w:themeFillTint="33"/>
            <w:noWrap/>
            <w:vAlign w:val="center"/>
            <w:hideMark/>
          </w:tcPr>
          <w:p w14:paraId="074F5835" w14:textId="77777777" w:rsidR="00224E1A" w:rsidRPr="00D41179" w:rsidRDefault="00224E1A">
            <w:pPr>
              <w:keepNext/>
              <w:jc w:val="center"/>
              <w:rPr>
                <w:rFonts w:ascii="Arial Narrow" w:hAnsi="Arial Narrow" w:cs="Calibri"/>
                <w:color w:val="000000"/>
                <w:sz w:val="20"/>
                <w:szCs w:val="20"/>
              </w:rPr>
            </w:pPr>
            <w:r w:rsidRPr="00D41179">
              <w:rPr>
                <w:rFonts w:ascii="Arial Narrow" w:eastAsia="Calibri" w:hAnsi="Arial Narrow" w:cs="Calibri"/>
                <w:color w:val="000000"/>
                <w:sz w:val="20"/>
                <w:szCs w:val="20"/>
              </w:rPr>
              <w:t>9</w:t>
            </w:r>
          </w:p>
        </w:tc>
        <w:tc>
          <w:tcPr>
            <w:tcW w:w="486" w:type="pct"/>
            <w:shd w:val="clear" w:color="auto" w:fill="DAEEF3" w:themeFill="accent5" w:themeFillTint="33"/>
            <w:noWrap/>
            <w:vAlign w:val="center"/>
            <w:hideMark/>
          </w:tcPr>
          <w:p w14:paraId="09F796AA" w14:textId="77777777" w:rsidR="00224E1A" w:rsidRPr="00D41179" w:rsidRDefault="00224E1A">
            <w:pPr>
              <w:keepNext/>
              <w:jc w:val="center"/>
              <w:rPr>
                <w:rFonts w:ascii="Arial Narrow" w:hAnsi="Arial Narrow" w:cs="Calibri"/>
                <w:color w:val="000000"/>
                <w:sz w:val="20"/>
                <w:szCs w:val="20"/>
              </w:rPr>
            </w:pPr>
            <w:r w:rsidRPr="00D41179">
              <w:rPr>
                <w:rFonts w:ascii="Arial Narrow" w:eastAsia="Calibri" w:hAnsi="Arial Narrow" w:cs="Calibri"/>
                <w:color w:val="000000"/>
                <w:sz w:val="20"/>
                <w:szCs w:val="20"/>
              </w:rPr>
              <w:t>13,016.1</w:t>
            </w:r>
          </w:p>
        </w:tc>
        <w:tc>
          <w:tcPr>
            <w:tcW w:w="493" w:type="pct"/>
            <w:shd w:val="clear" w:color="auto" w:fill="DAEEF3" w:themeFill="accent5" w:themeFillTint="33"/>
            <w:noWrap/>
            <w:vAlign w:val="center"/>
            <w:hideMark/>
          </w:tcPr>
          <w:p w14:paraId="7A5BAE14" w14:textId="77777777" w:rsidR="00224E1A" w:rsidRPr="00D41179" w:rsidRDefault="00224E1A">
            <w:pPr>
              <w:keepNext/>
              <w:jc w:val="center"/>
              <w:rPr>
                <w:rFonts w:ascii="Arial Narrow" w:hAnsi="Arial Narrow" w:cs="Calibri"/>
                <w:color w:val="000000"/>
                <w:sz w:val="20"/>
                <w:szCs w:val="20"/>
              </w:rPr>
            </w:pPr>
            <w:r w:rsidRPr="00D41179">
              <w:rPr>
                <w:rFonts w:ascii="Arial Narrow" w:eastAsia="Calibri" w:hAnsi="Arial Narrow" w:cs="Calibri"/>
                <w:color w:val="000000"/>
                <w:sz w:val="20"/>
                <w:szCs w:val="20"/>
              </w:rPr>
              <w:t>0.7</w:t>
            </w:r>
          </w:p>
        </w:tc>
        <w:tc>
          <w:tcPr>
            <w:tcW w:w="364" w:type="pct"/>
            <w:shd w:val="clear" w:color="auto" w:fill="DAEEF3" w:themeFill="accent5" w:themeFillTint="33"/>
            <w:noWrap/>
            <w:vAlign w:val="center"/>
            <w:hideMark/>
          </w:tcPr>
          <w:p w14:paraId="2A32298E" w14:textId="77777777" w:rsidR="00224E1A" w:rsidRPr="00D41179" w:rsidRDefault="00224E1A">
            <w:pPr>
              <w:keepNext/>
              <w:jc w:val="center"/>
              <w:rPr>
                <w:rFonts w:ascii="Arial Narrow" w:hAnsi="Arial Narrow" w:cs="Calibri"/>
                <w:color w:val="000000"/>
                <w:sz w:val="20"/>
                <w:szCs w:val="20"/>
              </w:rPr>
            </w:pPr>
            <w:r w:rsidRPr="00D41179">
              <w:rPr>
                <w:rFonts w:ascii="Arial Narrow" w:eastAsia="Calibri" w:hAnsi="Arial Narrow" w:cs="Calibri"/>
                <w:color w:val="000000"/>
                <w:sz w:val="20"/>
                <w:szCs w:val="20"/>
              </w:rPr>
              <w:t>13,074</w:t>
            </w:r>
          </w:p>
        </w:tc>
        <w:tc>
          <w:tcPr>
            <w:tcW w:w="276" w:type="pct"/>
            <w:shd w:val="clear" w:color="auto" w:fill="DAEEF3" w:themeFill="accent5" w:themeFillTint="33"/>
            <w:noWrap/>
            <w:vAlign w:val="center"/>
            <w:hideMark/>
          </w:tcPr>
          <w:p w14:paraId="617102D4" w14:textId="77777777" w:rsidR="00224E1A" w:rsidRPr="00D41179" w:rsidRDefault="00224E1A">
            <w:pPr>
              <w:keepNext/>
              <w:jc w:val="center"/>
              <w:rPr>
                <w:rFonts w:ascii="Arial Narrow" w:hAnsi="Arial Narrow" w:cs="Calibri"/>
                <w:color w:val="000000"/>
                <w:sz w:val="20"/>
                <w:szCs w:val="20"/>
              </w:rPr>
            </w:pPr>
            <w:r w:rsidRPr="00D41179">
              <w:rPr>
                <w:rFonts w:ascii="Arial Narrow" w:eastAsia="Calibri" w:hAnsi="Arial Narrow" w:cs="Calibri"/>
                <w:color w:val="000000"/>
                <w:sz w:val="20"/>
                <w:szCs w:val="20"/>
              </w:rPr>
              <w:t>116</w:t>
            </w:r>
          </w:p>
        </w:tc>
        <w:tc>
          <w:tcPr>
            <w:tcW w:w="486" w:type="pct"/>
            <w:shd w:val="clear" w:color="auto" w:fill="DAEEF3" w:themeFill="accent5" w:themeFillTint="33"/>
            <w:noWrap/>
            <w:vAlign w:val="center"/>
            <w:hideMark/>
          </w:tcPr>
          <w:p w14:paraId="47865B7A" w14:textId="77777777" w:rsidR="00224E1A" w:rsidRPr="00D41179" w:rsidRDefault="00224E1A">
            <w:pPr>
              <w:keepNext/>
              <w:jc w:val="center"/>
              <w:rPr>
                <w:rFonts w:ascii="Arial Narrow" w:hAnsi="Arial Narrow" w:cs="Calibri"/>
                <w:color w:val="000000"/>
                <w:sz w:val="20"/>
                <w:szCs w:val="20"/>
              </w:rPr>
            </w:pPr>
            <w:r w:rsidRPr="00D41179">
              <w:rPr>
                <w:rFonts w:ascii="Arial Narrow" w:eastAsia="Calibri" w:hAnsi="Arial Narrow" w:cs="Calibri"/>
                <w:color w:val="000000"/>
                <w:sz w:val="20"/>
                <w:szCs w:val="20"/>
              </w:rPr>
              <w:t>12,834.0</w:t>
            </w:r>
          </w:p>
        </w:tc>
        <w:tc>
          <w:tcPr>
            <w:tcW w:w="550" w:type="pct"/>
            <w:shd w:val="clear" w:color="auto" w:fill="DAEEF3" w:themeFill="accent5" w:themeFillTint="33"/>
            <w:noWrap/>
            <w:vAlign w:val="center"/>
            <w:hideMark/>
          </w:tcPr>
          <w:p w14:paraId="087036B5" w14:textId="77777777" w:rsidR="00224E1A" w:rsidRPr="00D41179" w:rsidRDefault="00224E1A">
            <w:pPr>
              <w:keepNext/>
              <w:jc w:val="center"/>
              <w:rPr>
                <w:rFonts w:ascii="Arial Narrow" w:hAnsi="Arial Narrow" w:cs="Calibri"/>
                <w:color w:val="000000"/>
                <w:sz w:val="20"/>
                <w:szCs w:val="20"/>
              </w:rPr>
            </w:pPr>
            <w:r w:rsidRPr="00D41179">
              <w:rPr>
                <w:rFonts w:ascii="Arial Narrow" w:eastAsia="Calibri" w:hAnsi="Arial Narrow" w:cs="Calibri"/>
                <w:color w:val="000000"/>
                <w:sz w:val="20"/>
                <w:szCs w:val="20"/>
              </w:rPr>
              <w:t>9.0</w:t>
            </w:r>
          </w:p>
        </w:tc>
        <w:tc>
          <w:tcPr>
            <w:tcW w:w="947" w:type="pct"/>
            <w:shd w:val="clear" w:color="auto" w:fill="DAEEF3" w:themeFill="accent5" w:themeFillTint="33"/>
            <w:noWrap/>
            <w:vAlign w:val="center"/>
            <w:hideMark/>
          </w:tcPr>
          <w:p w14:paraId="53EF79FF" w14:textId="77777777" w:rsidR="00224E1A" w:rsidRPr="00D41179" w:rsidRDefault="00224E1A">
            <w:pPr>
              <w:keepNext/>
              <w:jc w:val="center"/>
              <w:rPr>
                <w:rFonts w:ascii="Arial Narrow" w:hAnsi="Arial Narrow" w:cs="Calibri"/>
                <w:color w:val="000000"/>
                <w:sz w:val="20"/>
                <w:szCs w:val="20"/>
              </w:rPr>
            </w:pPr>
            <w:r w:rsidRPr="00D41179">
              <w:rPr>
                <w:rFonts w:ascii="Arial Narrow" w:hAnsi="Arial Narrow" w:cs="Calibri"/>
                <w:color w:val="000000"/>
                <w:sz w:val="20"/>
                <w:szCs w:val="20"/>
              </w:rPr>
              <w:t>92.36 (84.98, 96.59)</w:t>
            </w:r>
          </w:p>
        </w:tc>
      </w:tr>
      <w:tr w:rsidR="00224E1A" w:rsidRPr="00D41179" w14:paraId="2CBC9BCE" w14:textId="77777777">
        <w:trPr>
          <w:trHeight w:val="170"/>
          <w:jc w:val="center"/>
        </w:trPr>
        <w:tc>
          <w:tcPr>
            <w:tcW w:w="235" w:type="pct"/>
            <w:vMerge/>
            <w:vAlign w:val="center"/>
            <w:hideMark/>
          </w:tcPr>
          <w:p w14:paraId="0BA06869" w14:textId="77777777" w:rsidR="00224E1A" w:rsidRPr="00D41179" w:rsidRDefault="00224E1A">
            <w:pPr>
              <w:keepNext/>
              <w:jc w:val="left"/>
              <w:rPr>
                <w:rFonts w:ascii="Arial Narrow" w:hAnsi="Arial Narrow" w:cs="Calibri"/>
                <w:b/>
                <w:bCs/>
                <w:color w:val="000000"/>
                <w:sz w:val="20"/>
                <w:szCs w:val="20"/>
              </w:rPr>
            </w:pPr>
          </w:p>
        </w:tc>
        <w:tc>
          <w:tcPr>
            <w:tcW w:w="397" w:type="pct"/>
            <w:noWrap/>
            <w:vAlign w:val="center"/>
            <w:hideMark/>
          </w:tcPr>
          <w:p w14:paraId="23D2317A" w14:textId="77777777" w:rsidR="00224E1A" w:rsidRPr="00D41179" w:rsidRDefault="00224E1A">
            <w:pPr>
              <w:keepNext/>
              <w:jc w:val="center"/>
              <w:rPr>
                <w:rFonts w:ascii="Arial Narrow" w:hAnsi="Arial Narrow" w:cs="Calibri"/>
                <w:color w:val="000000"/>
                <w:sz w:val="20"/>
                <w:szCs w:val="20"/>
              </w:rPr>
            </w:pPr>
            <w:r w:rsidRPr="00D41179">
              <w:rPr>
                <w:rFonts w:ascii="Arial Narrow" w:hAnsi="Arial Narrow" w:cs="Calibri"/>
                <w:color w:val="000000"/>
                <w:sz w:val="20"/>
                <w:szCs w:val="20"/>
              </w:rPr>
              <w:t>50-59</w:t>
            </w:r>
          </w:p>
        </w:tc>
        <w:tc>
          <w:tcPr>
            <w:tcW w:w="488" w:type="pct"/>
            <w:noWrap/>
            <w:vAlign w:val="center"/>
            <w:hideMark/>
          </w:tcPr>
          <w:p w14:paraId="51C0EB0A" w14:textId="77777777" w:rsidR="00224E1A" w:rsidRPr="00D41179" w:rsidRDefault="00224E1A">
            <w:pPr>
              <w:keepNext/>
              <w:jc w:val="center"/>
              <w:rPr>
                <w:rFonts w:ascii="Arial Narrow" w:hAnsi="Arial Narrow" w:cs="Calibri"/>
                <w:color w:val="000000"/>
                <w:sz w:val="20"/>
                <w:szCs w:val="20"/>
              </w:rPr>
            </w:pPr>
            <w:r w:rsidRPr="00D41179">
              <w:rPr>
                <w:rFonts w:ascii="Arial Narrow" w:eastAsia="Calibri" w:hAnsi="Arial Narrow" w:cs="Calibri"/>
                <w:color w:val="000000"/>
                <w:sz w:val="20"/>
                <w:szCs w:val="20"/>
              </w:rPr>
              <w:t>3,371</w:t>
            </w:r>
          </w:p>
        </w:tc>
        <w:tc>
          <w:tcPr>
            <w:tcW w:w="277" w:type="pct"/>
            <w:noWrap/>
            <w:vAlign w:val="center"/>
            <w:hideMark/>
          </w:tcPr>
          <w:p w14:paraId="7105B0AD" w14:textId="77777777" w:rsidR="00224E1A" w:rsidRPr="00D41179" w:rsidRDefault="00224E1A">
            <w:pPr>
              <w:keepNext/>
              <w:jc w:val="center"/>
              <w:rPr>
                <w:rFonts w:ascii="Arial Narrow" w:hAnsi="Arial Narrow" w:cs="Calibri"/>
                <w:color w:val="000000"/>
                <w:sz w:val="20"/>
                <w:szCs w:val="20"/>
              </w:rPr>
            </w:pPr>
            <w:r w:rsidRPr="00D41179">
              <w:rPr>
                <w:rFonts w:ascii="Arial Narrow" w:eastAsia="Calibri" w:hAnsi="Arial Narrow" w:cs="Calibri"/>
                <w:color w:val="000000"/>
                <w:sz w:val="20"/>
                <w:szCs w:val="20"/>
              </w:rPr>
              <w:t>0</w:t>
            </w:r>
          </w:p>
        </w:tc>
        <w:tc>
          <w:tcPr>
            <w:tcW w:w="486" w:type="pct"/>
            <w:noWrap/>
            <w:vAlign w:val="center"/>
            <w:hideMark/>
          </w:tcPr>
          <w:p w14:paraId="0257D915" w14:textId="77777777" w:rsidR="00224E1A" w:rsidRPr="00D41179" w:rsidRDefault="00224E1A">
            <w:pPr>
              <w:keepNext/>
              <w:jc w:val="center"/>
              <w:rPr>
                <w:rFonts w:ascii="Arial Narrow" w:hAnsi="Arial Narrow" w:cs="Calibri"/>
                <w:color w:val="000000"/>
                <w:sz w:val="20"/>
                <w:szCs w:val="20"/>
              </w:rPr>
            </w:pPr>
            <w:r w:rsidRPr="00D41179">
              <w:rPr>
                <w:rFonts w:ascii="Arial Narrow" w:eastAsia="Calibri" w:hAnsi="Arial Narrow" w:cs="Calibri"/>
                <w:color w:val="000000"/>
                <w:sz w:val="20"/>
                <w:szCs w:val="20"/>
              </w:rPr>
              <w:t>3,340.9</w:t>
            </w:r>
          </w:p>
        </w:tc>
        <w:tc>
          <w:tcPr>
            <w:tcW w:w="493" w:type="pct"/>
            <w:noWrap/>
            <w:vAlign w:val="center"/>
            <w:hideMark/>
          </w:tcPr>
          <w:p w14:paraId="7F2FB465" w14:textId="77777777" w:rsidR="00224E1A" w:rsidRPr="00D41179" w:rsidRDefault="00224E1A">
            <w:pPr>
              <w:keepNext/>
              <w:jc w:val="center"/>
              <w:rPr>
                <w:rFonts w:ascii="Arial Narrow" w:hAnsi="Arial Narrow" w:cs="Calibri"/>
                <w:color w:val="000000"/>
                <w:sz w:val="20"/>
                <w:szCs w:val="20"/>
              </w:rPr>
            </w:pPr>
            <w:r w:rsidRPr="00D41179">
              <w:rPr>
                <w:rFonts w:ascii="Arial Narrow" w:eastAsia="Calibri" w:hAnsi="Arial Narrow" w:cs="Calibri"/>
                <w:color w:val="000000"/>
                <w:sz w:val="20"/>
                <w:szCs w:val="20"/>
              </w:rPr>
              <w:t>0.0</w:t>
            </w:r>
          </w:p>
        </w:tc>
        <w:tc>
          <w:tcPr>
            <w:tcW w:w="364" w:type="pct"/>
            <w:noWrap/>
            <w:vAlign w:val="center"/>
            <w:hideMark/>
          </w:tcPr>
          <w:p w14:paraId="6428889E" w14:textId="77777777" w:rsidR="00224E1A" w:rsidRPr="00D41179" w:rsidRDefault="00224E1A">
            <w:pPr>
              <w:keepNext/>
              <w:jc w:val="center"/>
              <w:rPr>
                <w:rFonts w:ascii="Arial Narrow" w:hAnsi="Arial Narrow" w:cs="Calibri"/>
                <w:color w:val="000000"/>
                <w:sz w:val="20"/>
                <w:szCs w:val="20"/>
              </w:rPr>
            </w:pPr>
            <w:r w:rsidRPr="00D41179">
              <w:rPr>
                <w:rFonts w:ascii="Arial Narrow" w:eastAsia="Calibri" w:hAnsi="Arial Narrow" w:cs="Calibri"/>
                <w:color w:val="000000"/>
                <w:sz w:val="20"/>
                <w:szCs w:val="20"/>
              </w:rPr>
              <w:t>3,351</w:t>
            </w:r>
          </w:p>
        </w:tc>
        <w:tc>
          <w:tcPr>
            <w:tcW w:w="276" w:type="pct"/>
            <w:noWrap/>
            <w:vAlign w:val="center"/>
            <w:hideMark/>
          </w:tcPr>
          <w:p w14:paraId="020E04F9" w14:textId="77777777" w:rsidR="00224E1A" w:rsidRPr="00D41179" w:rsidRDefault="00224E1A">
            <w:pPr>
              <w:keepNext/>
              <w:jc w:val="center"/>
              <w:rPr>
                <w:rFonts w:ascii="Arial Narrow" w:hAnsi="Arial Narrow" w:cs="Calibri"/>
                <w:color w:val="000000"/>
                <w:sz w:val="20"/>
                <w:szCs w:val="20"/>
              </w:rPr>
            </w:pPr>
            <w:r w:rsidRPr="00D41179">
              <w:rPr>
                <w:rFonts w:ascii="Arial Narrow" w:eastAsia="Calibri" w:hAnsi="Arial Narrow" w:cs="Calibri"/>
                <w:color w:val="000000"/>
                <w:sz w:val="20"/>
                <w:szCs w:val="20"/>
              </w:rPr>
              <w:t>29</w:t>
            </w:r>
          </w:p>
        </w:tc>
        <w:tc>
          <w:tcPr>
            <w:tcW w:w="486" w:type="pct"/>
            <w:noWrap/>
            <w:vAlign w:val="center"/>
            <w:hideMark/>
          </w:tcPr>
          <w:p w14:paraId="6EE16353" w14:textId="77777777" w:rsidR="00224E1A" w:rsidRPr="00D41179" w:rsidRDefault="00224E1A">
            <w:pPr>
              <w:keepNext/>
              <w:jc w:val="center"/>
              <w:rPr>
                <w:rFonts w:ascii="Arial Narrow" w:hAnsi="Arial Narrow" w:cs="Calibri"/>
                <w:color w:val="000000"/>
                <w:sz w:val="20"/>
                <w:szCs w:val="20"/>
              </w:rPr>
            </w:pPr>
            <w:r w:rsidRPr="00D41179">
              <w:rPr>
                <w:rFonts w:ascii="Arial Narrow" w:eastAsia="Calibri" w:hAnsi="Arial Narrow" w:cs="Calibri"/>
                <w:color w:val="000000"/>
                <w:sz w:val="20"/>
                <w:szCs w:val="20"/>
              </w:rPr>
              <w:t>3,319.9</w:t>
            </w:r>
          </w:p>
        </w:tc>
        <w:tc>
          <w:tcPr>
            <w:tcW w:w="550" w:type="pct"/>
            <w:noWrap/>
            <w:vAlign w:val="center"/>
            <w:hideMark/>
          </w:tcPr>
          <w:p w14:paraId="57AC6110" w14:textId="77777777" w:rsidR="00224E1A" w:rsidRPr="00D41179" w:rsidRDefault="00224E1A">
            <w:pPr>
              <w:keepNext/>
              <w:jc w:val="center"/>
              <w:rPr>
                <w:rFonts w:ascii="Arial Narrow" w:hAnsi="Arial Narrow" w:cs="Calibri"/>
                <w:color w:val="000000"/>
                <w:sz w:val="20"/>
                <w:szCs w:val="20"/>
              </w:rPr>
            </w:pPr>
            <w:r w:rsidRPr="00D41179">
              <w:rPr>
                <w:rFonts w:ascii="Arial Narrow" w:eastAsia="Calibri" w:hAnsi="Arial Narrow" w:cs="Calibri"/>
                <w:color w:val="000000"/>
                <w:sz w:val="20"/>
                <w:szCs w:val="20"/>
              </w:rPr>
              <w:t>8.7</w:t>
            </w:r>
          </w:p>
        </w:tc>
        <w:tc>
          <w:tcPr>
            <w:tcW w:w="947" w:type="pct"/>
            <w:noWrap/>
            <w:vAlign w:val="center"/>
            <w:hideMark/>
          </w:tcPr>
          <w:p w14:paraId="0B14819A" w14:textId="77777777" w:rsidR="00224E1A" w:rsidRPr="00D41179" w:rsidRDefault="00224E1A">
            <w:pPr>
              <w:keepNext/>
              <w:jc w:val="center"/>
              <w:rPr>
                <w:rFonts w:ascii="Arial Narrow" w:hAnsi="Arial Narrow" w:cs="Calibri"/>
                <w:color w:val="000000"/>
                <w:sz w:val="20"/>
                <w:szCs w:val="20"/>
              </w:rPr>
            </w:pPr>
            <w:r w:rsidRPr="00D41179">
              <w:rPr>
                <w:rFonts w:ascii="Arial Narrow" w:hAnsi="Arial Narrow" w:cs="Calibri"/>
                <w:color w:val="000000"/>
                <w:sz w:val="20"/>
                <w:szCs w:val="20"/>
              </w:rPr>
              <w:t>100.00(89.20, 100.00)</w:t>
            </w:r>
          </w:p>
        </w:tc>
      </w:tr>
      <w:tr w:rsidR="00224E1A" w:rsidRPr="00D41179" w14:paraId="7FF971ED" w14:textId="77777777">
        <w:trPr>
          <w:trHeight w:val="170"/>
          <w:jc w:val="center"/>
        </w:trPr>
        <w:tc>
          <w:tcPr>
            <w:tcW w:w="235" w:type="pct"/>
            <w:vMerge/>
            <w:vAlign w:val="center"/>
            <w:hideMark/>
          </w:tcPr>
          <w:p w14:paraId="5AB203C7" w14:textId="77777777" w:rsidR="00224E1A" w:rsidRPr="00D41179" w:rsidRDefault="00224E1A">
            <w:pPr>
              <w:keepNext/>
              <w:jc w:val="left"/>
              <w:rPr>
                <w:rFonts w:ascii="Arial Narrow" w:hAnsi="Arial Narrow" w:cs="Calibri"/>
                <w:b/>
                <w:bCs/>
                <w:color w:val="000000"/>
                <w:sz w:val="20"/>
                <w:szCs w:val="20"/>
              </w:rPr>
            </w:pPr>
          </w:p>
        </w:tc>
        <w:tc>
          <w:tcPr>
            <w:tcW w:w="397" w:type="pct"/>
            <w:noWrap/>
            <w:vAlign w:val="center"/>
            <w:hideMark/>
          </w:tcPr>
          <w:p w14:paraId="7A47D03E" w14:textId="77777777" w:rsidR="00224E1A" w:rsidRPr="00D41179" w:rsidRDefault="00224E1A">
            <w:pPr>
              <w:keepNext/>
              <w:jc w:val="center"/>
              <w:rPr>
                <w:rFonts w:ascii="Arial Narrow" w:hAnsi="Arial Narrow" w:cs="Calibri"/>
                <w:color w:val="000000"/>
                <w:sz w:val="20"/>
                <w:szCs w:val="20"/>
              </w:rPr>
            </w:pPr>
            <w:r w:rsidRPr="00D41179">
              <w:rPr>
                <w:rFonts w:ascii="Arial Narrow" w:hAnsi="Arial Narrow" w:cs="Calibri"/>
                <w:color w:val="000000"/>
                <w:sz w:val="20"/>
                <w:szCs w:val="20"/>
              </w:rPr>
              <w:t>60-69</w:t>
            </w:r>
          </w:p>
        </w:tc>
        <w:tc>
          <w:tcPr>
            <w:tcW w:w="488" w:type="pct"/>
            <w:noWrap/>
            <w:vAlign w:val="center"/>
            <w:hideMark/>
          </w:tcPr>
          <w:p w14:paraId="300CCA65" w14:textId="77777777" w:rsidR="00224E1A" w:rsidRPr="00D41179" w:rsidRDefault="00224E1A">
            <w:pPr>
              <w:keepNext/>
              <w:jc w:val="center"/>
              <w:rPr>
                <w:rFonts w:ascii="Arial Narrow" w:hAnsi="Arial Narrow" w:cs="Calibri"/>
                <w:color w:val="000000"/>
                <w:sz w:val="20"/>
                <w:szCs w:val="20"/>
              </w:rPr>
            </w:pPr>
            <w:r w:rsidRPr="00D41179">
              <w:rPr>
                <w:rFonts w:ascii="Arial Narrow" w:eastAsia="Calibri" w:hAnsi="Arial Narrow" w:cs="Calibri"/>
                <w:color w:val="000000"/>
                <w:sz w:val="20"/>
                <w:szCs w:val="20"/>
              </w:rPr>
              <w:t>2,078</w:t>
            </w:r>
          </w:p>
        </w:tc>
        <w:tc>
          <w:tcPr>
            <w:tcW w:w="277" w:type="pct"/>
            <w:noWrap/>
            <w:vAlign w:val="center"/>
            <w:hideMark/>
          </w:tcPr>
          <w:p w14:paraId="75BD3F82" w14:textId="77777777" w:rsidR="00224E1A" w:rsidRPr="00D41179" w:rsidRDefault="00224E1A">
            <w:pPr>
              <w:keepNext/>
              <w:jc w:val="center"/>
              <w:rPr>
                <w:rFonts w:ascii="Arial Narrow" w:hAnsi="Arial Narrow" w:cs="Calibri"/>
                <w:color w:val="000000"/>
                <w:sz w:val="20"/>
                <w:szCs w:val="20"/>
              </w:rPr>
            </w:pPr>
            <w:r w:rsidRPr="00D41179">
              <w:rPr>
                <w:rFonts w:ascii="Arial Narrow" w:eastAsia="Calibri" w:hAnsi="Arial Narrow" w:cs="Calibri"/>
                <w:color w:val="000000"/>
                <w:sz w:val="20"/>
                <w:szCs w:val="20"/>
              </w:rPr>
              <w:t>0</w:t>
            </w:r>
          </w:p>
        </w:tc>
        <w:tc>
          <w:tcPr>
            <w:tcW w:w="486" w:type="pct"/>
            <w:noWrap/>
            <w:vAlign w:val="center"/>
            <w:hideMark/>
          </w:tcPr>
          <w:p w14:paraId="783A4E9E" w14:textId="77777777" w:rsidR="00224E1A" w:rsidRPr="00D41179" w:rsidRDefault="00224E1A">
            <w:pPr>
              <w:keepNext/>
              <w:jc w:val="center"/>
              <w:rPr>
                <w:rFonts w:ascii="Arial Narrow" w:hAnsi="Arial Narrow" w:cs="Calibri"/>
                <w:color w:val="000000"/>
                <w:sz w:val="20"/>
                <w:szCs w:val="20"/>
              </w:rPr>
            </w:pPr>
            <w:r w:rsidRPr="00D41179">
              <w:rPr>
                <w:rFonts w:ascii="Arial Narrow" w:eastAsia="Calibri" w:hAnsi="Arial Narrow" w:cs="Calibri"/>
                <w:color w:val="000000"/>
                <w:sz w:val="20"/>
                <w:szCs w:val="20"/>
              </w:rPr>
              <w:t>2,063.1</w:t>
            </w:r>
          </w:p>
        </w:tc>
        <w:tc>
          <w:tcPr>
            <w:tcW w:w="493" w:type="pct"/>
            <w:noWrap/>
            <w:vAlign w:val="center"/>
            <w:hideMark/>
          </w:tcPr>
          <w:p w14:paraId="6FE6EEEB" w14:textId="77777777" w:rsidR="00224E1A" w:rsidRPr="00D41179" w:rsidRDefault="00224E1A">
            <w:pPr>
              <w:keepNext/>
              <w:jc w:val="center"/>
              <w:rPr>
                <w:rFonts w:ascii="Arial Narrow" w:hAnsi="Arial Narrow" w:cs="Calibri"/>
                <w:color w:val="000000"/>
                <w:sz w:val="20"/>
                <w:szCs w:val="20"/>
              </w:rPr>
            </w:pPr>
            <w:r w:rsidRPr="00D41179">
              <w:rPr>
                <w:rFonts w:ascii="Arial Narrow" w:eastAsia="Calibri" w:hAnsi="Arial Narrow" w:cs="Calibri"/>
                <w:color w:val="000000"/>
                <w:sz w:val="20"/>
                <w:szCs w:val="20"/>
              </w:rPr>
              <w:t>0.0</w:t>
            </w:r>
          </w:p>
        </w:tc>
        <w:tc>
          <w:tcPr>
            <w:tcW w:w="364" w:type="pct"/>
            <w:noWrap/>
            <w:vAlign w:val="center"/>
            <w:hideMark/>
          </w:tcPr>
          <w:p w14:paraId="0968A064" w14:textId="77777777" w:rsidR="00224E1A" w:rsidRPr="00D41179" w:rsidRDefault="00224E1A">
            <w:pPr>
              <w:keepNext/>
              <w:jc w:val="center"/>
              <w:rPr>
                <w:rFonts w:ascii="Arial Narrow" w:hAnsi="Arial Narrow" w:cs="Calibri"/>
                <w:color w:val="000000"/>
                <w:sz w:val="20"/>
                <w:szCs w:val="20"/>
              </w:rPr>
            </w:pPr>
            <w:r w:rsidRPr="00D41179">
              <w:rPr>
                <w:rFonts w:ascii="Arial Narrow" w:eastAsia="Calibri" w:hAnsi="Arial Narrow" w:cs="Calibri"/>
                <w:color w:val="000000"/>
                <w:sz w:val="20"/>
                <w:szCs w:val="20"/>
              </w:rPr>
              <w:t>2,062</w:t>
            </w:r>
          </w:p>
        </w:tc>
        <w:tc>
          <w:tcPr>
            <w:tcW w:w="276" w:type="pct"/>
            <w:noWrap/>
            <w:vAlign w:val="center"/>
            <w:hideMark/>
          </w:tcPr>
          <w:p w14:paraId="0DDDC8EA" w14:textId="77777777" w:rsidR="00224E1A" w:rsidRPr="00D41179" w:rsidRDefault="00224E1A">
            <w:pPr>
              <w:keepNext/>
              <w:jc w:val="center"/>
              <w:rPr>
                <w:rFonts w:ascii="Arial Narrow" w:hAnsi="Arial Narrow" w:cs="Calibri"/>
                <w:color w:val="000000"/>
                <w:sz w:val="20"/>
                <w:szCs w:val="20"/>
              </w:rPr>
            </w:pPr>
            <w:r w:rsidRPr="00D41179">
              <w:rPr>
                <w:rFonts w:ascii="Arial Narrow" w:eastAsia="Calibri" w:hAnsi="Arial Narrow" w:cs="Calibri"/>
                <w:color w:val="000000"/>
                <w:sz w:val="20"/>
                <w:szCs w:val="20"/>
              </w:rPr>
              <w:t>29</w:t>
            </w:r>
          </w:p>
        </w:tc>
        <w:tc>
          <w:tcPr>
            <w:tcW w:w="486" w:type="pct"/>
            <w:noWrap/>
            <w:vAlign w:val="center"/>
            <w:hideMark/>
          </w:tcPr>
          <w:p w14:paraId="10716F69" w14:textId="77777777" w:rsidR="00224E1A" w:rsidRPr="00D41179" w:rsidRDefault="00224E1A">
            <w:pPr>
              <w:keepNext/>
              <w:jc w:val="center"/>
              <w:rPr>
                <w:rFonts w:ascii="Arial Narrow" w:hAnsi="Arial Narrow" w:cs="Calibri"/>
                <w:color w:val="000000"/>
                <w:sz w:val="20"/>
                <w:szCs w:val="20"/>
              </w:rPr>
            </w:pPr>
            <w:r w:rsidRPr="00D41179">
              <w:rPr>
                <w:rFonts w:ascii="Arial Narrow" w:eastAsia="Calibri" w:hAnsi="Arial Narrow" w:cs="Calibri"/>
                <w:color w:val="000000"/>
                <w:sz w:val="20"/>
                <w:szCs w:val="20"/>
              </w:rPr>
              <w:t>2,025.7</w:t>
            </w:r>
          </w:p>
        </w:tc>
        <w:tc>
          <w:tcPr>
            <w:tcW w:w="550" w:type="pct"/>
            <w:noWrap/>
            <w:vAlign w:val="center"/>
            <w:hideMark/>
          </w:tcPr>
          <w:p w14:paraId="6ACBBDAC" w14:textId="77777777" w:rsidR="00224E1A" w:rsidRPr="00D41179" w:rsidRDefault="00224E1A">
            <w:pPr>
              <w:keepNext/>
              <w:jc w:val="center"/>
              <w:rPr>
                <w:rFonts w:ascii="Arial Narrow" w:hAnsi="Arial Narrow" w:cs="Calibri"/>
                <w:color w:val="000000"/>
                <w:sz w:val="20"/>
                <w:szCs w:val="20"/>
              </w:rPr>
            </w:pPr>
            <w:r w:rsidRPr="00D41179">
              <w:rPr>
                <w:rFonts w:ascii="Arial Narrow" w:eastAsia="Calibri" w:hAnsi="Arial Narrow" w:cs="Calibri"/>
                <w:color w:val="000000"/>
                <w:sz w:val="20"/>
                <w:szCs w:val="20"/>
              </w:rPr>
              <w:t>14.3</w:t>
            </w:r>
          </w:p>
        </w:tc>
        <w:tc>
          <w:tcPr>
            <w:tcW w:w="947" w:type="pct"/>
            <w:noWrap/>
            <w:vAlign w:val="center"/>
            <w:hideMark/>
          </w:tcPr>
          <w:p w14:paraId="253867F9" w14:textId="77777777" w:rsidR="00224E1A" w:rsidRPr="00D41179" w:rsidRDefault="00224E1A">
            <w:pPr>
              <w:keepNext/>
              <w:jc w:val="center"/>
              <w:rPr>
                <w:rFonts w:ascii="Arial Narrow" w:hAnsi="Arial Narrow" w:cs="Calibri"/>
                <w:color w:val="000000"/>
                <w:sz w:val="20"/>
                <w:szCs w:val="20"/>
              </w:rPr>
            </w:pPr>
            <w:r w:rsidRPr="00D41179">
              <w:rPr>
                <w:rFonts w:ascii="Arial Narrow" w:hAnsi="Arial Narrow" w:cs="Calibri"/>
                <w:color w:val="000000"/>
                <w:sz w:val="20"/>
                <w:szCs w:val="20"/>
              </w:rPr>
              <w:t>100.00(89.39, 100.00)</w:t>
            </w:r>
          </w:p>
        </w:tc>
      </w:tr>
      <w:tr w:rsidR="00224E1A" w:rsidRPr="00D41179" w14:paraId="655D02F6" w14:textId="77777777">
        <w:trPr>
          <w:trHeight w:val="170"/>
          <w:jc w:val="center"/>
        </w:trPr>
        <w:tc>
          <w:tcPr>
            <w:tcW w:w="235" w:type="pct"/>
            <w:vMerge/>
            <w:vAlign w:val="center"/>
            <w:hideMark/>
          </w:tcPr>
          <w:p w14:paraId="1F949353" w14:textId="77777777" w:rsidR="00224E1A" w:rsidRPr="00D41179" w:rsidRDefault="00224E1A">
            <w:pPr>
              <w:keepNext/>
              <w:jc w:val="left"/>
              <w:rPr>
                <w:rFonts w:ascii="Arial Narrow" w:hAnsi="Arial Narrow" w:cs="Calibri"/>
                <w:b/>
                <w:bCs/>
                <w:color w:val="000000"/>
                <w:sz w:val="20"/>
                <w:szCs w:val="20"/>
              </w:rPr>
            </w:pPr>
          </w:p>
        </w:tc>
        <w:tc>
          <w:tcPr>
            <w:tcW w:w="397" w:type="pct"/>
            <w:noWrap/>
            <w:vAlign w:val="center"/>
            <w:hideMark/>
          </w:tcPr>
          <w:p w14:paraId="21E4A54E" w14:textId="77777777" w:rsidR="00224E1A" w:rsidRPr="00D41179" w:rsidRDefault="00224E1A">
            <w:pPr>
              <w:keepNext/>
              <w:jc w:val="center"/>
              <w:rPr>
                <w:rFonts w:ascii="Arial Narrow" w:hAnsi="Arial Narrow" w:cs="Calibri"/>
                <w:color w:val="000000"/>
                <w:sz w:val="20"/>
                <w:szCs w:val="20"/>
              </w:rPr>
            </w:pPr>
            <w:r w:rsidRPr="00D41179">
              <w:rPr>
                <w:rFonts w:ascii="Arial Narrow" w:hAnsi="Arial Narrow" w:cs="Calibri"/>
                <w:color w:val="000000"/>
                <w:sz w:val="20"/>
                <w:szCs w:val="20"/>
              </w:rPr>
              <w:t>≥70</w:t>
            </w:r>
          </w:p>
        </w:tc>
        <w:tc>
          <w:tcPr>
            <w:tcW w:w="488" w:type="pct"/>
            <w:noWrap/>
            <w:vAlign w:val="center"/>
            <w:hideMark/>
          </w:tcPr>
          <w:p w14:paraId="5BA6661E" w14:textId="77777777" w:rsidR="00224E1A" w:rsidRPr="00D41179" w:rsidRDefault="00224E1A">
            <w:pPr>
              <w:keepNext/>
              <w:jc w:val="center"/>
              <w:rPr>
                <w:rFonts w:ascii="Arial Narrow" w:hAnsi="Arial Narrow" w:cs="Calibri"/>
                <w:color w:val="000000"/>
                <w:sz w:val="20"/>
                <w:szCs w:val="20"/>
              </w:rPr>
            </w:pPr>
            <w:r w:rsidRPr="00D41179">
              <w:rPr>
                <w:rFonts w:ascii="Arial Narrow" w:eastAsia="Calibri" w:hAnsi="Arial Narrow" w:cs="Calibri"/>
                <w:color w:val="000000"/>
                <w:sz w:val="20"/>
                <w:szCs w:val="20"/>
              </w:rPr>
              <w:t>7,736</w:t>
            </w:r>
          </w:p>
        </w:tc>
        <w:tc>
          <w:tcPr>
            <w:tcW w:w="277" w:type="pct"/>
            <w:noWrap/>
            <w:vAlign w:val="center"/>
            <w:hideMark/>
          </w:tcPr>
          <w:p w14:paraId="19A8835D" w14:textId="77777777" w:rsidR="00224E1A" w:rsidRPr="00D41179" w:rsidRDefault="00224E1A">
            <w:pPr>
              <w:keepNext/>
              <w:jc w:val="center"/>
              <w:rPr>
                <w:rFonts w:ascii="Arial Narrow" w:hAnsi="Arial Narrow" w:cs="Calibri"/>
                <w:color w:val="000000"/>
                <w:sz w:val="20"/>
                <w:szCs w:val="20"/>
              </w:rPr>
            </w:pPr>
            <w:r w:rsidRPr="00D41179">
              <w:rPr>
                <w:rFonts w:ascii="Arial Narrow" w:eastAsia="Calibri" w:hAnsi="Arial Narrow" w:cs="Calibri"/>
                <w:color w:val="000000"/>
                <w:sz w:val="20"/>
                <w:szCs w:val="20"/>
              </w:rPr>
              <w:t>9</w:t>
            </w:r>
          </w:p>
        </w:tc>
        <w:tc>
          <w:tcPr>
            <w:tcW w:w="486" w:type="pct"/>
            <w:noWrap/>
            <w:vAlign w:val="center"/>
            <w:hideMark/>
          </w:tcPr>
          <w:p w14:paraId="70C440ED" w14:textId="77777777" w:rsidR="00224E1A" w:rsidRPr="00D41179" w:rsidRDefault="00224E1A">
            <w:pPr>
              <w:keepNext/>
              <w:jc w:val="center"/>
              <w:rPr>
                <w:rFonts w:ascii="Arial Narrow" w:hAnsi="Arial Narrow" w:cs="Calibri"/>
                <w:color w:val="000000"/>
                <w:sz w:val="20"/>
                <w:szCs w:val="20"/>
              </w:rPr>
            </w:pPr>
            <w:r w:rsidRPr="00D41179">
              <w:rPr>
                <w:rFonts w:ascii="Arial Narrow" w:eastAsia="Calibri" w:hAnsi="Arial Narrow" w:cs="Calibri"/>
                <w:color w:val="000000"/>
                <w:sz w:val="20"/>
                <w:szCs w:val="20"/>
              </w:rPr>
              <w:t>7,612.2</w:t>
            </w:r>
          </w:p>
        </w:tc>
        <w:tc>
          <w:tcPr>
            <w:tcW w:w="493" w:type="pct"/>
            <w:noWrap/>
            <w:vAlign w:val="center"/>
            <w:hideMark/>
          </w:tcPr>
          <w:p w14:paraId="33FBC281" w14:textId="77777777" w:rsidR="00224E1A" w:rsidRPr="00D41179" w:rsidRDefault="00224E1A">
            <w:pPr>
              <w:keepNext/>
              <w:jc w:val="center"/>
              <w:rPr>
                <w:rFonts w:ascii="Arial Narrow" w:hAnsi="Arial Narrow" w:cs="Calibri"/>
                <w:color w:val="000000"/>
                <w:sz w:val="20"/>
                <w:szCs w:val="20"/>
              </w:rPr>
            </w:pPr>
            <w:r w:rsidRPr="00D41179">
              <w:rPr>
                <w:rFonts w:ascii="Arial Narrow" w:eastAsia="Calibri" w:hAnsi="Arial Narrow" w:cs="Calibri"/>
                <w:color w:val="000000"/>
                <w:sz w:val="20"/>
                <w:szCs w:val="20"/>
              </w:rPr>
              <w:t>1.2</w:t>
            </w:r>
          </w:p>
        </w:tc>
        <w:tc>
          <w:tcPr>
            <w:tcW w:w="364" w:type="pct"/>
            <w:noWrap/>
            <w:vAlign w:val="center"/>
            <w:hideMark/>
          </w:tcPr>
          <w:p w14:paraId="5C6192D2" w14:textId="77777777" w:rsidR="00224E1A" w:rsidRPr="00D41179" w:rsidRDefault="00224E1A">
            <w:pPr>
              <w:keepNext/>
              <w:jc w:val="center"/>
              <w:rPr>
                <w:rFonts w:ascii="Arial Narrow" w:hAnsi="Arial Narrow" w:cs="Calibri"/>
                <w:color w:val="000000"/>
                <w:sz w:val="20"/>
                <w:szCs w:val="20"/>
              </w:rPr>
            </w:pPr>
            <w:r w:rsidRPr="00D41179">
              <w:rPr>
                <w:rFonts w:ascii="Arial Narrow" w:eastAsia="Calibri" w:hAnsi="Arial Narrow" w:cs="Calibri"/>
                <w:color w:val="000000"/>
                <w:sz w:val="20"/>
                <w:szCs w:val="20"/>
              </w:rPr>
              <w:t>7,661</w:t>
            </w:r>
          </w:p>
        </w:tc>
        <w:tc>
          <w:tcPr>
            <w:tcW w:w="276" w:type="pct"/>
            <w:noWrap/>
            <w:vAlign w:val="center"/>
            <w:hideMark/>
          </w:tcPr>
          <w:p w14:paraId="264A78D4" w14:textId="77777777" w:rsidR="00224E1A" w:rsidRPr="00D41179" w:rsidRDefault="00224E1A">
            <w:pPr>
              <w:keepNext/>
              <w:jc w:val="center"/>
              <w:rPr>
                <w:rFonts w:ascii="Arial Narrow" w:hAnsi="Arial Narrow" w:cs="Calibri"/>
                <w:color w:val="000000"/>
                <w:sz w:val="20"/>
                <w:szCs w:val="20"/>
              </w:rPr>
            </w:pPr>
            <w:r w:rsidRPr="00D41179">
              <w:rPr>
                <w:rFonts w:ascii="Arial Narrow" w:eastAsia="Calibri" w:hAnsi="Arial Narrow" w:cs="Calibri"/>
                <w:color w:val="000000"/>
                <w:sz w:val="20"/>
                <w:szCs w:val="20"/>
              </w:rPr>
              <w:t>58</w:t>
            </w:r>
          </w:p>
        </w:tc>
        <w:tc>
          <w:tcPr>
            <w:tcW w:w="486" w:type="pct"/>
            <w:noWrap/>
            <w:vAlign w:val="center"/>
            <w:hideMark/>
          </w:tcPr>
          <w:p w14:paraId="120A1E22" w14:textId="77777777" w:rsidR="00224E1A" w:rsidRPr="00D41179" w:rsidRDefault="00224E1A">
            <w:pPr>
              <w:keepNext/>
              <w:jc w:val="center"/>
              <w:rPr>
                <w:rFonts w:ascii="Arial Narrow" w:hAnsi="Arial Narrow" w:cs="Calibri"/>
                <w:color w:val="000000"/>
                <w:sz w:val="20"/>
                <w:szCs w:val="20"/>
              </w:rPr>
            </w:pPr>
            <w:r w:rsidRPr="00D41179">
              <w:rPr>
                <w:rFonts w:ascii="Arial Narrow" w:eastAsia="Calibri" w:hAnsi="Arial Narrow" w:cs="Calibri"/>
                <w:color w:val="000000"/>
                <w:sz w:val="20"/>
                <w:szCs w:val="20"/>
              </w:rPr>
              <w:t>7,488.4</w:t>
            </w:r>
          </w:p>
        </w:tc>
        <w:tc>
          <w:tcPr>
            <w:tcW w:w="550" w:type="pct"/>
            <w:noWrap/>
            <w:vAlign w:val="center"/>
            <w:hideMark/>
          </w:tcPr>
          <w:p w14:paraId="2932ABE9" w14:textId="77777777" w:rsidR="00224E1A" w:rsidRPr="00D41179" w:rsidRDefault="00224E1A">
            <w:pPr>
              <w:keepNext/>
              <w:jc w:val="center"/>
              <w:rPr>
                <w:rFonts w:ascii="Arial Narrow" w:hAnsi="Arial Narrow" w:cs="Calibri"/>
                <w:color w:val="000000"/>
                <w:sz w:val="20"/>
                <w:szCs w:val="20"/>
              </w:rPr>
            </w:pPr>
            <w:r w:rsidRPr="00D41179">
              <w:rPr>
                <w:rFonts w:ascii="Arial Narrow" w:eastAsia="Calibri" w:hAnsi="Arial Narrow" w:cs="Calibri"/>
                <w:color w:val="000000"/>
                <w:sz w:val="20"/>
                <w:szCs w:val="20"/>
              </w:rPr>
              <w:t>7.7</w:t>
            </w:r>
          </w:p>
        </w:tc>
        <w:tc>
          <w:tcPr>
            <w:tcW w:w="947" w:type="pct"/>
            <w:noWrap/>
            <w:vAlign w:val="center"/>
            <w:hideMark/>
          </w:tcPr>
          <w:p w14:paraId="17F9CDE8" w14:textId="77777777" w:rsidR="00224E1A" w:rsidRPr="00D41179" w:rsidRDefault="00224E1A">
            <w:pPr>
              <w:keepNext/>
              <w:jc w:val="center"/>
              <w:rPr>
                <w:rFonts w:ascii="Arial Narrow" w:hAnsi="Arial Narrow" w:cs="Calibri"/>
                <w:color w:val="000000"/>
                <w:sz w:val="20"/>
                <w:szCs w:val="20"/>
              </w:rPr>
            </w:pPr>
            <w:r w:rsidRPr="00D41179">
              <w:rPr>
                <w:rFonts w:ascii="Arial Narrow" w:hAnsi="Arial Narrow" w:cs="Calibri"/>
                <w:color w:val="000000"/>
                <w:sz w:val="20"/>
                <w:szCs w:val="20"/>
              </w:rPr>
              <w:t>84.74 (68.99, 93.35)</w:t>
            </w:r>
          </w:p>
        </w:tc>
      </w:tr>
      <w:tr w:rsidR="00224E1A" w:rsidRPr="00D41179" w14:paraId="533AEB02" w14:textId="77777777">
        <w:trPr>
          <w:trHeight w:val="170"/>
          <w:jc w:val="center"/>
        </w:trPr>
        <w:tc>
          <w:tcPr>
            <w:tcW w:w="235" w:type="pct"/>
            <w:vMerge w:val="restart"/>
            <w:noWrap/>
            <w:vAlign w:val="center"/>
            <w:hideMark/>
          </w:tcPr>
          <w:p w14:paraId="3C4794B9" w14:textId="77777777" w:rsidR="00224E1A" w:rsidRPr="00D41179" w:rsidRDefault="00224E1A">
            <w:pPr>
              <w:keepNext/>
              <w:jc w:val="left"/>
              <w:rPr>
                <w:rFonts w:ascii="Arial Narrow" w:hAnsi="Arial Narrow" w:cs="Calibri"/>
                <w:b/>
                <w:bCs/>
                <w:color w:val="000000"/>
                <w:sz w:val="20"/>
                <w:szCs w:val="20"/>
              </w:rPr>
            </w:pPr>
            <w:r w:rsidRPr="00D41179">
              <w:rPr>
                <w:rFonts w:ascii="Arial Narrow" w:hAnsi="Arial Narrow" w:cs="Calibri"/>
                <w:b/>
                <w:bCs/>
                <w:color w:val="000000"/>
                <w:sz w:val="20"/>
                <w:szCs w:val="20"/>
              </w:rPr>
              <w:t>Y 4</w:t>
            </w:r>
          </w:p>
        </w:tc>
        <w:tc>
          <w:tcPr>
            <w:tcW w:w="397" w:type="pct"/>
            <w:shd w:val="clear" w:color="auto" w:fill="DAEEF3" w:themeFill="accent5" w:themeFillTint="33"/>
            <w:noWrap/>
            <w:vAlign w:val="center"/>
            <w:hideMark/>
          </w:tcPr>
          <w:p w14:paraId="212152A1" w14:textId="77777777" w:rsidR="00224E1A" w:rsidRPr="00D41179" w:rsidRDefault="00224E1A">
            <w:pPr>
              <w:keepNext/>
              <w:jc w:val="center"/>
              <w:rPr>
                <w:rFonts w:ascii="Arial Narrow" w:hAnsi="Arial Narrow" w:cs="Calibri"/>
                <w:color w:val="000000"/>
                <w:sz w:val="20"/>
                <w:szCs w:val="20"/>
              </w:rPr>
            </w:pPr>
            <w:r w:rsidRPr="00D41179">
              <w:rPr>
                <w:rFonts w:ascii="Arial Narrow" w:hAnsi="Arial Narrow" w:cs="Calibri"/>
                <w:color w:val="000000"/>
                <w:sz w:val="20"/>
                <w:szCs w:val="20"/>
              </w:rPr>
              <w:t>Overall</w:t>
            </w:r>
          </w:p>
        </w:tc>
        <w:tc>
          <w:tcPr>
            <w:tcW w:w="488" w:type="pct"/>
            <w:shd w:val="clear" w:color="auto" w:fill="DAEEF3" w:themeFill="accent5" w:themeFillTint="33"/>
            <w:noWrap/>
            <w:vAlign w:val="center"/>
            <w:hideMark/>
          </w:tcPr>
          <w:p w14:paraId="166BA0AA" w14:textId="77777777" w:rsidR="00224E1A" w:rsidRPr="00D41179" w:rsidRDefault="00224E1A">
            <w:pPr>
              <w:keepNext/>
              <w:jc w:val="center"/>
              <w:rPr>
                <w:rFonts w:ascii="Arial Narrow" w:hAnsi="Arial Narrow" w:cs="Calibri"/>
                <w:color w:val="000000"/>
                <w:sz w:val="20"/>
                <w:szCs w:val="20"/>
              </w:rPr>
            </w:pPr>
            <w:r w:rsidRPr="00D41179">
              <w:rPr>
                <w:rFonts w:ascii="Arial Narrow" w:eastAsia="Calibri" w:hAnsi="Arial Narrow" w:cs="Calibri"/>
                <w:color w:val="000000"/>
                <w:sz w:val="20"/>
                <w:szCs w:val="20"/>
              </w:rPr>
              <w:t>12,757</w:t>
            </w:r>
          </w:p>
        </w:tc>
        <w:tc>
          <w:tcPr>
            <w:tcW w:w="277" w:type="pct"/>
            <w:shd w:val="clear" w:color="auto" w:fill="DAEEF3" w:themeFill="accent5" w:themeFillTint="33"/>
            <w:noWrap/>
            <w:vAlign w:val="center"/>
            <w:hideMark/>
          </w:tcPr>
          <w:p w14:paraId="39FF59BF" w14:textId="77777777" w:rsidR="00224E1A" w:rsidRPr="00D41179" w:rsidRDefault="00224E1A">
            <w:pPr>
              <w:keepNext/>
              <w:jc w:val="center"/>
              <w:rPr>
                <w:rFonts w:ascii="Arial Narrow" w:hAnsi="Arial Narrow" w:cs="Calibri"/>
                <w:color w:val="000000"/>
                <w:sz w:val="20"/>
                <w:szCs w:val="20"/>
              </w:rPr>
            </w:pPr>
            <w:r w:rsidRPr="00D41179">
              <w:rPr>
                <w:rFonts w:ascii="Arial Narrow" w:eastAsia="Calibri" w:hAnsi="Arial Narrow" w:cs="Calibri"/>
                <w:color w:val="000000"/>
                <w:sz w:val="20"/>
                <w:szCs w:val="20"/>
              </w:rPr>
              <w:t>10</w:t>
            </w:r>
          </w:p>
        </w:tc>
        <w:tc>
          <w:tcPr>
            <w:tcW w:w="486" w:type="pct"/>
            <w:shd w:val="clear" w:color="auto" w:fill="DAEEF3" w:themeFill="accent5" w:themeFillTint="33"/>
            <w:noWrap/>
            <w:vAlign w:val="center"/>
            <w:hideMark/>
          </w:tcPr>
          <w:p w14:paraId="1422D2E0" w14:textId="77777777" w:rsidR="00224E1A" w:rsidRPr="00D41179" w:rsidRDefault="00224E1A">
            <w:pPr>
              <w:keepNext/>
              <w:jc w:val="center"/>
              <w:rPr>
                <w:rFonts w:ascii="Arial Narrow" w:hAnsi="Arial Narrow" w:cs="Calibri"/>
                <w:color w:val="000000"/>
                <w:sz w:val="20"/>
                <w:szCs w:val="20"/>
              </w:rPr>
            </w:pPr>
            <w:r w:rsidRPr="00D41179">
              <w:rPr>
                <w:rFonts w:ascii="Arial Narrow" w:eastAsia="Calibri" w:hAnsi="Arial Narrow" w:cs="Calibri"/>
                <w:color w:val="000000"/>
                <w:sz w:val="20"/>
                <w:szCs w:val="20"/>
              </w:rPr>
              <w:t>12,946.7</w:t>
            </w:r>
          </w:p>
        </w:tc>
        <w:tc>
          <w:tcPr>
            <w:tcW w:w="493" w:type="pct"/>
            <w:shd w:val="clear" w:color="auto" w:fill="DAEEF3" w:themeFill="accent5" w:themeFillTint="33"/>
            <w:noWrap/>
            <w:vAlign w:val="center"/>
            <w:hideMark/>
          </w:tcPr>
          <w:p w14:paraId="170090BA" w14:textId="77777777" w:rsidR="00224E1A" w:rsidRPr="00D41179" w:rsidRDefault="00224E1A">
            <w:pPr>
              <w:keepNext/>
              <w:jc w:val="center"/>
              <w:rPr>
                <w:rFonts w:ascii="Arial Narrow" w:hAnsi="Arial Narrow" w:cs="Calibri"/>
                <w:color w:val="000000"/>
                <w:sz w:val="20"/>
                <w:szCs w:val="20"/>
              </w:rPr>
            </w:pPr>
            <w:r w:rsidRPr="00D41179">
              <w:rPr>
                <w:rFonts w:ascii="Arial Narrow" w:eastAsia="Calibri" w:hAnsi="Arial Narrow" w:cs="Calibri"/>
                <w:color w:val="000000"/>
                <w:sz w:val="20"/>
                <w:szCs w:val="20"/>
              </w:rPr>
              <w:t>0.8</w:t>
            </w:r>
          </w:p>
        </w:tc>
        <w:tc>
          <w:tcPr>
            <w:tcW w:w="364" w:type="pct"/>
            <w:shd w:val="clear" w:color="auto" w:fill="DAEEF3" w:themeFill="accent5" w:themeFillTint="33"/>
            <w:noWrap/>
            <w:vAlign w:val="center"/>
            <w:hideMark/>
          </w:tcPr>
          <w:p w14:paraId="0BBCEFA3" w14:textId="77777777" w:rsidR="00224E1A" w:rsidRPr="00D41179" w:rsidRDefault="00224E1A">
            <w:pPr>
              <w:keepNext/>
              <w:jc w:val="center"/>
              <w:rPr>
                <w:rFonts w:ascii="Arial Narrow" w:hAnsi="Arial Narrow" w:cs="Calibri"/>
                <w:color w:val="000000"/>
                <w:sz w:val="20"/>
                <w:szCs w:val="20"/>
              </w:rPr>
            </w:pPr>
            <w:r w:rsidRPr="00D41179">
              <w:rPr>
                <w:rFonts w:ascii="Arial Narrow" w:eastAsia="Calibri" w:hAnsi="Arial Narrow" w:cs="Calibri"/>
                <w:color w:val="000000"/>
                <w:sz w:val="20"/>
                <w:szCs w:val="20"/>
              </w:rPr>
              <w:t>12,517</w:t>
            </w:r>
          </w:p>
        </w:tc>
        <w:tc>
          <w:tcPr>
            <w:tcW w:w="276" w:type="pct"/>
            <w:shd w:val="clear" w:color="auto" w:fill="DAEEF3" w:themeFill="accent5" w:themeFillTint="33"/>
            <w:noWrap/>
            <w:vAlign w:val="center"/>
            <w:hideMark/>
          </w:tcPr>
          <w:p w14:paraId="6A41FF4D" w14:textId="77777777" w:rsidR="00224E1A" w:rsidRPr="00D41179" w:rsidRDefault="00224E1A">
            <w:pPr>
              <w:keepNext/>
              <w:jc w:val="center"/>
              <w:rPr>
                <w:rFonts w:ascii="Arial Narrow" w:hAnsi="Arial Narrow" w:cs="Calibri"/>
                <w:color w:val="000000"/>
                <w:sz w:val="20"/>
                <w:szCs w:val="20"/>
              </w:rPr>
            </w:pPr>
            <w:r w:rsidRPr="00D41179">
              <w:rPr>
                <w:rFonts w:ascii="Arial Narrow" w:eastAsia="Calibri" w:hAnsi="Arial Narrow" w:cs="Calibri"/>
                <w:color w:val="000000"/>
                <w:sz w:val="20"/>
                <w:szCs w:val="20"/>
              </w:rPr>
              <w:t>95</w:t>
            </w:r>
          </w:p>
        </w:tc>
        <w:tc>
          <w:tcPr>
            <w:tcW w:w="486" w:type="pct"/>
            <w:shd w:val="clear" w:color="auto" w:fill="DAEEF3" w:themeFill="accent5" w:themeFillTint="33"/>
            <w:noWrap/>
            <w:vAlign w:val="center"/>
            <w:hideMark/>
          </w:tcPr>
          <w:p w14:paraId="00EC2AEE" w14:textId="77777777" w:rsidR="00224E1A" w:rsidRPr="00D41179" w:rsidRDefault="00224E1A">
            <w:pPr>
              <w:keepNext/>
              <w:jc w:val="center"/>
              <w:rPr>
                <w:rFonts w:ascii="Arial Narrow" w:hAnsi="Arial Narrow" w:cs="Calibri"/>
                <w:color w:val="000000"/>
                <w:sz w:val="20"/>
                <w:szCs w:val="20"/>
              </w:rPr>
            </w:pPr>
            <w:r w:rsidRPr="00D41179">
              <w:rPr>
                <w:rFonts w:ascii="Arial Narrow" w:eastAsia="Calibri" w:hAnsi="Arial Narrow" w:cs="Calibri"/>
                <w:color w:val="000000"/>
                <w:sz w:val="20"/>
                <w:szCs w:val="20"/>
              </w:rPr>
              <w:t>12,637.4</w:t>
            </w:r>
          </w:p>
        </w:tc>
        <w:tc>
          <w:tcPr>
            <w:tcW w:w="550" w:type="pct"/>
            <w:shd w:val="clear" w:color="auto" w:fill="DAEEF3" w:themeFill="accent5" w:themeFillTint="33"/>
            <w:noWrap/>
            <w:vAlign w:val="center"/>
            <w:hideMark/>
          </w:tcPr>
          <w:p w14:paraId="7F37ACE5" w14:textId="77777777" w:rsidR="00224E1A" w:rsidRPr="00D41179" w:rsidRDefault="00224E1A">
            <w:pPr>
              <w:keepNext/>
              <w:jc w:val="center"/>
              <w:rPr>
                <w:rFonts w:ascii="Arial Narrow" w:hAnsi="Arial Narrow" w:cs="Calibri"/>
                <w:color w:val="000000"/>
                <w:sz w:val="20"/>
                <w:szCs w:val="20"/>
              </w:rPr>
            </w:pPr>
            <w:r w:rsidRPr="00D41179">
              <w:rPr>
                <w:rFonts w:ascii="Arial Narrow" w:eastAsia="Calibri" w:hAnsi="Arial Narrow" w:cs="Calibri"/>
                <w:color w:val="000000"/>
                <w:sz w:val="20"/>
                <w:szCs w:val="20"/>
              </w:rPr>
              <w:t>7.5</w:t>
            </w:r>
          </w:p>
        </w:tc>
        <w:tc>
          <w:tcPr>
            <w:tcW w:w="947" w:type="pct"/>
            <w:shd w:val="clear" w:color="auto" w:fill="DAEEF3" w:themeFill="accent5" w:themeFillTint="33"/>
            <w:noWrap/>
            <w:vAlign w:val="center"/>
            <w:hideMark/>
          </w:tcPr>
          <w:p w14:paraId="15F0D57D" w14:textId="77777777" w:rsidR="00224E1A" w:rsidRPr="00D41179" w:rsidRDefault="00224E1A">
            <w:pPr>
              <w:keepNext/>
              <w:jc w:val="center"/>
              <w:rPr>
                <w:rFonts w:ascii="Arial Narrow" w:hAnsi="Arial Narrow" w:cs="Calibri"/>
                <w:color w:val="000000"/>
                <w:sz w:val="20"/>
                <w:szCs w:val="20"/>
              </w:rPr>
            </w:pPr>
            <w:r w:rsidRPr="00D41179">
              <w:rPr>
                <w:rFonts w:ascii="Arial Narrow" w:hAnsi="Arial Narrow" w:cs="Calibri"/>
                <w:color w:val="000000"/>
                <w:sz w:val="20"/>
                <w:szCs w:val="20"/>
              </w:rPr>
              <w:t>89.75 (80.31, 95.24)</w:t>
            </w:r>
          </w:p>
        </w:tc>
      </w:tr>
      <w:tr w:rsidR="00224E1A" w:rsidRPr="00D41179" w14:paraId="2683542D" w14:textId="77777777">
        <w:trPr>
          <w:trHeight w:val="170"/>
          <w:jc w:val="center"/>
        </w:trPr>
        <w:tc>
          <w:tcPr>
            <w:tcW w:w="235" w:type="pct"/>
            <w:vMerge/>
            <w:vAlign w:val="center"/>
            <w:hideMark/>
          </w:tcPr>
          <w:p w14:paraId="16569A53" w14:textId="77777777" w:rsidR="00224E1A" w:rsidRPr="00D41179" w:rsidRDefault="00224E1A">
            <w:pPr>
              <w:jc w:val="left"/>
              <w:rPr>
                <w:rFonts w:ascii="Arial Narrow" w:hAnsi="Arial Narrow" w:cs="Calibri"/>
                <w:color w:val="000000"/>
                <w:sz w:val="20"/>
                <w:szCs w:val="20"/>
              </w:rPr>
            </w:pPr>
          </w:p>
        </w:tc>
        <w:tc>
          <w:tcPr>
            <w:tcW w:w="397" w:type="pct"/>
            <w:noWrap/>
            <w:vAlign w:val="center"/>
            <w:hideMark/>
          </w:tcPr>
          <w:p w14:paraId="136B1987" w14:textId="77777777" w:rsidR="00224E1A" w:rsidRPr="00D41179" w:rsidRDefault="00224E1A">
            <w:pPr>
              <w:jc w:val="center"/>
              <w:rPr>
                <w:rFonts w:ascii="Arial Narrow" w:hAnsi="Arial Narrow" w:cs="Calibri"/>
                <w:color w:val="000000"/>
                <w:sz w:val="20"/>
                <w:szCs w:val="20"/>
              </w:rPr>
            </w:pPr>
            <w:r w:rsidRPr="00D41179">
              <w:rPr>
                <w:rFonts w:ascii="Arial Narrow" w:hAnsi="Arial Narrow" w:cs="Calibri"/>
                <w:color w:val="000000"/>
                <w:sz w:val="20"/>
                <w:szCs w:val="20"/>
              </w:rPr>
              <w:t>50-59</w:t>
            </w:r>
          </w:p>
        </w:tc>
        <w:tc>
          <w:tcPr>
            <w:tcW w:w="488" w:type="pct"/>
            <w:noWrap/>
            <w:vAlign w:val="center"/>
            <w:hideMark/>
          </w:tcPr>
          <w:p w14:paraId="0EBF0C70" w14:textId="77777777" w:rsidR="00224E1A" w:rsidRPr="00D41179" w:rsidRDefault="00224E1A">
            <w:pPr>
              <w:jc w:val="center"/>
              <w:rPr>
                <w:rFonts w:ascii="Arial Narrow" w:hAnsi="Arial Narrow" w:cs="Calibri"/>
                <w:color w:val="000000"/>
                <w:sz w:val="20"/>
                <w:szCs w:val="20"/>
              </w:rPr>
            </w:pPr>
            <w:r w:rsidRPr="00D41179">
              <w:rPr>
                <w:rFonts w:ascii="Arial Narrow" w:eastAsia="Calibri" w:hAnsi="Arial Narrow" w:cs="Calibri"/>
                <w:color w:val="000000"/>
                <w:sz w:val="20"/>
                <w:szCs w:val="20"/>
              </w:rPr>
              <w:t>3,301</w:t>
            </w:r>
          </w:p>
        </w:tc>
        <w:tc>
          <w:tcPr>
            <w:tcW w:w="277" w:type="pct"/>
            <w:noWrap/>
            <w:vAlign w:val="center"/>
            <w:hideMark/>
          </w:tcPr>
          <w:p w14:paraId="524CE799" w14:textId="77777777" w:rsidR="00224E1A" w:rsidRPr="00D41179" w:rsidRDefault="00224E1A">
            <w:pPr>
              <w:jc w:val="center"/>
              <w:rPr>
                <w:rFonts w:ascii="Arial Narrow" w:hAnsi="Arial Narrow" w:cs="Calibri"/>
                <w:color w:val="000000"/>
                <w:sz w:val="20"/>
                <w:szCs w:val="20"/>
              </w:rPr>
            </w:pPr>
            <w:r w:rsidRPr="00D41179">
              <w:rPr>
                <w:rFonts w:ascii="Arial Narrow" w:eastAsia="Calibri" w:hAnsi="Arial Narrow" w:cs="Calibri"/>
                <w:color w:val="000000"/>
                <w:sz w:val="20"/>
                <w:szCs w:val="20"/>
              </w:rPr>
              <w:t>1</w:t>
            </w:r>
          </w:p>
        </w:tc>
        <w:tc>
          <w:tcPr>
            <w:tcW w:w="486" w:type="pct"/>
            <w:noWrap/>
            <w:vAlign w:val="center"/>
            <w:hideMark/>
          </w:tcPr>
          <w:p w14:paraId="6B5DBA49" w14:textId="77777777" w:rsidR="00224E1A" w:rsidRPr="00D41179" w:rsidRDefault="00224E1A">
            <w:pPr>
              <w:jc w:val="center"/>
              <w:rPr>
                <w:rFonts w:ascii="Arial Narrow" w:hAnsi="Arial Narrow" w:cs="Calibri"/>
                <w:color w:val="000000"/>
                <w:sz w:val="20"/>
                <w:szCs w:val="20"/>
              </w:rPr>
            </w:pPr>
            <w:r w:rsidRPr="00D41179">
              <w:rPr>
                <w:rFonts w:ascii="Arial Narrow" w:eastAsia="Calibri" w:hAnsi="Arial Narrow" w:cs="Calibri"/>
                <w:color w:val="000000"/>
                <w:sz w:val="20"/>
                <w:szCs w:val="20"/>
              </w:rPr>
              <w:t>3,576.2</w:t>
            </w:r>
          </w:p>
        </w:tc>
        <w:tc>
          <w:tcPr>
            <w:tcW w:w="493" w:type="pct"/>
            <w:noWrap/>
            <w:vAlign w:val="center"/>
            <w:hideMark/>
          </w:tcPr>
          <w:p w14:paraId="05C07D55" w14:textId="77777777" w:rsidR="00224E1A" w:rsidRPr="00D41179" w:rsidRDefault="00224E1A">
            <w:pPr>
              <w:jc w:val="center"/>
              <w:rPr>
                <w:rFonts w:ascii="Arial Narrow" w:hAnsi="Arial Narrow" w:cs="Calibri"/>
                <w:color w:val="000000"/>
                <w:sz w:val="20"/>
                <w:szCs w:val="20"/>
              </w:rPr>
            </w:pPr>
            <w:r w:rsidRPr="00D41179">
              <w:rPr>
                <w:rFonts w:ascii="Arial Narrow" w:eastAsia="Calibri" w:hAnsi="Arial Narrow" w:cs="Calibri"/>
                <w:color w:val="000000"/>
                <w:sz w:val="20"/>
                <w:szCs w:val="20"/>
              </w:rPr>
              <w:t>0.3</w:t>
            </w:r>
          </w:p>
        </w:tc>
        <w:tc>
          <w:tcPr>
            <w:tcW w:w="364" w:type="pct"/>
            <w:noWrap/>
            <w:vAlign w:val="center"/>
            <w:hideMark/>
          </w:tcPr>
          <w:p w14:paraId="4494CE44" w14:textId="77777777" w:rsidR="00224E1A" w:rsidRPr="00D41179" w:rsidRDefault="00224E1A">
            <w:pPr>
              <w:jc w:val="center"/>
              <w:rPr>
                <w:rFonts w:ascii="Arial Narrow" w:hAnsi="Arial Narrow" w:cs="Calibri"/>
                <w:color w:val="000000"/>
                <w:sz w:val="20"/>
                <w:szCs w:val="20"/>
              </w:rPr>
            </w:pPr>
            <w:r w:rsidRPr="00D41179">
              <w:rPr>
                <w:rFonts w:ascii="Arial Narrow" w:eastAsia="Calibri" w:hAnsi="Arial Narrow" w:cs="Calibri"/>
                <w:color w:val="000000"/>
                <w:sz w:val="20"/>
                <w:szCs w:val="20"/>
              </w:rPr>
              <w:t>3,272</w:t>
            </w:r>
          </w:p>
        </w:tc>
        <w:tc>
          <w:tcPr>
            <w:tcW w:w="276" w:type="pct"/>
            <w:noWrap/>
            <w:vAlign w:val="center"/>
            <w:hideMark/>
          </w:tcPr>
          <w:p w14:paraId="1BB9DCE0" w14:textId="77777777" w:rsidR="00224E1A" w:rsidRPr="00D41179" w:rsidRDefault="00224E1A">
            <w:pPr>
              <w:jc w:val="center"/>
              <w:rPr>
                <w:rFonts w:ascii="Arial Narrow" w:hAnsi="Arial Narrow" w:cs="Calibri"/>
                <w:color w:val="000000"/>
                <w:sz w:val="20"/>
                <w:szCs w:val="20"/>
              </w:rPr>
            </w:pPr>
            <w:r w:rsidRPr="00D41179">
              <w:rPr>
                <w:rFonts w:ascii="Arial Narrow" w:eastAsia="Calibri" w:hAnsi="Arial Narrow" w:cs="Calibri"/>
                <w:color w:val="000000"/>
                <w:sz w:val="20"/>
                <w:szCs w:val="20"/>
              </w:rPr>
              <w:t>16</w:t>
            </w:r>
          </w:p>
        </w:tc>
        <w:tc>
          <w:tcPr>
            <w:tcW w:w="486" w:type="pct"/>
            <w:noWrap/>
            <w:vAlign w:val="center"/>
            <w:hideMark/>
          </w:tcPr>
          <w:p w14:paraId="445B2C81" w14:textId="77777777" w:rsidR="00224E1A" w:rsidRPr="00D41179" w:rsidRDefault="00224E1A">
            <w:pPr>
              <w:jc w:val="center"/>
              <w:rPr>
                <w:rFonts w:ascii="Arial Narrow" w:hAnsi="Arial Narrow" w:cs="Calibri"/>
                <w:color w:val="000000"/>
                <w:sz w:val="20"/>
                <w:szCs w:val="20"/>
              </w:rPr>
            </w:pPr>
            <w:r w:rsidRPr="00D41179">
              <w:rPr>
                <w:rFonts w:ascii="Arial Narrow" w:eastAsia="Calibri" w:hAnsi="Arial Narrow" w:cs="Calibri"/>
                <w:color w:val="000000"/>
                <w:sz w:val="20"/>
                <w:szCs w:val="20"/>
              </w:rPr>
              <w:t>3,534.1</w:t>
            </w:r>
          </w:p>
        </w:tc>
        <w:tc>
          <w:tcPr>
            <w:tcW w:w="550" w:type="pct"/>
            <w:noWrap/>
            <w:vAlign w:val="center"/>
            <w:hideMark/>
          </w:tcPr>
          <w:p w14:paraId="78C7345D" w14:textId="77777777" w:rsidR="00224E1A" w:rsidRPr="00D41179" w:rsidRDefault="00224E1A">
            <w:pPr>
              <w:jc w:val="center"/>
              <w:rPr>
                <w:rFonts w:ascii="Arial Narrow" w:hAnsi="Arial Narrow" w:cs="Calibri"/>
                <w:color w:val="000000"/>
                <w:sz w:val="20"/>
                <w:szCs w:val="20"/>
              </w:rPr>
            </w:pPr>
            <w:r w:rsidRPr="00D41179">
              <w:rPr>
                <w:rFonts w:ascii="Arial Narrow" w:eastAsia="Calibri" w:hAnsi="Arial Narrow" w:cs="Calibri"/>
                <w:color w:val="000000"/>
                <w:sz w:val="20"/>
                <w:szCs w:val="20"/>
              </w:rPr>
              <w:t>4.5</w:t>
            </w:r>
          </w:p>
        </w:tc>
        <w:tc>
          <w:tcPr>
            <w:tcW w:w="947" w:type="pct"/>
            <w:noWrap/>
            <w:vAlign w:val="center"/>
            <w:hideMark/>
          </w:tcPr>
          <w:p w14:paraId="0D30DC62" w14:textId="77777777" w:rsidR="00224E1A" w:rsidRPr="00D41179" w:rsidRDefault="00224E1A">
            <w:pPr>
              <w:jc w:val="center"/>
              <w:rPr>
                <w:rFonts w:ascii="Arial Narrow" w:hAnsi="Arial Narrow" w:cs="Calibri"/>
                <w:color w:val="000000"/>
                <w:sz w:val="20"/>
                <w:szCs w:val="20"/>
              </w:rPr>
            </w:pPr>
            <w:r w:rsidRPr="00D41179">
              <w:rPr>
                <w:rFonts w:ascii="Arial Narrow" w:hAnsi="Arial Narrow" w:cs="Calibri"/>
                <w:color w:val="000000"/>
                <w:sz w:val="20"/>
                <w:szCs w:val="20"/>
              </w:rPr>
              <w:t>93.88 (60.62, 99.85)</w:t>
            </w:r>
          </w:p>
        </w:tc>
      </w:tr>
      <w:tr w:rsidR="00224E1A" w:rsidRPr="00D41179" w14:paraId="47F4E7F7" w14:textId="77777777">
        <w:trPr>
          <w:trHeight w:val="170"/>
          <w:jc w:val="center"/>
        </w:trPr>
        <w:tc>
          <w:tcPr>
            <w:tcW w:w="235" w:type="pct"/>
            <w:vMerge/>
            <w:vAlign w:val="center"/>
            <w:hideMark/>
          </w:tcPr>
          <w:p w14:paraId="1740FB25" w14:textId="77777777" w:rsidR="00224E1A" w:rsidRPr="00D41179" w:rsidRDefault="00224E1A">
            <w:pPr>
              <w:jc w:val="left"/>
              <w:rPr>
                <w:rFonts w:ascii="Arial Narrow" w:hAnsi="Arial Narrow" w:cs="Calibri"/>
                <w:color w:val="000000"/>
                <w:sz w:val="20"/>
                <w:szCs w:val="20"/>
              </w:rPr>
            </w:pPr>
          </w:p>
        </w:tc>
        <w:tc>
          <w:tcPr>
            <w:tcW w:w="397" w:type="pct"/>
            <w:noWrap/>
            <w:vAlign w:val="center"/>
            <w:hideMark/>
          </w:tcPr>
          <w:p w14:paraId="32EF8825" w14:textId="77777777" w:rsidR="00224E1A" w:rsidRPr="00D41179" w:rsidRDefault="00224E1A">
            <w:pPr>
              <w:jc w:val="center"/>
              <w:rPr>
                <w:rFonts w:ascii="Arial Narrow" w:hAnsi="Arial Narrow" w:cs="Calibri"/>
                <w:color w:val="000000"/>
                <w:sz w:val="20"/>
                <w:szCs w:val="20"/>
              </w:rPr>
            </w:pPr>
            <w:r w:rsidRPr="00D41179">
              <w:rPr>
                <w:rFonts w:ascii="Arial Narrow" w:hAnsi="Arial Narrow" w:cs="Calibri"/>
                <w:color w:val="000000"/>
                <w:sz w:val="20"/>
                <w:szCs w:val="20"/>
              </w:rPr>
              <w:t>60-69</w:t>
            </w:r>
          </w:p>
        </w:tc>
        <w:tc>
          <w:tcPr>
            <w:tcW w:w="488" w:type="pct"/>
            <w:noWrap/>
            <w:vAlign w:val="center"/>
            <w:hideMark/>
          </w:tcPr>
          <w:p w14:paraId="2A46B4C8" w14:textId="77777777" w:rsidR="00224E1A" w:rsidRPr="00D41179" w:rsidRDefault="00224E1A">
            <w:pPr>
              <w:jc w:val="center"/>
              <w:rPr>
                <w:rFonts w:ascii="Arial Narrow" w:hAnsi="Arial Narrow" w:cs="Calibri"/>
                <w:color w:val="000000"/>
                <w:sz w:val="20"/>
                <w:szCs w:val="20"/>
              </w:rPr>
            </w:pPr>
            <w:r w:rsidRPr="00D41179">
              <w:rPr>
                <w:rFonts w:ascii="Arial Narrow" w:eastAsia="Calibri" w:hAnsi="Arial Narrow" w:cs="Calibri"/>
                <w:color w:val="000000"/>
                <w:sz w:val="20"/>
                <w:szCs w:val="20"/>
              </w:rPr>
              <w:t>2,030</w:t>
            </w:r>
          </w:p>
        </w:tc>
        <w:tc>
          <w:tcPr>
            <w:tcW w:w="277" w:type="pct"/>
            <w:noWrap/>
            <w:vAlign w:val="center"/>
            <w:hideMark/>
          </w:tcPr>
          <w:p w14:paraId="75921F1D" w14:textId="77777777" w:rsidR="00224E1A" w:rsidRPr="00D41179" w:rsidRDefault="00224E1A">
            <w:pPr>
              <w:jc w:val="center"/>
              <w:rPr>
                <w:rFonts w:ascii="Arial Narrow" w:hAnsi="Arial Narrow" w:cs="Calibri"/>
                <w:color w:val="000000"/>
                <w:sz w:val="20"/>
                <w:szCs w:val="20"/>
              </w:rPr>
            </w:pPr>
            <w:r w:rsidRPr="00D41179">
              <w:rPr>
                <w:rFonts w:ascii="Arial Narrow" w:eastAsia="Calibri" w:hAnsi="Arial Narrow" w:cs="Calibri"/>
                <w:color w:val="000000"/>
                <w:sz w:val="20"/>
                <w:szCs w:val="20"/>
              </w:rPr>
              <w:t>2</w:t>
            </w:r>
          </w:p>
        </w:tc>
        <w:tc>
          <w:tcPr>
            <w:tcW w:w="486" w:type="pct"/>
            <w:noWrap/>
            <w:vAlign w:val="center"/>
            <w:hideMark/>
          </w:tcPr>
          <w:p w14:paraId="01C0A02A" w14:textId="77777777" w:rsidR="00224E1A" w:rsidRPr="00D41179" w:rsidRDefault="00224E1A">
            <w:pPr>
              <w:jc w:val="center"/>
              <w:rPr>
                <w:rFonts w:ascii="Arial Narrow" w:hAnsi="Arial Narrow" w:cs="Calibri"/>
                <w:color w:val="000000"/>
                <w:sz w:val="20"/>
                <w:szCs w:val="20"/>
              </w:rPr>
            </w:pPr>
            <w:r w:rsidRPr="00D41179">
              <w:rPr>
                <w:rFonts w:ascii="Arial Narrow" w:eastAsia="Calibri" w:hAnsi="Arial Narrow" w:cs="Calibri"/>
                <w:color w:val="000000"/>
                <w:sz w:val="20"/>
                <w:szCs w:val="20"/>
              </w:rPr>
              <w:t>2,330.2</w:t>
            </w:r>
          </w:p>
        </w:tc>
        <w:tc>
          <w:tcPr>
            <w:tcW w:w="493" w:type="pct"/>
            <w:noWrap/>
            <w:vAlign w:val="center"/>
            <w:hideMark/>
          </w:tcPr>
          <w:p w14:paraId="55CD0BDA" w14:textId="77777777" w:rsidR="00224E1A" w:rsidRPr="00D41179" w:rsidRDefault="00224E1A">
            <w:pPr>
              <w:jc w:val="center"/>
              <w:rPr>
                <w:rFonts w:ascii="Arial Narrow" w:hAnsi="Arial Narrow" w:cs="Calibri"/>
                <w:color w:val="000000"/>
                <w:sz w:val="20"/>
                <w:szCs w:val="20"/>
              </w:rPr>
            </w:pPr>
            <w:r w:rsidRPr="00D41179">
              <w:rPr>
                <w:rFonts w:ascii="Arial Narrow" w:eastAsia="Calibri" w:hAnsi="Arial Narrow" w:cs="Calibri"/>
                <w:color w:val="000000"/>
                <w:sz w:val="20"/>
                <w:szCs w:val="20"/>
              </w:rPr>
              <w:t>0.9</w:t>
            </w:r>
          </w:p>
        </w:tc>
        <w:tc>
          <w:tcPr>
            <w:tcW w:w="364" w:type="pct"/>
            <w:noWrap/>
            <w:vAlign w:val="center"/>
            <w:hideMark/>
          </w:tcPr>
          <w:p w14:paraId="364C8490" w14:textId="77777777" w:rsidR="00224E1A" w:rsidRPr="00D41179" w:rsidRDefault="00224E1A">
            <w:pPr>
              <w:jc w:val="center"/>
              <w:rPr>
                <w:rFonts w:ascii="Arial Narrow" w:hAnsi="Arial Narrow" w:cs="Calibri"/>
                <w:color w:val="000000"/>
                <w:sz w:val="20"/>
                <w:szCs w:val="20"/>
              </w:rPr>
            </w:pPr>
            <w:r w:rsidRPr="00D41179">
              <w:rPr>
                <w:rFonts w:ascii="Arial Narrow" w:eastAsia="Calibri" w:hAnsi="Arial Narrow" w:cs="Calibri"/>
                <w:color w:val="000000"/>
                <w:sz w:val="20"/>
                <w:szCs w:val="20"/>
              </w:rPr>
              <w:t>1,978</w:t>
            </w:r>
          </w:p>
        </w:tc>
        <w:tc>
          <w:tcPr>
            <w:tcW w:w="276" w:type="pct"/>
            <w:noWrap/>
            <w:vAlign w:val="center"/>
            <w:hideMark/>
          </w:tcPr>
          <w:p w14:paraId="3086550A" w14:textId="77777777" w:rsidR="00224E1A" w:rsidRPr="00D41179" w:rsidRDefault="00224E1A">
            <w:pPr>
              <w:jc w:val="center"/>
              <w:rPr>
                <w:rFonts w:ascii="Arial Narrow" w:hAnsi="Arial Narrow" w:cs="Calibri"/>
                <w:color w:val="000000"/>
                <w:sz w:val="20"/>
                <w:szCs w:val="20"/>
              </w:rPr>
            </w:pPr>
            <w:r w:rsidRPr="00D41179">
              <w:rPr>
                <w:rFonts w:ascii="Arial Narrow" w:eastAsia="Calibri" w:hAnsi="Arial Narrow" w:cs="Calibri"/>
                <w:color w:val="000000"/>
                <w:sz w:val="20"/>
                <w:szCs w:val="20"/>
              </w:rPr>
              <w:t>23</w:t>
            </w:r>
          </w:p>
        </w:tc>
        <w:tc>
          <w:tcPr>
            <w:tcW w:w="486" w:type="pct"/>
            <w:noWrap/>
            <w:vAlign w:val="center"/>
            <w:hideMark/>
          </w:tcPr>
          <w:p w14:paraId="2C793A79" w14:textId="77777777" w:rsidR="00224E1A" w:rsidRPr="00D41179" w:rsidRDefault="00224E1A">
            <w:pPr>
              <w:jc w:val="center"/>
              <w:rPr>
                <w:rFonts w:ascii="Arial Narrow" w:hAnsi="Arial Narrow" w:cs="Calibri"/>
                <w:color w:val="000000"/>
                <w:sz w:val="20"/>
                <w:szCs w:val="20"/>
              </w:rPr>
            </w:pPr>
            <w:r w:rsidRPr="00D41179">
              <w:rPr>
                <w:rFonts w:ascii="Arial Narrow" w:eastAsia="Calibri" w:hAnsi="Arial Narrow" w:cs="Calibri"/>
                <w:color w:val="000000"/>
                <w:sz w:val="20"/>
                <w:szCs w:val="20"/>
              </w:rPr>
              <w:t>2,243.8</w:t>
            </w:r>
          </w:p>
        </w:tc>
        <w:tc>
          <w:tcPr>
            <w:tcW w:w="550" w:type="pct"/>
            <w:noWrap/>
            <w:vAlign w:val="center"/>
            <w:hideMark/>
          </w:tcPr>
          <w:p w14:paraId="41C505A1" w14:textId="77777777" w:rsidR="00224E1A" w:rsidRPr="00D41179" w:rsidRDefault="00224E1A">
            <w:pPr>
              <w:jc w:val="center"/>
              <w:rPr>
                <w:rFonts w:ascii="Arial Narrow" w:hAnsi="Arial Narrow" w:cs="Calibri"/>
                <w:color w:val="000000"/>
                <w:sz w:val="20"/>
                <w:szCs w:val="20"/>
              </w:rPr>
            </w:pPr>
            <w:r w:rsidRPr="00D41179">
              <w:rPr>
                <w:rFonts w:ascii="Arial Narrow" w:eastAsia="Calibri" w:hAnsi="Arial Narrow" w:cs="Calibri"/>
                <w:color w:val="000000"/>
                <w:sz w:val="20"/>
                <w:szCs w:val="20"/>
              </w:rPr>
              <w:t>10.3</w:t>
            </w:r>
          </w:p>
        </w:tc>
        <w:tc>
          <w:tcPr>
            <w:tcW w:w="947" w:type="pct"/>
            <w:noWrap/>
            <w:vAlign w:val="center"/>
            <w:hideMark/>
          </w:tcPr>
          <w:p w14:paraId="3E75CAE1" w14:textId="77777777" w:rsidR="00224E1A" w:rsidRPr="00D41179" w:rsidRDefault="00224E1A">
            <w:pPr>
              <w:jc w:val="center"/>
              <w:rPr>
                <w:rFonts w:ascii="Arial Narrow" w:hAnsi="Arial Narrow" w:cs="Calibri"/>
                <w:color w:val="000000"/>
                <w:sz w:val="20"/>
                <w:szCs w:val="20"/>
              </w:rPr>
            </w:pPr>
            <w:r w:rsidRPr="00D41179">
              <w:rPr>
                <w:rFonts w:ascii="Arial Narrow" w:hAnsi="Arial Narrow" w:cs="Calibri"/>
                <w:color w:val="000000"/>
                <w:sz w:val="20"/>
                <w:szCs w:val="20"/>
              </w:rPr>
              <w:t>91.62 (66.10, 99.04)</w:t>
            </w:r>
          </w:p>
        </w:tc>
      </w:tr>
      <w:tr w:rsidR="00224E1A" w:rsidRPr="00D41179" w14:paraId="775DCECE" w14:textId="77777777">
        <w:trPr>
          <w:trHeight w:val="170"/>
          <w:jc w:val="center"/>
        </w:trPr>
        <w:tc>
          <w:tcPr>
            <w:tcW w:w="235" w:type="pct"/>
            <w:vMerge/>
            <w:vAlign w:val="center"/>
            <w:hideMark/>
          </w:tcPr>
          <w:p w14:paraId="1973BA7C" w14:textId="77777777" w:rsidR="00224E1A" w:rsidRPr="00D41179" w:rsidRDefault="00224E1A">
            <w:pPr>
              <w:jc w:val="left"/>
              <w:rPr>
                <w:rFonts w:ascii="Arial Narrow" w:hAnsi="Arial Narrow" w:cs="Calibri"/>
                <w:color w:val="000000"/>
                <w:sz w:val="20"/>
                <w:szCs w:val="20"/>
              </w:rPr>
            </w:pPr>
          </w:p>
        </w:tc>
        <w:tc>
          <w:tcPr>
            <w:tcW w:w="397" w:type="pct"/>
            <w:noWrap/>
            <w:vAlign w:val="center"/>
            <w:hideMark/>
          </w:tcPr>
          <w:p w14:paraId="07C5F307" w14:textId="77777777" w:rsidR="00224E1A" w:rsidRPr="00D41179" w:rsidRDefault="00224E1A">
            <w:pPr>
              <w:jc w:val="center"/>
              <w:rPr>
                <w:rFonts w:ascii="Arial Narrow" w:hAnsi="Arial Narrow" w:cs="Calibri"/>
                <w:color w:val="000000"/>
                <w:sz w:val="20"/>
                <w:szCs w:val="20"/>
              </w:rPr>
            </w:pPr>
            <w:r w:rsidRPr="00D41179">
              <w:rPr>
                <w:rFonts w:ascii="Arial Narrow" w:hAnsi="Arial Narrow" w:cs="Calibri"/>
                <w:color w:val="000000"/>
                <w:sz w:val="20"/>
                <w:szCs w:val="20"/>
              </w:rPr>
              <w:t>≥70</w:t>
            </w:r>
          </w:p>
        </w:tc>
        <w:tc>
          <w:tcPr>
            <w:tcW w:w="488" w:type="pct"/>
            <w:noWrap/>
            <w:vAlign w:val="center"/>
            <w:hideMark/>
          </w:tcPr>
          <w:p w14:paraId="50090E10" w14:textId="77777777" w:rsidR="00224E1A" w:rsidRPr="00D41179" w:rsidRDefault="00224E1A">
            <w:pPr>
              <w:jc w:val="center"/>
              <w:rPr>
                <w:rFonts w:ascii="Arial Narrow" w:hAnsi="Arial Narrow" w:cs="Calibri"/>
                <w:color w:val="000000"/>
                <w:sz w:val="20"/>
                <w:szCs w:val="20"/>
              </w:rPr>
            </w:pPr>
            <w:r w:rsidRPr="00D41179">
              <w:rPr>
                <w:rFonts w:ascii="Arial Narrow" w:eastAsia="Calibri" w:hAnsi="Arial Narrow" w:cs="Calibri"/>
                <w:color w:val="000000"/>
                <w:sz w:val="20"/>
                <w:szCs w:val="20"/>
              </w:rPr>
              <w:t>7,426</w:t>
            </w:r>
          </w:p>
        </w:tc>
        <w:tc>
          <w:tcPr>
            <w:tcW w:w="277" w:type="pct"/>
            <w:noWrap/>
            <w:vAlign w:val="center"/>
            <w:hideMark/>
          </w:tcPr>
          <w:p w14:paraId="066D5056" w14:textId="77777777" w:rsidR="00224E1A" w:rsidRPr="00D41179" w:rsidRDefault="00224E1A">
            <w:pPr>
              <w:jc w:val="center"/>
              <w:rPr>
                <w:rFonts w:ascii="Arial Narrow" w:hAnsi="Arial Narrow" w:cs="Calibri"/>
                <w:color w:val="000000"/>
                <w:sz w:val="20"/>
                <w:szCs w:val="20"/>
              </w:rPr>
            </w:pPr>
            <w:r w:rsidRPr="00D41179">
              <w:rPr>
                <w:rFonts w:ascii="Arial Narrow" w:eastAsia="Calibri" w:hAnsi="Arial Narrow" w:cs="Calibri"/>
                <w:color w:val="000000"/>
                <w:sz w:val="20"/>
                <w:szCs w:val="20"/>
              </w:rPr>
              <w:t>7</w:t>
            </w:r>
          </w:p>
        </w:tc>
        <w:tc>
          <w:tcPr>
            <w:tcW w:w="486" w:type="pct"/>
            <w:noWrap/>
            <w:vAlign w:val="center"/>
            <w:hideMark/>
          </w:tcPr>
          <w:p w14:paraId="2AAFA286" w14:textId="77777777" w:rsidR="00224E1A" w:rsidRPr="00D41179" w:rsidRDefault="00224E1A">
            <w:pPr>
              <w:jc w:val="center"/>
              <w:rPr>
                <w:rFonts w:ascii="Arial Narrow" w:hAnsi="Arial Narrow" w:cs="Calibri"/>
                <w:color w:val="000000"/>
                <w:sz w:val="20"/>
                <w:szCs w:val="20"/>
              </w:rPr>
            </w:pPr>
            <w:r w:rsidRPr="00D41179">
              <w:rPr>
                <w:rFonts w:ascii="Arial Narrow" w:eastAsia="Calibri" w:hAnsi="Arial Narrow" w:cs="Calibri"/>
                <w:color w:val="000000"/>
                <w:sz w:val="20"/>
                <w:szCs w:val="20"/>
              </w:rPr>
              <w:t>7,040.3</w:t>
            </w:r>
          </w:p>
        </w:tc>
        <w:tc>
          <w:tcPr>
            <w:tcW w:w="493" w:type="pct"/>
            <w:noWrap/>
            <w:vAlign w:val="center"/>
            <w:hideMark/>
          </w:tcPr>
          <w:p w14:paraId="2EFAB9C2" w14:textId="77777777" w:rsidR="00224E1A" w:rsidRPr="00D41179" w:rsidRDefault="00224E1A">
            <w:pPr>
              <w:jc w:val="center"/>
              <w:rPr>
                <w:rFonts w:ascii="Arial Narrow" w:hAnsi="Arial Narrow" w:cs="Calibri"/>
                <w:color w:val="000000"/>
                <w:sz w:val="20"/>
                <w:szCs w:val="20"/>
              </w:rPr>
            </w:pPr>
            <w:r w:rsidRPr="00D41179">
              <w:rPr>
                <w:rFonts w:ascii="Arial Narrow" w:eastAsia="Calibri" w:hAnsi="Arial Narrow" w:cs="Calibri"/>
                <w:color w:val="000000"/>
                <w:sz w:val="20"/>
                <w:szCs w:val="20"/>
              </w:rPr>
              <w:t>1.0</w:t>
            </w:r>
          </w:p>
        </w:tc>
        <w:tc>
          <w:tcPr>
            <w:tcW w:w="364" w:type="pct"/>
            <w:noWrap/>
            <w:vAlign w:val="center"/>
            <w:hideMark/>
          </w:tcPr>
          <w:p w14:paraId="63B52177" w14:textId="77777777" w:rsidR="00224E1A" w:rsidRPr="00D41179" w:rsidRDefault="00224E1A">
            <w:pPr>
              <w:jc w:val="center"/>
              <w:rPr>
                <w:rFonts w:ascii="Arial Narrow" w:hAnsi="Arial Narrow" w:cs="Calibri"/>
                <w:color w:val="000000"/>
                <w:sz w:val="20"/>
                <w:szCs w:val="20"/>
              </w:rPr>
            </w:pPr>
            <w:r w:rsidRPr="00D41179">
              <w:rPr>
                <w:rFonts w:ascii="Arial Narrow" w:eastAsia="Calibri" w:hAnsi="Arial Narrow" w:cs="Calibri"/>
                <w:color w:val="000000"/>
                <w:sz w:val="20"/>
                <w:szCs w:val="20"/>
              </w:rPr>
              <w:t>7,267</w:t>
            </w:r>
          </w:p>
        </w:tc>
        <w:tc>
          <w:tcPr>
            <w:tcW w:w="276" w:type="pct"/>
            <w:noWrap/>
            <w:vAlign w:val="center"/>
            <w:hideMark/>
          </w:tcPr>
          <w:p w14:paraId="36D1B1D7" w14:textId="77777777" w:rsidR="00224E1A" w:rsidRPr="00D41179" w:rsidRDefault="00224E1A">
            <w:pPr>
              <w:jc w:val="center"/>
              <w:rPr>
                <w:rFonts w:ascii="Arial Narrow" w:hAnsi="Arial Narrow" w:cs="Calibri"/>
                <w:color w:val="000000"/>
                <w:sz w:val="20"/>
                <w:szCs w:val="20"/>
              </w:rPr>
            </w:pPr>
            <w:r w:rsidRPr="00D41179">
              <w:rPr>
                <w:rFonts w:ascii="Arial Narrow" w:eastAsia="Calibri" w:hAnsi="Arial Narrow" w:cs="Calibri"/>
                <w:color w:val="000000"/>
                <w:sz w:val="20"/>
                <w:szCs w:val="20"/>
              </w:rPr>
              <w:t>56</w:t>
            </w:r>
          </w:p>
        </w:tc>
        <w:tc>
          <w:tcPr>
            <w:tcW w:w="486" w:type="pct"/>
            <w:noWrap/>
            <w:vAlign w:val="center"/>
            <w:hideMark/>
          </w:tcPr>
          <w:p w14:paraId="25A05641" w14:textId="77777777" w:rsidR="00224E1A" w:rsidRPr="00D41179" w:rsidRDefault="00224E1A">
            <w:pPr>
              <w:jc w:val="center"/>
              <w:rPr>
                <w:rFonts w:ascii="Arial Narrow" w:hAnsi="Arial Narrow" w:cs="Calibri"/>
                <w:color w:val="000000"/>
                <w:sz w:val="20"/>
                <w:szCs w:val="20"/>
              </w:rPr>
            </w:pPr>
            <w:r w:rsidRPr="00D41179">
              <w:rPr>
                <w:rFonts w:ascii="Arial Narrow" w:eastAsia="Calibri" w:hAnsi="Arial Narrow" w:cs="Calibri"/>
                <w:color w:val="000000"/>
                <w:sz w:val="20"/>
                <w:szCs w:val="20"/>
              </w:rPr>
              <w:t>6,859.6</w:t>
            </w:r>
          </w:p>
        </w:tc>
        <w:tc>
          <w:tcPr>
            <w:tcW w:w="550" w:type="pct"/>
            <w:noWrap/>
            <w:vAlign w:val="center"/>
            <w:hideMark/>
          </w:tcPr>
          <w:p w14:paraId="1319CA97" w14:textId="77777777" w:rsidR="00224E1A" w:rsidRPr="00D41179" w:rsidRDefault="00224E1A">
            <w:pPr>
              <w:jc w:val="center"/>
              <w:rPr>
                <w:rFonts w:ascii="Arial Narrow" w:hAnsi="Arial Narrow" w:cs="Calibri"/>
                <w:color w:val="000000"/>
                <w:sz w:val="20"/>
                <w:szCs w:val="20"/>
              </w:rPr>
            </w:pPr>
            <w:r w:rsidRPr="00D41179">
              <w:rPr>
                <w:rFonts w:ascii="Arial Narrow" w:eastAsia="Calibri" w:hAnsi="Arial Narrow" w:cs="Calibri"/>
                <w:color w:val="000000"/>
                <w:sz w:val="20"/>
                <w:szCs w:val="20"/>
              </w:rPr>
              <w:t>8.2</w:t>
            </w:r>
          </w:p>
        </w:tc>
        <w:tc>
          <w:tcPr>
            <w:tcW w:w="947" w:type="pct"/>
            <w:noWrap/>
            <w:vAlign w:val="center"/>
            <w:hideMark/>
          </w:tcPr>
          <w:p w14:paraId="5F7DC790" w14:textId="77777777" w:rsidR="00224E1A" w:rsidRPr="00D41179" w:rsidRDefault="00224E1A">
            <w:pPr>
              <w:jc w:val="center"/>
              <w:rPr>
                <w:rFonts w:ascii="Arial Narrow" w:hAnsi="Arial Narrow" w:cs="Calibri"/>
                <w:color w:val="000000"/>
                <w:sz w:val="20"/>
                <w:szCs w:val="20"/>
              </w:rPr>
            </w:pPr>
            <w:r w:rsidRPr="00D41179">
              <w:rPr>
                <w:rFonts w:ascii="Arial Narrow" w:hAnsi="Arial Narrow" w:cs="Calibri"/>
                <w:color w:val="000000"/>
                <w:sz w:val="20"/>
                <w:szCs w:val="20"/>
              </w:rPr>
              <w:t>87.86 (73.30, 95.33)</w:t>
            </w:r>
          </w:p>
        </w:tc>
      </w:tr>
      <w:tr w:rsidR="00224E1A" w:rsidRPr="00D41179" w14:paraId="24B341F9" w14:textId="77777777">
        <w:trPr>
          <w:trHeight w:val="170"/>
          <w:jc w:val="center"/>
        </w:trPr>
        <w:tc>
          <w:tcPr>
            <w:tcW w:w="5000" w:type="pct"/>
            <w:gridSpan w:val="11"/>
            <w:noWrap/>
            <w:vAlign w:val="center"/>
            <w:hideMark/>
          </w:tcPr>
          <w:p w14:paraId="64D39976" w14:textId="27E00AD1" w:rsidR="00224E1A" w:rsidRPr="00D41179" w:rsidRDefault="00224E1A">
            <w:pPr>
              <w:jc w:val="left"/>
              <w:rPr>
                <w:rFonts w:ascii="Arial Narrow" w:hAnsi="Arial Narrow" w:cs="Calibri"/>
                <w:b/>
                <w:bCs/>
                <w:color w:val="000000"/>
                <w:sz w:val="20"/>
                <w:szCs w:val="20"/>
              </w:rPr>
            </w:pPr>
            <w:r w:rsidRPr="00D41179">
              <w:rPr>
                <w:rFonts w:ascii="Arial Narrow" w:eastAsia="Calibri" w:hAnsi="Arial Narrow"/>
                <w:b/>
                <w:bCs/>
                <w:i/>
                <w:iCs/>
                <w:sz w:val="20"/>
                <w:szCs w:val="20"/>
              </w:rPr>
              <w:t>Gap between ZOE-50/-70</w:t>
            </w:r>
            <w:r w:rsidR="00F40746" w:rsidRPr="00D41179">
              <w:rPr>
                <w:rFonts w:ascii="Arial Narrow" w:eastAsia="Calibri" w:hAnsi="Arial Narrow"/>
                <w:b/>
                <w:bCs/>
                <w:i/>
                <w:iCs/>
                <w:sz w:val="20"/>
                <w:szCs w:val="20"/>
              </w:rPr>
              <w:t xml:space="preserve"> </w:t>
            </w:r>
            <w:r w:rsidRPr="00D41179">
              <w:rPr>
                <w:rFonts w:ascii="Arial Narrow" w:eastAsia="Calibri" w:hAnsi="Arial Narrow"/>
                <w:b/>
                <w:bCs/>
                <w:i/>
                <w:iCs/>
                <w:sz w:val="20"/>
                <w:szCs w:val="20"/>
              </w:rPr>
              <w:t>and ZOSTER-049</w:t>
            </w:r>
          </w:p>
        </w:tc>
      </w:tr>
      <w:tr w:rsidR="00224E1A" w:rsidRPr="00D41179" w14:paraId="55747F93" w14:textId="77777777">
        <w:trPr>
          <w:trHeight w:val="170"/>
          <w:jc w:val="center"/>
        </w:trPr>
        <w:tc>
          <w:tcPr>
            <w:tcW w:w="235" w:type="pct"/>
            <w:vMerge w:val="restart"/>
            <w:noWrap/>
            <w:vAlign w:val="center"/>
            <w:hideMark/>
          </w:tcPr>
          <w:p w14:paraId="0BF6BBD6" w14:textId="77777777" w:rsidR="00224E1A" w:rsidRPr="00D41179" w:rsidRDefault="00224E1A">
            <w:pPr>
              <w:jc w:val="left"/>
              <w:rPr>
                <w:rFonts w:ascii="Arial Narrow" w:hAnsi="Arial Narrow" w:cs="Calibri"/>
                <w:b/>
                <w:bCs/>
                <w:color w:val="000000"/>
                <w:sz w:val="20"/>
                <w:szCs w:val="20"/>
              </w:rPr>
            </w:pPr>
            <w:r w:rsidRPr="00D41179">
              <w:rPr>
                <w:rFonts w:ascii="Arial Narrow" w:hAnsi="Arial Narrow" w:cs="Calibri"/>
                <w:b/>
                <w:bCs/>
                <w:color w:val="000000"/>
                <w:sz w:val="20"/>
                <w:szCs w:val="20"/>
              </w:rPr>
              <w:t>Y 6</w:t>
            </w:r>
          </w:p>
        </w:tc>
        <w:tc>
          <w:tcPr>
            <w:tcW w:w="397" w:type="pct"/>
            <w:noWrap/>
            <w:vAlign w:val="center"/>
            <w:hideMark/>
          </w:tcPr>
          <w:p w14:paraId="1390B412" w14:textId="77777777" w:rsidR="00224E1A" w:rsidRPr="00D41179" w:rsidRDefault="00224E1A">
            <w:pPr>
              <w:jc w:val="center"/>
              <w:rPr>
                <w:rFonts w:ascii="Arial Narrow" w:hAnsi="Arial Narrow" w:cs="Calibri"/>
                <w:color w:val="000000"/>
                <w:sz w:val="20"/>
                <w:szCs w:val="20"/>
              </w:rPr>
            </w:pPr>
            <w:r w:rsidRPr="00D41179">
              <w:rPr>
                <w:rFonts w:ascii="Arial Narrow" w:hAnsi="Arial Narrow" w:cs="Calibri"/>
                <w:color w:val="000000"/>
                <w:sz w:val="20"/>
                <w:szCs w:val="20"/>
              </w:rPr>
              <w:t>Overall</w:t>
            </w:r>
          </w:p>
        </w:tc>
        <w:tc>
          <w:tcPr>
            <w:tcW w:w="488" w:type="pct"/>
            <w:noWrap/>
            <w:vAlign w:val="center"/>
            <w:hideMark/>
          </w:tcPr>
          <w:p w14:paraId="3158DA47" w14:textId="77777777" w:rsidR="00224E1A" w:rsidRPr="00D41179" w:rsidRDefault="00224E1A">
            <w:pPr>
              <w:jc w:val="center"/>
              <w:rPr>
                <w:rFonts w:ascii="Arial Narrow" w:hAnsi="Arial Narrow" w:cs="Calibri"/>
                <w:color w:val="000000"/>
                <w:sz w:val="20"/>
                <w:szCs w:val="20"/>
              </w:rPr>
            </w:pPr>
            <w:r w:rsidRPr="00D41179">
              <w:rPr>
                <w:rFonts w:ascii="Arial Narrow" w:eastAsia="Calibri" w:hAnsi="Arial Narrow" w:cs="Calibri"/>
                <w:color w:val="000000"/>
                <w:sz w:val="20"/>
                <w:szCs w:val="20"/>
              </w:rPr>
              <w:t>7,258 (100%)</w:t>
            </w:r>
          </w:p>
        </w:tc>
        <w:tc>
          <w:tcPr>
            <w:tcW w:w="277" w:type="pct"/>
            <w:noWrap/>
            <w:vAlign w:val="center"/>
            <w:hideMark/>
          </w:tcPr>
          <w:p w14:paraId="38BA9110" w14:textId="77777777" w:rsidR="00224E1A" w:rsidRPr="00D41179" w:rsidRDefault="00224E1A">
            <w:pPr>
              <w:jc w:val="center"/>
              <w:rPr>
                <w:rFonts w:ascii="Arial Narrow" w:hAnsi="Arial Narrow" w:cs="Calibri"/>
                <w:color w:val="000000"/>
                <w:sz w:val="20"/>
                <w:szCs w:val="20"/>
              </w:rPr>
            </w:pPr>
            <w:r w:rsidRPr="00D41179">
              <w:rPr>
                <w:rFonts w:ascii="Arial Narrow" w:eastAsia="Calibri" w:hAnsi="Arial Narrow" w:cs="Calibri"/>
                <w:color w:val="000000"/>
                <w:sz w:val="20"/>
                <w:szCs w:val="20"/>
              </w:rPr>
              <w:t>10</w:t>
            </w:r>
          </w:p>
        </w:tc>
        <w:tc>
          <w:tcPr>
            <w:tcW w:w="486" w:type="pct"/>
            <w:noWrap/>
            <w:vAlign w:val="center"/>
            <w:hideMark/>
          </w:tcPr>
          <w:p w14:paraId="685BE049" w14:textId="77777777" w:rsidR="00224E1A" w:rsidRPr="00D41179" w:rsidRDefault="00224E1A">
            <w:pPr>
              <w:jc w:val="center"/>
              <w:rPr>
                <w:rFonts w:ascii="Arial Narrow" w:hAnsi="Arial Narrow" w:cs="Calibri"/>
                <w:color w:val="000000"/>
                <w:sz w:val="20"/>
                <w:szCs w:val="20"/>
              </w:rPr>
            </w:pPr>
            <w:r w:rsidRPr="00D41179">
              <w:rPr>
                <w:rFonts w:ascii="Arial Narrow" w:eastAsia="Calibri" w:hAnsi="Arial Narrow" w:cs="Calibri"/>
                <w:color w:val="000000"/>
                <w:sz w:val="20"/>
                <w:szCs w:val="20"/>
              </w:rPr>
              <w:t>7,191.2</w:t>
            </w:r>
          </w:p>
        </w:tc>
        <w:tc>
          <w:tcPr>
            <w:tcW w:w="493" w:type="pct"/>
            <w:noWrap/>
            <w:vAlign w:val="center"/>
            <w:hideMark/>
          </w:tcPr>
          <w:p w14:paraId="27B849AE" w14:textId="77777777" w:rsidR="00224E1A" w:rsidRPr="00D41179" w:rsidRDefault="00224E1A">
            <w:pPr>
              <w:jc w:val="center"/>
              <w:rPr>
                <w:rFonts w:ascii="Arial Narrow" w:hAnsi="Arial Narrow" w:cs="Calibri"/>
                <w:color w:val="000000"/>
                <w:sz w:val="20"/>
                <w:szCs w:val="20"/>
              </w:rPr>
            </w:pPr>
            <w:r w:rsidRPr="00D41179">
              <w:rPr>
                <w:rFonts w:ascii="Arial Narrow" w:eastAsia="Calibri" w:hAnsi="Arial Narrow" w:cs="Calibri"/>
                <w:color w:val="000000"/>
                <w:sz w:val="20"/>
                <w:szCs w:val="20"/>
              </w:rPr>
              <w:t>1.4</w:t>
            </w:r>
          </w:p>
        </w:tc>
        <w:tc>
          <w:tcPr>
            <w:tcW w:w="364" w:type="pct"/>
            <w:noWrap/>
            <w:vAlign w:val="center"/>
            <w:hideMark/>
          </w:tcPr>
          <w:p w14:paraId="63EF6709" w14:textId="77777777" w:rsidR="00224E1A" w:rsidRPr="00D41179" w:rsidRDefault="00224E1A">
            <w:pPr>
              <w:jc w:val="center"/>
              <w:rPr>
                <w:rFonts w:ascii="Arial Narrow" w:hAnsi="Arial Narrow" w:cs="Calibri"/>
                <w:color w:val="000000"/>
                <w:sz w:val="20"/>
                <w:szCs w:val="20"/>
              </w:rPr>
            </w:pPr>
            <w:r w:rsidRPr="00D41179">
              <w:rPr>
                <w:rFonts w:ascii="Arial Narrow" w:eastAsia="Calibri" w:hAnsi="Arial Narrow" w:cs="Calibri"/>
                <w:color w:val="000000"/>
                <w:sz w:val="20"/>
                <w:szCs w:val="20"/>
              </w:rPr>
              <w:t>7258</w:t>
            </w:r>
          </w:p>
        </w:tc>
        <w:tc>
          <w:tcPr>
            <w:tcW w:w="276" w:type="pct"/>
            <w:noWrap/>
            <w:vAlign w:val="center"/>
            <w:hideMark/>
          </w:tcPr>
          <w:p w14:paraId="7250A167" w14:textId="77777777" w:rsidR="00224E1A" w:rsidRPr="00D41179" w:rsidRDefault="00224E1A">
            <w:pPr>
              <w:jc w:val="center"/>
              <w:rPr>
                <w:rFonts w:ascii="Arial Narrow" w:hAnsi="Arial Narrow" w:cs="Calibri"/>
                <w:color w:val="000000"/>
                <w:sz w:val="20"/>
                <w:szCs w:val="20"/>
              </w:rPr>
            </w:pPr>
            <w:r w:rsidRPr="00D41179">
              <w:rPr>
                <w:rFonts w:ascii="Arial Narrow" w:eastAsia="Calibri" w:hAnsi="Arial Narrow" w:cs="Calibri"/>
                <w:color w:val="000000"/>
                <w:sz w:val="20"/>
                <w:szCs w:val="20"/>
              </w:rPr>
              <w:t>62</w:t>
            </w:r>
          </w:p>
        </w:tc>
        <w:tc>
          <w:tcPr>
            <w:tcW w:w="486" w:type="pct"/>
            <w:noWrap/>
            <w:vAlign w:val="center"/>
            <w:hideMark/>
          </w:tcPr>
          <w:p w14:paraId="1A4CE428" w14:textId="77777777" w:rsidR="00224E1A" w:rsidRPr="00D41179" w:rsidRDefault="00224E1A">
            <w:pPr>
              <w:jc w:val="center"/>
              <w:rPr>
                <w:rFonts w:ascii="Arial Narrow" w:hAnsi="Arial Narrow" w:cs="Calibri"/>
                <w:color w:val="000000"/>
                <w:sz w:val="20"/>
                <w:szCs w:val="20"/>
              </w:rPr>
            </w:pPr>
            <w:r w:rsidRPr="00D41179">
              <w:rPr>
                <w:rFonts w:ascii="Arial Narrow" w:eastAsia="Calibri" w:hAnsi="Arial Narrow" w:cs="Calibri"/>
                <w:color w:val="000000"/>
                <w:sz w:val="20"/>
                <w:szCs w:val="20"/>
              </w:rPr>
              <w:t>7,191.2</w:t>
            </w:r>
          </w:p>
        </w:tc>
        <w:tc>
          <w:tcPr>
            <w:tcW w:w="550" w:type="pct"/>
            <w:noWrap/>
            <w:vAlign w:val="center"/>
            <w:hideMark/>
          </w:tcPr>
          <w:p w14:paraId="12D99033" w14:textId="77777777" w:rsidR="00224E1A" w:rsidRPr="00D41179" w:rsidRDefault="00224E1A">
            <w:pPr>
              <w:jc w:val="center"/>
              <w:rPr>
                <w:rFonts w:ascii="Arial Narrow" w:hAnsi="Arial Narrow" w:cs="Calibri"/>
                <w:color w:val="000000"/>
                <w:sz w:val="20"/>
                <w:szCs w:val="20"/>
              </w:rPr>
            </w:pPr>
            <w:r w:rsidRPr="00D41179">
              <w:rPr>
                <w:rFonts w:ascii="Arial Narrow" w:eastAsia="Calibri" w:hAnsi="Arial Narrow" w:cs="Calibri"/>
                <w:color w:val="000000"/>
                <w:sz w:val="20"/>
                <w:szCs w:val="20"/>
              </w:rPr>
              <w:t>8.6</w:t>
            </w:r>
          </w:p>
        </w:tc>
        <w:tc>
          <w:tcPr>
            <w:tcW w:w="947" w:type="pct"/>
            <w:noWrap/>
            <w:vAlign w:val="center"/>
            <w:hideMark/>
          </w:tcPr>
          <w:p w14:paraId="3F7DBACF" w14:textId="77777777" w:rsidR="00224E1A" w:rsidRPr="00D41179" w:rsidRDefault="00224E1A">
            <w:pPr>
              <w:jc w:val="center"/>
              <w:rPr>
                <w:rFonts w:ascii="Arial Narrow" w:hAnsi="Arial Narrow" w:cs="Calibri"/>
                <w:color w:val="000000"/>
                <w:sz w:val="20"/>
                <w:szCs w:val="20"/>
              </w:rPr>
            </w:pPr>
            <w:r w:rsidRPr="00D41179">
              <w:rPr>
                <w:rFonts w:ascii="Arial Narrow" w:hAnsi="Arial Narrow" w:cs="Calibri"/>
                <w:color w:val="000000"/>
                <w:sz w:val="20"/>
                <w:szCs w:val="20"/>
              </w:rPr>
              <w:t>83.87 (68.31, 92.63)</w:t>
            </w:r>
          </w:p>
        </w:tc>
      </w:tr>
      <w:tr w:rsidR="00224E1A" w:rsidRPr="00D41179" w14:paraId="67883DB5" w14:textId="77777777">
        <w:trPr>
          <w:trHeight w:val="170"/>
          <w:jc w:val="center"/>
        </w:trPr>
        <w:tc>
          <w:tcPr>
            <w:tcW w:w="235" w:type="pct"/>
            <w:vMerge/>
            <w:vAlign w:val="center"/>
            <w:hideMark/>
          </w:tcPr>
          <w:p w14:paraId="714F0536" w14:textId="77777777" w:rsidR="00224E1A" w:rsidRPr="00D41179" w:rsidRDefault="00224E1A">
            <w:pPr>
              <w:jc w:val="left"/>
              <w:rPr>
                <w:rFonts w:ascii="Arial Narrow" w:hAnsi="Arial Narrow" w:cs="Calibri"/>
                <w:b/>
                <w:bCs/>
                <w:color w:val="000000"/>
                <w:sz w:val="20"/>
                <w:szCs w:val="20"/>
              </w:rPr>
            </w:pPr>
          </w:p>
        </w:tc>
        <w:tc>
          <w:tcPr>
            <w:tcW w:w="397" w:type="pct"/>
            <w:noWrap/>
            <w:vAlign w:val="center"/>
            <w:hideMark/>
          </w:tcPr>
          <w:p w14:paraId="7F87EE83" w14:textId="77777777" w:rsidR="00224E1A" w:rsidRPr="00D41179" w:rsidRDefault="00224E1A">
            <w:pPr>
              <w:jc w:val="center"/>
              <w:rPr>
                <w:rFonts w:ascii="Arial Narrow" w:hAnsi="Arial Narrow" w:cs="Calibri"/>
                <w:color w:val="000000"/>
                <w:sz w:val="20"/>
                <w:szCs w:val="20"/>
              </w:rPr>
            </w:pPr>
            <w:r w:rsidRPr="00D41179">
              <w:rPr>
                <w:rFonts w:ascii="Arial Narrow" w:hAnsi="Arial Narrow" w:cs="Calibri"/>
                <w:color w:val="000000"/>
                <w:sz w:val="20"/>
                <w:szCs w:val="20"/>
              </w:rPr>
              <w:t>50-59</w:t>
            </w:r>
          </w:p>
        </w:tc>
        <w:tc>
          <w:tcPr>
            <w:tcW w:w="488" w:type="pct"/>
            <w:noWrap/>
            <w:vAlign w:val="center"/>
            <w:hideMark/>
          </w:tcPr>
          <w:p w14:paraId="1CD60836" w14:textId="77777777" w:rsidR="00224E1A" w:rsidRPr="00D41179" w:rsidRDefault="00224E1A">
            <w:pPr>
              <w:jc w:val="center"/>
              <w:rPr>
                <w:rFonts w:ascii="Arial Narrow" w:hAnsi="Arial Narrow" w:cs="Calibri"/>
                <w:color w:val="000000"/>
                <w:sz w:val="20"/>
                <w:szCs w:val="20"/>
              </w:rPr>
            </w:pPr>
            <w:r w:rsidRPr="00D41179">
              <w:rPr>
                <w:rFonts w:ascii="Arial Narrow" w:eastAsia="Calibri" w:hAnsi="Arial Narrow" w:cs="Calibri"/>
                <w:color w:val="000000"/>
                <w:sz w:val="20"/>
                <w:szCs w:val="20"/>
              </w:rPr>
              <w:t>2,043</w:t>
            </w:r>
          </w:p>
        </w:tc>
        <w:tc>
          <w:tcPr>
            <w:tcW w:w="277" w:type="pct"/>
            <w:noWrap/>
            <w:vAlign w:val="center"/>
            <w:hideMark/>
          </w:tcPr>
          <w:p w14:paraId="5A05B364" w14:textId="77777777" w:rsidR="00224E1A" w:rsidRPr="00D41179" w:rsidRDefault="00224E1A">
            <w:pPr>
              <w:jc w:val="center"/>
              <w:rPr>
                <w:rFonts w:ascii="Arial Narrow" w:hAnsi="Arial Narrow" w:cs="Calibri"/>
                <w:color w:val="000000"/>
                <w:sz w:val="20"/>
                <w:szCs w:val="20"/>
              </w:rPr>
            </w:pPr>
            <w:r w:rsidRPr="00D41179">
              <w:rPr>
                <w:rFonts w:ascii="Arial Narrow" w:eastAsia="Calibri" w:hAnsi="Arial Narrow" w:cs="Calibri"/>
                <w:color w:val="000000"/>
                <w:sz w:val="20"/>
                <w:szCs w:val="20"/>
              </w:rPr>
              <w:t>2</w:t>
            </w:r>
          </w:p>
        </w:tc>
        <w:tc>
          <w:tcPr>
            <w:tcW w:w="486" w:type="pct"/>
            <w:noWrap/>
            <w:vAlign w:val="center"/>
            <w:hideMark/>
          </w:tcPr>
          <w:p w14:paraId="27BFF0E0" w14:textId="77777777" w:rsidR="00224E1A" w:rsidRPr="00D41179" w:rsidRDefault="00224E1A">
            <w:pPr>
              <w:jc w:val="center"/>
              <w:rPr>
                <w:rFonts w:ascii="Arial Narrow" w:hAnsi="Arial Narrow" w:cs="Calibri"/>
                <w:color w:val="000000"/>
                <w:sz w:val="20"/>
                <w:szCs w:val="20"/>
              </w:rPr>
            </w:pPr>
            <w:r w:rsidRPr="00D41179">
              <w:rPr>
                <w:rFonts w:ascii="Arial Narrow" w:eastAsia="Calibri" w:hAnsi="Arial Narrow" w:cs="Calibri"/>
                <w:color w:val="000000"/>
                <w:sz w:val="20"/>
                <w:szCs w:val="20"/>
              </w:rPr>
              <w:t>2,032.8</w:t>
            </w:r>
          </w:p>
        </w:tc>
        <w:tc>
          <w:tcPr>
            <w:tcW w:w="493" w:type="pct"/>
            <w:noWrap/>
            <w:vAlign w:val="center"/>
            <w:hideMark/>
          </w:tcPr>
          <w:p w14:paraId="09888A49" w14:textId="77777777" w:rsidR="00224E1A" w:rsidRPr="00D41179" w:rsidRDefault="00224E1A">
            <w:pPr>
              <w:jc w:val="center"/>
              <w:rPr>
                <w:rFonts w:ascii="Arial Narrow" w:hAnsi="Arial Narrow" w:cs="Calibri"/>
                <w:color w:val="000000"/>
                <w:sz w:val="20"/>
                <w:szCs w:val="20"/>
              </w:rPr>
            </w:pPr>
            <w:r w:rsidRPr="00D41179">
              <w:rPr>
                <w:rFonts w:ascii="Arial Narrow" w:eastAsia="Calibri" w:hAnsi="Arial Narrow" w:cs="Calibri"/>
                <w:color w:val="000000"/>
                <w:sz w:val="20"/>
                <w:szCs w:val="20"/>
              </w:rPr>
              <w:t>1.0</w:t>
            </w:r>
          </w:p>
        </w:tc>
        <w:tc>
          <w:tcPr>
            <w:tcW w:w="364" w:type="pct"/>
            <w:noWrap/>
            <w:vAlign w:val="center"/>
            <w:hideMark/>
          </w:tcPr>
          <w:p w14:paraId="562DBBE1" w14:textId="77777777" w:rsidR="00224E1A" w:rsidRPr="00D41179" w:rsidRDefault="00224E1A">
            <w:pPr>
              <w:jc w:val="center"/>
              <w:rPr>
                <w:rFonts w:ascii="Arial Narrow" w:hAnsi="Arial Narrow" w:cs="Calibri"/>
                <w:color w:val="000000"/>
                <w:sz w:val="20"/>
                <w:szCs w:val="20"/>
              </w:rPr>
            </w:pPr>
            <w:r w:rsidRPr="00D41179">
              <w:rPr>
                <w:rFonts w:ascii="Arial Narrow" w:eastAsia="Calibri" w:hAnsi="Arial Narrow" w:cs="Calibri"/>
                <w:color w:val="000000"/>
                <w:sz w:val="20"/>
                <w:szCs w:val="20"/>
              </w:rPr>
              <w:t>2,043</w:t>
            </w:r>
          </w:p>
        </w:tc>
        <w:tc>
          <w:tcPr>
            <w:tcW w:w="276" w:type="pct"/>
            <w:noWrap/>
            <w:vAlign w:val="center"/>
            <w:hideMark/>
          </w:tcPr>
          <w:p w14:paraId="338D8AC5" w14:textId="77777777" w:rsidR="00224E1A" w:rsidRPr="00D41179" w:rsidRDefault="00224E1A">
            <w:pPr>
              <w:jc w:val="center"/>
              <w:rPr>
                <w:rFonts w:ascii="Arial Narrow" w:hAnsi="Arial Narrow" w:cs="Calibri"/>
                <w:color w:val="000000"/>
                <w:sz w:val="20"/>
                <w:szCs w:val="20"/>
              </w:rPr>
            </w:pPr>
            <w:r w:rsidRPr="00D41179">
              <w:rPr>
                <w:rFonts w:ascii="Arial Narrow" w:eastAsia="Calibri" w:hAnsi="Arial Narrow" w:cs="Calibri"/>
                <w:color w:val="000000"/>
                <w:sz w:val="20"/>
                <w:szCs w:val="20"/>
              </w:rPr>
              <w:t>16</w:t>
            </w:r>
          </w:p>
        </w:tc>
        <w:tc>
          <w:tcPr>
            <w:tcW w:w="486" w:type="pct"/>
            <w:noWrap/>
            <w:vAlign w:val="center"/>
            <w:hideMark/>
          </w:tcPr>
          <w:p w14:paraId="58116DD9" w14:textId="77777777" w:rsidR="00224E1A" w:rsidRPr="00D41179" w:rsidRDefault="00224E1A">
            <w:pPr>
              <w:jc w:val="center"/>
              <w:rPr>
                <w:rFonts w:ascii="Arial Narrow" w:hAnsi="Arial Narrow" w:cs="Calibri"/>
                <w:color w:val="000000"/>
                <w:sz w:val="20"/>
                <w:szCs w:val="20"/>
              </w:rPr>
            </w:pPr>
            <w:r w:rsidRPr="00D41179">
              <w:rPr>
                <w:rFonts w:ascii="Arial Narrow" w:eastAsia="Calibri" w:hAnsi="Arial Narrow" w:cs="Calibri"/>
                <w:color w:val="000000"/>
                <w:sz w:val="20"/>
                <w:szCs w:val="20"/>
              </w:rPr>
              <w:t>2,032.8</w:t>
            </w:r>
          </w:p>
        </w:tc>
        <w:tc>
          <w:tcPr>
            <w:tcW w:w="550" w:type="pct"/>
            <w:noWrap/>
            <w:vAlign w:val="center"/>
            <w:hideMark/>
          </w:tcPr>
          <w:p w14:paraId="2FB00635" w14:textId="77777777" w:rsidR="00224E1A" w:rsidRPr="00D41179" w:rsidRDefault="00224E1A">
            <w:pPr>
              <w:jc w:val="center"/>
              <w:rPr>
                <w:rFonts w:ascii="Arial Narrow" w:hAnsi="Arial Narrow" w:cs="Calibri"/>
                <w:color w:val="000000"/>
                <w:sz w:val="20"/>
                <w:szCs w:val="20"/>
              </w:rPr>
            </w:pPr>
            <w:r w:rsidRPr="00D41179">
              <w:rPr>
                <w:rFonts w:ascii="Arial Narrow" w:eastAsia="Calibri" w:hAnsi="Arial Narrow" w:cs="Calibri"/>
                <w:color w:val="000000"/>
                <w:sz w:val="20"/>
                <w:szCs w:val="20"/>
              </w:rPr>
              <w:t>7.9</w:t>
            </w:r>
          </w:p>
        </w:tc>
        <w:tc>
          <w:tcPr>
            <w:tcW w:w="947" w:type="pct"/>
            <w:noWrap/>
            <w:vAlign w:val="center"/>
            <w:hideMark/>
          </w:tcPr>
          <w:p w14:paraId="0EEAFA12" w14:textId="77777777" w:rsidR="00224E1A" w:rsidRPr="00D41179" w:rsidRDefault="00224E1A">
            <w:pPr>
              <w:jc w:val="center"/>
              <w:rPr>
                <w:rFonts w:ascii="Arial Narrow" w:hAnsi="Arial Narrow" w:cs="Calibri"/>
                <w:color w:val="000000"/>
                <w:sz w:val="20"/>
                <w:szCs w:val="20"/>
              </w:rPr>
            </w:pPr>
            <w:r w:rsidRPr="00D41179">
              <w:rPr>
                <w:rFonts w:ascii="Arial Narrow" w:hAnsi="Arial Narrow" w:cs="Calibri"/>
                <w:color w:val="000000"/>
                <w:sz w:val="20"/>
                <w:szCs w:val="20"/>
              </w:rPr>
              <w:t>87.5 (46.83, 98.61)</w:t>
            </w:r>
          </w:p>
        </w:tc>
      </w:tr>
      <w:tr w:rsidR="00224E1A" w:rsidRPr="00D41179" w14:paraId="7FFCD0D0" w14:textId="77777777">
        <w:trPr>
          <w:trHeight w:val="170"/>
          <w:jc w:val="center"/>
        </w:trPr>
        <w:tc>
          <w:tcPr>
            <w:tcW w:w="235" w:type="pct"/>
            <w:vMerge/>
            <w:vAlign w:val="center"/>
            <w:hideMark/>
          </w:tcPr>
          <w:p w14:paraId="70B4394B" w14:textId="77777777" w:rsidR="00224E1A" w:rsidRPr="00D41179" w:rsidRDefault="00224E1A">
            <w:pPr>
              <w:jc w:val="left"/>
              <w:rPr>
                <w:rFonts w:ascii="Arial Narrow" w:hAnsi="Arial Narrow" w:cs="Calibri"/>
                <w:b/>
                <w:bCs/>
                <w:color w:val="000000"/>
                <w:sz w:val="20"/>
                <w:szCs w:val="20"/>
              </w:rPr>
            </w:pPr>
          </w:p>
        </w:tc>
        <w:tc>
          <w:tcPr>
            <w:tcW w:w="397" w:type="pct"/>
            <w:noWrap/>
            <w:vAlign w:val="center"/>
            <w:hideMark/>
          </w:tcPr>
          <w:p w14:paraId="4D06EBB4" w14:textId="77777777" w:rsidR="00224E1A" w:rsidRPr="00D41179" w:rsidRDefault="00224E1A">
            <w:pPr>
              <w:jc w:val="center"/>
              <w:rPr>
                <w:rFonts w:ascii="Arial Narrow" w:hAnsi="Arial Narrow" w:cs="Calibri"/>
                <w:color w:val="000000"/>
                <w:sz w:val="20"/>
                <w:szCs w:val="20"/>
              </w:rPr>
            </w:pPr>
            <w:r w:rsidRPr="00D41179">
              <w:rPr>
                <w:rFonts w:ascii="Arial Narrow" w:hAnsi="Arial Narrow" w:cs="Calibri"/>
                <w:color w:val="000000"/>
                <w:sz w:val="20"/>
                <w:szCs w:val="20"/>
              </w:rPr>
              <w:t>60-69</w:t>
            </w:r>
          </w:p>
        </w:tc>
        <w:tc>
          <w:tcPr>
            <w:tcW w:w="488" w:type="pct"/>
            <w:noWrap/>
            <w:vAlign w:val="center"/>
            <w:hideMark/>
          </w:tcPr>
          <w:p w14:paraId="1D8D432A" w14:textId="77777777" w:rsidR="00224E1A" w:rsidRPr="00D41179" w:rsidRDefault="00224E1A">
            <w:pPr>
              <w:jc w:val="center"/>
              <w:rPr>
                <w:rFonts w:ascii="Arial Narrow" w:hAnsi="Arial Narrow" w:cs="Calibri"/>
                <w:color w:val="000000"/>
                <w:sz w:val="20"/>
                <w:szCs w:val="20"/>
              </w:rPr>
            </w:pPr>
            <w:r w:rsidRPr="00D41179">
              <w:rPr>
                <w:rFonts w:ascii="Arial Narrow" w:eastAsia="Calibri" w:hAnsi="Arial Narrow" w:cs="Calibri"/>
                <w:color w:val="000000"/>
                <w:sz w:val="20"/>
                <w:szCs w:val="20"/>
              </w:rPr>
              <w:t>1,242</w:t>
            </w:r>
          </w:p>
        </w:tc>
        <w:tc>
          <w:tcPr>
            <w:tcW w:w="277" w:type="pct"/>
            <w:noWrap/>
            <w:vAlign w:val="center"/>
            <w:hideMark/>
          </w:tcPr>
          <w:p w14:paraId="4F5675E1" w14:textId="77777777" w:rsidR="00224E1A" w:rsidRPr="00D41179" w:rsidRDefault="00224E1A">
            <w:pPr>
              <w:jc w:val="center"/>
              <w:rPr>
                <w:rFonts w:ascii="Arial Narrow" w:hAnsi="Arial Narrow" w:cs="Calibri"/>
                <w:color w:val="000000"/>
                <w:sz w:val="20"/>
                <w:szCs w:val="20"/>
              </w:rPr>
            </w:pPr>
            <w:r w:rsidRPr="00D41179">
              <w:rPr>
                <w:rFonts w:ascii="Arial Narrow" w:eastAsia="Calibri" w:hAnsi="Arial Narrow" w:cs="Calibri"/>
                <w:color w:val="000000"/>
                <w:sz w:val="20"/>
                <w:szCs w:val="20"/>
              </w:rPr>
              <w:t>1</w:t>
            </w:r>
          </w:p>
        </w:tc>
        <w:tc>
          <w:tcPr>
            <w:tcW w:w="486" w:type="pct"/>
            <w:noWrap/>
            <w:vAlign w:val="center"/>
            <w:hideMark/>
          </w:tcPr>
          <w:p w14:paraId="42F5077D" w14:textId="77777777" w:rsidR="00224E1A" w:rsidRPr="00D41179" w:rsidRDefault="00224E1A">
            <w:pPr>
              <w:jc w:val="center"/>
              <w:rPr>
                <w:rFonts w:ascii="Arial Narrow" w:hAnsi="Arial Narrow" w:cs="Calibri"/>
                <w:color w:val="000000"/>
                <w:sz w:val="20"/>
                <w:szCs w:val="20"/>
              </w:rPr>
            </w:pPr>
            <w:r w:rsidRPr="00D41179">
              <w:rPr>
                <w:rFonts w:ascii="Arial Narrow" w:eastAsia="Calibri" w:hAnsi="Arial Narrow" w:cs="Calibri"/>
                <w:color w:val="000000"/>
                <w:sz w:val="20"/>
                <w:szCs w:val="20"/>
              </w:rPr>
              <w:t>1,233.1</w:t>
            </w:r>
          </w:p>
        </w:tc>
        <w:tc>
          <w:tcPr>
            <w:tcW w:w="493" w:type="pct"/>
            <w:noWrap/>
            <w:vAlign w:val="center"/>
            <w:hideMark/>
          </w:tcPr>
          <w:p w14:paraId="4D2D1C94" w14:textId="77777777" w:rsidR="00224E1A" w:rsidRPr="00D41179" w:rsidRDefault="00224E1A">
            <w:pPr>
              <w:jc w:val="center"/>
              <w:rPr>
                <w:rFonts w:ascii="Arial Narrow" w:hAnsi="Arial Narrow" w:cs="Calibri"/>
                <w:color w:val="000000"/>
                <w:sz w:val="20"/>
                <w:szCs w:val="20"/>
              </w:rPr>
            </w:pPr>
            <w:r w:rsidRPr="00D41179">
              <w:rPr>
                <w:rFonts w:ascii="Arial Narrow" w:eastAsia="Calibri" w:hAnsi="Arial Narrow" w:cs="Calibri"/>
                <w:color w:val="000000"/>
                <w:sz w:val="20"/>
                <w:szCs w:val="20"/>
              </w:rPr>
              <w:t>0.8</w:t>
            </w:r>
          </w:p>
        </w:tc>
        <w:tc>
          <w:tcPr>
            <w:tcW w:w="364" w:type="pct"/>
            <w:noWrap/>
            <w:vAlign w:val="center"/>
            <w:hideMark/>
          </w:tcPr>
          <w:p w14:paraId="56AE2F42" w14:textId="77777777" w:rsidR="00224E1A" w:rsidRPr="00D41179" w:rsidRDefault="00224E1A">
            <w:pPr>
              <w:jc w:val="center"/>
              <w:rPr>
                <w:rFonts w:ascii="Arial Narrow" w:hAnsi="Arial Narrow" w:cs="Calibri"/>
                <w:color w:val="000000"/>
                <w:sz w:val="20"/>
                <w:szCs w:val="20"/>
              </w:rPr>
            </w:pPr>
            <w:r w:rsidRPr="00D41179">
              <w:rPr>
                <w:rFonts w:ascii="Arial Narrow" w:eastAsia="Calibri" w:hAnsi="Arial Narrow" w:cs="Calibri"/>
                <w:color w:val="000000"/>
                <w:sz w:val="20"/>
                <w:szCs w:val="20"/>
              </w:rPr>
              <w:t>1,242</w:t>
            </w:r>
          </w:p>
        </w:tc>
        <w:tc>
          <w:tcPr>
            <w:tcW w:w="276" w:type="pct"/>
            <w:noWrap/>
            <w:vAlign w:val="center"/>
            <w:hideMark/>
          </w:tcPr>
          <w:p w14:paraId="7357DA7B" w14:textId="77777777" w:rsidR="00224E1A" w:rsidRPr="00D41179" w:rsidRDefault="00224E1A">
            <w:pPr>
              <w:jc w:val="center"/>
              <w:rPr>
                <w:rFonts w:ascii="Arial Narrow" w:hAnsi="Arial Narrow" w:cs="Calibri"/>
                <w:color w:val="000000"/>
                <w:sz w:val="20"/>
                <w:szCs w:val="20"/>
              </w:rPr>
            </w:pPr>
            <w:r w:rsidRPr="00D41179">
              <w:rPr>
                <w:rFonts w:ascii="Arial Narrow" w:eastAsia="Calibri" w:hAnsi="Arial Narrow" w:cs="Calibri"/>
                <w:color w:val="000000"/>
                <w:sz w:val="20"/>
                <w:szCs w:val="20"/>
              </w:rPr>
              <w:t>13</w:t>
            </w:r>
          </w:p>
        </w:tc>
        <w:tc>
          <w:tcPr>
            <w:tcW w:w="486" w:type="pct"/>
            <w:noWrap/>
            <w:vAlign w:val="center"/>
            <w:hideMark/>
          </w:tcPr>
          <w:p w14:paraId="0C6582EB" w14:textId="77777777" w:rsidR="00224E1A" w:rsidRPr="00D41179" w:rsidRDefault="00224E1A">
            <w:pPr>
              <w:jc w:val="center"/>
              <w:rPr>
                <w:rFonts w:ascii="Arial Narrow" w:hAnsi="Arial Narrow" w:cs="Calibri"/>
                <w:color w:val="000000"/>
                <w:sz w:val="20"/>
                <w:szCs w:val="20"/>
              </w:rPr>
            </w:pPr>
            <w:r w:rsidRPr="00D41179">
              <w:rPr>
                <w:rFonts w:ascii="Arial Narrow" w:eastAsia="Calibri" w:hAnsi="Arial Narrow" w:cs="Calibri"/>
                <w:color w:val="000000"/>
                <w:sz w:val="20"/>
                <w:szCs w:val="20"/>
              </w:rPr>
              <w:t>1,233.1</w:t>
            </w:r>
          </w:p>
        </w:tc>
        <w:tc>
          <w:tcPr>
            <w:tcW w:w="550" w:type="pct"/>
            <w:noWrap/>
            <w:vAlign w:val="center"/>
            <w:hideMark/>
          </w:tcPr>
          <w:p w14:paraId="2D5C29F2" w14:textId="77777777" w:rsidR="00224E1A" w:rsidRPr="00D41179" w:rsidRDefault="00224E1A">
            <w:pPr>
              <w:jc w:val="center"/>
              <w:rPr>
                <w:rFonts w:ascii="Arial Narrow" w:hAnsi="Arial Narrow" w:cs="Calibri"/>
                <w:color w:val="000000"/>
                <w:sz w:val="20"/>
                <w:szCs w:val="20"/>
              </w:rPr>
            </w:pPr>
            <w:r w:rsidRPr="00D41179">
              <w:rPr>
                <w:rFonts w:ascii="Arial Narrow" w:eastAsia="Calibri" w:hAnsi="Arial Narrow" w:cs="Calibri"/>
                <w:color w:val="000000"/>
                <w:sz w:val="20"/>
                <w:szCs w:val="20"/>
              </w:rPr>
              <w:t>10.5</w:t>
            </w:r>
          </w:p>
        </w:tc>
        <w:tc>
          <w:tcPr>
            <w:tcW w:w="947" w:type="pct"/>
            <w:noWrap/>
            <w:vAlign w:val="center"/>
            <w:hideMark/>
          </w:tcPr>
          <w:p w14:paraId="43C1E1B6" w14:textId="77777777" w:rsidR="00224E1A" w:rsidRPr="00D41179" w:rsidRDefault="00224E1A">
            <w:pPr>
              <w:jc w:val="center"/>
              <w:rPr>
                <w:rFonts w:ascii="Arial Narrow" w:hAnsi="Arial Narrow" w:cs="Calibri"/>
                <w:color w:val="000000"/>
                <w:sz w:val="20"/>
                <w:szCs w:val="20"/>
              </w:rPr>
            </w:pPr>
            <w:r w:rsidRPr="00D41179">
              <w:rPr>
                <w:rFonts w:ascii="Arial Narrow" w:hAnsi="Arial Narrow" w:cs="Calibri"/>
                <w:color w:val="000000"/>
                <w:sz w:val="20"/>
                <w:szCs w:val="20"/>
              </w:rPr>
              <w:t>92.31 (48.79, 99.82)</w:t>
            </w:r>
          </w:p>
        </w:tc>
      </w:tr>
      <w:tr w:rsidR="00224E1A" w:rsidRPr="00D41179" w14:paraId="2DFE4660" w14:textId="77777777">
        <w:trPr>
          <w:trHeight w:val="170"/>
          <w:jc w:val="center"/>
        </w:trPr>
        <w:tc>
          <w:tcPr>
            <w:tcW w:w="235" w:type="pct"/>
            <w:vMerge/>
            <w:vAlign w:val="center"/>
            <w:hideMark/>
          </w:tcPr>
          <w:p w14:paraId="20E3C9A1" w14:textId="77777777" w:rsidR="00224E1A" w:rsidRPr="00D41179" w:rsidRDefault="00224E1A">
            <w:pPr>
              <w:jc w:val="left"/>
              <w:rPr>
                <w:rFonts w:ascii="Arial Narrow" w:hAnsi="Arial Narrow" w:cs="Calibri"/>
                <w:b/>
                <w:bCs/>
                <w:color w:val="000000"/>
                <w:sz w:val="20"/>
                <w:szCs w:val="20"/>
              </w:rPr>
            </w:pPr>
          </w:p>
        </w:tc>
        <w:tc>
          <w:tcPr>
            <w:tcW w:w="397" w:type="pct"/>
            <w:noWrap/>
            <w:vAlign w:val="center"/>
            <w:hideMark/>
          </w:tcPr>
          <w:p w14:paraId="5DBAE7F3" w14:textId="77777777" w:rsidR="00224E1A" w:rsidRPr="00D41179" w:rsidRDefault="00224E1A">
            <w:pPr>
              <w:jc w:val="center"/>
              <w:rPr>
                <w:rFonts w:ascii="Arial Narrow" w:hAnsi="Arial Narrow" w:cs="Calibri"/>
                <w:color w:val="000000"/>
                <w:sz w:val="20"/>
                <w:szCs w:val="20"/>
              </w:rPr>
            </w:pPr>
            <w:r w:rsidRPr="00D41179">
              <w:rPr>
                <w:rFonts w:ascii="Arial Narrow" w:hAnsi="Arial Narrow" w:cs="Calibri"/>
                <w:color w:val="000000"/>
                <w:sz w:val="20"/>
                <w:szCs w:val="20"/>
              </w:rPr>
              <w:t>≥70</w:t>
            </w:r>
          </w:p>
        </w:tc>
        <w:tc>
          <w:tcPr>
            <w:tcW w:w="488" w:type="pct"/>
            <w:noWrap/>
            <w:vAlign w:val="center"/>
            <w:hideMark/>
          </w:tcPr>
          <w:p w14:paraId="66613389" w14:textId="77777777" w:rsidR="00224E1A" w:rsidRPr="00D41179" w:rsidRDefault="00224E1A">
            <w:pPr>
              <w:jc w:val="center"/>
              <w:rPr>
                <w:rFonts w:ascii="Arial Narrow" w:hAnsi="Arial Narrow" w:cs="Calibri"/>
                <w:color w:val="000000"/>
                <w:sz w:val="20"/>
                <w:szCs w:val="20"/>
              </w:rPr>
            </w:pPr>
            <w:r w:rsidRPr="00D41179">
              <w:rPr>
                <w:rFonts w:ascii="Arial Narrow" w:eastAsia="Calibri" w:hAnsi="Arial Narrow" w:cs="Calibri"/>
                <w:color w:val="000000"/>
                <w:sz w:val="20"/>
                <w:szCs w:val="20"/>
              </w:rPr>
              <w:t>3,973</w:t>
            </w:r>
          </w:p>
        </w:tc>
        <w:tc>
          <w:tcPr>
            <w:tcW w:w="277" w:type="pct"/>
            <w:noWrap/>
            <w:vAlign w:val="center"/>
            <w:hideMark/>
          </w:tcPr>
          <w:p w14:paraId="3A02FBF1" w14:textId="77777777" w:rsidR="00224E1A" w:rsidRPr="00D41179" w:rsidRDefault="00224E1A">
            <w:pPr>
              <w:jc w:val="center"/>
              <w:rPr>
                <w:rFonts w:ascii="Arial Narrow" w:hAnsi="Arial Narrow" w:cs="Calibri"/>
                <w:color w:val="000000"/>
                <w:sz w:val="20"/>
                <w:szCs w:val="20"/>
              </w:rPr>
            </w:pPr>
            <w:r w:rsidRPr="00D41179">
              <w:rPr>
                <w:rFonts w:ascii="Arial Narrow" w:eastAsia="Calibri" w:hAnsi="Arial Narrow" w:cs="Calibri"/>
                <w:color w:val="000000"/>
                <w:sz w:val="20"/>
                <w:szCs w:val="20"/>
              </w:rPr>
              <w:t>7</w:t>
            </w:r>
          </w:p>
        </w:tc>
        <w:tc>
          <w:tcPr>
            <w:tcW w:w="486" w:type="pct"/>
            <w:noWrap/>
            <w:vAlign w:val="center"/>
            <w:hideMark/>
          </w:tcPr>
          <w:p w14:paraId="1F8818FB" w14:textId="77777777" w:rsidR="00224E1A" w:rsidRPr="00D41179" w:rsidRDefault="00224E1A">
            <w:pPr>
              <w:jc w:val="center"/>
              <w:rPr>
                <w:rFonts w:ascii="Arial Narrow" w:hAnsi="Arial Narrow" w:cs="Calibri"/>
                <w:color w:val="000000"/>
                <w:sz w:val="20"/>
                <w:szCs w:val="20"/>
              </w:rPr>
            </w:pPr>
            <w:r w:rsidRPr="00D41179">
              <w:rPr>
                <w:rFonts w:ascii="Arial Narrow" w:eastAsia="Calibri" w:hAnsi="Arial Narrow" w:cs="Calibri"/>
                <w:color w:val="000000"/>
                <w:sz w:val="20"/>
                <w:szCs w:val="20"/>
              </w:rPr>
              <w:t>3,925.3</w:t>
            </w:r>
          </w:p>
        </w:tc>
        <w:tc>
          <w:tcPr>
            <w:tcW w:w="493" w:type="pct"/>
            <w:noWrap/>
            <w:vAlign w:val="center"/>
            <w:hideMark/>
          </w:tcPr>
          <w:p w14:paraId="43331326" w14:textId="77777777" w:rsidR="00224E1A" w:rsidRPr="00D41179" w:rsidRDefault="00224E1A">
            <w:pPr>
              <w:jc w:val="center"/>
              <w:rPr>
                <w:rFonts w:ascii="Arial Narrow" w:hAnsi="Arial Narrow" w:cs="Calibri"/>
                <w:color w:val="000000"/>
                <w:sz w:val="20"/>
                <w:szCs w:val="20"/>
              </w:rPr>
            </w:pPr>
            <w:r w:rsidRPr="00D41179">
              <w:rPr>
                <w:rFonts w:ascii="Arial Narrow" w:eastAsia="Calibri" w:hAnsi="Arial Narrow" w:cs="Calibri"/>
                <w:color w:val="000000"/>
                <w:sz w:val="20"/>
                <w:szCs w:val="20"/>
              </w:rPr>
              <w:t>1.8</w:t>
            </w:r>
          </w:p>
        </w:tc>
        <w:tc>
          <w:tcPr>
            <w:tcW w:w="364" w:type="pct"/>
            <w:noWrap/>
            <w:vAlign w:val="center"/>
            <w:hideMark/>
          </w:tcPr>
          <w:p w14:paraId="19727AF7" w14:textId="77777777" w:rsidR="00224E1A" w:rsidRPr="00D41179" w:rsidRDefault="00224E1A">
            <w:pPr>
              <w:jc w:val="center"/>
              <w:rPr>
                <w:rFonts w:ascii="Arial Narrow" w:hAnsi="Arial Narrow" w:cs="Calibri"/>
                <w:color w:val="000000"/>
                <w:sz w:val="20"/>
                <w:szCs w:val="20"/>
              </w:rPr>
            </w:pPr>
            <w:r w:rsidRPr="00D41179">
              <w:rPr>
                <w:rFonts w:ascii="Arial Narrow" w:eastAsia="Calibri" w:hAnsi="Arial Narrow" w:cs="Calibri"/>
                <w:color w:val="000000"/>
                <w:sz w:val="20"/>
                <w:szCs w:val="20"/>
              </w:rPr>
              <w:t>3,973</w:t>
            </w:r>
          </w:p>
        </w:tc>
        <w:tc>
          <w:tcPr>
            <w:tcW w:w="276" w:type="pct"/>
            <w:noWrap/>
            <w:vAlign w:val="center"/>
            <w:hideMark/>
          </w:tcPr>
          <w:p w14:paraId="57E40742" w14:textId="77777777" w:rsidR="00224E1A" w:rsidRPr="00D41179" w:rsidRDefault="00224E1A">
            <w:pPr>
              <w:jc w:val="center"/>
              <w:rPr>
                <w:rFonts w:ascii="Arial Narrow" w:hAnsi="Arial Narrow" w:cs="Calibri"/>
                <w:color w:val="000000"/>
                <w:sz w:val="20"/>
                <w:szCs w:val="20"/>
              </w:rPr>
            </w:pPr>
            <w:r w:rsidRPr="00D41179">
              <w:rPr>
                <w:rFonts w:ascii="Arial Narrow" w:eastAsia="Calibri" w:hAnsi="Arial Narrow" w:cs="Calibri"/>
                <w:color w:val="000000"/>
                <w:sz w:val="20"/>
                <w:szCs w:val="20"/>
              </w:rPr>
              <w:t>35</w:t>
            </w:r>
          </w:p>
        </w:tc>
        <w:tc>
          <w:tcPr>
            <w:tcW w:w="486" w:type="pct"/>
            <w:noWrap/>
            <w:vAlign w:val="center"/>
            <w:hideMark/>
          </w:tcPr>
          <w:p w14:paraId="61F74B49" w14:textId="77777777" w:rsidR="00224E1A" w:rsidRPr="00D41179" w:rsidRDefault="00224E1A">
            <w:pPr>
              <w:jc w:val="center"/>
              <w:rPr>
                <w:rFonts w:ascii="Arial Narrow" w:hAnsi="Arial Narrow" w:cs="Calibri"/>
                <w:color w:val="000000"/>
                <w:sz w:val="20"/>
                <w:szCs w:val="20"/>
              </w:rPr>
            </w:pPr>
            <w:r w:rsidRPr="00D41179">
              <w:rPr>
                <w:rFonts w:ascii="Arial Narrow" w:eastAsia="Calibri" w:hAnsi="Arial Narrow" w:cs="Calibri"/>
                <w:color w:val="000000"/>
                <w:sz w:val="20"/>
                <w:szCs w:val="20"/>
              </w:rPr>
              <w:t>3,925.3</w:t>
            </w:r>
          </w:p>
        </w:tc>
        <w:tc>
          <w:tcPr>
            <w:tcW w:w="550" w:type="pct"/>
            <w:noWrap/>
            <w:vAlign w:val="center"/>
            <w:hideMark/>
          </w:tcPr>
          <w:p w14:paraId="67102754" w14:textId="77777777" w:rsidR="00224E1A" w:rsidRPr="00D41179" w:rsidRDefault="00224E1A">
            <w:pPr>
              <w:jc w:val="center"/>
              <w:rPr>
                <w:rFonts w:ascii="Arial Narrow" w:hAnsi="Arial Narrow" w:cs="Calibri"/>
                <w:color w:val="000000"/>
                <w:sz w:val="20"/>
                <w:szCs w:val="20"/>
              </w:rPr>
            </w:pPr>
            <w:r w:rsidRPr="00D41179">
              <w:rPr>
                <w:rFonts w:ascii="Arial Narrow" w:eastAsia="Calibri" w:hAnsi="Arial Narrow" w:cs="Calibri"/>
                <w:color w:val="000000"/>
                <w:sz w:val="20"/>
                <w:szCs w:val="20"/>
              </w:rPr>
              <w:t>8.9</w:t>
            </w:r>
          </w:p>
        </w:tc>
        <w:tc>
          <w:tcPr>
            <w:tcW w:w="947" w:type="pct"/>
            <w:noWrap/>
            <w:vAlign w:val="center"/>
            <w:hideMark/>
          </w:tcPr>
          <w:p w14:paraId="71C1AC5C" w14:textId="77777777" w:rsidR="00224E1A" w:rsidRPr="00D41179" w:rsidRDefault="00224E1A">
            <w:pPr>
              <w:jc w:val="center"/>
              <w:rPr>
                <w:rFonts w:ascii="Arial Narrow" w:hAnsi="Arial Narrow" w:cs="Calibri"/>
                <w:color w:val="000000"/>
                <w:sz w:val="20"/>
                <w:szCs w:val="20"/>
              </w:rPr>
            </w:pPr>
            <w:r w:rsidRPr="00D41179">
              <w:rPr>
                <w:rFonts w:ascii="Arial Narrow" w:hAnsi="Arial Narrow" w:cs="Calibri"/>
                <w:color w:val="000000"/>
                <w:sz w:val="20"/>
                <w:szCs w:val="20"/>
              </w:rPr>
              <w:t>80.00 (54.30, 92.50)</w:t>
            </w:r>
          </w:p>
        </w:tc>
      </w:tr>
      <w:tr w:rsidR="00224E1A" w:rsidRPr="00D41179" w14:paraId="1EB15AF0" w14:textId="77777777">
        <w:trPr>
          <w:trHeight w:val="170"/>
          <w:jc w:val="center"/>
        </w:trPr>
        <w:tc>
          <w:tcPr>
            <w:tcW w:w="235" w:type="pct"/>
            <w:vMerge w:val="restart"/>
            <w:noWrap/>
            <w:vAlign w:val="center"/>
            <w:hideMark/>
          </w:tcPr>
          <w:p w14:paraId="0EDE9B95" w14:textId="77777777" w:rsidR="00224E1A" w:rsidRPr="00D41179" w:rsidRDefault="00224E1A">
            <w:pPr>
              <w:jc w:val="left"/>
              <w:rPr>
                <w:rFonts w:ascii="Arial Narrow" w:hAnsi="Arial Narrow" w:cs="Calibri"/>
                <w:b/>
                <w:bCs/>
                <w:color w:val="000000"/>
                <w:sz w:val="20"/>
                <w:szCs w:val="20"/>
              </w:rPr>
            </w:pPr>
            <w:r w:rsidRPr="00D41179">
              <w:rPr>
                <w:rFonts w:ascii="Arial Narrow" w:hAnsi="Arial Narrow" w:cs="Calibri"/>
                <w:b/>
                <w:bCs/>
                <w:color w:val="000000"/>
                <w:sz w:val="20"/>
                <w:szCs w:val="20"/>
              </w:rPr>
              <w:t>Y 7</w:t>
            </w:r>
          </w:p>
        </w:tc>
        <w:tc>
          <w:tcPr>
            <w:tcW w:w="397" w:type="pct"/>
            <w:noWrap/>
            <w:vAlign w:val="center"/>
            <w:hideMark/>
          </w:tcPr>
          <w:p w14:paraId="0D035A48" w14:textId="77777777" w:rsidR="00224E1A" w:rsidRPr="00D41179" w:rsidRDefault="00224E1A">
            <w:pPr>
              <w:jc w:val="center"/>
              <w:rPr>
                <w:rFonts w:ascii="Arial Narrow" w:hAnsi="Arial Narrow" w:cs="Calibri"/>
                <w:color w:val="000000"/>
                <w:sz w:val="20"/>
                <w:szCs w:val="20"/>
              </w:rPr>
            </w:pPr>
            <w:r w:rsidRPr="00D41179">
              <w:rPr>
                <w:rFonts w:ascii="Arial Narrow" w:hAnsi="Arial Narrow" w:cs="Calibri"/>
                <w:color w:val="000000"/>
                <w:sz w:val="20"/>
                <w:szCs w:val="20"/>
              </w:rPr>
              <w:t>Overall</w:t>
            </w:r>
          </w:p>
        </w:tc>
        <w:tc>
          <w:tcPr>
            <w:tcW w:w="488" w:type="pct"/>
            <w:noWrap/>
            <w:vAlign w:val="center"/>
            <w:hideMark/>
          </w:tcPr>
          <w:p w14:paraId="54AB23A4" w14:textId="77777777" w:rsidR="00224E1A" w:rsidRPr="00D41179" w:rsidRDefault="00224E1A">
            <w:pPr>
              <w:jc w:val="center"/>
              <w:rPr>
                <w:rFonts w:ascii="Arial Narrow" w:hAnsi="Arial Narrow" w:cs="Calibri"/>
                <w:color w:val="000000"/>
                <w:sz w:val="20"/>
                <w:szCs w:val="20"/>
              </w:rPr>
            </w:pPr>
            <w:r w:rsidRPr="00D41179">
              <w:rPr>
                <w:rFonts w:ascii="Arial Narrow" w:eastAsia="Calibri" w:hAnsi="Arial Narrow" w:cs="Calibri"/>
                <w:color w:val="000000"/>
                <w:sz w:val="20"/>
                <w:szCs w:val="20"/>
              </w:rPr>
              <w:t>7,083 (97.6%)</w:t>
            </w:r>
          </w:p>
        </w:tc>
        <w:tc>
          <w:tcPr>
            <w:tcW w:w="277" w:type="pct"/>
            <w:noWrap/>
            <w:vAlign w:val="center"/>
            <w:hideMark/>
          </w:tcPr>
          <w:p w14:paraId="44834037" w14:textId="77777777" w:rsidR="00224E1A" w:rsidRPr="00D41179" w:rsidRDefault="00224E1A">
            <w:pPr>
              <w:jc w:val="center"/>
              <w:rPr>
                <w:rFonts w:ascii="Arial Narrow" w:hAnsi="Arial Narrow" w:cs="Calibri"/>
                <w:color w:val="000000"/>
                <w:sz w:val="20"/>
                <w:szCs w:val="20"/>
              </w:rPr>
            </w:pPr>
            <w:r w:rsidRPr="00D41179">
              <w:rPr>
                <w:rFonts w:ascii="Arial Narrow" w:eastAsia="Calibri" w:hAnsi="Arial Narrow" w:cs="Calibri"/>
                <w:color w:val="000000"/>
                <w:sz w:val="20"/>
                <w:szCs w:val="20"/>
              </w:rPr>
              <w:t>10</w:t>
            </w:r>
          </w:p>
        </w:tc>
        <w:tc>
          <w:tcPr>
            <w:tcW w:w="486" w:type="pct"/>
            <w:noWrap/>
            <w:vAlign w:val="center"/>
            <w:hideMark/>
          </w:tcPr>
          <w:p w14:paraId="7A435E8F" w14:textId="77777777" w:rsidR="00224E1A" w:rsidRPr="00D41179" w:rsidRDefault="00224E1A">
            <w:pPr>
              <w:jc w:val="center"/>
              <w:rPr>
                <w:rFonts w:ascii="Arial Narrow" w:hAnsi="Arial Narrow" w:cs="Calibri"/>
                <w:color w:val="000000"/>
                <w:sz w:val="20"/>
                <w:szCs w:val="20"/>
              </w:rPr>
            </w:pPr>
            <w:r w:rsidRPr="00D41179">
              <w:rPr>
                <w:rFonts w:ascii="Arial Narrow" w:eastAsia="Calibri" w:hAnsi="Arial Narrow" w:cs="Calibri"/>
                <w:color w:val="000000"/>
                <w:sz w:val="20"/>
                <w:szCs w:val="20"/>
              </w:rPr>
              <w:t>6,976.4</w:t>
            </w:r>
          </w:p>
        </w:tc>
        <w:tc>
          <w:tcPr>
            <w:tcW w:w="493" w:type="pct"/>
            <w:noWrap/>
            <w:vAlign w:val="center"/>
            <w:hideMark/>
          </w:tcPr>
          <w:p w14:paraId="058F9953" w14:textId="77777777" w:rsidR="00224E1A" w:rsidRPr="00D41179" w:rsidRDefault="00224E1A">
            <w:pPr>
              <w:jc w:val="center"/>
              <w:rPr>
                <w:rFonts w:ascii="Arial Narrow" w:hAnsi="Arial Narrow" w:cs="Calibri"/>
                <w:color w:val="000000"/>
                <w:sz w:val="20"/>
                <w:szCs w:val="20"/>
              </w:rPr>
            </w:pPr>
            <w:r w:rsidRPr="00D41179">
              <w:rPr>
                <w:rFonts w:ascii="Arial Narrow" w:eastAsia="Calibri" w:hAnsi="Arial Narrow" w:cs="Calibri"/>
                <w:color w:val="000000"/>
                <w:sz w:val="20"/>
                <w:szCs w:val="20"/>
              </w:rPr>
              <w:t>1.4</w:t>
            </w:r>
          </w:p>
        </w:tc>
        <w:tc>
          <w:tcPr>
            <w:tcW w:w="364" w:type="pct"/>
            <w:noWrap/>
            <w:vAlign w:val="center"/>
            <w:hideMark/>
          </w:tcPr>
          <w:p w14:paraId="70F9C4EA" w14:textId="77777777" w:rsidR="00224E1A" w:rsidRPr="00D41179" w:rsidRDefault="00224E1A">
            <w:pPr>
              <w:jc w:val="center"/>
              <w:rPr>
                <w:rFonts w:ascii="Arial Narrow" w:hAnsi="Arial Narrow" w:cs="Calibri"/>
                <w:color w:val="000000"/>
                <w:sz w:val="20"/>
                <w:szCs w:val="20"/>
              </w:rPr>
            </w:pPr>
            <w:r w:rsidRPr="00D41179">
              <w:rPr>
                <w:rFonts w:ascii="Arial Narrow" w:eastAsia="Calibri" w:hAnsi="Arial Narrow" w:cs="Calibri"/>
                <w:color w:val="000000"/>
                <w:sz w:val="20"/>
                <w:szCs w:val="20"/>
              </w:rPr>
              <w:t>7,083</w:t>
            </w:r>
          </w:p>
        </w:tc>
        <w:tc>
          <w:tcPr>
            <w:tcW w:w="276" w:type="pct"/>
            <w:noWrap/>
            <w:vAlign w:val="center"/>
            <w:hideMark/>
          </w:tcPr>
          <w:p w14:paraId="390434F4" w14:textId="77777777" w:rsidR="00224E1A" w:rsidRPr="00D41179" w:rsidRDefault="00224E1A">
            <w:pPr>
              <w:jc w:val="center"/>
              <w:rPr>
                <w:rFonts w:ascii="Arial Narrow" w:hAnsi="Arial Narrow" w:cs="Calibri"/>
                <w:color w:val="000000"/>
                <w:sz w:val="20"/>
                <w:szCs w:val="20"/>
              </w:rPr>
            </w:pPr>
            <w:r w:rsidRPr="00D41179">
              <w:rPr>
                <w:rFonts w:ascii="Arial Narrow" w:eastAsia="Calibri" w:hAnsi="Arial Narrow" w:cs="Calibri"/>
                <w:color w:val="000000"/>
                <w:sz w:val="20"/>
                <w:szCs w:val="20"/>
              </w:rPr>
              <w:t>61</w:t>
            </w:r>
          </w:p>
        </w:tc>
        <w:tc>
          <w:tcPr>
            <w:tcW w:w="486" w:type="pct"/>
            <w:noWrap/>
            <w:vAlign w:val="center"/>
            <w:hideMark/>
          </w:tcPr>
          <w:p w14:paraId="71703680" w14:textId="77777777" w:rsidR="00224E1A" w:rsidRPr="00D41179" w:rsidRDefault="00224E1A">
            <w:pPr>
              <w:jc w:val="center"/>
              <w:rPr>
                <w:rFonts w:ascii="Arial Narrow" w:hAnsi="Arial Narrow" w:cs="Calibri"/>
                <w:color w:val="000000"/>
                <w:sz w:val="20"/>
                <w:szCs w:val="20"/>
              </w:rPr>
            </w:pPr>
            <w:r w:rsidRPr="00D41179">
              <w:rPr>
                <w:rFonts w:ascii="Arial Narrow" w:eastAsia="Calibri" w:hAnsi="Arial Narrow" w:cs="Calibri"/>
                <w:color w:val="000000"/>
                <w:sz w:val="20"/>
                <w:szCs w:val="20"/>
              </w:rPr>
              <w:t>6,976.4</w:t>
            </w:r>
          </w:p>
        </w:tc>
        <w:tc>
          <w:tcPr>
            <w:tcW w:w="550" w:type="pct"/>
            <w:noWrap/>
            <w:vAlign w:val="center"/>
            <w:hideMark/>
          </w:tcPr>
          <w:p w14:paraId="78E7BFBD" w14:textId="77777777" w:rsidR="00224E1A" w:rsidRPr="00D41179" w:rsidRDefault="00224E1A">
            <w:pPr>
              <w:jc w:val="center"/>
              <w:rPr>
                <w:rFonts w:ascii="Arial Narrow" w:hAnsi="Arial Narrow" w:cs="Calibri"/>
                <w:color w:val="000000"/>
                <w:sz w:val="20"/>
                <w:szCs w:val="20"/>
              </w:rPr>
            </w:pPr>
            <w:r w:rsidRPr="00D41179">
              <w:rPr>
                <w:rFonts w:ascii="Arial Narrow" w:eastAsia="Calibri" w:hAnsi="Arial Narrow" w:cs="Calibri"/>
                <w:color w:val="000000"/>
                <w:sz w:val="20"/>
                <w:szCs w:val="20"/>
              </w:rPr>
              <w:t>8.7</w:t>
            </w:r>
          </w:p>
        </w:tc>
        <w:tc>
          <w:tcPr>
            <w:tcW w:w="947" w:type="pct"/>
            <w:noWrap/>
            <w:vAlign w:val="center"/>
            <w:hideMark/>
          </w:tcPr>
          <w:p w14:paraId="6DB39D95" w14:textId="77777777" w:rsidR="00224E1A" w:rsidRPr="00D41179" w:rsidRDefault="00224E1A">
            <w:pPr>
              <w:jc w:val="center"/>
              <w:rPr>
                <w:rFonts w:ascii="Arial Narrow" w:hAnsi="Arial Narrow" w:cs="Calibri"/>
                <w:color w:val="000000"/>
                <w:sz w:val="20"/>
                <w:szCs w:val="20"/>
              </w:rPr>
            </w:pPr>
            <w:r w:rsidRPr="00D41179">
              <w:rPr>
                <w:rFonts w:ascii="Arial Narrow" w:hAnsi="Arial Narrow" w:cs="Calibri"/>
                <w:color w:val="000000"/>
                <w:sz w:val="20"/>
                <w:szCs w:val="20"/>
              </w:rPr>
              <w:t>83.61 (67.76, 92.51)</w:t>
            </w:r>
          </w:p>
        </w:tc>
      </w:tr>
      <w:tr w:rsidR="00224E1A" w:rsidRPr="00D41179" w14:paraId="4691661D" w14:textId="77777777">
        <w:trPr>
          <w:trHeight w:val="170"/>
          <w:jc w:val="center"/>
        </w:trPr>
        <w:tc>
          <w:tcPr>
            <w:tcW w:w="235" w:type="pct"/>
            <w:vMerge/>
            <w:vAlign w:val="center"/>
            <w:hideMark/>
          </w:tcPr>
          <w:p w14:paraId="14FA5BC4" w14:textId="77777777" w:rsidR="00224E1A" w:rsidRPr="00D41179" w:rsidRDefault="00224E1A">
            <w:pPr>
              <w:jc w:val="left"/>
              <w:rPr>
                <w:rFonts w:ascii="Arial Narrow" w:hAnsi="Arial Narrow" w:cs="Calibri"/>
                <w:b/>
                <w:bCs/>
                <w:color w:val="000000"/>
                <w:sz w:val="20"/>
                <w:szCs w:val="20"/>
              </w:rPr>
            </w:pPr>
          </w:p>
        </w:tc>
        <w:tc>
          <w:tcPr>
            <w:tcW w:w="397" w:type="pct"/>
            <w:noWrap/>
            <w:vAlign w:val="center"/>
            <w:hideMark/>
          </w:tcPr>
          <w:p w14:paraId="639F38FB" w14:textId="77777777" w:rsidR="00224E1A" w:rsidRPr="00D41179" w:rsidRDefault="00224E1A">
            <w:pPr>
              <w:jc w:val="center"/>
              <w:rPr>
                <w:rFonts w:ascii="Arial Narrow" w:hAnsi="Arial Narrow" w:cs="Calibri"/>
                <w:color w:val="000000"/>
                <w:sz w:val="20"/>
                <w:szCs w:val="20"/>
              </w:rPr>
            </w:pPr>
            <w:r w:rsidRPr="00D41179">
              <w:rPr>
                <w:rFonts w:ascii="Arial Narrow" w:hAnsi="Arial Narrow" w:cs="Calibri"/>
                <w:color w:val="000000"/>
                <w:sz w:val="20"/>
                <w:szCs w:val="20"/>
              </w:rPr>
              <w:t>50-59</w:t>
            </w:r>
          </w:p>
        </w:tc>
        <w:tc>
          <w:tcPr>
            <w:tcW w:w="488" w:type="pct"/>
            <w:noWrap/>
            <w:vAlign w:val="center"/>
            <w:hideMark/>
          </w:tcPr>
          <w:p w14:paraId="6E59D9A9" w14:textId="77777777" w:rsidR="00224E1A" w:rsidRPr="00D41179" w:rsidRDefault="00224E1A">
            <w:pPr>
              <w:jc w:val="center"/>
              <w:rPr>
                <w:rFonts w:ascii="Arial Narrow" w:hAnsi="Arial Narrow" w:cs="Calibri"/>
                <w:color w:val="000000"/>
                <w:sz w:val="20"/>
                <w:szCs w:val="20"/>
              </w:rPr>
            </w:pPr>
            <w:r w:rsidRPr="00D41179">
              <w:rPr>
                <w:rFonts w:ascii="Arial Narrow" w:eastAsia="Calibri" w:hAnsi="Arial Narrow" w:cs="Calibri"/>
                <w:color w:val="000000"/>
                <w:sz w:val="20"/>
                <w:szCs w:val="20"/>
              </w:rPr>
              <w:t>2,020</w:t>
            </w:r>
          </w:p>
        </w:tc>
        <w:tc>
          <w:tcPr>
            <w:tcW w:w="277" w:type="pct"/>
            <w:noWrap/>
            <w:vAlign w:val="center"/>
            <w:hideMark/>
          </w:tcPr>
          <w:p w14:paraId="0800187E" w14:textId="77777777" w:rsidR="00224E1A" w:rsidRPr="00D41179" w:rsidRDefault="00224E1A">
            <w:pPr>
              <w:jc w:val="center"/>
              <w:rPr>
                <w:rFonts w:ascii="Arial Narrow" w:hAnsi="Arial Narrow" w:cs="Calibri"/>
                <w:color w:val="000000"/>
                <w:sz w:val="20"/>
                <w:szCs w:val="20"/>
              </w:rPr>
            </w:pPr>
            <w:r w:rsidRPr="00D41179">
              <w:rPr>
                <w:rFonts w:ascii="Arial Narrow" w:eastAsia="Calibri" w:hAnsi="Arial Narrow" w:cs="Calibri"/>
                <w:color w:val="000000"/>
                <w:sz w:val="20"/>
                <w:szCs w:val="20"/>
              </w:rPr>
              <w:t>1</w:t>
            </w:r>
          </w:p>
        </w:tc>
        <w:tc>
          <w:tcPr>
            <w:tcW w:w="486" w:type="pct"/>
            <w:noWrap/>
            <w:vAlign w:val="center"/>
            <w:hideMark/>
          </w:tcPr>
          <w:p w14:paraId="06B84310" w14:textId="77777777" w:rsidR="00224E1A" w:rsidRPr="00D41179" w:rsidRDefault="00224E1A">
            <w:pPr>
              <w:jc w:val="center"/>
              <w:rPr>
                <w:rFonts w:ascii="Arial Narrow" w:hAnsi="Arial Narrow" w:cs="Calibri"/>
                <w:color w:val="000000"/>
                <w:sz w:val="20"/>
                <w:szCs w:val="20"/>
              </w:rPr>
            </w:pPr>
            <w:r w:rsidRPr="00D41179">
              <w:rPr>
                <w:rFonts w:ascii="Arial Narrow" w:eastAsia="Calibri" w:hAnsi="Arial Narrow" w:cs="Calibri"/>
                <w:color w:val="000000"/>
                <w:sz w:val="20"/>
                <w:szCs w:val="20"/>
              </w:rPr>
              <w:t>2,008.6</w:t>
            </w:r>
          </w:p>
        </w:tc>
        <w:tc>
          <w:tcPr>
            <w:tcW w:w="493" w:type="pct"/>
            <w:noWrap/>
            <w:vAlign w:val="center"/>
            <w:hideMark/>
          </w:tcPr>
          <w:p w14:paraId="65F17382" w14:textId="77777777" w:rsidR="00224E1A" w:rsidRPr="00D41179" w:rsidRDefault="00224E1A">
            <w:pPr>
              <w:jc w:val="center"/>
              <w:rPr>
                <w:rFonts w:ascii="Arial Narrow" w:hAnsi="Arial Narrow" w:cs="Calibri"/>
                <w:color w:val="000000"/>
                <w:sz w:val="20"/>
                <w:szCs w:val="20"/>
              </w:rPr>
            </w:pPr>
            <w:r w:rsidRPr="00D41179">
              <w:rPr>
                <w:rFonts w:ascii="Arial Narrow" w:eastAsia="Calibri" w:hAnsi="Arial Narrow" w:cs="Calibri"/>
                <w:color w:val="000000"/>
                <w:sz w:val="20"/>
                <w:szCs w:val="20"/>
              </w:rPr>
              <w:t>0.5</w:t>
            </w:r>
          </w:p>
        </w:tc>
        <w:tc>
          <w:tcPr>
            <w:tcW w:w="364" w:type="pct"/>
            <w:noWrap/>
            <w:vAlign w:val="center"/>
            <w:hideMark/>
          </w:tcPr>
          <w:p w14:paraId="7AE932FE" w14:textId="77777777" w:rsidR="00224E1A" w:rsidRPr="00D41179" w:rsidRDefault="00224E1A">
            <w:pPr>
              <w:jc w:val="center"/>
              <w:rPr>
                <w:rFonts w:ascii="Arial Narrow" w:hAnsi="Arial Narrow" w:cs="Calibri"/>
                <w:color w:val="000000"/>
                <w:sz w:val="20"/>
                <w:szCs w:val="20"/>
              </w:rPr>
            </w:pPr>
            <w:r w:rsidRPr="00D41179">
              <w:rPr>
                <w:rFonts w:ascii="Arial Narrow" w:eastAsia="Calibri" w:hAnsi="Arial Narrow" w:cs="Calibri"/>
                <w:color w:val="000000"/>
                <w:sz w:val="20"/>
                <w:szCs w:val="20"/>
              </w:rPr>
              <w:t>2,020</w:t>
            </w:r>
          </w:p>
        </w:tc>
        <w:tc>
          <w:tcPr>
            <w:tcW w:w="276" w:type="pct"/>
            <w:noWrap/>
            <w:vAlign w:val="center"/>
            <w:hideMark/>
          </w:tcPr>
          <w:p w14:paraId="5F562246" w14:textId="77777777" w:rsidR="00224E1A" w:rsidRPr="00D41179" w:rsidRDefault="00224E1A">
            <w:pPr>
              <w:jc w:val="center"/>
              <w:rPr>
                <w:rFonts w:ascii="Arial Narrow" w:hAnsi="Arial Narrow" w:cs="Calibri"/>
                <w:color w:val="000000"/>
                <w:sz w:val="20"/>
                <w:szCs w:val="20"/>
              </w:rPr>
            </w:pPr>
            <w:r w:rsidRPr="00D41179">
              <w:rPr>
                <w:rFonts w:ascii="Arial Narrow" w:eastAsia="Calibri" w:hAnsi="Arial Narrow" w:cs="Calibri"/>
                <w:color w:val="000000"/>
                <w:sz w:val="20"/>
                <w:szCs w:val="20"/>
              </w:rPr>
              <w:t>15</w:t>
            </w:r>
          </w:p>
        </w:tc>
        <w:tc>
          <w:tcPr>
            <w:tcW w:w="486" w:type="pct"/>
            <w:noWrap/>
            <w:vAlign w:val="center"/>
            <w:hideMark/>
          </w:tcPr>
          <w:p w14:paraId="066DB5C5" w14:textId="77777777" w:rsidR="00224E1A" w:rsidRPr="00D41179" w:rsidRDefault="00224E1A">
            <w:pPr>
              <w:jc w:val="center"/>
              <w:rPr>
                <w:rFonts w:ascii="Arial Narrow" w:hAnsi="Arial Narrow" w:cs="Calibri"/>
                <w:color w:val="000000"/>
                <w:sz w:val="20"/>
                <w:szCs w:val="20"/>
              </w:rPr>
            </w:pPr>
            <w:r w:rsidRPr="00D41179">
              <w:rPr>
                <w:rFonts w:ascii="Arial Narrow" w:eastAsia="Calibri" w:hAnsi="Arial Narrow" w:cs="Calibri"/>
                <w:color w:val="000000"/>
                <w:sz w:val="20"/>
                <w:szCs w:val="20"/>
              </w:rPr>
              <w:t>2,008.6</w:t>
            </w:r>
          </w:p>
        </w:tc>
        <w:tc>
          <w:tcPr>
            <w:tcW w:w="550" w:type="pct"/>
            <w:noWrap/>
            <w:vAlign w:val="center"/>
            <w:hideMark/>
          </w:tcPr>
          <w:p w14:paraId="39E2EDFB" w14:textId="77777777" w:rsidR="00224E1A" w:rsidRPr="00D41179" w:rsidRDefault="00224E1A">
            <w:pPr>
              <w:jc w:val="center"/>
              <w:rPr>
                <w:rFonts w:ascii="Arial Narrow" w:hAnsi="Arial Narrow" w:cs="Calibri"/>
                <w:color w:val="000000"/>
                <w:sz w:val="20"/>
                <w:szCs w:val="20"/>
              </w:rPr>
            </w:pPr>
            <w:r w:rsidRPr="00D41179">
              <w:rPr>
                <w:rFonts w:ascii="Arial Narrow" w:eastAsia="Calibri" w:hAnsi="Arial Narrow" w:cs="Calibri"/>
                <w:color w:val="000000"/>
                <w:sz w:val="20"/>
                <w:szCs w:val="20"/>
              </w:rPr>
              <w:t>7.5</w:t>
            </w:r>
          </w:p>
        </w:tc>
        <w:tc>
          <w:tcPr>
            <w:tcW w:w="947" w:type="pct"/>
            <w:noWrap/>
            <w:vAlign w:val="center"/>
            <w:hideMark/>
          </w:tcPr>
          <w:p w14:paraId="51D07E7D" w14:textId="77777777" w:rsidR="00224E1A" w:rsidRPr="00D41179" w:rsidRDefault="00224E1A">
            <w:pPr>
              <w:jc w:val="center"/>
              <w:rPr>
                <w:rFonts w:ascii="Arial Narrow" w:hAnsi="Arial Narrow" w:cs="Calibri"/>
                <w:color w:val="000000"/>
                <w:sz w:val="20"/>
                <w:szCs w:val="20"/>
              </w:rPr>
            </w:pPr>
            <w:r w:rsidRPr="00D41179">
              <w:rPr>
                <w:rFonts w:ascii="Arial Narrow" w:hAnsi="Arial Narrow" w:cs="Calibri"/>
                <w:color w:val="000000"/>
                <w:sz w:val="20"/>
                <w:szCs w:val="20"/>
              </w:rPr>
              <w:t>93.33 (56.67, 99.84)</w:t>
            </w:r>
          </w:p>
        </w:tc>
      </w:tr>
      <w:tr w:rsidR="00224E1A" w:rsidRPr="00D41179" w14:paraId="220ED1CF" w14:textId="77777777">
        <w:trPr>
          <w:trHeight w:val="170"/>
          <w:jc w:val="center"/>
        </w:trPr>
        <w:tc>
          <w:tcPr>
            <w:tcW w:w="235" w:type="pct"/>
            <w:vMerge/>
            <w:vAlign w:val="center"/>
            <w:hideMark/>
          </w:tcPr>
          <w:p w14:paraId="5307452B" w14:textId="77777777" w:rsidR="00224E1A" w:rsidRPr="00D41179" w:rsidRDefault="00224E1A">
            <w:pPr>
              <w:jc w:val="left"/>
              <w:rPr>
                <w:rFonts w:ascii="Arial Narrow" w:hAnsi="Arial Narrow" w:cs="Calibri"/>
                <w:b/>
                <w:bCs/>
                <w:color w:val="000000"/>
                <w:sz w:val="20"/>
                <w:szCs w:val="20"/>
              </w:rPr>
            </w:pPr>
          </w:p>
        </w:tc>
        <w:tc>
          <w:tcPr>
            <w:tcW w:w="397" w:type="pct"/>
            <w:noWrap/>
            <w:vAlign w:val="center"/>
            <w:hideMark/>
          </w:tcPr>
          <w:p w14:paraId="58F56C45" w14:textId="77777777" w:rsidR="00224E1A" w:rsidRPr="00D41179" w:rsidRDefault="00224E1A">
            <w:pPr>
              <w:jc w:val="center"/>
              <w:rPr>
                <w:rFonts w:ascii="Arial Narrow" w:hAnsi="Arial Narrow" w:cs="Calibri"/>
                <w:color w:val="000000"/>
                <w:sz w:val="20"/>
                <w:szCs w:val="20"/>
              </w:rPr>
            </w:pPr>
            <w:r w:rsidRPr="00D41179">
              <w:rPr>
                <w:rFonts w:ascii="Arial Narrow" w:hAnsi="Arial Narrow" w:cs="Calibri"/>
                <w:color w:val="000000"/>
                <w:sz w:val="20"/>
                <w:szCs w:val="20"/>
              </w:rPr>
              <w:t>60-69</w:t>
            </w:r>
          </w:p>
        </w:tc>
        <w:tc>
          <w:tcPr>
            <w:tcW w:w="488" w:type="pct"/>
            <w:noWrap/>
            <w:vAlign w:val="center"/>
            <w:hideMark/>
          </w:tcPr>
          <w:p w14:paraId="5A477140" w14:textId="77777777" w:rsidR="00224E1A" w:rsidRPr="00D41179" w:rsidRDefault="00224E1A">
            <w:pPr>
              <w:jc w:val="center"/>
              <w:rPr>
                <w:rFonts w:ascii="Arial Narrow" w:hAnsi="Arial Narrow" w:cs="Calibri"/>
                <w:color w:val="000000"/>
                <w:sz w:val="20"/>
                <w:szCs w:val="20"/>
              </w:rPr>
            </w:pPr>
            <w:r w:rsidRPr="00D41179">
              <w:rPr>
                <w:rFonts w:ascii="Arial Narrow" w:eastAsia="Calibri" w:hAnsi="Arial Narrow" w:cs="Calibri"/>
                <w:color w:val="000000"/>
                <w:sz w:val="20"/>
                <w:szCs w:val="20"/>
              </w:rPr>
              <w:t>1,222</w:t>
            </w:r>
          </w:p>
        </w:tc>
        <w:tc>
          <w:tcPr>
            <w:tcW w:w="277" w:type="pct"/>
            <w:noWrap/>
            <w:vAlign w:val="center"/>
            <w:hideMark/>
          </w:tcPr>
          <w:p w14:paraId="01D08A75" w14:textId="77777777" w:rsidR="00224E1A" w:rsidRPr="00D41179" w:rsidRDefault="00224E1A">
            <w:pPr>
              <w:jc w:val="center"/>
              <w:rPr>
                <w:rFonts w:ascii="Arial Narrow" w:hAnsi="Arial Narrow" w:cs="Calibri"/>
                <w:color w:val="000000"/>
                <w:sz w:val="20"/>
                <w:szCs w:val="20"/>
              </w:rPr>
            </w:pPr>
            <w:r w:rsidRPr="00D41179">
              <w:rPr>
                <w:rFonts w:ascii="Arial Narrow" w:eastAsia="Calibri" w:hAnsi="Arial Narrow" w:cs="Calibri"/>
                <w:color w:val="000000"/>
                <w:sz w:val="20"/>
                <w:szCs w:val="20"/>
              </w:rPr>
              <w:t>2</w:t>
            </w:r>
          </w:p>
        </w:tc>
        <w:tc>
          <w:tcPr>
            <w:tcW w:w="486" w:type="pct"/>
            <w:noWrap/>
            <w:vAlign w:val="center"/>
            <w:hideMark/>
          </w:tcPr>
          <w:p w14:paraId="385C54B0" w14:textId="77777777" w:rsidR="00224E1A" w:rsidRPr="00D41179" w:rsidRDefault="00224E1A">
            <w:pPr>
              <w:jc w:val="center"/>
              <w:rPr>
                <w:rFonts w:ascii="Arial Narrow" w:hAnsi="Arial Narrow" w:cs="Calibri"/>
                <w:color w:val="000000"/>
                <w:sz w:val="20"/>
                <w:szCs w:val="20"/>
              </w:rPr>
            </w:pPr>
            <w:r w:rsidRPr="00D41179">
              <w:rPr>
                <w:rFonts w:ascii="Arial Narrow" w:eastAsia="Calibri" w:hAnsi="Arial Narrow" w:cs="Calibri"/>
                <w:color w:val="000000"/>
                <w:sz w:val="20"/>
                <w:szCs w:val="20"/>
              </w:rPr>
              <w:t>1,213.3</w:t>
            </w:r>
          </w:p>
        </w:tc>
        <w:tc>
          <w:tcPr>
            <w:tcW w:w="493" w:type="pct"/>
            <w:noWrap/>
            <w:vAlign w:val="center"/>
            <w:hideMark/>
          </w:tcPr>
          <w:p w14:paraId="4929C7E5" w14:textId="77777777" w:rsidR="00224E1A" w:rsidRPr="00D41179" w:rsidRDefault="00224E1A">
            <w:pPr>
              <w:jc w:val="center"/>
              <w:rPr>
                <w:rFonts w:ascii="Arial Narrow" w:hAnsi="Arial Narrow" w:cs="Calibri"/>
                <w:color w:val="000000"/>
                <w:sz w:val="20"/>
                <w:szCs w:val="20"/>
              </w:rPr>
            </w:pPr>
            <w:r w:rsidRPr="00D41179">
              <w:rPr>
                <w:rFonts w:ascii="Arial Narrow" w:eastAsia="Calibri" w:hAnsi="Arial Narrow" w:cs="Calibri"/>
                <w:color w:val="000000"/>
                <w:sz w:val="20"/>
                <w:szCs w:val="20"/>
              </w:rPr>
              <w:t>1.6</w:t>
            </w:r>
          </w:p>
        </w:tc>
        <w:tc>
          <w:tcPr>
            <w:tcW w:w="364" w:type="pct"/>
            <w:noWrap/>
            <w:vAlign w:val="center"/>
            <w:hideMark/>
          </w:tcPr>
          <w:p w14:paraId="62E67282" w14:textId="77777777" w:rsidR="00224E1A" w:rsidRPr="00D41179" w:rsidRDefault="00224E1A">
            <w:pPr>
              <w:jc w:val="center"/>
              <w:rPr>
                <w:rFonts w:ascii="Arial Narrow" w:hAnsi="Arial Narrow" w:cs="Calibri"/>
                <w:color w:val="000000"/>
                <w:sz w:val="20"/>
                <w:szCs w:val="20"/>
              </w:rPr>
            </w:pPr>
            <w:r w:rsidRPr="00D41179">
              <w:rPr>
                <w:rFonts w:ascii="Arial Narrow" w:eastAsia="Calibri" w:hAnsi="Arial Narrow" w:cs="Calibri"/>
                <w:color w:val="000000"/>
                <w:sz w:val="20"/>
                <w:szCs w:val="20"/>
              </w:rPr>
              <w:t>1,222</w:t>
            </w:r>
          </w:p>
        </w:tc>
        <w:tc>
          <w:tcPr>
            <w:tcW w:w="276" w:type="pct"/>
            <w:noWrap/>
            <w:vAlign w:val="center"/>
            <w:hideMark/>
          </w:tcPr>
          <w:p w14:paraId="3DC3C8A8" w14:textId="77777777" w:rsidR="00224E1A" w:rsidRPr="00D41179" w:rsidRDefault="00224E1A">
            <w:pPr>
              <w:jc w:val="center"/>
              <w:rPr>
                <w:rFonts w:ascii="Arial Narrow" w:hAnsi="Arial Narrow" w:cs="Calibri"/>
                <w:color w:val="000000"/>
                <w:sz w:val="20"/>
                <w:szCs w:val="20"/>
              </w:rPr>
            </w:pPr>
            <w:r w:rsidRPr="00D41179">
              <w:rPr>
                <w:rFonts w:ascii="Arial Narrow" w:eastAsia="Calibri" w:hAnsi="Arial Narrow" w:cs="Calibri"/>
                <w:color w:val="000000"/>
                <w:sz w:val="20"/>
                <w:szCs w:val="20"/>
              </w:rPr>
              <w:t>13</w:t>
            </w:r>
          </w:p>
        </w:tc>
        <w:tc>
          <w:tcPr>
            <w:tcW w:w="486" w:type="pct"/>
            <w:noWrap/>
            <w:vAlign w:val="center"/>
            <w:hideMark/>
          </w:tcPr>
          <w:p w14:paraId="1AF5B04C" w14:textId="77777777" w:rsidR="00224E1A" w:rsidRPr="00D41179" w:rsidRDefault="00224E1A">
            <w:pPr>
              <w:jc w:val="center"/>
              <w:rPr>
                <w:rFonts w:ascii="Arial Narrow" w:hAnsi="Arial Narrow" w:cs="Calibri"/>
                <w:color w:val="000000"/>
                <w:sz w:val="20"/>
                <w:szCs w:val="20"/>
              </w:rPr>
            </w:pPr>
            <w:r w:rsidRPr="00D41179">
              <w:rPr>
                <w:rFonts w:ascii="Arial Narrow" w:eastAsia="Calibri" w:hAnsi="Arial Narrow" w:cs="Calibri"/>
                <w:color w:val="000000"/>
                <w:sz w:val="20"/>
                <w:szCs w:val="20"/>
              </w:rPr>
              <w:t>1,213.3</w:t>
            </w:r>
          </w:p>
        </w:tc>
        <w:tc>
          <w:tcPr>
            <w:tcW w:w="550" w:type="pct"/>
            <w:noWrap/>
            <w:vAlign w:val="center"/>
            <w:hideMark/>
          </w:tcPr>
          <w:p w14:paraId="5E79103A" w14:textId="77777777" w:rsidR="00224E1A" w:rsidRPr="00D41179" w:rsidRDefault="00224E1A">
            <w:pPr>
              <w:jc w:val="center"/>
              <w:rPr>
                <w:rFonts w:ascii="Arial Narrow" w:hAnsi="Arial Narrow" w:cs="Calibri"/>
                <w:color w:val="000000"/>
                <w:sz w:val="20"/>
                <w:szCs w:val="20"/>
              </w:rPr>
            </w:pPr>
            <w:r w:rsidRPr="00D41179">
              <w:rPr>
                <w:rFonts w:ascii="Arial Narrow" w:eastAsia="Calibri" w:hAnsi="Arial Narrow" w:cs="Calibri"/>
                <w:color w:val="000000"/>
                <w:sz w:val="20"/>
                <w:szCs w:val="20"/>
              </w:rPr>
              <w:t>10.7</w:t>
            </w:r>
          </w:p>
        </w:tc>
        <w:tc>
          <w:tcPr>
            <w:tcW w:w="947" w:type="pct"/>
            <w:noWrap/>
            <w:vAlign w:val="center"/>
            <w:hideMark/>
          </w:tcPr>
          <w:p w14:paraId="657058E2" w14:textId="77777777" w:rsidR="00224E1A" w:rsidRPr="00D41179" w:rsidRDefault="00224E1A">
            <w:pPr>
              <w:jc w:val="center"/>
              <w:rPr>
                <w:rFonts w:ascii="Arial Narrow" w:hAnsi="Arial Narrow" w:cs="Calibri"/>
                <w:color w:val="000000"/>
                <w:sz w:val="20"/>
                <w:szCs w:val="20"/>
              </w:rPr>
            </w:pPr>
            <w:r w:rsidRPr="00D41179">
              <w:rPr>
                <w:rFonts w:ascii="Arial Narrow" w:hAnsi="Arial Narrow" w:cs="Calibri"/>
                <w:color w:val="000000"/>
                <w:sz w:val="20"/>
                <w:szCs w:val="20"/>
              </w:rPr>
              <w:t>84.62 (32.04, 98.31)</w:t>
            </w:r>
          </w:p>
        </w:tc>
      </w:tr>
      <w:tr w:rsidR="00224E1A" w:rsidRPr="00D41179" w14:paraId="7EDA13B5" w14:textId="77777777">
        <w:trPr>
          <w:trHeight w:val="170"/>
          <w:jc w:val="center"/>
        </w:trPr>
        <w:tc>
          <w:tcPr>
            <w:tcW w:w="235" w:type="pct"/>
            <w:vMerge/>
            <w:vAlign w:val="center"/>
            <w:hideMark/>
          </w:tcPr>
          <w:p w14:paraId="2D93C7C5" w14:textId="77777777" w:rsidR="00224E1A" w:rsidRPr="00D41179" w:rsidRDefault="00224E1A">
            <w:pPr>
              <w:jc w:val="left"/>
              <w:rPr>
                <w:rFonts w:ascii="Arial Narrow" w:hAnsi="Arial Narrow" w:cs="Calibri"/>
                <w:b/>
                <w:bCs/>
                <w:color w:val="000000"/>
                <w:sz w:val="20"/>
                <w:szCs w:val="20"/>
              </w:rPr>
            </w:pPr>
          </w:p>
        </w:tc>
        <w:tc>
          <w:tcPr>
            <w:tcW w:w="397" w:type="pct"/>
            <w:noWrap/>
            <w:vAlign w:val="center"/>
            <w:hideMark/>
          </w:tcPr>
          <w:p w14:paraId="196394AE" w14:textId="77777777" w:rsidR="00224E1A" w:rsidRPr="00D41179" w:rsidRDefault="00224E1A">
            <w:pPr>
              <w:jc w:val="center"/>
              <w:rPr>
                <w:rFonts w:ascii="Arial Narrow" w:hAnsi="Arial Narrow" w:cs="Calibri"/>
                <w:color w:val="000000"/>
                <w:sz w:val="20"/>
                <w:szCs w:val="20"/>
              </w:rPr>
            </w:pPr>
            <w:r w:rsidRPr="00D41179">
              <w:rPr>
                <w:rFonts w:ascii="Arial Narrow" w:hAnsi="Arial Narrow" w:cs="Calibri"/>
                <w:color w:val="000000"/>
                <w:sz w:val="20"/>
                <w:szCs w:val="20"/>
              </w:rPr>
              <w:t>≥70</w:t>
            </w:r>
          </w:p>
        </w:tc>
        <w:tc>
          <w:tcPr>
            <w:tcW w:w="488" w:type="pct"/>
            <w:noWrap/>
            <w:vAlign w:val="center"/>
            <w:hideMark/>
          </w:tcPr>
          <w:p w14:paraId="1C4B8EF6" w14:textId="77777777" w:rsidR="00224E1A" w:rsidRPr="00D41179" w:rsidRDefault="00224E1A">
            <w:pPr>
              <w:jc w:val="center"/>
              <w:rPr>
                <w:rFonts w:ascii="Arial Narrow" w:hAnsi="Arial Narrow" w:cs="Calibri"/>
                <w:color w:val="000000"/>
                <w:sz w:val="20"/>
                <w:szCs w:val="20"/>
              </w:rPr>
            </w:pPr>
            <w:r w:rsidRPr="00D41179">
              <w:rPr>
                <w:rFonts w:ascii="Arial Narrow" w:eastAsia="Calibri" w:hAnsi="Arial Narrow" w:cs="Calibri"/>
                <w:color w:val="000000"/>
                <w:sz w:val="20"/>
                <w:szCs w:val="20"/>
              </w:rPr>
              <w:t>3,841</w:t>
            </w:r>
          </w:p>
        </w:tc>
        <w:tc>
          <w:tcPr>
            <w:tcW w:w="277" w:type="pct"/>
            <w:noWrap/>
            <w:vAlign w:val="center"/>
            <w:hideMark/>
          </w:tcPr>
          <w:p w14:paraId="19B82C3E" w14:textId="77777777" w:rsidR="00224E1A" w:rsidRPr="00D41179" w:rsidRDefault="00224E1A">
            <w:pPr>
              <w:jc w:val="center"/>
              <w:rPr>
                <w:rFonts w:ascii="Arial Narrow" w:hAnsi="Arial Narrow" w:cs="Calibri"/>
                <w:color w:val="000000"/>
                <w:sz w:val="20"/>
                <w:szCs w:val="20"/>
              </w:rPr>
            </w:pPr>
            <w:r w:rsidRPr="00D41179">
              <w:rPr>
                <w:rFonts w:ascii="Arial Narrow" w:eastAsia="Calibri" w:hAnsi="Arial Narrow" w:cs="Calibri"/>
                <w:color w:val="000000"/>
                <w:sz w:val="20"/>
                <w:szCs w:val="20"/>
              </w:rPr>
              <w:t>7</w:t>
            </w:r>
          </w:p>
        </w:tc>
        <w:tc>
          <w:tcPr>
            <w:tcW w:w="486" w:type="pct"/>
            <w:noWrap/>
            <w:vAlign w:val="center"/>
            <w:hideMark/>
          </w:tcPr>
          <w:p w14:paraId="4985F4D4" w14:textId="77777777" w:rsidR="00224E1A" w:rsidRPr="00D41179" w:rsidRDefault="00224E1A">
            <w:pPr>
              <w:jc w:val="center"/>
              <w:rPr>
                <w:rFonts w:ascii="Arial Narrow" w:hAnsi="Arial Narrow" w:cs="Calibri"/>
                <w:color w:val="000000"/>
                <w:sz w:val="20"/>
                <w:szCs w:val="20"/>
              </w:rPr>
            </w:pPr>
            <w:r w:rsidRPr="00D41179">
              <w:rPr>
                <w:rFonts w:ascii="Arial Narrow" w:eastAsia="Calibri" w:hAnsi="Arial Narrow" w:cs="Calibri"/>
                <w:color w:val="000000"/>
                <w:sz w:val="20"/>
                <w:szCs w:val="20"/>
              </w:rPr>
              <w:t>3,754.6</w:t>
            </w:r>
          </w:p>
        </w:tc>
        <w:tc>
          <w:tcPr>
            <w:tcW w:w="493" w:type="pct"/>
            <w:noWrap/>
            <w:vAlign w:val="center"/>
            <w:hideMark/>
          </w:tcPr>
          <w:p w14:paraId="330E4C99" w14:textId="77777777" w:rsidR="00224E1A" w:rsidRPr="00D41179" w:rsidRDefault="00224E1A">
            <w:pPr>
              <w:jc w:val="center"/>
              <w:rPr>
                <w:rFonts w:ascii="Arial Narrow" w:hAnsi="Arial Narrow" w:cs="Calibri"/>
                <w:color w:val="000000"/>
                <w:sz w:val="20"/>
                <w:szCs w:val="20"/>
              </w:rPr>
            </w:pPr>
            <w:r w:rsidRPr="00D41179">
              <w:rPr>
                <w:rFonts w:ascii="Arial Narrow" w:eastAsia="Calibri" w:hAnsi="Arial Narrow" w:cs="Calibri"/>
                <w:color w:val="000000"/>
                <w:sz w:val="20"/>
                <w:szCs w:val="20"/>
              </w:rPr>
              <w:t>1.9</w:t>
            </w:r>
          </w:p>
        </w:tc>
        <w:tc>
          <w:tcPr>
            <w:tcW w:w="364" w:type="pct"/>
            <w:noWrap/>
            <w:vAlign w:val="center"/>
            <w:hideMark/>
          </w:tcPr>
          <w:p w14:paraId="469D4C6B" w14:textId="77777777" w:rsidR="00224E1A" w:rsidRPr="00D41179" w:rsidRDefault="00224E1A">
            <w:pPr>
              <w:jc w:val="center"/>
              <w:rPr>
                <w:rFonts w:ascii="Arial Narrow" w:hAnsi="Arial Narrow" w:cs="Calibri"/>
                <w:color w:val="000000"/>
                <w:sz w:val="20"/>
                <w:szCs w:val="20"/>
              </w:rPr>
            </w:pPr>
            <w:r w:rsidRPr="00D41179">
              <w:rPr>
                <w:rFonts w:ascii="Arial Narrow" w:eastAsia="Calibri" w:hAnsi="Arial Narrow" w:cs="Calibri"/>
                <w:color w:val="000000"/>
                <w:sz w:val="20"/>
                <w:szCs w:val="20"/>
              </w:rPr>
              <w:t>3,841</w:t>
            </w:r>
          </w:p>
        </w:tc>
        <w:tc>
          <w:tcPr>
            <w:tcW w:w="276" w:type="pct"/>
            <w:noWrap/>
            <w:vAlign w:val="center"/>
            <w:hideMark/>
          </w:tcPr>
          <w:p w14:paraId="1B897F9D" w14:textId="77777777" w:rsidR="00224E1A" w:rsidRPr="00D41179" w:rsidRDefault="00224E1A">
            <w:pPr>
              <w:jc w:val="center"/>
              <w:rPr>
                <w:rFonts w:ascii="Arial Narrow" w:hAnsi="Arial Narrow" w:cs="Calibri"/>
                <w:color w:val="000000"/>
                <w:sz w:val="20"/>
                <w:szCs w:val="20"/>
              </w:rPr>
            </w:pPr>
            <w:r w:rsidRPr="00D41179">
              <w:rPr>
                <w:rFonts w:ascii="Arial Narrow" w:eastAsia="Calibri" w:hAnsi="Arial Narrow" w:cs="Calibri"/>
                <w:color w:val="000000"/>
                <w:sz w:val="20"/>
                <w:szCs w:val="20"/>
              </w:rPr>
              <w:t>33</w:t>
            </w:r>
          </w:p>
        </w:tc>
        <w:tc>
          <w:tcPr>
            <w:tcW w:w="486" w:type="pct"/>
            <w:noWrap/>
            <w:vAlign w:val="center"/>
            <w:hideMark/>
          </w:tcPr>
          <w:p w14:paraId="04F15C3E" w14:textId="77777777" w:rsidR="00224E1A" w:rsidRPr="00D41179" w:rsidRDefault="00224E1A">
            <w:pPr>
              <w:jc w:val="center"/>
              <w:rPr>
                <w:rFonts w:ascii="Arial Narrow" w:hAnsi="Arial Narrow" w:cs="Calibri"/>
                <w:color w:val="000000"/>
                <w:sz w:val="20"/>
                <w:szCs w:val="20"/>
              </w:rPr>
            </w:pPr>
            <w:r w:rsidRPr="00D41179">
              <w:rPr>
                <w:rFonts w:ascii="Arial Narrow" w:eastAsia="Calibri" w:hAnsi="Arial Narrow" w:cs="Calibri"/>
                <w:color w:val="000000"/>
                <w:sz w:val="20"/>
                <w:szCs w:val="20"/>
              </w:rPr>
              <w:t>3,754.6</w:t>
            </w:r>
          </w:p>
        </w:tc>
        <w:tc>
          <w:tcPr>
            <w:tcW w:w="550" w:type="pct"/>
            <w:noWrap/>
            <w:vAlign w:val="center"/>
            <w:hideMark/>
          </w:tcPr>
          <w:p w14:paraId="3A6C5E76" w14:textId="77777777" w:rsidR="00224E1A" w:rsidRPr="00D41179" w:rsidRDefault="00224E1A">
            <w:pPr>
              <w:jc w:val="center"/>
              <w:rPr>
                <w:rFonts w:ascii="Arial Narrow" w:hAnsi="Arial Narrow" w:cs="Calibri"/>
                <w:color w:val="000000"/>
                <w:sz w:val="20"/>
                <w:szCs w:val="20"/>
              </w:rPr>
            </w:pPr>
            <w:r w:rsidRPr="00D41179">
              <w:rPr>
                <w:rFonts w:ascii="Arial Narrow" w:eastAsia="Calibri" w:hAnsi="Arial Narrow" w:cs="Calibri"/>
                <w:color w:val="000000"/>
                <w:sz w:val="20"/>
                <w:szCs w:val="20"/>
              </w:rPr>
              <w:t>8.8</w:t>
            </w:r>
          </w:p>
        </w:tc>
        <w:tc>
          <w:tcPr>
            <w:tcW w:w="947" w:type="pct"/>
            <w:noWrap/>
            <w:vAlign w:val="center"/>
            <w:hideMark/>
          </w:tcPr>
          <w:p w14:paraId="6A70A796" w14:textId="77777777" w:rsidR="00224E1A" w:rsidRPr="00D41179" w:rsidRDefault="00224E1A">
            <w:pPr>
              <w:jc w:val="center"/>
              <w:rPr>
                <w:rFonts w:ascii="Arial Narrow" w:hAnsi="Arial Narrow" w:cs="Calibri"/>
                <w:color w:val="000000"/>
                <w:sz w:val="20"/>
                <w:szCs w:val="20"/>
              </w:rPr>
            </w:pPr>
            <w:r w:rsidRPr="00D41179">
              <w:rPr>
                <w:rFonts w:ascii="Arial Narrow" w:hAnsi="Arial Narrow" w:cs="Calibri"/>
                <w:color w:val="000000"/>
                <w:sz w:val="20"/>
                <w:szCs w:val="20"/>
              </w:rPr>
              <w:t>78.79 (51.24, 92.08)</w:t>
            </w:r>
          </w:p>
        </w:tc>
      </w:tr>
      <w:tr w:rsidR="00224E1A" w:rsidRPr="00D41179" w14:paraId="3FC5DB17" w14:textId="77777777">
        <w:trPr>
          <w:trHeight w:val="170"/>
          <w:jc w:val="center"/>
        </w:trPr>
        <w:tc>
          <w:tcPr>
            <w:tcW w:w="235" w:type="pct"/>
            <w:vMerge w:val="restart"/>
            <w:noWrap/>
            <w:vAlign w:val="center"/>
            <w:hideMark/>
          </w:tcPr>
          <w:p w14:paraId="0F330E61" w14:textId="77777777" w:rsidR="00224E1A" w:rsidRPr="00D41179" w:rsidRDefault="00224E1A">
            <w:pPr>
              <w:jc w:val="left"/>
              <w:rPr>
                <w:rFonts w:ascii="Arial Narrow" w:hAnsi="Arial Narrow" w:cs="Calibri"/>
                <w:b/>
                <w:bCs/>
                <w:color w:val="000000"/>
                <w:sz w:val="20"/>
                <w:szCs w:val="20"/>
              </w:rPr>
            </w:pPr>
            <w:r w:rsidRPr="00D41179">
              <w:rPr>
                <w:rFonts w:ascii="Arial Narrow" w:hAnsi="Arial Narrow" w:cs="Calibri"/>
                <w:b/>
                <w:bCs/>
                <w:color w:val="000000"/>
                <w:sz w:val="20"/>
                <w:szCs w:val="20"/>
              </w:rPr>
              <w:t>Y 8</w:t>
            </w:r>
          </w:p>
        </w:tc>
        <w:tc>
          <w:tcPr>
            <w:tcW w:w="397" w:type="pct"/>
            <w:noWrap/>
            <w:vAlign w:val="center"/>
            <w:hideMark/>
          </w:tcPr>
          <w:p w14:paraId="34BB4A06" w14:textId="77777777" w:rsidR="00224E1A" w:rsidRPr="00D41179" w:rsidRDefault="00224E1A">
            <w:pPr>
              <w:jc w:val="center"/>
              <w:rPr>
                <w:rFonts w:ascii="Arial Narrow" w:hAnsi="Arial Narrow" w:cs="Calibri"/>
                <w:color w:val="000000"/>
                <w:sz w:val="20"/>
                <w:szCs w:val="20"/>
              </w:rPr>
            </w:pPr>
            <w:r w:rsidRPr="00D41179">
              <w:rPr>
                <w:rFonts w:ascii="Arial Narrow" w:hAnsi="Arial Narrow" w:cs="Calibri"/>
                <w:color w:val="000000"/>
                <w:sz w:val="20"/>
                <w:szCs w:val="20"/>
              </w:rPr>
              <w:t>Overall</w:t>
            </w:r>
          </w:p>
        </w:tc>
        <w:tc>
          <w:tcPr>
            <w:tcW w:w="488" w:type="pct"/>
            <w:noWrap/>
            <w:vAlign w:val="center"/>
            <w:hideMark/>
          </w:tcPr>
          <w:p w14:paraId="10139728" w14:textId="77777777" w:rsidR="00224E1A" w:rsidRPr="00D41179" w:rsidRDefault="00224E1A">
            <w:pPr>
              <w:jc w:val="center"/>
              <w:rPr>
                <w:rFonts w:ascii="Arial Narrow" w:hAnsi="Arial Narrow" w:cs="Calibri"/>
                <w:color w:val="000000"/>
                <w:sz w:val="20"/>
                <w:szCs w:val="20"/>
              </w:rPr>
            </w:pPr>
            <w:r w:rsidRPr="00D41179">
              <w:rPr>
                <w:rFonts w:ascii="Arial Narrow" w:eastAsia="Calibri" w:hAnsi="Arial Narrow" w:cs="Calibri"/>
                <w:color w:val="000000"/>
                <w:sz w:val="20"/>
                <w:szCs w:val="20"/>
              </w:rPr>
              <w:t>6,857 (94.5%)</w:t>
            </w:r>
          </w:p>
        </w:tc>
        <w:tc>
          <w:tcPr>
            <w:tcW w:w="277" w:type="pct"/>
            <w:noWrap/>
            <w:vAlign w:val="center"/>
            <w:hideMark/>
          </w:tcPr>
          <w:p w14:paraId="5A9A9E3D" w14:textId="77777777" w:rsidR="00224E1A" w:rsidRPr="00D41179" w:rsidRDefault="00224E1A">
            <w:pPr>
              <w:jc w:val="center"/>
              <w:rPr>
                <w:rFonts w:ascii="Arial Narrow" w:hAnsi="Arial Narrow" w:cs="Calibri"/>
                <w:color w:val="000000"/>
                <w:sz w:val="20"/>
                <w:szCs w:val="20"/>
              </w:rPr>
            </w:pPr>
            <w:r w:rsidRPr="00D41179">
              <w:rPr>
                <w:rFonts w:ascii="Arial Narrow" w:eastAsia="Calibri" w:hAnsi="Arial Narrow" w:cs="Calibri"/>
                <w:color w:val="000000"/>
                <w:sz w:val="20"/>
                <w:szCs w:val="20"/>
              </w:rPr>
              <w:t>10</w:t>
            </w:r>
          </w:p>
        </w:tc>
        <w:tc>
          <w:tcPr>
            <w:tcW w:w="486" w:type="pct"/>
            <w:noWrap/>
            <w:vAlign w:val="center"/>
            <w:hideMark/>
          </w:tcPr>
          <w:p w14:paraId="78B579A6" w14:textId="77777777" w:rsidR="00224E1A" w:rsidRPr="00D41179" w:rsidRDefault="00224E1A">
            <w:pPr>
              <w:jc w:val="center"/>
              <w:rPr>
                <w:rFonts w:ascii="Arial Narrow" w:hAnsi="Arial Narrow" w:cs="Calibri"/>
                <w:color w:val="000000"/>
                <w:sz w:val="20"/>
                <w:szCs w:val="20"/>
              </w:rPr>
            </w:pPr>
            <w:r w:rsidRPr="00D41179">
              <w:rPr>
                <w:rFonts w:ascii="Arial Narrow" w:eastAsia="Calibri" w:hAnsi="Arial Narrow" w:cs="Calibri"/>
                <w:color w:val="000000"/>
                <w:sz w:val="20"/>
                <w:szCs w:val="20"/>
              </w:rPr>
              <w:t>6,743.1</w:t>
            </w:r>
          </w:p>
        </w:tc>
        <w:tc>
          <w:tcPr>
            <w:tcW w:w="493" w:type="pct"/>
            <w:noWrap/>
            <w:vAlign w:val="center"/>
            <w:hideMark/>
          </w:tcPr>
          <w:p w14:paraId="6508E04B" w14:textId="77777777" w:rsidR="00224E1A" w:rsidRPr="00D41179" w:rsidRDefault="00224E1A">
            <w:pPr>
              <w:jc w:val="center"/>
              <w:rPr>
                <w:rFonts w:ascii="Arial Narrow" w:hAnsi="Arial Narrow" w:cs="Calibri"/>
                <w:color w:val="000000"/>
                <w:sz w:val="20"/>
                <w:szCs w:val="20"/>
              </w:rPr>
            </w:pPr>
            <w:r w:rsidRPr="00D41179">
              <w:rPr>
                <w:rFonts w:ascii="Arial Narrow" w:eastAsia="Calibri" w:hAnsi="Arial Narrow" w:cs="Calibri"/>
                <w:color w:val="000000"/>
                <w:sz w:val="20"/>
                <w:szCs w:val="20"/>
              </w:rPr>
              <w:t>1.5</w:t>
            </w:r>
          </w:p>
        </w:tc>
        <w:tc>
          <w:tcPr>
            <w:tcW w:w="364" w:type="pct"/>
            <w:noWrap/>
            <w:vAlign w:val="center"/>
            <w:hideMark/>
          </w:tcPr>
          <w:p w14:paraId="20919B5A" w14:textId="77777777" w:rsidR="00224E1A" w:rsidRPr="00D41179" w:rsidRDefault="00224E1A">
            <w:pPr>
              <w:jc w:val="center"/>
              <w:rPr>
                <w:rFonts w:ascii="Arial Narrow" w:hAnsi="Arial Narrow" w:cs="Calibri"/>
                <w:color w:val="000000"/>
                <w:sz w:val="20"/>
                <w:szCs w:val="20"/>
              </w:rPr>
            </w:pPr>
            <w:r w:rsidRPr="00D41179">
              <w:rPr>
                <w:rFonts w:ascii="Arial Narrow" w:eastAsia="Calibri" w:hAnsi="Arial Narrow" w:cs="Calibri"/>
                <w:color w:val="000000"/>
                <w:sz w:val="20"/>
                <w:szCs w:val="20"/>
              </w:rPr>
              <w:t>6,857</w:t>
            </w:r>
          </w:p>
        </w:tc>
        <w:tc>
          <w:tcPr>
            <w:tcW w:w="276" w:type="pct"/>
            <w:noWrap/>
            <w:vAlign w:val="center"/>
            <w:hideMark/>
          </w:tcPr>
          <w:p w14:paraId="0D019A13" w14:textId="77777777" w:rsidR="00224E1A" w:rsidRPr="00D41179" w:rsidRDefault="00224E1A">
            <w:pPr>
              <w:jc w:val="center"/>
              <w:rPr>
                <w:rFonts w:ascii="Arial Narrow" w:hAnsi="Arial Narrow" w:cs="Calibri"/>
                <w:color w:val="000000"/>
                <w:sz w:val="20"/>
                <w:szCs w:val="20"/>
              </w:rPr>
            </w:pPr>
            <w:r w:rsidRPr="00D41179">
              <w:rPr>
                <w:rFonts w:ascii="Arial Narrow" w:eastAsia="Calibri" w:hAnsi="Arial Narrow" w:cs="Calibri"/>
                <w:color w:val="000000"/>
                <w:sz w:val="20"/>
                <w:szCs w:val="20"/>
              </w:rPr>
              <w:t>58</w:t>
            </w:r>
          </w:p>
        </w:tc>
        <w:tc>
          <w:tcPr>
            <w:tcW w:w="486" w:type="pct"/>
            <w:noWrap/>
            <w:vAlign w:val="center"/>
            <w:hideMark/>
          </w:tcPr>
          <w:p w14:paraId="11807E3B" w14:textId="77777777" w:rsidR="00224E1A" w:rsidRPr="00D41179" w:rsidRDefault="00224E1A">
            <w:pPr>
              <w:jc w:val="center"/>
              <w:rPr>
                <w:rFonts w:ascii="Arial Narrow" w:hAnsi="Arial Narrow" w:cs="Calibri"/>
                <w:color w:val="000000"/>
                <w:sz w:val="20"/>
                <w:szCs w:val="20"/>
              </w:rPr>
            </w:pPr>
            <w:r w:rsidRPr="00D41179">
              <w:rPr>
                <w:rFonts w:ascii="Arial Narrow" w:eastAsia="Calibri" w:hAnsi="Arial Narrow" w:cs="Calibri"/>
                <w:color w:val="000000"/>
                <w:sz w:val="20"/>
                <w:szCs w:val="20"/>
              </w:rPr>
              <w:t>6,743.1</w:t>
            </w:r>
          </w:p>
        </w:tc>
        <w:tc>
          <w:tcPr>
            <w:tcW w:w="550" w:type="pct"/>
            <w:noWrap/>
            <w:vAlign w:val="center"/>
            <w:hideMark/>
          </w:tcPr>
          <w:p w14:paraId="0977612C" w14:textId="77777777" w:rsidR="00224E1A" w:rsidRPr="00D41179" w:rsidRDefault="00224E1A">
            <w:pPr>
              <w:jc w:val="center"/>
              <w:rPr>
                <w:rFonts w:ascii="Arial Narrow" w:hAnsi="Arial Narrow" w:cs="Calibri"/>
                <w:color w:val="000000"/>
                <w:sz w:val="20"/>
                <w:szCs w:val="20"/>
              </w:rPr>
            </w:pPr>
            <w:r w:rsidRPr="00D41179">
              <w:rPr>
                <w:rFonts w:ascii="Arial Narrow" w:eastAsia="Calibri" w:hAnsi="Arial Narrow" w:cs="Calibri"/>
                <w:color w:val="000000"/>
                <w:sz w:val="20"/>
                <w:szCs w:val="20"/>
              </w:rPr>
              <w:t>8.6</w:t>
            </w:r>
          </w:p>
        </w:tc>
        <w:tc>
          <w:tcPr>
            <w:tcW w:w="947" w:type="pct"/>
            <w:noWrap/>
            <w:vAlign w:val="center"/>
            <w:hideMark/>
          </w:tcPr>
          <w:p w14:paraId="43D79041" w14:textId="77777777" w:rsidR="00224E1A" w:rsidRPr="00D41179" w:rsidRDefault="00224E1A">
            <w:pPr>
              <w:jc w:val="center"/>
              <w:rPr>
                <w:rFonts w:ascii="Arial Narrow" w:hAnsi="Arial Narrow" w:cs="Calibri"/>
                <w:color w:val="000000"/>
                <w:sz w:val="20"/>
                <w:szCs w:val="20"/>
              </w:rPr>
            </w:pPr>
            <w:r w:rsidRPr="00D41179">
              <w:rPr>
                <w:rFonts w:ascii="Arial Narrow" w:hAnsi="Arial Narrow" w:cs="Calibri"/>
                <w:color w:val="000000"/>
                <w:sz w:val="20"/>
                <w:szCs w:val="20"/>
              </w:rPr>
              <w:t>82.76 (65.98, 92.14)</w:t>
            </w:r>
          </w:p>
        </w:tc>
      </w:tr>
      <w:tr w:rsidR="00224E1A" w:rsidRPr="00D41179" w14:paraId="580EBBD4" w14:textId="77777777">
        <w:trPr>
          <w:trHeight w:val="170"/>
          <w:jc w:val="center"/>
        </w:trPr>
        <w:tc>
          <w:tcPr>
            <w:tcW w:w="235" w:type="pct"/>
            <w:vMerge/>
            <w:vAlign w:val="center"/>
            <w:hideMark/>
          </w:tcPr>
          <w:p w14:paraId="2472D427" w14:textId="77777777" w:rsidR="00224E1A" w:rsidRPr="00D41179" w:rsidRDefault="00224E1A">
            <w:pPr>
              <w:jc w:val="left"/>
              <w:rPr>
                <w:rFonts w:ascii="Arial Narrow" w:hAnsi="Arial Narrow" w:cs="Calibri"/>
                <w:b/>
                <w:bCs/>
                <w:color w:val="000000"/>
                <w:sz w:val="20"/>
                <w:szCs w:val="20"/>
              </w:rPr>
            </w:pPr>
          </w:p>
        </w:tc>
        <w:tc>
          <w:tcPr>
            <w:tcW w:w="397" w:type="pct"/>
            <w:noWrap/>
            <w:vAlign w:val="center"/>
            <w:hideMark/>
          </w:tcPr>
          <w:p w14:paraId="6441AAFE" w14:textId="77777777" w:rsidR="00224E1A" w:rsidRPr="00D41179" w:rsidRDefault="00224E1A">
            <w:pPr>
              <w:jc w:val="center"/>
              <w:rPr>
                <w:rFonts w:ascii="Arial Narrow" w:hAnsi="Arial Narrow" w:cs="Calibri"/>
                <w:color w:val="000000"/>
                <w:sz w:val="20"/>
                <w:szCs w:val="20"/>
              </w:rPr>
            </w:pPr>
            <w:r w:rsidRPr="00D41179">
              <w:rPr>
                <w:rFonts w:ascii="Arial Narrow" w:hAnsi="Arial Narrow" w:cs="Calibri"/>
                <w:color w:val="000000"/>
                <w:sz w:val="20"/>
                <w:szCs w:val="20"/>
              </w:rPr>
              <w:t>50-59</w:t>
            </w:r>
          </w:p>
        </w:tc>
        <w:tc>
          <w:tcPr>
            <w:tcW w:w="488" w:type="pct"/>
            <w:noWrap/>
            <w:vAlign w:val="center"/>
            <w:hideMark/>
          </w:tcPr>
          <w:p w14:paraId="4649AF69" w14:textId="77777777" w:rsidR="00224E1A" w:rsidRPr="00D41179" w:rsidRDefault="00224E1A">
            <w:pPr>
              <w:jc w:val="center"/>
              <w:rPr>
                <w:rFonts w:ascii="Arial Narrow" w:hAnsi="Arial Narrow" w:cs="Calibri"/>
                <w:color w:val="000000"/>
                <w:sz w:val="20"/>
                <w:szCs w:val="20"/>
              </w:rPr>
            </w:pPr>
            <w:r w:rsidRPr="00D41179">
              <w:rPr>
                <w:rFonts w:ascii="Arial Narrow" w:eastAsia="Calibri" w:hAnsi="Arial Narrow" w:cs="Calibri"/>
                <w:color w:val="000000"/>
                <w:sz w:val="20"/>
                <w:szCs w:val="20"/>
              </w:rPr>
              <w:t>1,998</w:t>
            </w:r>
          </w:p>
        </w:tc>
        <w:tc>
          <w:tcPr>
            <w:tcW w:w="277" w:type="pct"/>
            <w:noWrap/>
            <w:vAlign w:val="center"/>
            <w:hideMark/>
          </w:tcPr>
          <w:p w14:paraId="13DB2085" w14:textId="77777777" w:rsidR="00224E1A" w:rsidRPr="00D41179" w:rsidRDefault="00224E1A">
            <w:pPr>
              <w:jc w:val="center"/>
              <w:rPr>
                <w:rFonts w:ascii="Arial Narrow" w:hAnsi="Arial Narrow" w:cs="Calibri"/>
                <w:color w:val="000000"/>
                <w:sz w:val="20"/>
                <w:szCs w:val="20"/>
              </w:rPr>
            </w:pPr>
            <w:r w:rsidRPr="00D41179">
              <w:rPr>
                <w:rFonts w:ascii="Arial Narrow" w:eastAsia="Calibri" w:hAnsi="Arial Narrow" w:cs="Calibri"/>
                <w:color w:val="000000"/>
                <w:sz w:val="20"/>
                <w:szCs w:val="20"/>
              </w:rPr>
              <w:t>2</w:t>
            </w:r>
          </w:p>
        </w:tc>
        <w:tc>
          <w:tcPr>
            <w:tcW w:w="486" w:type="pct"/>
            <w:noWrap/>
            <w:vAlign w:val="center"/>
            <w:hideMark/>
          </w:tcPr>
          <w:p w14:paraId="587B4BD5" w14:textId="77777777" w:rsidR="00224E1A" w:rsidRPr="00D41179" w:rsidRDefault="00224E1A">
            <w:pPr>
              <w:jc w:val="center"/>
              <w:rPr>
                <w:rFonts w:ascii="Arial Narrow" w:hAnsi="Arial Narrow" w:cs="Calibri"/>
                <w:color w:val="000000"/>
                <w:sz w:val="20"/>
                <w:szCs w:val="20"/>
              </w:rPr>
            </w:pPr>
            <w:r w:rsidRPr="00D41179">
              <w:rPr>
                <w:rFonts w:ascii="Arial Narrow" w:eastAsia="Calibri" w:hAnsi="Arial Narrow" w:cs="Calibri"/>
                <w:color w:val="000000"/>
                <w:sz w:val="20"/>
                <w:szCs w:val="20"/>
              </w:rPr>
              <w:t>1,985.6</w:t>
            </w:r>
          </w:p>
        </w:tc>
        <w:tc>
          <w:tcPr>
            <w:tcW w:w="493" w:type="pct"/>
            <w:noWrap/>
            <w:vAlign w:val="center"/>
            <w:hideMark/>
          </w:tcPr>
          <w:p w14:paraId="0D190917" w14:textId="77777777" w:rsidR="00224E1A" w:rsidRPr="00D41179" w:rsidRDefault="00224E1A">
            <w:pPr>
              <w:jc w:val="center"/>
              <w:rPr>
                <w:rFonts w:ascii="Arial Narrow" w:hAnsi="Arial Narrow" w:cs="Calibri"/>
                <w:color w:val="000000"/>
                <w:sz w:val="20"/>
                <w:szCs w:val="20"/>
              </w:rPr>
            </w:pPr>
            <w:r w:rsidRPr="00D41179">
              <w:rPr>
                <w:rFonts w:ascii="Arial Narrow" w:eastAsia="Calibri" w:hAnsi="Arial Narrow" w:cs="Calibri"/>
                <w:color w:val="000000"/>
                <w:sz w:val="20"/>
                <w:szCs w:val="20"/>
              </w:rPr>
              <w:t>1.0</w:t>
            </w:r>
          </w:p>
        </w:tc>
        <w:tc>
          <w:tcPr>
            <w:tcW w:w="364" w:type="pct"/>
            <w:noWrap/>
            <w:vAlign w:val="center"/>
            <w:hideMark/>
          </w:tcPr>
          <w:p w14:paraId="147E819D" w14:textId="77777777" w:rsidR="00224E1A" w:rsidRPr="00D41179" w:rsidRDefault="00224E1A">
            <w:pPr>
              <w:jc w:val="center"/>
              <w:rPr>
                <w:rFonts w:ascii="Arial Narrow" w:hAnsi="Arial Narrow" w:cs="Calibri"/>
                <w:color w:val="000000"/>
                <w:sz w:val="20"/>
                <w:szCs w:val="20"/>
              </w:rPr>
            </w:pPr>
            <w:r w:rsidRPr="00D41179">
              <w:rPr>
                <w:rFonts w:ascii="Arial Narrow" w:eastAsia="Calibri" w:hAnsi="Arial Narrow" w:cs="Calibri"/>
                <w:color w:val="000000"/>
                <w:sz w:val="20"/>
                <w:szCs w:val="20"/>
              </w:rPr>
              <w:t>1,998</w:t>
            </w:r>
          </w:p>
        </w:tc>
        <w:tc>
          <w:tcPr>
            <w:tcW w:w="276" w:type="pct"/>
            <w:noWrap/>
            <w:vAlign w:val="center"/>
            <w:hideMark/>
          </w:tcPr>
          <w:p w14:paraId="543F17BC" w14:textId="77777777" w:rsidR="00224E1A" w:rsidRPr="00D41179" w:rsidRDefault="00224E1A">
            <w:pPr>
              <w:jc w:val="center"/>
              <w:rPr>
                <w:rFonts w:ascii="Arial Narrow" w:hAnsi="Arial Narrow" w:cs="Calibri"/>
                <w:color w:val="000000"/>
                <w:sz w:val="20"/>
                <w:szCs w:val="20"/>
              </w:rPr>
            </w:pPr>
            <w:r w:rsidRPr="00D41179">
              <w:rPr>
                <w:rFonts w:ascii="Arial Narrow" w:eastAsia="Calibri" w:hAnsi="Arial Narrow" w:cs="Calibri"/>
                <w:color w:val="000000"/>
                <w:sz w:val="20"/>
                <w:szCs w:val="20"/>
              </w:rPr>
              <w:t>15</w:t>
            </w:r>
          </w:p>
        </w:tc>
        <w:tc>
          <w:tcPr>
            <w:tcW w:w="486" w:type="pct"/>
            <w:noWrap/>
            <w:vAlign w:val="center"/>
            <w:hideMark/>
          </w:tcPr>
          <w:p w14:paraId="137E6DE0" w14:textId="77777777" w:rsidR="00224E1A" w:rsidRPr="00D41179" w:rsidRDefault="00224E1A">
            <w:pPr>
              <w:jc w:val="center"/>
              <w:rPr>
                <w:rFonts w:ascii="Arial Narrow" w:hAnsi="Arial Narrow" w:cs="Calibri"/>
                <w:color w:val="000000"/>
                <w:sz w:val="20"/>
                <w:szCs w:val="20"/>
              </w:rPr>
            </w:pPr>
            <w:r w:rsidRPr="00D41179">
              <w:rPr>
                <w:rFonts w:ascii="Arial Narrow" w:eastAsia="Calibri" w:hAnsi="Arial Narrow" w:cs="Calibri"/>
                <w:color w:val="000000"/>
                <w:sz w:val="20"/>
                <w:szCs w:val="20"/>
              </w:rPr>
              <w:t>1,985.6</w:t>
            </w:r>
          </w:p>
        </w:tc>
        <w:tc>
          <w:tcPr>
            <w:tcW w:w="550" w:type="pct"/>
            <w:noWrap/>
            <w:vAlign w:val="center"/>
            <w:hideMark/>
          </w:tcPr>
          <w:p w14:paraId="7449F766" w14:textId="77777777" w:rsidR="00224E1A" w:rsidRPr="00D41179" w:rsidRDefault="00224E1A">
            <w:pPr>
              <w:jc w:val="center"/>
              <w:rPr>
                <w:rFonts w:ascii="Arial Narrow" w:hAnsi="Arial Narrow" w:cs="Calibri"/>
                <w:color w:val="000000"/>
                <w:sz w:val="20"/>
                <w:szCs w:val="20"/>
              </w:rPr>
            </w:pPr>
            <w:r w:rsidRPr="00D41179">
              <w:rPr>
                <w:rFonts w:ascii="Arial Narrow" w:eastAsia="Calibri" w:hAnsi="Arial Narrow" w:cs="Calibri"/>
                <w:color w:val="000000"/>
                <w:sz w:val="20"/>
                <w:szCs w:val="20"/>
              </w:rPr>
              <w:t>7.6</w:t>
            </w:r>
          </w:p>
        </w:tc>
        <w:tc>
          <w:tcPr>
            <w:tcW w:w="947" w:type="pct"/>
            <w:noWrap/>
            <w:vAlign w:val="center"/>
            <w:hideMark/>
          </w:tcPr>
          <w:p w14:paraId="54A4F9C4" w14:textId="77777777" w:rsidR="00224E1A" w:rsidRPr="00D41179" w:rsidRDefault="00224E1A">
            <w:pPr>
              <w:jc w:val="center"/>
              <w:rPr>
                <w:rFonts w:ascii="Arial Narrow" w:hAnsi="Arial Narrow" w:cs="Calibri"/>
                <w:color w:val="000000"/>
                <w:sz w:val="20"/>
                <w:szCs w:val="20"/>
              </w:rPr>
            </w:pPr>
            <w:r w:rsidRPr="00D41179">
              <w:rPr>
                <w:rFonts w:ascii="Arial Narrow" w:hAnsi="Arial Narrow" w:cs="Calibri"/>
                <w:color w:val="000000"/>
                <w:sz w:val="20"/>
                <w:szCs w:val="20"/>
              </w:rPr>
              <w:t>86.67 (42.67, 98.52)</w:t>
            </w:r>
          </w:p>
        </w:tc>
      </w:tr>
      <w:tr w:rsidR="00224E1A" w:rsidRPr="00D41179" w14:paraId="76AC2242" w14:textId="77777777">
        <w:trPr>
          <w:trHeight w:val="170"/>
          <w:jc w:val="center"/>
        </w:trPr>
        <w:tc>
          <w:tcPr>
            <w:tcW w:w="235" w:type="pct"/>
            <w:vMerge/>
            <w:vAlign w:val="center"/>
            <w:hideMark/>
          </w:tcPr>
          <w:p w14:paraId="484895DF" w14:textId="77777777" w:rsidR="00224E1A" w:rsidRPr="00D41179" w:rsidRDefault="00224E1A">
            <w:pPr>
              <w:jc w:val="left"/>
              <w:rPr>
                <w:rFonts w:ascii="Arial Narrow" w:hAnsi="Arial Narrow" w:cs="Calibri"/>
                <w:b/>
                <w:bCs/>
                <w:color w:val="000000"/>
                <w:sz w:val="20"/>
                <w:szCs w:val="20"/>
              </w:rPr>
            </w:pPr>
          </w:p>
        </w:tc>
        <w:tc>
          <w:tcPr>
            <w:tcW w:w="397" w:type="pct"/>
            <w:noWrap/>
            <w:vAlign w:val="center"/>
            <w:hideMark/>
          </w:tcPr>
          <w:p w14:paraId="23AA6E65" w14:textId="77777777" w:rsidR="00224E1A" w:rsidRPr="00D41179" w:rsidRDefault="00224E1A">
            <w:pPr>
              <w:jc w:val="center"/>
              <w:rPr>
                <w:rFonts w:ascii="Arial Narrow" w:hAnsi="Arial Narrow" w:cs="Calibri"/>
                <w:color w:val="000000"/>
                <w:sz w:val="20"/>
                <w:szCs w:val="20"/>
              </w:rPr>
            </w:pPr>
            <w:r w:rsidRPr="00D41179">
              <w:rPr>
                <w:rFonts w:ascii="Arial Narrow" w:hAnsi="Arial Narrow" w:cs="Calibri"/>
                <w:color w:val="000000"/>
                <w:sz w:val="20"/>
                <w:szCs w:val="20"/>
              </w:rPr>
              <w:t>60-69</w:t>
            </w:r>
          </w:p>
        </w:tc>
        <w:tc>
          <w:tcPr>
            <w:tcW w:w="488" w:type="pct"/>
            <w:noWrap/>
            <w:vAlign w:val="center"/>
            <w:hideMark/>
          </w:tcPr>
          <w:p w14:paraId="5C59DF1F" w14:textId="77777777" w:rsidR="00224E1A" w:rsidRPr="00D41179" w:rsidRDefault="00224E1A">
            <w:pPr>
              <w:jc w:val="center"/>
              <w:rPr>
                <w:rFonts w:ascii="Arial Narrow" w:hAnsi="Arial Narrow" w:cs="Calibri"/>
                <w:color w:val="000000"/>
                <w:sz w:val="20"/>
                <w:szCs w:val="20"/>
              </w:rPr>
            </w:pPr>
            <w:r w:rsidRPr="00D41179">
              <w:rPr>
                <w:rFonts w:ascii="Arial Narrow" w:eastAsia="Calibri" w:hAnsi="Arial Narrow" w:cs="Calibri"/>
                <w:color w:val="000000"/>
                <w:sz w:val="20"/>
                <w:szCs w:val="20"/>
              </w:rPr>
              <w:t>1,198</w:t>
            </w:r>
          </w:p>
        </w:tc>
        <w:tc>
          <w:tcPr>
            <w:tcW w:w="277" w:type="pct"/>
            <w:noWrap/>
            <w:vAlign w:val="center"/>
            <w:hideMark/>
          </w:tcPr>
          <w:p w14:paraId="7ED19E92" w14:textId="77777777" w:rsidR="00224E1A" w:rsidRPr="00D41179" w:rsidRDefault="00224E1A">
            <w:pPr>
              <w:jc w:val="center"/>
              <w:rPr>
                <w:rFonts w:ascii="Arial Narrow" w:hAnsi="Arial Narrow" w:cs="Calibri"/>
                <w:color w:val="000000"/>
                <w:sz w:val="20"/>
                <w:szCs w:val="20"/>
              </w:rPr>
            </w:pPr>
            <w:r w:rsidRPr="00D41179">
              <w:rPr>
                <w:rFonts w:ascii="Arial Narrow" w:eastAsia="Calibri" w:hAnsi="Arial Narrow" w:cs="Calibri"/>
                <w:color w:val="000000"/>
                <w:sz w:val="20"/>
                <w:szCs w:val="20"/>
              </w:rPr>
              <w:t>2</w:t>
            </w:r>
          </w:p>
        </w:tc>
        <w:tc>
          <w:tcPr>
            <w:tcW w:w="486" w:type="pct"/>
            <w:noWrap/>
            <w:vAlign w:val="center"/>
            <w:hideMark/>
          </w:tcPr>
          <w:p w14:paraId="4ABD3FF9" w14:textId="77777777" w:rsidR="00224E1A" w:rsidRPr="00D41179" w:rsidRDefault="00224E1A">
            <w:pPr>
              <w:jc w:val="center"/>
              <w:rPr>
                <w:rFonts w:ascii="Arial Narrow" w:hAnsi="Arial Narrow" w:cs="Calibri"/>
                <w:color w:val="000000"/>
                <w:sz w:val="20"/>
                <w:szCs w:val="20"/>
              </w:rPr>
            </w:pPr>
            <w:r w:rsidRPr="00D41179">
              <w:rPr>
                <w:rFonts w:ascii="Arial Narrow" w:eastAsia="Calibri" w:hAnsi="Arial Narrow" w:cs="Calibri"/>
                <w:color w:val="000000"/>
                <w:sz w:val="20"/>
                <w:szCs w:val="20"/>
              </w:rPr>
              <w:t>1,189.2</w:t>
            </w:r>
          </w:p>
        </w:tc>
        <w:tc>
          <w:tcPr>
            <w:tcW w:w="493" w:type="pct"/>
            <w:noWrap/>
            <w:vAlign w:val="center"/>
            <w:hideMark/>
          </w:tcPr>
          <w:p w14:paraId="594C13E3" w14:textId="77777777" w:rsidR="00224E1A" w:rsidRPr="00D41179" w:rsidRDefault="00224E1A">
            <w:pPr>
              <w:jc w:val="center"/>
              <w:rPr>
                <w:rFonts w:ascii="Arial Narrow" w:hAnsi="Arial Narrow" w:cs="Calibri"/>
                <w:color w:val="000000"/>
                <w:sz w:val="20"/>
                <w:szCs w:val="20"/>
              </w:rPr>
            </w:pPr>
            <w:r w:rsidRPr="00D41179">
              <w:rPr>
                <w:rFonts w:ascii="Arial Narrow" w:eastAsia="Calibri" w:hAnsi="Arial Narrow" w:cs="Calibri"/>
                <w:color w:val="000000"/>
                <w:sz w:val="20"/>
                <w:szCs w:val="20"/>
              </w:rPr>
              <w:t>1.7</w:t>
            </w:r>
          </w:p>
        </w:tc>
        <w:tc>
          <w:tcPr>
            <w:tcW w:w="364" w:type="pct"/>
            <w:noWrap/>
            <w:vAlign w:val="center"/>
            <w:hideMark/>
          </w:tcPr>
          <w:p w14:paraId="56A3E2E6" w14:textId="77777777" w:rsidR="00224E1A" w:rsidRPr="00D41179" w:rsidRDefault="00224E1A">
            <w:pPr>
              <w:jc w:val="center"/>
              <w:rPr>
                <w:rFonts w:ascii="Arial Narrow" w:hAnsi="Arial Narrow" w:cs="Calibri"/>
                <w:color w:val="000000"/>
                <w:sz w:val="20"/>
                <w:szCs w:val="20"/>
              </w:rPr>
            </w:pPr>
            <w:r w:rsidRPr="00D41179">
              <w:rPr>
                <w:rFonts w:ascii="Arial Narrow" w:eastAsia="Calibri" w:hAnsi="Arial Narrow" w:cs="Calibri"/>
                <w:color w:val="000000"/>
                <w:sz w:val="20"/>
                <w:szCs w:val="20"/>
              </w:rPr>
              <w:t>1,198</w:t>
            </w:r>
          </w:p>
        </w:tc>
        <w:tc>
          <w:tcPr>
            <w:tcW w:w="276" w:type="pct"/>
            <w:noWrap/>
            <w:vAlign w:val="center"/>
            <w:hideMark/>
          </w:tcPr>
          <w:p w14:paraId="68447FEC" w14:textId="77777777" w:rsidR="00224E1A" w:rsidRPr="00D41179" w:rsidRDefault="00224E1A">
            <w:pPr>
              <w:jc w:val="center"/>
              <w:rPr>
                <w:rFonts w:ascii="Arial Narrow" w:hAnsi="Arial Narrow" w:cs="Calibri"/>
                <w:color w:val="000000"/>
                <w:sz w:val="20"/>
                <w:szCs w:val="20"/>
              </w:rPr>
            </w:pPr>
            <w:r w:rsidRPr="00D41179">
              <w:rPr>
                <w:rFonts w:ascii="Arial Narrow" w:eastAsia="Calibri" w:hAnsi="Arial Narrow" w:cs="Calibri"/>
                <w:color w:val="000000"/>
                <w:sz w:val="20"/>
                <w:szCs w:val="20"/>
              </w:rPr>
              <w:t>13</w:t>
            </w:r>
          </w:p>
        </w:tc>
        <w:tc>
          <w:tcPr>
            <w:tcW w:w="486" w:type="pct"/>
            <w:noWrap/>
            <w:vAlign w:val="center"/>
            <w:hideMark/>
          </w:tcPr>
          <w:p w14:paraId="26EC6FEE" w14:textId="77777777" w:rsidR="00224E1A" w:rsidRPr="00D41179" w:rsidRDefault="00224E1A">
            <w:pPr>
              <w:jc w:val="center"/>
              <w:rPr>
                <w:rFonts w:ascii="Arial Narrow" w:hAnsi="Arial Narrow" w:cs="Calibri"/>
                <w:color w:val="000000"/>
                <w:sz w:val="20"/>
                <w:szCs w:val="20"/>
              </w:rPr>
            </w:pPr>
            <w:r w:rsidRPr="00D41179">
              <w:rPr>
                <w:rFonts w:ascii="Arial Narrow" w:eastAsia="Calibri" w:hAnsi="Arial Narrow" w:cs="Calibri"/>
                <w:color w:val="000000"/>
                <w:sz w:val="20"/>
                <w:szCs w:val="20"/>
              </w:rPr>
              <w:t>1,189.2</w:t>
            </w:r>
          </w:p>
        </w:tc>
        <w:tc>
          <w:tcPr>
            <w:tcW w:w="550" w:type="pct"/>
            <w:noWrap/>
            <w:vAlign w:val="center"/>
            <w:hideMark/>
          </w:tcPr>
          <w:p w14:paraId="578EC637" w14:textId="77777777" w:rsidR="00224E1A" w:rsidRPr="00D41179" w:rsidRDefault="00224E1A">
            <w:pPr>
              <w:jc w:val="center"/>
              <w:rPr>
                <w:rFonts w:ascii="Arial Narrow" w:hAnsi="Arial Narrow" w:cs="Calibri"/>
                <w:color w:val="000000"/>
                <w:sz w:val="20"/>
                <w:szCs w:val="20"/>
              </w:rPr>
            </w:pPr>
            <w:r w:rsidRPr="00D41179">
              <w:rPr>
                <w:rFonts w:ascii="Arial Narrow" w:eastAsia="Calibri" w:hAnsi="Arial Narrow" w:cs="Calibri"/>
                <w:color w:val="000000"/>
                <w:sz w:val="20"/>
                <w:szCs w:val="20"/>
              </w:rPr>
              <w:t>10.9</w:t>
            </w:r>
          </w:p>
        </w:tc>
        <w:tc>
          <w:tcPr>
            <w:tcW w:w="947" w:type="pct"/>
            <w:noWrap/>
            <w:vAlign w:val="center"/>
            <w:hideMark/>
          </w:tcPr>
          <w:p w14:paraId="1B571422" w14:textId="77777777" w:rsidR="00224E1A" w:rsidRPr="00D41179" w:rsidRDefault="00224E1A">
            <w:pPr>
              <w:jc w:val="center"/>
              <w:rPr>
                <w:rFonts w:ascii="Arial Narrow" w:hAnsi="Arial Narrow" w:cs="Calibri"/>
                <w:color w:val="000000"/>
                <w:sz w:val="20"/>
                <w:szCs w:val="20"/>
              </w:rPr>
            </w:pPr>
            <w:r w:rsidRPr="00D41179">
              <w:rPr>
                <w:rFonts w:ascii="Arial Narrow" w:hAnsi="Arial Narrow" w:cs="Calibri"/>
                <w:color w:val="000000"/>
                <w:sz w:val="20"/>
                <w:szCs w:val="20"/>
              </w:rPr>
              <w:t>84.62 (32.04, 98.31)</w:t>
            </w:r>
          </w:p>
        </w:tc>
      </w:tr>
      <w:tr w:rsidR="00224E1A" w:rsidRPr="00D41179" w14:paraId="601E509D" w14:textId="77777777">
        <w:trPr>
          <w:trHeight w:val="170"/>
          <w:jc w:val="center"/>
        </w:trPr>
        <w:tc>
          <w:tcPr>
            <w:tcW w:w="235" w:type="pct"/>
            <w:vMerge/>
            <w:vAlign w:val="center"/>
            <w:hideMark/>
          </w:tcPr>
          <w:p w14:paraId="44AB29E0" w14:textId="77777777" w:rsidR="00224E1A" w:rsidRPr="00D41179" w:rsidRDefault="00224E1A">
            <w:pPr>
              <w:jc w:val="left"/>
              <w:rPr>
                <w:rFonts w:ascii="Arial Narrow" w:hAnsi="Arial Narrow" w:cs="Calibri"/>
                <w:b/>
                <w:bCs/>
                <w:color w:val="000000"/>
                <w:sz w:val="20"/>
                <w:szCs w:val="20"/>
              </w:rPr>
            </w:pPr>
          </w:p>
        </w:tc>
        <w:tc>
          <w:tcPr>
            <w:tcW w:w="397" w:type="pct"/>
            <w:noWrap/>
            <w:vAlign w:val="center"/>
            <w:hideMark/>
          </w:tcPr>
          <w:p w14:paraId="75723F6D" w14:textId="77777777" w:rsidR="00224E1A" w:rsidRPr="00D41179" w:rsidRDefault="00224E1A">
            <w:pPr>
              <w:jc w:val="center"/>
              <w:rPr>
                <w:rFonts w:ascii="Arial Narrow" w:hAnsi="Arial Narrow" w:cs="Calibri"/>
                <w:color w:val="000000"/>
                <w:sz w:val="20"/>
                <w:szCs w:val="20"/>
              </w:rPr>
            </w:pPr>
            <w:r w:rsidRPr="00D41179">
              <w:rPr>
                <w:rFonts w:ascii="Arial Narrow" w:hAnsi="Arial Narrow" w:cs="Calibri"/>
                <w:color w:val="000000"/>
                <w:sz w:val="20"/>
                <w:szCs w:val="20"/>
              </w:rPr>
              <w:t>≥70</w:t>
            </w:r>
          </w:p>
        </w:tc>
        <w:tc>
          <w:tcPr>
            <w:tcW w:w="488" w:type="pct"/>
            <w:noWrap/>
            <w:vAlign w:val="center"/>
            <w:hideMark/>
          </w:tcPr>
          <w:p w14:paraId="3AF83C9F" w14:textId="77777777" w:rsidR="00224E1A" w:rsidRPr="00D41179" w:rsidRDefault="00224E1A">
            <w:pPr>
              <w:jc w:val="center"/>
              <w:rPr>
                <w:rFonts w:ascii="Arial Narrow" w:hAnsi="Arial Narrow" w:cs="Calibri"/>
                <w:color w:val="000000"/>
                <w:sz w:val="20"/>
                <w:szCs w:val="20"/>
              </w:rPr>
            </w:pPr>
            <w:r w:rsidRPr="00D41179">
              <w:rPr>
                <w:rFonts w:ascii="Arial Narrow" w:eastAsia="Calibri" w:hAnsi="Arial Narrow" w:cs="Calibri"/>
                <w:color w:val="000000"/>
                <w:sz w:val="20"/>
                <w:szCs w:val="20"/>
              </w:rPr>
              <w:t>3,661</w:t>
            </w:r>
          </w:p>
        </w:tc>
        <w:tc>
          <w:tcPr>
            <w:tcW w:w="277" w:type="pct"/>
            <w:noWrap/>
            <w:vAlign w:val="center"/>
            <w:hideMark/>
          </w:tcPr>
          <w:p w14:paraId="603A7BB2" w14:textId="77777777" w:rsidR="00224E1A" w:rsidRPr="00D41179" w:rsidRDefault="00224E1A">
            <w:pPr>
              <w:jc w:val="center"/>
              <w:rPr>
                <w:rFonts w:ascii="Arial Narrow" w:hAnsi="Arial Narrow" w:cs="Calibri"/>
                <w:color w:val="000000"/>
                <w:sz w:val="20"/>
                <w:szCs w:val="20"/>
              </w:rPr>
            </w:pPr>
            <w:r w:rsidRPr="00D41179">
              <w:rPr>
                <w:rFonts w:ascii="Arial Narrow" w:eastAsia="Calibri" w:hAnsi="Arial Narrow" w:cs="Calibri"/>
                <w:color w:val="000000"/>
                <w:sz w:val="20"/>
                <w:szCs w:val="20"/>
              </w:rPr>
              <w:t>6</w:t>
            </w:r>
          </w:p>
        </w:tc>
        <w:tc>
          <w:tcPr>
            <w:tcW w:w="486" w:type="pct"/>
            <w:noWrap/>
            <w:vAlign w:val="center"/>
            <w:hideMark/>
          </w:tcPr>
          <w:p w14:paraId="3EA856FF" w14:textId="77777777" w:rsidR="00224E1A" w:rsidRPr="00D41179" w:rsidRDefault="00224E1A">
            <w:pPr>
              <w:jc w:val="center"/>
              <w:rPr>
                <w:rFonts w:ascii="Arial Narrow" w:hAnsi="Arial Narrow" w:cs="Calibri"/>
                <w:color w:val="000000"/>
                <w:sz w:val="20"/>
                <w:szCs w:val="20"/>
              </w:rPr>
            </w:pPr>
            <w:r w:rsidRPr="00D41179">
              <w:rPr>
                <w:rFonts w:ascii="Arial Narrow" w:eastAsia="Calibri" w:hAnsi="Arial Narrow" w:cs="Calibri"/>
                <w:color w:val="000000"/>
                <w:sz w:val="20"/>
                <w:szCs w:val="20"/>
              </w:rPr>
              <w:t>3,568.3</w:t>
            </w:r>
          </w:p>
        </w:tc>
        <w:tc>
          <w:tcPr>
            <w:tcW w:w="493" w:type="pct"/>
            <w:noWrap/>
            <w:vAlign w:val="center"/>
            <w:hideMark/>
          </w:tcPr>
          <w:p w14:paraId="5B1E4DBA" w14:textId="77777777" w:rsidR="00224E1A" w:rsidRPr="00D41179" w:rsidRDefault="00224E1A">
            <w:pPr>
              <w:jc w:val="center"/>
              <w:rPr>
                <w:rFonts w:ascii="Arial Narrow" w:hAnsi="Arial Narrow" w:cs="Calibri"/>
                <w:color w:val="000000"/>
                <w:sz w:val="20"/>
                <w:szCs w:val="20"/>
              </w:rPr>
            </w:pPr>
            <w:r w:rsidRPr="00D41179">
              <w:rPr>
                <w:rFonts w:ascii="Arial Narrow" w:eastAsia="Calibri" w:hAnsi="Arial Narrow" w:cs="Calibri"/>
                <w:color w:val="000000"/>
                <w:sz w:val="20"/>
                <w:szCs w:val="20"/>
              </w:rPr>
              <w:t>1.7</w:t>
            </w:r>
          </w:p>
        </w:tc>
        <w:tc>
          <w:tcPr>
            <w:tcW w:w="364" w:type="pct"/>
            <w:noWrap/>
            <w:vAlign w:val="center"/>
            <w:hideMark/>
          </w:tcPr>
          <w:p w14:paraId="3498B149" w14:textId="77777777" w:rsidR="00224E1A" w:rsidRPr="00D41179" w:rsidRDefault="00224E1A">
            <w:pPr>
              <w:jc w:val="center"/>
              <w:rPr>
                <w:rFonts w:ascii="Arial Narrow" w:hAnsi="Arial Narrow" w:cs="Calibri"/>
                <w:color w:val="000000"/>
                <w:sz w:val="20"/>
                <w:szCs w:val="20"/>
              </w:rPr>
            </w:pPr>
            <w:r w:rsidRPr="00D41179">
              <w:rPr>
                <w:rFonts w:ascii="Arial Narrow" w:eastAsia="Calibri" w:hAnsi="Arial Narrow" w:cs="Calibri"/>
                <w:color w:val="000000"/>
                <w:sz w:val="20"/>
                <w:szCs w:val="20"/>
              </w:rPr>
              <w:t>3,661</w:t>
            </w:r>
          </w:p>
        </w:tc>
        <w:tc>
          <w:tcPr>
            <w:tcW w:w="276" w:type="pct"/>
            <w:noWrap/>
            <w:vAlign w:val="center"/>
            <w:hideMark/>
          </w:tcPr>
          <w:p w14:paraId="60D619C1" w14:textId="77777777" w:rsidR="00224E1A" w:rsidRPr="00D41179" w:rsidRDefault="00224E1A">
            <w:pPr>
              <w:jc w:val="center"/>
              <w:rPr>
                <w:rFonts w:ascii="Arial Narrow" w:hAnsi="Arial Narrow" w:cs="Calibri"/>
                <w:color w:val="000000"/>
                <w:sz w:val="20"/>
                <w:szCs w:val="20"/>
              </w:rPr>
            </w:pPr>
            <w:r w:rsidRPr="00D41179">
              <w:rPr>
                <w:rFonts w:ascii="Arial Narrow" w:eastAsia="Calibri" w:hAnsi="Arial Narrow" w:cs="Calibri"/>
                <w:color w:val="000000"/>
                <w:sz w:val="20"/>
                <w:szCs w:val="20"/>
              </w:rPr>
              <w:t>31</w:t>
            </w:r>
          </w:p>
        </w:tc>
        <w:tc>
          <w:tcPr>
            <w:tcW w:w="486" w:type="pct"/>
            <w:noWrap/>
            <w:vAlign w:val="center"/>
            <w:hideMark/>
          </w:tcPr>
          <w:p w14:paraId="10A6F1F5" w14:textId="77777777" w:rsidR="00224E1A" w:rsidRPr="00D41179" w:rsidRDefault="00224E1A">
            <w:pPr>
              <w:jc w:val="center"/>
              <w:rPr>
                <w:rFonts w:ascii="Arial Narrow" w:hAnsi="Arial Narrow" w:cs="Calibri"/>
                <w:color w:val="000000"/>
                <w:sz w:val="20"/>
                <w:szCs w:val="20"/>
              </w:rPr>
            </w:pPr>
            <w:r w:rsidRPr="00D41179">
              <w:rPr>
                <w:rFonts w:ascii="Arial Narrow" w:eastAsia="Calibri" w:hAnsi="Arial Narrow" w:cs="Calibri"/>
                <w:color w:val="000000"/>
                <w:sz w:val="20"/>
                <w:szCs w:val="20"/>
              </w:rPr>
              <w:t>3,568.3</w:t>
            </w:r>
          </w:p>
        </w:tc>
        <w:tc>
          <w:tcPr>
            <w:tcW w:w="550" w:type="pct"/>
            <w:noWrap/>
            <w:vAlign w:val="center"/>
            <w:hideMark/>
          </w:tcPr>
          <w:p w14:paraId="6F9D0C9B" w14:textId="77777777" w:rsidR="00224E1A" w:rsidRPr="00D41179" w:rsidRDefault="00224E1A">
            <w:pPr>
              <w:jc w:val="center"/>
              <w:rPr>
                <w:rFonts w:ascii="Arial Narrow" w:hAnsi="Arial Narrow" w:cs="Calibri"/>
                <w:color w:val="000000"/>
                <w:sz w:val="20"/>
                <w:szCs w:val="20"/>
              </w:rPr>
            </w:pPr>
            <w:r w:rsidRPr="00D41179">
              <w:rPr>
                <w:rFonts w:ascii="Arial Narrow" w:eastAsia="Calibri" w:hAnsi="Arial Narrow" w:cs="Calibri"/>
                <w:color w:val="000000"/>
                <w:sz w:val="20"/>
                <w:szCs w:val="20"/>
              </w:rPr>
              <w:t>8.7</w:t>
            </w:r>
          </w:p>
        </w:tc>
        <w:tc>
          <w:tcPr>
            <w:tcW w:w="947" w:type="pct"/>
            <w:noWrap/>
            <w:vAlign w:val="center"/>
            <w:hideMark/>
          </w:tcPr>
          <w:p w14:paraId="76F996E2" w14:textId="77777777" w:rsidR="00224E1A" w:rsidRPr="00D41179" w:rsidRDefault="00224E1A">
            <w:pPr>
              <w:jc w:val="center"/>
              <w:rPr>
                <w:rFonts w:ascii="Arial Narrow" w:hAnsi="Arial Narrow" w:cs="Calibri"/>
                <w:color w:val="000000"/>
                <w:sz w:val="20"/>
                <w:szCs w:val="20"/>
              </w:rPr>
            </w:pPr>
            <w:r w:rsidRPr="00D41179">
              <w:rPr>
                <w:rFonts w:ascii="Arial Narrow" w:hAnsi="Arial Narrow" w:cs="Calibri"/>
                <w:color w:val="000000"/>
                <w:sz w:val="20"/>
                <w:szCs w:val="20"/>
              </w:rPr>
              <w:t>80.65 (52.91, 93.40)</w:t>
            </w:r>
          </w:p>
        </w:tc>
      </w:tr>
      <w:tr w:rsidR="00224E1A" w:rsidRPr="00D41179" w14:paraId="47B5BF2B" w14:textId="77777777">
        <w:trPr>
          <w:trHeight w:val="170"/>
          <w:jc w:val="center"/>
        </w:trPr>
        <w:tc>
          <w:tcPr>
            <w:tcW w:w="235" w:type="pct"/>
            <w:vMerge w:val="restart"/>
            <w:noWrap/>
            <w:vAlign w:val="center"/>
            <w:hideMark/>
          </w:tcPr>
          <w:p w14:paraId="06078243" w14:textId="77777777" w:rsidR="00224E1A" w:rsidRPr="00D41179" w:rsidRDefault="00224E1A">
            <w:pPr>
              <w:jc w:val="left"/>
              <w:rPr>
                <w:rFonts w:ascii="Arial Narrow" w:hAnsi="Arial Narrow" w:cs="Calibri"/>
                <w:b/>
                <w:bCs/>
                <w:color w:val="000000"/>
                <w:sz w:val="20"/>
                <w:szCs w:val="20"/>
              </w:rPr>
            </w:pPr>
            <w:r w:rsidRPr="00D41179">
              <w:rPr>
                <w:rFonts w:ascii="Arial Narrow" w:hAnsi="Arial Narrow" w:cs="Calibri"/>
                <w:b/>
                <w:bCs/>
                <w:color w:val="000000"/>
                <w:sz w:val="20"/>
                <w:szCs w:val="20"/>
              </w:rPr>
              <w:t>Y 9</w:t>
            </w:r>
          </w:p>
        </w:tc>
        <w:tc>
          <w:tcPr>
            <w:tcW w:w="397" w:type="pct"/>
            <w:noWrap/>
            <w:vAlign w:val="center"/>
            <w:hideMark/>
          </w:tcPr>
          <w:p w14:paraId="691CF50B" w14:textId="77777777" w:rsidR="00224E1A" w:rsidRPr="00D41179" w:rsidRDefault="00224E1A">
            <w:pPr>
              <w:jc w:val="center"/>
              <w:rPr>
                <w:rFonts w:ascii="Arial Narrow" w:hAnsi="Arial Narrow" w:cs="Calibri"/>
                <w:color w:val="000000"/>
                <w:sz w:val="20"/>
                <w:szCs w:val="20"/>
              </w:rPr>
            </w:pPr>
            <w:r w:rsidRPr="00D41179">
              <w:rPr>
                <w:rFonts w:ascii="Arial Narrow" w:hAnsi="Arial Narrow" w:cs="Calibri"/>
                <w:color w:val="000000"/>
                <w:sz w:val="20"/>
                <w:szCs w:val="20"/>
              </w:rPr>
              <w:t>Overall</w:t>
            </w:r>
          </w:p>
        </w:tc>
        <w:tc>
          <w:tcPr>
            <w:tcW w:w="488" w:type="pct"/>
            <w:noWrap/>
            <w:vAlign w:val="center"/>
            <w:hideMark/>
          </w:tcPr>
          <w:p w14:paraId="16F18363" w14:textId="77777777" w:rsidR="00224E1A" w:rsidRPr="00D41179" w:rsidRDefault="00224E1A">
            <w:pPr>
              <w:jc w:val="center"/>
              <w:rPr>
                <w:rFonts w:ascii="Arial Narrow" w:hAnsi="Arial Narrow" w:cs="Calibri"/>
                <w:color w:val="000000"/>
                <w:sz w:val="20"/>
                <w:szCs w:val="20"/>
              </w:rPr>
            </w:pPr>
            <w:r w:rsidRPr="00D41179">
              <w:rPr>
                <w:rFonts w:ascii="Arial Narrow" w:eastAsia="Calibri" w:hAnsi="Arial Narrow" w:cs="Calibri"/>
                <w:color w:val="000000"/>
                <w:sz w:val="20"/>
                <w:szCs w:val="20"/>
              </w:rPr>
              <w:t>6,627 (91.3%)</w:t>
            </w:r>
          </w:p>
        </w:tc>
        <w:tc>
          <w:tcPr>
            <w:tcW w:w="277" w:type="pct"/>
            <w:noWrap/>
            <w:vAlign w:val="center"/>
            <w:hideMark/>
          </w:tcPr>
          <w:p w14:paraId="4A4A1F04" w14:textId="77777777" w:rsidR="00224E1A" w:rsidRPr="00D41179" w:rsidRDefault="00224E1A">
            <w:pPr>
              <w:jc w:val="center"/>
              <w:rPr>
                <w:rFonts w:ascii="Arial Narrow" w:hAnsi="Arial Narrow" w:cs="Calibri"/>
                <w:color w:val="000000"/>
                <w:sz w:val="20"/>
                <w:szCs w:val="20"/>
              </w:rPr>
            </w:pPr>
            <w:r w:rsidRPr="00D41179">
              <w:rPr>
                <w:rFonts w:ascii="Arial Narrow" w:eastAsia="Calibri" w:hAnsi="Arial Narrow" w:cs="Calibri"/>
                <w:color w:val="000000"/>
                <w:sz w:val="20"/>
                <w:szCs w:val="20"/>
              </w:rPr>
              <w:t>15</w:t>
            </w:r>
          </w:p>
        </w:tc>
        <w:tc>
          <w:tcPr>
            <w:tcW w:w="486" w:type="pct"/>
            <w:noWrap/>
            <w:vAlign w:val="center"/>
            <w:hideMark/>
          </w:tcPr>
          <w:p w14:paraId="1894C32F" w14:textId="77777777" w:rsidR="00224E1A" w:rsidRPr="00D41179" w:rsidRDefault="00224E1A">
            <w:pPr>
              <w:jc w:val="center"/>
              <w:rPr>
                <w:rFonts w:ascii="Arial Narrow" w:hAnsi="Arial Narrow" w:cs="Calibri"/>
                <w:color w:val="000000"/>
                <w:sz w:val="20"/>
                <w:szCs w:val="20"/>
              </w:rPr>
            </w:pPr>
            <w:r w:rsidRPr="00D41179">
              <w:rPr>
                <w:rFonts w:ascii="Arial Narrow" w:eastAsia="Calibri" w:hAnsi="Arial Narrow" w:cs="Calibri"/>
                <w:color w:val="000000"/>
                <w:sz w:val="20"/>
                <w:szCs w:val="20"/>
              </w:rPr>
              <w:t>6,466.5</w:t>
            </w:r>
          </w:p>
        </w:tc>
        <w:tc>
          <w:tcPr>
            <w:tcW w:w="493" w:type="pct"/>
            <w:noWrap/>
            <w:vAlign w:val="center"/>
            <w:hideMark/>
          </w:tcPr>
          <w:p w14:paraId="1E1096AD" w14:textId="77777777" w:rsidR="00224E1A" w:rsidRPr="00D41179" w:rsidRDefault="00224E1A">
            <w:pPr>
              <w:jc w:val="center"/>
              <w:rPr>
                <w:rFonts w:ascii="Arial Narrow" w:hAnsi="Arial Narrow" w:cs="Calibri"/>
                <w:color w:val="000000"/>
                <w:sz w:val="20"/>
                <w:szCs w:val="20"/>
              </w:rPr>
            </w:pPr>
            <w:r w:rsidRPr="00D41179">
              <w:rPr>
                <w:rFonts w:ascii="Arial Narrow" w:eastAsia="Calibri" w:hAnsi="Arial Narrow" w:cs="Calibri"/>
                <w:color w:val="000000"/>
                <w:sz w:val="20"/>
                <w:szCs w:val="20"/>
              </w:rPr>
              <w:t>2.3</w:t>
            </w:r>
          </w:p>
        </w:tc>
        <w:tc>
          <w:tcPr>
            <w:tcW w:w="364" w:type="pct"/>
            <w:noWrap/>
            <w:vAlign w:val="center"/>
            <w:hideMark/>
          </w:tcPr>
          <w:p w14:paraId="7D7131F4" w14:textId="77777777" w:rsidR="00224E1A" w:rsidRPr="00D41179" w:rsidRDefault="00224E1A">
            <w:pPr>
              <w:jc w:val="center"/>
              <w:rPr>
                <w:rFonts w:ascii="Arial Narrow" w:hAnsi="Arial Narrow" w:cs="Calibri"/>
                <w:color w:val="000000"/>
                <w:sz w:val="20"/>
                <w:szCs w:val="20"/>
              </w:rPr>
            </w:pPr>
            <w:r w:rsidRPr="00D41179">
              <w:rPr>
                <w:rFonts w:ascii="Arial Narrow" w:eastAsia="Calibri" w:hAnsi="Arial Narrow" w:cs="Calibri"/>
                <w:color w:val="000000"/>
                <w:sz w:val="20"/>
                <w:szCs w:val="20"/>
              </w:rPr>
              <w:t>6,627</w:t>
            </w:r>
          </w:p>
        </w:tc>
        <w:tc>
          <w:tcPr>
            <w:tcW w:w="276" w:type="pct"/>
            <w:noWrap/>
            <w:vAlign w:val="center"/>
            <w:hideMark/>
          </w:tcPr>
          <w:p w14:paraId="7A9645F0" w14:textId="77777777" w:rsidR="00224E1A" w:rsidRPr="00D41179" w:rsidRDefault="00224E1A">
            <w:pPr>
              <w:jc w:val="center"/>
              <w:rPr>
                <w:rFonts w:ascii="Arial Narrow" w:hAnsi="Arial Narrow" w:cs="Calibri"/>
                <w:color w:val="000000"/>
                <w:sz w:val="20"/>
                <w:szCs w:val="20"/>
              </w:rPr>
            </w:pPr>
            <w:r w:rsidRPr="00D41179">
              <w:rPr>
                <w:rFonts w:ascii="Arial Narrow" w:eastAsia="Calibri" w:hAnsi="Arial Narrow" w:cs="Calibri"/>
                <w:color w:val="000000"/>
                <w:sz w:val="20"/>
                <w:szCs w:val="20"/>
              </w:rPr>
              <w:t>57</w:t>
            </w:r>
          </w:p>
        </w:tc>
        <w:tc>
          <w:tcPr>
            <w:tcW w:w="486" w:type="pct"/>
            <w:noWrap/>
            <w:vAlign w:val="center"/>
            <w:hideMark/>
          </w:tcPr>
          <w:p w14:paraId="72060265" w14:textId="77777777" w:rsidR="00224E1A" w:rsidRPr="00D41179" w:rsidRDefault="00224E1A">
            <w:pPr>
              <w:jc w:val="center"/>
              <w:rPr>
                <w:rFonts w:ascii="Arial Narrow" w:hAnsi="Arial Narrow" w:cs="Calibri"/>
                <w:color w:val="000000"/>
                <w:sz w:val="20"/>
                <w:szCs w:val="20"/>
              </w:rPr>
            </w:pPr>
            <w:r w:rsidRPr="00D41179">
              <w:rPr>
                <w:rFonts w:ascii="Arial Narrow" w:eastAsia="Calibri" w:hAnsi="Arial Narrow" w:cs="Calibri"/>
                <w:color w:val="000000"/>
                <w:sz w:val="20"/>
                <w:szCs w:val="20"/>
              </w:rPr>
              <w:t>6,466.5</w:t>
            </w:r>
          </w:p>
        </w:tc>
        <w:tc>
          <w:tcPr>
            <w:tcW w:w="550" w:type="pct"/>
            <w:noWrap/>
            <w:vAlign w:val="center"/>
            <w:hideMark/>
          </w:tcPr>
          <w:p w14:paraId="6B96C06B" w14:textId="77777777" w:rsidR="00224E1A" w:rsidRPr="00D41179" w:rsidRDefault="00224E1A">
            <w:pPr>
              <w:jc w:val="center"/>
              <w:rPr>
                <w:rFonts w:ascii="Arial Narrow" w:hAnsi="Arial Narrow" w:cs="Calibri"/>
                <w:color w:val="000000"/>
                <w:sz w:val="20"/>
                <w:szCs w:val="20"/>
              </w:rPr>
            </w:pPr>
            <w:r w:rsidRPr="00D41179">
              <w:rPr>
                <w:rFonts w:ascii="Arial Narrow" w:eastAsia="Calibri" w:hAnsi="Arial Narrow" w:cs="Calibri"/>
                <w:color w:val="000000"/>
                <w:sz w:val="20"/>
                <w:szCs w:val="20"/>
              </w:rPr>
              <w:t>8.8</w:t>
            </w:r>
          </w:p>
        </w:tc>
        <w:tc>
          <w:tcPr>
            <w:tcW w:w="947" w:type="pct"/>
            <w:noWrap/>
            <w:vAlign w:val="center"/>
            <w:hideMark/>
          </w:tcPr>
          <w:p w14:paraId="1160C016" w14:textId="77777777" w:rsidR="00224E1A" w:rsidRPr="00D41179" w:rsidRDefault="00224E1A">
            <w:pPr>
              <w:jc w:val="center"/>
              <w:rPr>
                <w:rFonts w:ascii="Arial Narrow" w:hAnsi="Arial Narrow" w:cs="Calibri"/>
                <w:color w:val="000000"/>
                <w:sz w:val="20"/>
                <w:szCs w:val="20"/>
              </w:rPr>
            </w:pPr>
            <w:r w:rsidRPr="00D41179">
              <w:rPr>
                <w:rFonts w:ascii="Arial Narrow" w:hAnsi="Arial Narrow" w:cs="Calibri"/>
                <w:color w:val="000000"/>
                <w:sz w:val="20"/>
                <w:szCs w:val="20"/>
              </w:rPr>
              <w:t>73.68 (52.89, 86.16)</w:t>
            </w:r>
          </w:p>
        </w:tc>
      </w:tr>
      <w:tr w:rsidR="00224E1A" w:rsidRPr="00D41179" w14:paraId="661F053D" w14:textId="77777777">
        <w:trPr>
          <w:trHeight w:val="170"/>
          <w:jc w:val="center"/>
        </w:trPr>
        <w:tc>
          <w:tcPr>
            <w:tcW w:w="235" w:type="pct"/>
            <w:vMerge/>
            <w:vAlign w:val="center"/>
            <w:hideMark/>
          </w:tcPr>
          <w:p w14:paraId="2273B0C9" w14:textId="77777777" w:rsidR="00224E1A" w:rsidRPr="00D41179" w:rsidRDefault="00224E1A">
            <w:pPr>
              <w:jc w:val="left"/>
              <w:rPr>
                <w:rFonts w:ascii="Arial Narrow" w:hAnsi="Arial Narrow" w:cs="Calibri"/>
                <w:b/>
                <w:bCs/>
                <w:color w:val="000000"/>
                <w:sz w:val="20"/>
                <w:szCs w:val="20"/>
              </w:rPr>
            </w:pPr>
          </w:p>
        </w:tc>
        <w:tc>
          <w:tcPr>
            <w:tcW w:w="397" w:type="pct"/>
            <w:noWrap/>
            <w:vAlign w:val="center"/>
            <w:hideMark/>
          </w:tcPr>
          <w:p w14:paraId="4B51D288" w14:textId="77777777" w:rsidR="00224E1A" w:rsidRPr="00D41179" w:rsidRDefault="00224E1A">
            <w:pPr>
              <w:jc w:val="center"/>
              <w:rPr>
                <w:rFonts w:ascii="Arial Narrow" w:hAnsi="Arial Narrow" w:cs="Calibri"/>
                <w:color w:val="000000"/>
                <w:sz w:val="20"/>
                <w:szCs w:val="20"/>
              </w:rPr>
            </w:pPr>
            <w:r w:rsidRPr="00D41179">
              <w:rPr>
                <w:rFonts w:ascii="Arial Narrow" w:hAnsi="Arial Narrow" w:cs="Calibri"/>
                <w:color w:val="000000"/>
                <w:sz w:val="20"/>
                <w:szCs w:val="20"/>
              </w:rPr>
              <w:t>50-59</w:t>
            </w:r>
          </w:p>
        </w:tc>
        <w:tc>
          <w:tcPr>
            <w:tcW w:w="488" w:type="pct"/>
            <w:noWrap/>
            <w:vAlign w:val="center"/>
            <w:hideMark/>
          </w:tcPr>
          <w:p w14:paraId="1D067823" w14:textId="77777777" w:rsidR="00224E1A" w:rsidRPr="00D41179" w:rsidRDefault="00224E1A">
            <w:pPr>
              <w:jc w:val="center"/>
              <w:rPr>
                <w:rFonts w:ascii="Arial Narrow" w:hAnsi="Arial Narrow" w:cs="Calibri"/>
                <w:color w:val="000000"/>
                <w:sz w:val="20"/>
                <w:szCs w:val="20"/>
              </w:rPr>
            </w:pPr>
            <w:r w:rsidRPr="00D41179">
              <w:rPr>
                <w:rFonts w:ascii="Arial Narrow" w:eastAsia="Calibri" w:hAnsi="Arial Narrow" w:cs="Calibri"/>
                <w:color w:val="000000"/>
                <w:sz w:val="20"/>
                <w:szCs w:val="20"/>
              </w:rPr>
              <w:t>1,977</w:t>
            </w:r>
          </w:p>
        </w:tc>
        <w:tc>
          <w:tcPr>
            <w:tcW w:w="277" w:type="pct"/>
            <w:noWrap/>
            <w:vAlign w:val="center"/>
            <w:hideMark/>
          </w:tcPr>
          <w:p w14:paraId="1C3B8A31" w14:textId="77777777" w:rsidR="00224E1A" w:rsidRPr="00D41179" w:rsidRDefault="00224E1A">
            <w:pPr>
              <w:jc w:val="center"/>
              <w:rPr>
                <w:rFonts w:ascii="Arial Narrow" w:hAnsi="Arial Narrow" w:cs="Calibri"/>
                <w:color w:val="000000"/>
                <w:sz w:val="20"/>
                <w:szCs w:val="20"/>
              </w:rPr>
            </w:pPr>
            <w:r w:rsidRPr="00D41179">
              <w:rPr>
                <w:rFonts w:ascii="Arial Narrow" w:eastAsia="Calibri" w:hAnsi="Arial Narrow" w:cs="Calibri"/>
                <w:color w:val="000000"/>
                <w:sz w:val="20"/>
                <w:szCs w:val="20"/>
              </w:rPr>
              <w:t>5</w:t>
            </w:r>
          </w:p>
        </w:tc>
        <w:tc>
          <w:tcPr>
            <w:tcW w:w="486" w:type="pct"/>
            <w:noWrap/>
            <w:vAlign w:val="center"/>
            <w:hideMark/>
          </w:tcPr>
          <w:p w14:paraId="33314B79" w14:textId="77777777" w:rsidR="00224E1A" w:rsidRPr="00D41179" w:rsidRDefault="00224E1A">
            <w:pPr>
              <w:jc w:val="center"/>
              <w:rPr>
                <w:rFonts w:ascii="Arial Narrow" w:hAnsi="Arial Narrow" w:cs="Calibri"/>
                <w:color w:val="000000"/>
                <w:sz w:val="20"/>
                <w:szCs w:val="20"/>
              </w:rPr>
            </w:pPr>
            <w:r w:rsidRPr="00D41179">
              <w:rPr>
                <w:rFonts w:ascii="Arial Narrow" w:eastAsia="Calibri" w:hAnsi="Arial Narrow" w:cs="Calibri"/>
                <w:color w:val="000000"/>
                <w:sz w:val="20"/>
                <w:szCs w:val="20"/>
              </w:rPr>
              <w:t>1,950.0</w:t>
            </w:r>
          </w:p>
        </w:tc>
        <w:tc>
          <w:tcPr>
            <w:tcW w:w="493" w:type="pct"/>
            <w:noWrap/>
            <w:vAlign w:val="center"/>
            <w:hideMark/>
          </w:tcPr>
          <w:p w14:paraId="05293A5A" w14:textId="77777777" w:rsidR="00224E1A" w:rsidRPr="00D41179" w:rsidRDefault="00224E1A">
            <w:pPr>
              <w:jc w:val="center"/>
              <w:rPr>
                <w:rFonts w:ascii="Arial Narrow" w:hAnsi="Arial Narrow" w:cs="Calibri"/>
                <w:color w:val="000000"/>
                <w:sz w:val="20"/>
                <w:szCs w:val="20"/>
              </w:rPr>
            </w:pPr>
            <w:r w:rsidRPr="00D41179">
              <w:rPr>
                <w:rFonts w:ascii="Arial Narrow" w:eastAsia="Calibri" w:hAnsi="Arial Narrow" w:cs="Calibri"/>
                <w:color w:val="000000"/>
                <w:sz w:val="20"/>
                <w:szCs w:val="20"/>
              </w:rPr>
              <w:t>2.6</w:t>
            </w:r>
          </w:p>
        </w:tc>
        <w:tc>
          <w:tcPr>
            <w:tcW w:w="364" w:type="pct"/>
            <w:noWrap/>
            <w:vAlign w:val="center"/>
            <w:hideMark/>
          </w:tcPr>
          <w:p w14:paraId="19B0368F" w14:textId="77777777" w:rsidR="00224E1A" w:rsidRPr="00D41179" w:rsidRDefault="00224E1A">
            <w:pPr>
              <w:jc w:val="center"/>
              <w:rPr>
                <w:rFonts w:ascii="Arial Narrow" w:hAnsi="Arial Narrow" w:cs="Calibri"/>
                <w:color w:val="000000"/>
                <w:sz w:val="20"/>
                <w:szCs w:val="20"/>
              </w:rPr>
            </w:pPr>
            <w:r w:rsidRPr="00D41179">
              <w:rPr>
                <w:rFonts w:ascii="Arial Narrow" w:eastAsia="Calibri" w:hAnsi="Arial Narrow" w:cs="Calibri"/>
                <w:color w:val="000000"/>
                <w:sz w:val="20"/>
                <w:szCs w:val="20"/>
              </w:rPr>
              <w:t>1,977</w:t>
            </w:r>
          </w:p>
        </w:tc>
        <w:tc>
          <w:tcPr>
            <w:tcW w:w="276" w:type="pct"/>
            <w:noWrap/>
            <w:vAlign w:val="center"/>
            <w:hideMark/>
          </w:tcPr>
          <w:p w14:paraId="1829D7B4" w14:textId="77777777" w:rsidR="00224E1A" w:rsidRPr="00D41179" w:rsidRDefault="00224E1A">
            <w:pPr>
              <w:jc w:val="center"/>
              <w:rPr>
                <w:rFonts w:ascii="Arial Narrow" w:hAnsi="Arial Narrow" w:cs="Calibri"/>
                <w:color w:val="000000"/>
                <w:sz w:val="20"/>
                <w:szCs w:val="20"/>
              </w:rPr>
            </w:pPr>
            <w:r w:rsidRPr="00D41179">
              <w:rPr>
                <w:rFonts w:ascii="Arial Narrow" w:eastAsia="Calibri" w:hAnsi="Arial Narrow" w:cs="Calibri"/>
                <w:color w:val="000000"/>
                <w:sz w:val="20"/>
                <w:szCs w:val="20"/>
              </w:rPr>
              <w:t>15</w:t>
            </w:r>
          </w:p>
        </w:tc>
        <w:tc>
          <w:tcPr>
            <w:tcW w:w="486" w:type="pct"/>
            <w:noWrap/>
            <w:vAlign w:val="center"/>
            <w:hideMark/>
          </w:tcPr>
          <w:p w14:paraId="1844E05F" w14:textId="77777777" w:rsidR="00224E1A" w:rsidRPr="00D41179" w:rsidRDefault="00224E1A">
            <w:pPr>
              <w:jc w:val="center"/>
              <w:rPr>
                <w:rFonts w:ascii="Arial Narrow" w:hAnsi="Arial Narrow" w:cs="Calibri"/>
                <w:color w:val="000000"/>
                <w:sz w:val="20"/>
                <w:szCs w:val="20"/>
              </w:rPr>
            </w:pPr>
            <w:r w:rsidRPr="00D41179">
              <w:rPr>
                <w:rFonts w:ascii="Arial Narrow" w:eastAsia="Calibri" w:hAnsi="Arial Narrow" w:cs="Calibri"/>
                <w:color w:val="000000"/>
                <w:sz w:val="20"/>
                <w:szCs w:val="20"/>
              </w:rPr>
              <w:t>1,950.0</w:t>
            </w:r>
          </w:p>
        </w:tc>
        <w:tc>
          <w:tcPr>
            <w:tcW w:w="550" w:type="pct"/>
            <w:noWrap/>
            <w:vAlign w:val="center"/>
            <w:hideMark/>
          </w:tcPr>
          <w:p w14:paraId="25605708" w14:textId="77777777" w:rsidR="00224E1A" w:rsidRPr="00D41179" w:rsidRDefault="00224E1A">
            <w:pPr>
              <w:jc w:val="center"/>
              <w:rPr>
                <w:rFonts w:ascii="Arial Narrow" w:hAnsi="Arial Narrow" w:cs="Calibri"/>
                <w:color w:val="000000"/>
                <w:sz w:val="20"/>
                <w:szCs w:val="20"/>
              </w:rPr>
            </w:pPr>
            <w:r w:rsidRPr="00D41179">
              <w:rPr>
                <w:rFonts w:ascii="Arial Narrow" w:eastAsia="Calibri" w:hAnsi="Arial Narrow" w:cs="Calibri"/>
                <w:color w:val="000000"/>
                <w:sz w:val="20"/>
                <w:szCs w:val="20"/>
              </w:rPr>
              <w:t>7.7</w:t>
            </w:r>
          </w:p>
        </w:tc>
        <w:tc>
          <w:tcPr>
            <w:tcW w:w="947" w:type="pct"/>
            <w:noWrap/>
            <w:vAlign w:val="center"/>
            <w:hideMark/>
          </w:tcPr>
          <w:p w14:paraId="7BF7A26C" w14:textId="77777777" w:rsidR="00224E1A" w:rsidRPr="00D41179" w:rsidRDefault="00224E1A">
            <w:pPr>
              <w:jc w:val="center"/>
              <w:rPr>
                <w:rFonts w:ascii="Arial Narrow" w:hAnsi="Arial Narrow" w:cs="Calibri"/>
                <w:color w:val="000000"/>
                <w:sz w:val="20"/>
                <w:szCs w:val="20"/>
              </w:rPr>
            </w:pPr>
            <w:r w:rsidRPr="00D41179">
              <w:rPr>
                <w:rFonts w:ascii="Arial Narrow" w:hAnsi="Arial Narrow" w:cs="Calibri"/>
                <w:color w:val="000000"/>
                <w:sz w:val="20"/>
                <w:szCs w:val="20"/>
              </w:rPr>
              <w:t>66.67 (3.52, 90.52)</w:t>
            </w:r>
          </w:p>
        </w:tc>
      </w:tr>
      <w:tr w:rsidR="00224E1A" w:rsidRPr="00D41179" w14:paraId="4311DEE9" w14:textId="77777777">
        <w:trPr>
          <w:trHeight w:val="170"/>
          <w:jc w:val="center"/>
        </w:trPr>
        <w:tc>
          <w:tcPr>
            <w:tcW w:w="235" w:type="pct"/>
            <w:vMerge/>
            <w:vAlign w:val="center"/>
            <w:hideMark/>
          </w:tcPr>
          <w:p w14:paraId="4F18E6AD" w14:textId="77777777" w:rsidR="00224E1A" w:rsidRPr="00D41179" w:rsidRDefault="00224E1A">
            <w:pPr>
              <w:jc w:val="left"/>
              <w:rPr>
                <w:rFonts w:ascii="Arial Narrow" w:hAnsi="Arial Narrow" w:cs="Calibri"/>
                <w:b/>
                <w:bCs/>
                <w:color w:val="000000"/>
                <w:sz w:val="20"/>
                <w:szCs w:val="20"/>
              </w:rPr>
            </w:pPr>
          </w:p>
        </w:tc>
        <w:tc>
          <w:tcPr>
            <w:tcW w:w="397" w:type="pct"/>
            <w:noWrap/>
            <w:vAlign w:val="center"/>
            <w:hideMark/>
          </w:tcPr>
          <w:p w14:paraId="09565BCF" w14:textId="77777777" w:rsidR="00224E1A" w:rsidRPr="00D41179" w:rsidRDefault="00224E1A">
            <w:pPr>
              <w:jc w:val="center"/>
              <w:rPr>
                <w:rFonts w:ascii="Arial Narrow" w:hAnsi="Arial Narrow" w:cs="Calibri"/>
                <w:color w:val="000000"/>
                <w:sz w:val="20"/>
                <w:szCs w:val="20"/>
              </w:rPr>
            </w:pPr>
            <w:r w:rsidRPr="00D41179">
              <w:rPr>
                <w:rFonts w:ascii="Arial Narrow" w:hAnsi="Arial Narrow" w:cs="Calibri"/>
                <w:color w:val="000000"/>
                <w:sz w:val="20"/>
                <w:szCs w:val="20"/>
              </w:rPr>
              <w:t>60-69</w:t>
            </w:r>
          </w:p>
        </w:tc>
        <w:tc>
          <w:tcPr>
            <w:tcW w:w="488" w:type="pct"/>
            <w:noWrap/>
            <w:vAlign w:val="center"/>
            <w:hideMark/>
          </w:tcPr>
          <w:p w14:paraId="510CC953" w14:textId="77777777" w:rsidR="00224E1A" w:rsidRPr="00D41179" w:rsidRDefault="00224E1A">
            <w:pPr>
              <w:jc w:val="center"/>
              <w:rPr>
                <w:rFonts w:ascii="Arial Narrow" w:hAnsi="Arial Narrow" w:cs="Calibri"/>
                <w:color w:val="000000"/>
                <w:sz w:val="20"/>
                <w:szCs w:val="20"/>
              </w:rPr>
            </w:pPr>
            <w:r w:rsidRPr="00D41179">
              <w:rPr>
                <w:rFonts w:ascii="Arial Narrow" w:eastAsia="Calibri" w:hAnsi="Arial Narrow" w:cs="Calibri"/>
                <w:color w:val="000000"/>
                <w:sz w:val="20"/>
                <w:szCs w:val="20"/>
              </w:rPr>
              <w:t>1,181</w:t>
            </w:r>
          </w:p>
        </w:tc>
        <w:tc>
          <w:tcPr>
            <w:tcW w:w="277" w:type="pct"/>
            <w:noWrap/>
            <w:vAlign w:val="center"/>
            <w:hideMark/>
          </w:tcPr>
          <w:p w14:paraId="729446AC" w14:textId="77777777" w:rsidR="00224E1A" w:rsidRPr="00D41179" w:rsidRDefault="00224E1A">
            <w:pPr>
              <w:jc w:val="center"/>
              <w:rPr>
                <w:rFonts w:ascii="Arial Narrow" w:hAnsi="Arial Narrow" w:cs="Calibri"/>
                <w:color w:val="000000"/>
                <w:sz w:val="20"/>
                <w:szCs w:val="20"/>
              </w:rPr>
            </w:pPr>
            <w:r w:rsidRPr="00D41179">
              <w:rPr>
                <w:rFonts w:ascii="Arial Narrow" w:eastAsia="Calibri" w:hAnsi="Arial Narrow" w:cs="Calibri"/>
                <w:color w:val="000000"/>
                <w:sz w:val="20"/>
                <w:szCs w:val="20"/>
              </w:rPr>
              <w:t>3</w:t>
            </w:r>
          </w:p>
        </w:tc>
        <w:tc>
          <w:tcPr>
            <w:tcW w:w="486" w:type="pct"/>
            <w:noWrap/>
            <w:vAlign w:val="center"/>
            <w:hideMark/>
          </w:tcPr>
          <w:p w14:paraId="3D68264D" w14:textId="77777777" w:rsidR="00224E1A" w:rsidRPr="00D41179" w:rsidRDefault="00224E1A">
            <w:pPr>
              <w:jc w:val="center"/>
              <w:rPr>
                <w:rFonts w:ascii="Arial Narrow" w:hAnsi="Arial Narrow" w:cs="Calibri"/>
                <w:color w:val="000000"/>
                <w:sz w:val="20"/>
                <w:szCs w:val="20"/>
              </w:rPr>
            </w:pPr>
            <w:r w:rsidRPr="00D41179">
              <w:rPr>
                <w:rFonts w:ascii="Arial Narrow" w:eastAsia="Calibri" w:hAnsi="Arial Narrow" w:cs="Calibri"/>
                <w:color w:val="000000"/>
                <w:sz w:val="20"/>
                <w:szCs w:val="20"/>
              </w:rPr>
              <w:t>1,158.5</w:t>
            </w:r>
          </w:p>
        </w:tc>
        <w:tc>
          <w:tcPr>
            <w:tcW w:w="493" w:type="pct"/>
            <w:noWrap/>
            <w:vAlign w:val="center"/>
            <w:hideMark/>
          </w:tcPr>
          <w:p w14:paraId="5F922E83" w14:textId="77777777" w:rsidR="00224E1A" w:rsidRPr="00D41179" w:rsidRDefault="00224E1A">
            <w:pPr>
              <w:jc w:val="center"/>
              <w:rPr>
                <w:rFonts w:ascii="Arial Narrow" w:hAnsi="Arial Narrow" w:cs="Calibri"/>
                <w:color w:val="000000"/>
                <w:sz w:val="20"/>
                <w:szCs w:val="20"/>
              </w:rPr>
            </w:pPr>
            <w:r w:rsidRPr="00D41179">
              <w:rPr>
                <w:rFonts w:ascii="Arial Narrow" w:eastAsia="Calibri" w:hAnsi="Arial Narrow" w:cs="Calibri"/>
                <w:color w:val="000000"/>
                <w:sz w:val="20"/>
                <w:szCs w:val="20"/>
              </w:rPr>
              <w:t>2.6</w:t>
            </w:r>
          </w:p>
        </w:tc>
        <w:tc>
          <w:tcPr>
            <w:tcW w:w="364" w:type="pct"/>
            <w:noWrap/>
            <w:vAlign w:val="center"/>
            <w:hideMark/>
          </w:tcPr>
          <w:p w14:paraId="060F4FEE" w14:textId="77777777" w:rsidR="00224E1A" w:rsidRPr="00D41179" w:rsidRDefault="00224E1A">
            <w:pPr>
              <w:jc w:val="center"/>
              <w:rPr>
                <w:rFonts w:ascii="Arial Narrow" w:hAnsi="Arial Narrow" w:cs="Calibri"/>
                <w:color w:val="000000"/>
                <w:sz w:val="20"/>
                <w:szCs w:val="20"/>
              </w:rPr>
            </w:pPr>
            <w:r w:rsidRPr="00D41179">
              <w:rPr>
                <w:rFonts w:ascii="Arial Narrow" w:eastAsia="Calibri" w:hAnsi="Arial Narrow" w:cs="Calibri"/>
                <w:color w:val="000000"/>
                <w:sz w:val="20"/>
                <w:szCs w:val="20"/>
              </w:rPr>
              <w:t>1,181</w:t>
            </w:r>
          </w:p>
        </w:tc>
        <w:tc>
          <w:tcPr>
            <w:tcW w:w="276" w:type="pct"/>
            <w:noWrap/>
            <w:vAlign w:val="center"/>
            <w:hideMark/>
          </w:tcPr>
          <w:p w14:paraId="147A0600" w14:textId="77777777" w:rsidR="00224E1A" w:rsidRPr="00D41179" w:rsidRDefault="00224E1A">
            <w:pPr>
              <w:jc w:val="center"/>
              <w:rPr>
                <w:rFonts w:ascii="Arial Narrow" w:hAnsi="Arial Narrow" w:cs="Calibri"/>
                <w:color w:val="000000"/>
                <w:sz w:val="20"/>
                <w:szCs w:val="20"/>
              </w:rPr>
            </w:pPr>
            <w:r w:rsidRPr="00D41179">
              <w:rPr>
                <w:rFonts w:ascii="Arial Narrow" w:eastAsia="Calibri" w:hAnsi="Arial Narrow" w:cs="Calibri"/>
                <w:color w:val="000000"/>
                <w:sz w:val="20"/>
                <w:szCs w:val="20"/>
              </w:rPr>
              <w:t>11</w:t>
            </w:r>
          </w:p>
        </w:tc>
        <w:tc>
          <w:tcPr>
            <w:tcW w:w="486" w:type="pct"/>
            <w:noWrap/>
            <w:vAlign w:val="center"/>
            <w:hideMark/>
          </w:tcPr>
          <w:p w14:paraId="2844EBBE" w14:textId="77777777" w:rsidR="00224E1A" w:rsidRPr="00D41179" w:rsidRDefault="00224E1A">
            <w:pPr>
              <w:jc w:val="center"/>
              <w:rPr>
                <w:rFonts w:ascii="Arial Narrow" w:hAnsi="Arial Narrow" w:cs="Calibri"/>
                <w:color w:val="000000"/>
                <w:sz w:val="20"/>
                <w:szCs w:val="20"/>
              </w:rPr>
            </w:pPr>
            <w:r w:rsidRPr="00D41179">
              <w:rPr>
                <w:rFonts w:ascii="Arial Narrow" w:eastAsia="Calibri" w:hAnsi="Arial Narrow" w:cs="Calibri"/>
                <w:color w:val="000000"/>
                <w:sz w:val="20"/>
                <w:szCs w:val="20"/>
              </w:rPr>
              <w:t>1,158.5</w:t>
            </w:r>
          </w:p>
        </w:tc>
        <w:tc>
          <w:tcPr>
            <w:tcW w:w="550" w:type="pct"/>
            <w:noWrap/>
            <w:vAlign w:val="center"/>
            <w:hideMark/>
          </w:tcPr>
          <w:p w14:paraId="7714A545" w14:textId="77777777" w:rsidR="00224E1A" w:rsidRPr="00D41179" w:rsidRDefault="00224E1A">
            <w:pPr>
              <w:jc w:val="center"/>
              <w:rPr>
                <w:rFonts w:ascii="Arial Narrow" w:hAnsi="Arial Narrow" w:cs="Calibri"/>
                <w:color w:val="000000"/>
                <w:sz w:val="20"/>
                <w:szCs w:val="20"/>
              </w:rPr>
            </w:pPr>
            <w:r w:rsidRPr="00D41179">
              <w:rPr>
                <w:rFonts w:ascii="Arial Narrow" w:eastAsia="Calibri" w:hAnsi="Arial Narrow" w:cs="Calibri"/>
                <w:color w:val="000000"/>
                <w:sz w:val="20"/>
                <w:szCs w:val="20"/>
              </w:rPr>
              <w:t>9.5</w:t>
            </w:r>
          </w:p>
        </w:tc>
        <w:tc>
          <w:tcPr>
            <w:tcW w:w="947" w:type="pct"/>
            <w:noWrap/>
            <w:vAlign w:val="center"/>
            <w:hideMark/>
          </w:tcPr>
          <w:p w14:paraId="6E1552AE" w14:textId="77777777" w:rsidR="00224E1A" w:rsidRPr="00D41179" w:rsidRDefault="00224E1A">
            <w:pPr>
              <w:jc w:val="center"/>
              <w:rPr>
                <w:rFonts w:ascii="Arial Narrow" w:hAnsi="Arial Narrow" w:cs="Calibri"/>
                <w:color w:val="000000"/>
                <w:sz w:val="20"/>
                <w:szCs w:val="20"/>
              </w:rPr>
            </w:pPr>
            <w:r w:rsidRPr="00D41179">
              <w:rPr>
                <w:rFonts w:ascii="Arial Narrow" w:hAnsi="Arial Narrow" w:cs="Calibri"/>
                <w:color w:val="000000"/>
                <w:sz w:val="20"/>
                <w:szCs w:val="20"/>
              </w:rPr>
              <w:t>72.73 (-3.24, 95.11)</w:t>
            </w:r>
          </w:p>
        </w:tc>
      </w:tr>
      <w:tr w:rsidR="00224E1A" w:rsidRPr="00D41179" w14:paraId="3E4E07F5" w14:textId="77777777">
        <w:trPr>
          <w:trHeight w:val="170"/>
          <w:jc w:val="center"/>
        </w:trPr>
        <w:tc>
          <w:tcPr>
            <w:tcW w:w="235" w:type="pct"/>
            <w:vMerge/>
            <w:vAlign w:val="center"/>
            <w:hideMark/>
          </w:tcPr>
          <w:p w14:paraId="1FA17AAC" w14:textId="77777777" w:rsidR="00224E1A" w:rsidRPr="00D41179" w:rsidRDefault="00224E1A">
            <w:pPr>
              <w:jc w:val="left"/>
              <w:rPr>
                <w:rFonts w:ascii="Arial Narrow" w:hAnsi="Arial Narrow" w:cs="Calibri"/>
                <w:b/>
                <w:bCs/>
                <w:color w:val="000000"/>
                <w:sz w:val="20"/>
                <w:szCs w:val="20"/>
              </w:rPr>
            </w:pPr>
          </w:p>
        </w:tc>
        <w:tc>
          <w:tcPr>
            <w:tcW w:w="397" w:type="pct"/>
            <w:noWrap/>
            <w:vAlign w:val="center"/>
            <w:hideMark/>
          </w:tcPr>
          <w:p w14:paraId="10EBCCCA" w14:textId="77777777" w:rsidR="00224E1A" w:rsidRPr="00D41179" w:rsidRDefault="00224E1A">
            <w:pPr>
              <w:jc w:val="center"/>
              <w:rPr>
                <w:rFonts w:ascii="Arial Narrow" w:hAnsi="Arial Narrow" w:cs="Calibri"/>
                <w:color w:val="000000"/>
                <w:sz w:val="20"/>
                <w:szCs w:val="20"/>
              </w:rPr>
            </w:pPr>
            <w:r w:rsidRPr="00D41179">
              <w:rPr>
                <w:rFonts w:ascii="Arial Narrow" w:hAnsi="Arial Narrow" w:cs="Calibri"/>
                <w:color w:val="000000"/>
                <w:sz w:val="20"/>
                <w:szCs w:val="20"/>
              </w:rPr>
              <w:t>≥70</w:t>
            </w:r>
          </w:p>
        </w:tc>
        <w:tc>
          <w:tcPr>
            <w:tcW w:w="488" w:type="pct"/>
            <w:noWrap/>
            <w:vAlign w:val="center"/>
            <w:hideMark/>
          </w:tcPr>
          <w:p w14:paraId="411C0C9E" w14:textId="77777777" w:rsidR="00224E1A" w:rsidRPr="00D41179" w:rsidRDefault="00224E1A">
            <w:pPr>
              <w:jc w:val="center"/>
              <w:rPr>
                <w:rFonts w:ascii="Arial Narrow" w:hAnsi="Arial Narrow" w:cs="Calibri"/>
                <w:color w:val="000000"/>
                <w:sz w:val="20"/>
                <w:szCs w:val="20"/>
              </w:rPr>
            </w:pPr>
            <w:r w:rsidRPr="00D41179">
              <w:rPr>
                <w:rFonts w:ascii="Arial Narrow" w:eastAsia="Calibri" w:hAnsi="Arial Narrow" w:cs="Calibri"/>
                <w:color w:val="000000"/>
                <w:sz w:val="20"/>
                <w:szCs w:val="20"/>
              </w:rPr>
              <w:t>3,469</w:t>
            </w:r>
          </w:p>
        </w:tc>
        <w:tc>
          <w:tcPr>
            <w:tcW w:w="277" w:type="pct"/>
            <w:noWrap/>
            <w:vAlign w:val="center"/>
            <w:hideMark/>
          </w:tcPr>
          <w:p w14:paraId="6C1CDBD1" w14:textId="77777777" w:rsidR="00224E1A" w:rsidRPr="00D41179" w:rsidRDefault="00224E1A">
            <w:pPr>
              <w:jc w:val="center"/>
              <w:rPr>
                <w:rFonts w:ascii="Arial Narrow" w:hAnsi="Arial Narrow" w:cs="Calibri"/>
                <w:color w:val="000000"/>
                <w:sz w:val="20"/>
                <w:szCs w:val="20"/>
              </w:rPr>
            </w:pPr>
            <w:r w:rsidRPr="00D41179">
              <w:rPr>
                <w:rFonts w:ascii="Arial Narrow" w:eastAsia="Calibri" w:hAnsi="Arial Narrow" w:cs="Calibri"/>
                <w:color w:val="000000"/>
                <w:sz w:val="20"/>
                <w:szCs w:val="20"/>
              </w:rPr>
              <w:t>7</w:t>
            </w:r>
          </w:p>
        </w:tc>
        <w:tc>
          <w:tcPr>
            <w:tcW w:w="486" w:type="pct"/>
            <w:noWrap/>
            <w:vAlign w:val="center"/>
            <w:hideMark/>
          </w:tcPr>
          <w:p w14:paraId="2A29D9A3" w14:textId="77777777" w:rsidR="00224E1A" w:rsidRPr="00D41179" w:rsidRDefault="00224E1A">
            <w:pPr>
              <w:jc w:val="center"/>
              <w:rPr>
                <w:rFonts w:ascii="Arial Narrow" w:hAnsi="Arial Narrow" w:cs="Calibri"/>
                <w:color w:val="000000"/>
                <w:sz w:val="20"/>
                <w:szCs w:val="20"/>
              </w:rPr>
            </w:pPr>
            <w:r w:rsidRPr="00D41179">
              <w:rPr>
                <w:rFonts w:ascii="Arial Narrow" w:eastAsia="Calibri" w:hAnsi="Arial Narrow" w:cs="Calibri"/>
                <w:color w:val="000000"/>
                <w:sz w:val="20"/>
                <w:szCs w:val="20"/>
              </w:rPr>
              <w:t>3,358.0</w:t>
            </w:r>
          </w:p>
        </w:tc>
        <w:tc>
          <w:tcPr>
            <w:tcW w:w="493" w:type="pct"/>
            <w:noWrap/>
            <w:vAlign w:val="center"/>
            <w:hideMark/>
          </w:tcPr>
          <w:p w14:paraId="228F0DAB" w14:textId="77777777" w:rsidR="00224E1A" w:rsidRPr="00D41179" w:rsidRDefault="00224E1A">
            <w:pPr>
              <w:jc w:val="center"/>
              <w:rPr>
                <w:rFonts w:ascii="Arial Narrow" w:hAnsi="Arial Narrow" w:cs="Calibri"/>
                <w:color w:val="000000"/>
                <w:sz w:val="20"/>
                <w:szCs w:val="20"/>
              </w:rPr>
            </w:pPr>
            <w:r w:rsidRPr="00D41179">
              <w:rPr>
                <w:rFonts w:ascii="Arial Narrow" w:eastAsia="Calibri" w:hAnsi="Arial Narrow" w:cs="Calibri"/>
                <w:color w:val="000000"/>
                <w:sz w:val="20"/>
                <w:szCs w:val="20"/>
              </w:rPr>
              <w:t>2.1</w:t>
            </w:r>
          </w:p>
        </w:tc>
        <w:tc>
          <w:tcPr>
            <w:tcW w:w="364" w:type="pct"/>
            <w:noWrap/>
            <w:vAlign w:val="center"/>
            <w:hideMark/>
          </w:tcPr>
          <w:p w14:paraId="650C2F96" w14:textId="77777777" w:rsidR="00224E1A" w:rsidRPr="00D41179" w:rsidRDefault="00224E1A">
            <w:pPr>
              <w:jc w:val="center"/>
              <w:rPr>
                <w:rFonts w:ascii="Arial Narrow" w:hAnsi="Arial Narrow" w:cs="Calibri"/>
                <w:color w:val="000000"/>
                <w:sz w:val="20"/>
                <w:szCs w:val="20"/>
              </w:rPr>
            </w:pPr>
            <w:r w:rsidRPr="00D41179">
              <w:rPr>
                <w:rFonts w:ascii="Arial Narrow" w:eastAsia="Calibri" w:hAnsi="Arial Narrow" w:cs="Calibri"/>
                <w:color w:val="000000"/>
                <w:sz w:val="20"/>
                <w:szCs w:val="20"/>
              </w:rPr>
              <w:t>3,469</w:t>
            </w:r>
          </w:p>
        </w:tc>
        <w:tc>
          <w:tcPr>
            <w:tcW w:w="276" w:type="pct"/>
            <w:noWrap/>
            <w:vAlign w:val="center"/>
            <w:hideMark/>
          </w:tcPr>
          <w:p w14:paraId="1F8A7EDC" w14:textId="77777777" w:rsidR="00224E1A" w:rsidRPr="00D41179" w:rsidRDefault="00224E1A">
            <w:pPr>
              <w:jc w:val="center"/>
              <w:rPr>
                <w:rFonts w:ascii="Arial Narrow" w:hAnsi="Arial Narrow" w:cs="Calibri"/>
                <w:color w:val="000000"/>
                <w:sz w:val="20"/>
                <w:szCs w:val="20"/>
              </w:rPr>
            </w:pPr>
            <w:r w:rsidRPr="00D41179">
              <w:rPr>
                <w:rFonts w:ascii="Arial Narrow" w:eastAsia="Calibri" w:hAnsi="Arial Narrow" w:cs="Calibri"/>
                <w:color w:val="000000"/>
                <w:sz w:val="20"/>
                <w:szCs w:val="20"/>
              </w:rPr>
              <w:t>29</w:t>
            </w:r>
          </w:p>
        </w:tc>
        <w:tc>
          <w:tcPr>
            <w:tcW w:w="486" w:type="pct"/>
            <w:noWrap/>
            <w:vAlign w:val="center"/>
            <w:hideMark/>
          </w:tcPr>
          <w:p w14:paraId="1F3190F2" w14:textId="77777777" w:rsidR="00224E1A" w:rsidRPr="00D41179" w:rsidRDefault="00224E1A">
            <w:pPr>
              <w:jc w:val="center"/>
              <w:rPr>
                <w:rFonts w:ascii="Arial Narrow" w:hAnsi="Arial Narrow" w:cs="Calibri"/>
                <w:color w:val="000000"/>
                <w:sz w:val="20"/>
                <w:szCs w:val="20"/>
              </w:rPr>
            </w:pPr>
            <w:r w:rsidRPr="00D41179">
              <w:rPr>
                <w:rFonts w:ascii="Arial Narrow" w:eastAsia="Calibri" w:hAnsi="Arial Narrow" w:cs="Calibri"/>
                <w:color w:val="000000"/>
                <w:sz w:val="20"/>
                <w:szCs w:val="20"/>
              </w:rPr>
              <w:t>3,358.0</w:t>
            </w:r>
          </w:p>
        </w:tc>
        <w:tc>
          <w:tcPr>
            <w:tcW w:w="550" w:type="pct"/>
            <w:noWrap/>
            <w:vAlign w:val="center"/>
            <w:hideMark/>
          </w:tcPr>
          <w:p w14:paraId="4B925148" w14:textId="77777777" w:rsidR="00224E1A" w:rsidRPr="00D41179" w:rsidRDefault="00224E1A">
            <w:pPr>
              <w:jc w:val="center"/>
              <w:rPr>
                <w:rFonts w:ascii="Arial Narrow" w:hAnsi="Arial Narrow" w:cs="Calibri"/>
                <w:color w:val="000000"/>
                <w:sz w:val="20"/>
                <w:szCs w:val="20"/>
              </w:rPr>
            </w:pPr>
            <w:r w:rsidRPr="00D41179">
              <w:rPr>
                <w:rFonts w:ascii="Arial Narrow" w:eastAsia="Calibri" w:hAnsi="Arial Narrow" w:cs="Calibri"/>
                <w:color w:val="000000"/>
                <w:sz w:val="20"/>
                <w:szCs w:val="20"/>
              </w:rPr>
              <w:t>8.6</w:t>
            </w:r>
          </w:p>
        </w:tc>
        <w:tc>
          <w:tcPr>
            <w:tcW w:w="947" w:type="pct"/>
            <w:noWrap/>
            <w:vAlign w:val="center"/>
            <w:hideMark/>
          </w:tcPr>
          <w:p w14:paraId="474507EE" w14:textId="77777777" w:rsidR="00224E1A" w:rsidRPr="00D41179" w:rsidRDefault="00224E1A">
            <w:pPr>
              <w:jc w:val="center"/>
              <w:rPr>
                <w:rFonts w:ascii="Arial Narrow" w:hAnsi="Arial Narrow" w:cs="Calibri"/>
                <w:color w:val="000000"/>
                <w:sz w:val="20"/>
                <w:szCs w:val="20"/>
              </w:rPr>
            </w:pPr>
            <w:r w:rsidRPr="00D41179">
              <w:rPr>
                <w:rFonts w:ascii="Arial Narrow" w:hAnsi="Arial Narrow" w:cs="Calibri"/>
                <w:color w:val="000000"/>
                <w:sz w:val="20"/>
                <w:szCs w:val="20"/>
              </w:rPr>
              <w:t>75.86 (43.69, 91.07)</w:t>
            </w:r>
          </w:p>
        </w:tc>
      </w:tr>
      <w:tr w:rsidR="00224E1A" w:rsidRPr="00D41179" w14:paraId="58671545" w14:textId="77777777">
        <w:trPr>
          <w:trHeight w:val="170"/>
          <w:jc w:val="center"/>
        </w:trPr>
        <w:tc>
          <w:tcPr>
            <w:tcW w:w="235" w:type="pct"/>
            <w:vMerge w:val="restart"/>
            <w:noWrap/>
            <w:vAlign w:val="center"/>
            <w:hideMark/>
          </w:tcPr>
          <w:p w14:paraId="52941B51" w14:textId="77777777" w:rsidR="00224E1A" w:rsidRPr="00D41179" w:rsidRDefault="00224E1A">
            <w:pPr>
              <w:jc w:val="left"/>
              <w:rPr>
                <w:rFonts w:ascii="Arial Narrow" w:hAnsi="Arial Narrow" w:cs="Calibri"/>
                <w:b/>
                <w:bCs/>
                <w:color w:val="000000"/>
                <w:sz w:val="20"/>
                <w:szCs w:val="20"/>
              </w:rPr>
            </w:pPr>
            <w:r w:rsidRPr="00D41179">
              <w:rPr>
                <w:rFonts w:ascii="Arial Narrow" w:hAnsi="Arial Narrow" w:cs="Calibri"/>
                <w:b/>
                <w:bCs/>
                <w:color w:val="000000"/>
                <w:sz w:val="20"/>
                <w:szCs w:val="20"/>
              </w:rPr>
              <w:t>Y 10</w:t>
            </w:r>
          </w:p>
        </w:tc>
        <w:tc>
          <w:tcPr>
            <w:tcW w:w="397" w:type="pct"/>
            <w:noWrap/>
            <w:vAlign w:val="center"/>
            <w:hideMark/>
          </w:tcPr>
          <w:p w14:paraId="16E8E00C" w14:textId="77777777" w:rsidR="00224E1A" w:rsidRPr="00D41179" w:rsidRDefault="00224E1A">
            <w:pPr>
              <w:jc w:val="center"/>
              <w:rPr>
                <w:rFonts w:ascii="Arial Narrow" w:hAnsi="Arial Narrow" w:cs="Calibri"/>
                <w:color w:val="000000"/>
                <w:sz w:val="20"/>
                <w:szCs w:val="20"/>
              </w:rPr>
            </w:pPr>
            <w:r w:rsidRPr="00D41179">
              <w:rPr>
                <w:rFonts w:ascii="Arial Narrow" w:hAnsi="Arial Narrow" w:cs="Calibri"/>
                <w:color w:val="000000"/>
                <w:sz w:val="20"/>
                <w:szCs w:val="20"/>
              </w:rPr>
              <w:t>Overall</w:t>
            </w:r>
          </w:p>
        </w:tc>
        <w:tc>
          <w:tcPr>
            <w:tcW w:w="488" w:type="pct"/>
            <w:noWrap/>
            <w:vAlign w:val="center"/>
            <w:hideMark/>
          </w:tcPr>
          <w:p w14:paraId="7EE7FC3B" w14:textId="77777777" w:rsidR="00224E1A" w:rsidRPr="00D41179" w:rsidRDefault="00224E1A">
            <w:pPr>
              <w:jc w:val="center"/>
              <w:rPr>
                <w:rFonts w:ascii="Arial Narrow" w:hAnsi="Arial Narrow" w:cs="Calibri"/>
                <w:color w:val="000000"/>
                <w:sz w:val="20"/>
                <w:szCs w:val="20"/>
              </w:rPr>
            </w:pPr>
            <w:r w:rsidRPr="00D41179">
              <w:rPr>
                <w:rFonts w:ascii="Arial Narrow" w:eastAsia="Calibri" w:hAnsi="Arial Narrow" w:cs="Calibri"/>
                <w:color w:val="000000"/>
                <w:sz w:val="20"/>
                <w:szCs w:val="20"/>
              </w:rPr>
              <w:t>6,239 (86.0%)</w:t>
            </w:r>
          </w:p>
        </w:tc>
        <w:tc>
          <w:tcPr>
            <w:tcW w:w="277" w:type="pct"/>
            <w:noWrap/>
            <w:vAlign w:val="center"/>
            <w:hideMark/>
          </w:tcPr>
          <w:p w14:paraId="24C45567" w14:textId="77777777" w:rsidR="00224E1A" w:rsidRPr="00D41179" w:rsidRDefault="00224E1A">
            <w:pPr>
              <w:jc w:val="center"/>
              <w:rPr>
                <w:rFonts w:ascii="Arial Narrow" w:hAnsi="Arial Narrow" w:cs="Calibri"/>
                <w:color w:val="000000"/>
                <w:sz w:val="20"/>
                <w:szCs w:val="20"/>
              </w:rPr>
            </w:pPr>
            <w:r w:rsidRPr="00D41179">
              <w:rPr>
                <w:rFonts w:ascii="Arial Narrow" w:eastAsia="Calibri" w:hAnsi="Arial Narrow" w:cs="Calibri"/>
                <w:color w:val="000000"/>
                <w:sz w:val="20"/>
                <w:szCs w:val="20"/>
              </w:rPr>
              <w:t>15</w:t>
            </w:r>
          </w:p>
        </w:tc>
        <w:tc>
          <w:tcPr>
            <w:tcW w:w="486" w:type="pct"/>
            <w:noWrap/>
            <w:vAlign w:val="center"/>
            <w:hideMark/>
          </w:tcPr>
          <w:p w14:paraId="1B0D0E89" w14:textId="77777777" w:rsidR="00224E1A" w:rsidRPr="00D41179" w:rsidRDefault="00224E1A">
            <w:pPr>
              <w:jc w:val="center"/>
              <w:rPr>
                <w:rFonts w:ascii="Arial Narrow" w:hAnsi="Arial Narrow" w:cs="Calibri"/>
                <w:color w:val="000000"/>
                <w:sz w:val="20"/>
                <w:szCs w:val="20"/>
              </w:rPr>
            </w:pPr>
            <w:r w:rsidRPr="00D41179">
              <w:rPr>
                <w:rFonts w:ascii="Arial Narrow" w:eastAsia="Calibri" w:hAnsi="Arial Narrow" w:cs="Calibri"/>
                <w:color w:val="000000"/>
                <w:sz w:val="20"/>
                <w:szCs w:val="20"/>
              </w:rPr>
              <w:t>6,034.3</w:t>
            </w:r>
          </w:p>
        </w:tc>
        <w:tc>
          <w:tcPr>
            <w:tcW w:w="493" w:type="pct"/>
            <w:noWrap/>
            <w:vAlign w:val="center"/>
            <w:hideMark/>
          </w:tcPr>
          <w:p w14:paraId="5EF3677F" w14:textId="77777777" w:rsidR="00224E1A" w:rsidRPr="00D41179" w:rsidRDefault="00224E1A">
            <w:pPr>
              <w:jc w:val="center"/>
              <w:rPr>
                <w:rFonts w:ascii="Arial Narrow" w:hAnsi="Arial Narrow" w:cs="Calibri"/>
                <w:color w:val="000000"/>
                <w:sz w:val="20"/>
                <w:szCs w:val="20"/>
              </w:rPr>
            </w:pPr>
            <w:r w:rsidRPr="00D41179">
              <w:rPr>
                <w:rFonts w:ascii="Arial Narrow" w:eastAsia="Calibri" w:hAnsi="Arial Narrow" w:cs="Calibri"/>
                <w:color w:val="000000"/>
                <w:sz w:val="20"/>
                <w:szCs w:val="20"/>
              </w:rPr>
              <w:t>2.5</w:t>
            </w:r>
          </w:p>
        </w:tc>
        <w:tc>
          <w:tcPr>
            <w:tcW w:w="364" w:type="pct"/>
            <w:noWrap/>
            <w:vAlign w:val="center"/>
            <w:hideMark/>
          </w:tcPr>
          <w:p w14:paraId="3AD66926" w14:textId="77777777" w:rsidR="00224E1A" w:rsidRPr="00D41179" w:rsidRDefault="00224E1A">
            <w:pPr>
              <w:jc w:val="center"/>
              <w:rPr>
                <w:rFonts w:ascii="Arial Narrow" w:hAnsi="Arial Narrow" w:cs="Calibri"/>
                <w:color w:val="000000"/>
                <w:sz w:val="20"/>
                <w:szCs w:val="20"/>
              </w:rPr>
            </w:pPr>
            <w:r w:rsidRPr="00D41179">
              <w:rPr>
                <w:rFonts w:ascii="Arial Narrow" w:eastAsia="Calibri" w:hAnsi="Arial Narrow" w:cs="Calibri"/>
                <w:color w:val="000000"/>
                <w:sz w:val="20"/>
                <w:szCs w:val="20"/>
              </w:rPr>
              <w:t>6,239</w:t>
            </w:r>
          </w:p>
        </w:tc>
        <w:tc>
          <w:tcPr>
            <w:tcW w:w="276" w:type="pct"/>
            <w:noWrap/>
            <w:vAlign w:val="center"/>
            <w:hideMark/>
          </w:tcPr>
          <w:p w14:paraId="4E8CB3DD" w14:textId="77777777" w:rsidR="00224E1A" w:rsidRPr="00D41179" w:rsidRDefault="00224E1A">
            <w:pPr>
              <w:jc w:val="center"/>
              <w:rPr>
                <w:rFonts w:ascii="Arial Narrow" w:hAnsi="Arial Narrow" w:cs="Calibri"/>
                <w:color w:val="000000"/>
                <w:sz w:val="20"/>
                <w:szCs w:val="20"/>
              </w:rPr>
            </w:pPr>
            <w:r w:rsidRPr="00D41179">
              <w:rPr>
                <w:rFonts w:ascii="Arial Narrow" w:eastAsia="Calibri" w:hAnsi="Arial Narrow" w:cs="Calibri"/>
                <w:color w:val="000000"/>
                <w:sz w:val="20"/>
                <w:szCs w:val="20"/>
              </w:rPr>
              <w:t>53</w:t>
            </w:r>
          </w:p>
        </w:tc>
        <w:tc>
          <w:tcPr>
            <w:tcW w:w="486" w:type="pct"/>
            <w:noWrap/>
            <w:vAlign w:val="center"/>
            <w:hideMark/>
          </w:tcPr>
          <w:p w14:paraId="06DD160E" w14:textId="77777777" w:rsidR="00224E1A" w:rsidRPr="00D41179" w:rsidRDefault="00224E1A">
            <w:pPr>
              <w:jc w:val="center"/>
              <w:rPr>
                <w:rFonts w:ascii="Arial Narrow" w:hAnsi="Arial Narrow" w:cs="Calibri"/>
                <w:color w:val="000000"/>
                <w:sz w:val="20"/>
                <w:szCs w:val="20"/>
              </w:rPr>
            </w:pPr>
            <w:r w:rsidRPr="00D41179">
              <w:rPr>
                <w:rFonts w:ascii="Arial Narrow" w:eastAsia="Calibri" w:hAnsi="Arial Narrow" w:cs="Calibri"/>
                <w:color w:val="000000"/>
                <w:sz w:val="20"/>
                <w:szCs w:val="20"/>
              </w:rPr>
              <w:t>6,034.3</w:t>
            </w:r>
          </w:p>
        </w:tc>
        <w:tc>
          <w:tcPr>
            <w:tcW w:w="550" w:type="pct"/>
            <w:noWrap/>
            <w:vAlign w:val="center"/>
            <w:hideMark/>
          </w:tcPr>
          <w:p w14:paraId="6AA3D8B9" w14:textId="77777777" w:rsidR="00224E1A" w:rsidRPr="00D41179" w:rsidRDefault="00224E1A">
            <w:pPr>
              <w:jc w:val="center"/>
              <w:rPr>
                <w:rFonts w:ascii="Arial Narrow" w:hAnsi="Arial Narrow" w:cs="Calibri"/>
                <w:color w:val="000000"/>
                <w:sz w:val="20"/>
                <w:szCs w:val="20"/>
              </w:rPr>
            </w:pPr>
            <w:r w:rsidRPr="00D41179">
              <w:rPr>
                <w:rFonts w:ascii="Arial Narrow" w:eastAsia="Calibri" w:hAnsi="Arial Narrow" w:cs="Calibri"/>
                <w:color w:val="000000"/>
                <w:sz w:val="20"/>
                <w:szCs w:val="20"/>
              </w:rPr>
              <w:t>8.8</w:t>
            </w:r>
          </w:p>
        </w:tc>
        <w:tc>
          <w:tcPr>
            <w:tcW w:w="947" w:type="pct"/>
            <w:noWrap/>
            <w:vAlign w:val="center"/>
            <w:hideMark/>
          </w:tcPr>
          <w:p w14:paraId="2ABE0F8B" w14:textId="77777777" w:rsidR="00224E1A" w:rsidRPr="00D41179" w:rsidRDefault="00224E1A">
            <w:pPr>
              <w:jc w:val="center"/>
              <w:rPr>
                <w:rFonts w:ascii="Arial Narrow" w:hAnsi="Arial Narrow" w:cs="Calibri"/>
                <w:color w:val="000000"/>
                <w:sz w:val="20"/>
                <w:szCs w:val="20"/>
              </w:rPr>
            </w:pPr>
            <w:r w:rsidRPr="00D41179">
              <w:rPr>
                <w:rFonts w:ascii="Arial Narrow" w:hAnsi="Arial Narrow" w:cs="Calibri"/>
                <w:color w:val="000000"/>
                <w:sz w:val="20"/>
                <w:szCs w:val="20"/>
              </w:rPr>
              <w:t>71.70 (49.03, 85.18)</w:t>
            </w:r>
          </w:p>
        </w:tc>
      </w:tr>
      <w:tr w:rsidR="00224E1A" w:rsidRPr="00D41179" w14:paraId="041DB016" w14:textId="77777777">
        <w:trPr>
          <w:trHeight w:val="170"/>
          <w:jc w:val="center"/>
        </w:trPr>
        <w:tc>
          <w:tcPr>
            <w:tcW w:w="235" w:type="pct"/>
            <w:vMerge/>
            <w:vAlign w:val="center"/>
            <w:hideMark/>
          </w:tcPr>
          <w:p w14:paraId="05A7E6BD" w14:textId="77777777" w:rsidR="00224E1A" w:rsidRPr="00D41179" w:rsidRDefault="00224E1A">
            <w:pPr>
              <w:jc w:val="left"/>
              <w:rPr>
                <w:rFonts w:ascii="Arial Narrow" w:hAnsi="Arial Narrow" w:cs="Calibri"/>
                <w:b/>
                <w:bCs/>
                <w:color w:val="000000"/>
                <w:sz w:val="20"/>
                <w:szCs w:val="20"/>
              </w:rPr>
            </w:pPr>
          </w:p>
        </w:tc>
        <w:tc>
          <w:tcPr>
            <w:tcW w:w="397" w:type="pct"/>
            <w:noWrap/>
            <w:vAlign w:val="center"/>
            <w:hideMark/>
          </w:tcPr>
          <w:p w14:paraId="154B9F01" w14:textId="77777777" w:rsidR="00224E1A" w:rsidRPr="00D41179" w:rsidRDefault="00224E1A">
            <w:pPr>
              <w:jc w:val="center"/>
              <w:rPr>
                <w:rFonts w:ascii="Arial Narrow" w:hAnsi="Arial Narrow" w:cs="Calibri"/>
                <w:color w:val="000000"/>
                <w:sz w:val="20"/>
                <w:szCs w:val="20"/>
              </w:rPr>
            </w:pPr>
            <w:r w:rsidRPr="00D41179">
              <w:rPr>
                <w:rFonts w:ascii="Arial Narrow" w:hAnsi="Arial Narrow" w:cs="Calibri"/>
                <w:color w:val="000000"/>
                <w:sz w:val="20"/>
                <w:szCs w:val="20"/>
              </w:rPr>
              <w:t>50-59</w:t>
            </w:r>
          </w:p>
        </w:tc>
        <w:tc>
          <w:tcPr>
            <w:tcW w:w="488" w:type="pct"/>
            <w:noWrap/>
            <w:vAlign w:val="center"/>
            <w:hideMark/>
          </w:tcPr>
          <w:p w14:paraId="111FA1A3" w14:textId="77777777" w:rsidR="00224E1A" w:rsidRPr="00D41179" w:rsidRDefault="00224E1A">
            <w:pPr>
              <w:jc w:val="center"/>
              <w:rPr>
                <w:rFonts w:ascii="Arial Narrow" w:hAnsi="Arial Narrow" w:cs="Calibri"/>
                <w:color w:val="000000"/>
                <w:sz w:val="20"/>
                <w:szCs w:val="20"/>
              </w:rPr>
            </w:pPr>
            <w:r w:rsidRPr="00D41179">
              <w:rPr>
                <w:rFonts w:ascii="Arial Narrow" w:eastAsia="Calibri" w:hAnsi="Arial Narrow" w:cs="Calibri"/>
                <w:color w:val="000000"/>
                <w:sz w:val="20"/>
                <w:szCs w:val="20"/>
              </w:rPr>
              <w:t>1,908</w:t>
            </w:r>
          </w:p>
        </w:tc>
        <w:tc>
          <w:tcPr>
            <w:tcW w:w="277" w:type="pct"/>
            <w:noWrap/>
            <w:vAlign w:val="center"/>
            <w:hideMark/>
          </w:tcPr>
          <w:p w14:paraId="0588AD81" w14:textId="77777777" w:rsidR="00224E1A" w:rsidRPr="00D41179" w:rsidRDefault="00224E1A">
            <w:pPr>
              <w:jc w:val="center"/>
              <w:rPr>
                <w:rFonts w:ascii="Arial Narrow" w:hAnsi="Arial Narrow" w:cs="Calibri"/>
                <w:color w:val="000000"/>
                <w:sz w:val="20"/>
                <w:szCs w:val="20"/>
              </w:rPr>
            </w:pPr>
            <w:r w:rsidRPr="00D41179">
              <w:rPr>
                <w:rFonts w:ascii="Arial Narrow" w:eastAsia="Calibri" w:hAnsi="Arial Narrow" w:cs="Calibri"/>
                <w:color w:val="000000"/>
                <w:sz w:val="20"/>
                <w:szCs w:val="20"/>
              </w:rPr>
              <w:t>0</w:t>
            </w:r>
          </w:p>
        </w:tc>
        <w:tc>
          <w:tcPr>
            <w:tcW w:w="486" w:type="pct"/>
            <w:noWrap/>
            <w:vAlign w:val="center"/>
            <w:hideMark/>
          </w:tcPr>
          <w:p w14:paraId="6774E5AF" w14:textId="77777777" w:rsidR="00224E1A" w:rsidRPr="00D41179" w:rsidRDefault="00224E1A">
            <w:pPr>
              <w:jc w:val="center"/>
              <w:rPr>
                <w:rFonts w:ascii="Arial Narrow" w:hAnsi="Arial Narrow" w:cs="Calibri"/>
                <w:color w:val="000000"/>
                <w:sz w:val="20"/>
                <w:szCs w:val="20"/>
              </w:rPr>
            </w:pPr>
            <w:r w:rsidRPr="00D41179">
              <w:rPr>
                <w:rFonts w:ascii="Arial Narrow" w:eastAsia="Calibri" w:hAnsi="Arial Narrow" w:cs="Calibri"/>
                <w:color w:val="000000"/>
                <w:sz w:val="20"/>
                <w:szCs w:val="20"/>
              </w:rPr>
              <w:t>1,895.2</w:t>
            </w:r>
          </w:p>
        </w:tc>
        <w:tc>
          <w:tcPr>
            <w:tcW w:w="493" w:type="pct"/>
            <w:noWrap/>
            <w:vAlign w:val="center"/>
            <w:hideMark/>
          </w:tcPr>
          <w:p w14:paraId="0A9C50C8" w14:textId="77777777" w:rsidR="00224E1A" w:rsidRPr="00D41179" w:rsidRDefault="00224E1A">
            <w:pPr>
              <w:jc w:val="center"/>
              <w:rPr>
                <w:rFonts w:ascii="Arial Narrow" w:hAnsi="Arial Narrow" w:cs="Calibri"/>
                <w:color w:val="000000"/>
                <w:sz w:val="20"/>
                <w:szCs w:val="20"/>
              </w:rPr>
            </w:pPr>
            <w:r w:rsidRPr="00D41179">
              <w:rPr>
                <w:rFonts w:ascii="Arial Narrow" w:eastAsia="Calibri" w:hAnsi="Arial Narrow" w:cs="Calibri"/>
                <w:color w:val="000000"/>
                <w:sz w:val="20"/>
                <w:szCs w:val="20"/>
              </w:rPr>
              <w:t>0.0</w:t>
            </w:r>
          </w:p>
        </w:tc>
        <w:tc>
          <w:tcPr>
            <w:tcW w:w="364" w:type="pct"/>
            <w:noWrap/>
            <w:vAlign w:val="center"/>
            <w:hideMark/>
          </w:tcPr>
          <w:p w14:paraId="29D3B2D8" w14:textId="77777777" w:rsidR="00224E1A" w:rsidRPr="00D41179" w:rsidRDefault="00224E1A">
            <w:pPr>
              <w:jc w:val="center"/>
              <w:rPr>
                <w:rFonts w:ascii="Arial Narrow" w:hAnsi="Arial Narrow" w:cs="Calibri"/>
                <w:color w:val="000000"/>
                <w:sz w:val="20"/>
                <w:szCs w:val="20"/>
              </w:rPr>
            </w:pPr>
            <w:r w:rsidRPr="00D41179">
              <w:rPr>
                <w:rFonts w:ascii="Arial Narrow" w:eastAsia="Calibri" w:hAnsi="Arial Narrow" w:cs="Calibri"/>
                <w:color w:val="000000"/>
                <w:sz w:val="20"/>
                <w:szCs w:val="20"/>
              </w:rPr>
              <w:t>1,908</w:t>
            </w:r>
          </w:p>
        </w:tc>
        <w:tc>
          <w:tcPr>
            <w:tcW w:w="276" w:type="pct"/>
            <w:noWrap/>
            <w:vAlign w:val="center"/>
            <w:hideMark/>
          </w:tcPr>
          <w:p w14:paraId="3980C60F" w14:textId="77777777" w:rsidR="00224E1A" w:rsidRPr="00D41179" w:rsidRDefault="00224E1A">
            <w:pPr>
              <w:jc w:val="center"/>
              <w:rPr>
                <w:rFonts w:ascii="Arial Narrow" w:hAnsi="Arial Narrow" w:cs="Calibri"/>
                <w:color w:val="000000"/>
                <w:sz w:val="20"/>
                <w:szCs w:val="20"/>
              </w:rPr>
            </w:pPr>
            <w:r w:rsidRPr="00D41179">
              <w:rPr>
                <w:rFonts w:ascii="Arial Narrow" w:eastAsia="Calibri" w:hAnsi="Arial Narrow" w:cs="Calibri"/>
                <w:color w:val="000000"/>
                <w:sz w:val="20"/>
                <w:szCs w:val="20"/>
              </w:rPr>
              <w:t>15</w:t>
            </w:r>
          </w:p>
        </w:tc>
        <w:tc>
          <w:tcPr>
            <w:tcW w:w="486" w:type="pct"/>
            <w:noWrap/>
            <w:vAlign w:val="center"/>
            <w:hideMark/>
          </w:tcPr>
          <w:p w14:paraId="1C3B1321" w14:textId="77777777" w:rsidR="00224E1A" w:rsidRPr="00D41179" w:rsidRDefault="00224E1A">
            <w:pPr>
              <w:jc w:val="center"/>
              <w:rPr>
                <w:rFonts w:ascii="Arial Narrow" w:hAnsi="Arial Narrow" w:cs="Calibri"/>
                <w:color w:val="000000"/>
                <w:sz w:val="20"/>
                <w:szCs w:val="20"/>
              </w:rPr>
            </w:pPr>
            <w:r w:rsidRPr="00D41179">
              <w:rPr>
                <w:rFonts w:ascii="Arial Narrow" w:eastAsia="Calibri" w:hAnsi="Arial Narrow" w:cs="Calibri"/>
                <w:color w:val="000000"/>
                <w:sz w:val="20"/>
                <w:szCs w:val="20"/>
              </w:rPr>
              <w:t>1,895.2</w:t>
            </w:r>
          </w:p>
        </w:tc>
        <w:tc>
          <w:tcPr>
            <w:tcW w:w="550" w:type="pct"/>
            <w:noWrap/>
            <w:vAlign w:val="center"/>
            <w:hideMark/>
          </w:tcPr>
          <w:p w14:paraId="21599F20" w14:textId="77777777" w:rsidR="00224E1A" w:rsidRPr="00D41179" w:rsidRDefault="00224E1A">
            <w:pPr>
              <w:jc w:val="center"/>
              <w:rPr>
                <w:rFonts w:ascii="Arial Narrow" w:hAnsi="Arial Narrow" w:cs="Calibri"/>
                <w:color w:val="000000"/>
                <w:sz w:val="20"/>
                <w:szCs w:val="20"/>
              </w:rPr>
            </w:pPr>
            <w:r w:rsidRPr="00D41179">
              <w:rPr>
                <w:rFonts w:ascii="Arial Narrow" w:eastAsia="Calibri" w:hAnsi="Arial Narrow" w:cs="Calibri"/>
                <w:color w:val="000000"/>
                <w:sz w:val="20"/>
                <w:szCs w:val="20"/>
              </w:rPr>
              <w:t>7.9</w:t>
            </w:r>
          </w:p>
        </w:tc>
        <w:tc>
          <w:tcPr>
            <w:tcW w:w="947" w:type="pct"/>
            <w:noWrap/>
            <w:vAlign w:val="center"/>
            <w:hideMark/>
          </w:tcPr>
          <w:p w14:paraId="063A42B4" w14:textId="77777777" w:rsidR="00224E1A" w:rsidRPr="00D41179" w:rsidRDefault="00224E1A">
            <w:pPr>
              <w:jc w:val="center"/>
              <w:rPr>
                <w:rFonts w:ascii="Arial Narrow" w:hAnsi="Arial Narrow" w:cs="Calibri"/>
                <w:color w:val="000000"/>
                <w:sz w:val="20"/>
                <w:szCs w:val="20"/>
              </w:rPr>
            </w:pPr>
            <w:r w:rsidRPr="00D41179">
              <w:rPr>
                <w:rFonts w:ascii="Arial Narrow" w:hAnsi="Arial Narrow" w:cs="Calibri"/>
                <w:color w:val="000000"/>
                <w:sz w:val="20"/>
                <w:szCs w:val="20"/>
              </w:rPr>
              <w:t>100 (77.89, 100)</w:t>
            </w:r>
          </w:p>
        </w:tc>
      </w:tr>
      <w:tr w:rsidR="00224E1A" w:rsidRPr="00D41179" w14:paraId="2D3AE292" w14:textId="77777777">
        <w:trPr>
          <w:trHeight w:val="170"/>
          <w:jc w:val="center"/>
        </w:trPr>
        <w:tc>
          <w:tcPr>
            <w:tcW w:w="235" w:type="pct"/>
            <w:vMerge/>
            <w:vAlign w:val="center"/>
            <w:hideMark/>
          </w:tcPr>
          <w:p w14:paraId="01F8F46B" w14:textId="77777777" w:rsidR="00224E1A" w:rsidRPr="00D41179" w:rsidRDefault="00224E1A">
            <w:pPr>
              <w:jc w:val="left"/>
              <w:rPr>
                <w:rFonts w:ascii="Arial Narrow" w:hAnsi="Arial Narrow" w:cs="Calibri"/>
                <w:b/>
                <w:bCs/>
                <w:color w:val="000000"/>
                <w:sz w:val="20"/>
                <w:szCs w:val="20"/>
              </w:rPr>
            </w:pPr>
          </w:p>
        </w:tc>
        <w:tc>
          <w:tcPr>
            <w:tcW w:w="397" w:type="pct"/>
            <w:noWrap/>
            <w:vAlign w:val="center"/>
            <w:hideMark/>
          </w:tcPr>
          <w:p w14:paraId="46C557BB" w14:textId="77777777" w:rsidR="00224E1A" w:rsidRPr="00D41179" w:rsidRDefault="00224E1A">
            <w:pPr>
              <w:jc w:val="center"/>
              <w:rPr>
                <w:rFonts w:ascii="Arial Narrow" w:hAnsi="Arial Narrow" w:cs="Calibri"/>
                <w:color w:val="000000"/>
                <w:sz w:val="20"/>
                <w:szCs w:val="20"/>
              </w:rPr>
            </w:pPr>
            <w:r w:rsidRPr="00D41179">
              <w:rPr>
                <w:rFonts w:ascii="Arial Narrow" w:hAnsi="Arial Narrow" w:cs="Calibri"/>
                <w:color w:val="000000"/>
                <w:sz w:val="20"/>
                <w:szCs w:val="20"/>
              </w:rPr>
              <w:t>60-69</w:t>
            </w:r>
          </w:p>
        </w:tc>
        <w:tc>
          <w:tcPr>
            <w:tcW w:w="488" w:type="pct"/>
            <w:noWrap/>
            <w:vAlign w:val="center"/>
            <w:hideMark/>
          </w:tcPr>
          <w:p w14:paraId="1BC376E2" w14:textId="77777777" w:rsidR="00224E1A" w:rsidRPr="00D41179" w:rsidRDefault="00224E1A">
            <w:pPr>
              <w:jc w:val="center"/>
              <w:rPr>
                <w:rFonts w:ascii="Arial Narrow" w:hAnsi="Arial Narrow" w:cs="Calibri"/>
                <w:color w:val="000000"/>
                <w:sz w:val="20"/>
                <w:szCs w:val="20"/>
              </w:rPr>
            </w:pPr>
            <w:r w:rsidRPr="00D41179">
              <w:rPr>
                <w:rFonts w:ascii="Arial Narrow" w:eastAsia="Calibri" w:hAnsi="Arial Narrow" w:cs="Calibri"/>
                <w:color w:val="000000"/>
                <w:sz w:val="20"/>
                <w:szCs w:val="20"/>
              </w:rPr>
              <w:t>1,122</w:t>
            </w:r>
          </w:p>
        </w:tc>
        <w:tc>
          <w:tcPr>
            <w:tcW w:w="277" w:type="pct"/>
            <w:noWrap/>
            <w:vAlign w:val="center"/>
            <w:hideMark/>
          </w:tcPr>
          <w:p w14:paraId="34B46D55" w14:textId="77777777" w:rsidR="00224E1A" w:rsidRPr="00D41179" w:rsidRDefault="00224E1A">
            <w:pPr>
              <w:jc w:val="center"/>
              <w:rPr>
                <w:rFonts w:ascii="Arial Narrow" w:hAnsi="Arial Narrow" w:cs="Calibri"/>
                <w:color w:val="000000"/>
                <w:sz w:val="20"/>
                <w:szCs w:val="20"/>
              </w:rPr>
            </w:pPr>
            <w:r w:rsidRPr="00D41179">
              <w:rPr>
                <w:rFonts w:ascii="Arial Narrow" w:eastAsia="Calibri" w:hAnsi="Arial Narrow" w:cs="Calibri"/>
                <w:color w:val="000000"/>
                <w:sz w:val="20"/>
                <w:szCs w:val="20"/>
              </w:rPr>
              <w:t>1</w:t>
            </w:r>
          </w:p>
        </w:tc>
        <w:tc>
          <w:tcPr>
            <w:tcW w:w="486" w:type="pct"/>
            <w:noWrap/>
            <w:vAlign w:val="center"/>
            <w:hideMark/>
          </w:tcPr>
          <w:p w14:paraId="08D31652" w14:textId="77777777" w:rsidR="00224E1A" w:rsidRPr="00D41179" w:rsidRDefault="00224E1A">
            <w:pPr>
              <w:jc w:val="center"/>
              <w:rPr>
                <w:rFonts w:ascii="Arial Narrow" w:hAnsi="Arial Narrow" w:cs="Calibri"/>
                <w:color w:val="000000"/>
                <w:sz w:val="20"/>
                <w:szCs w:val="20"/>
              </w:rPr>
            </w:pPr>
            <w:r w:rsidRPr="00D41179">
              <w:rPr>
                <w:rFonts w:ascii="Arial Narrow" w:eastAsia="Calibri" w:hAnsi="Arial Narrow" w:cs="Calibri"/>
                <w:color w:val="000000"/>
                <w:sz w:val="20"/>
                <w:szCs w:val="20"/>
              </w:rPr>
              <w:t>1,098.5</w:t>
            </w:r>
          </w:p>
        </w:tc>
        <w:tc>
          <w:tcPr>
            <w:tcW w:w="493" w:type="pct"/>
            <w:noWrap/>
            <w:vAlign w:val="center"/>
            <w:hideMark/>
          </w:tcPr>
          <w:p w14:paraId="250C035C" w14:textId="77777777" w:rsidR="00224E1A" w:rsidRPr="00D41179" w:rsidRDefault="00224E1A">
            <w:pPr>
              <w:jc w:val="center"/>
              <w:rPr>
                <w:rFonts w:ascii="Arial Narrow" w:hAnsi="Arial Narrow" w:cs="Calibri"/>
                <w:color w:val="000000"/>
                <w:sz w:val="20"/>
                <w:szCs w:val="20"/>
              </w:rPr>
            </w:pPr>
            <w:r w:rsidRPr="00D41179">
              <w:rPr>
                <w:rFonts w:ascii="Arial Narrow" w:eastAsia="Calibri" w:hAnsi="Arial Narrow" w:cs="Calibri"/>
                <w:color w:val="000000"/>
                <w:sz w:val="20"/>
                <w:szCs w:val="20"/>
              </w:rPr>
              <w:t>0.9</w:t>
            </w:r>
          </w:p>
        </w:tc>
        <w:tc>
          <w:tcPr>
            <w:tcW w:w="364" w:type="pct"/>
            <w:noWrap/>
            <w:vAlign w:val="center"/>
            <w:hideMark/>
          </w:tcPr>
          <w:p w14:paraId="58E9A368" w14:textId="77777777" w:rsidR="00224E1A" w:rsidRPr="00D41179" w:rsidRDefault="00224E1A">
            <w:pPr>
              <w:jc w:val="center"/>
              <w:rPr>
                <w:rFonts w:ascii="Arial Narrow" w:hAnsi="Arial Narrow" w:cs="Calibri"/>
                <w:color w:val="000000"/>
                <w:sz w:val="20"/>
                <w:szCs w:val="20"/>
              </w:rPr>
            </w:pPr>
            <w:r w:rsidRPr="00D41179">
              <w:rPr>
                <w:rFonts w:ascii="Arial Narrow" w:eastAsia="Calibri" w:hAnsi="Arial Narrow" w:cs="Calibri"/>
                <w:color w:val="000000"/>
                <w:sz w:val="20"/>
                <w:szCs w:val="20"/>
              </w:rPr>
              <w:t>1,122</w:t>
            </w:r>
          </w:p>
        </w:tc>
        <w:tc>
          <w:tcPr>
            <w:tcW w:w="276" w:type="pct"/>
            <w:noWrap/>
            <w:vAlign w:val="center"/>
            <w:hideMark/>
          </w:tcPr>
          <w:p w14:paraId="162EB575" w14:textId="77777777" w:rsidR="00224E1A" w:rsidRPr="00D41179" w:rsidRDefault="00224E1A">
            <w:pPr>
              <w:jc w:val="center"/>
              <w:rPr>
                <w:rFonts w:ascii="Arial Narrow" w:hAnsi="Arial Narrow" w:cs="Calibri"/>
                <w:color w:val="000000"/>
                <w:sz w:val="20"/>
                <w:szCs w:val="20"/>
              </w:rPr>
            </w:pPr>
            <w:r w:rsidRPr="00D41179">
              <w:rPr>
                <w:rFonts w:ascii="Arial Narrow" w:eastAsia="Calibri" w:hAnsi="Arial Narrow" w:cs="Calibri"/>
                <w:color w:val="000000"/>
                <w:sz w:val="20"/>
                <w:szCs w:val="20"/>
              </w:rPr>
              <w:t>10</w:t>
            </w:r>
          </w:p>
        </w:tc>
        <w:tc>
          <w:tcPr>
            <w:tcW w:w="486" w:type="pct"/>
            <w:noWrap/>
            <w:vAlign w:val="center"/>
            <w:hideMark/>
          </w:tcPr>
          <w:p w14:paraId="18F419D4" w14:textId="77777777" w:rsidR="00224E1A" w:rsidRPr="00D41179" w:rsidRDefault="00224E1A">
            <w:pPr>
              <w:jc w:val="center"/>
              <w:rPr>
                <w:rFonts w:ascii="Arial Narrow" w:hAnsi="Arial Narrow" w:cs="Calibri"/>
                <w:color w:val="000000"/>
                <w:sz w:val="20"/>
                <w:szCs w:val="20"/>
              </w:rPr>
            </w:pPr>
            <w:r w:rsidRPr="00D41179">
              <w:rPr>
                <w:rFonts w:ascii="Arial Narrow" w:eastAsia="Calibri" w:hAnsi="Arial Narrow" w:cs="Calibri"/>
                <w:color w:val="000000"/>
                <w:sz w:val="20"/>
                <w:szCs w:val="20"/>
              </w:rPr>
              <w:t>1,098.5</w:t>
            </w:r>
          </w:p>
        </w:tc>
        <w:tc>
          <w:tcPr>
            <w:tcW w:w="550" w:type="pct"/>
            <w:noWrap/>
            <w:vAlign w:val="center"/>
            <w:hideMark/>
          </w:tcPr>
          <w:p w14:paraId="678FA910" w14:textId="77777777" w:rsidR="00224E1A" w:rsidRPr="00D41179" w:rsidRDefault="00224E1A">
            <w:pPr>
              <w:jc w:val="center"/>
              <w:rPr>
                <w:rFonts w:ascii="Arial Narrow" w:hAnsi="Arial Narrow" w:cs="Calibri"/>
                <w:color w:val="000000"/>
                <w:sz w:val="20"/>
                <w:szCs w:val="20"/>
              </w:rPr>
            </w:pPr>
            <w:r w:rsidRPr="00D41179">
              <w:rPr>
                <w:rFonts w:ascii="Arial Narrow" w:eastAsia="Calibri" w:hAnsi="Arial Narrow" w:cs="Calibri"/>
                <w:color w:val="000000"/>
                <w:sz w:val="20"/>
                <w:szCs w:val="20"/>
              </w:rPr>
              <w:t>9.1</w:t>
            </w:r>
          </w:p>
        </w:tc>
        <w:tc>
          <w:tcPr>
            <w:tcW w:w="947" w:type="pct"/>
            <w:noWrap/>
            <w:vAlign w:val="center"/>
            <w:hideMark/>
          </w:tcPr>
          <w:p w14:paraId="0D55BCDB" w14:textId="77777777" w:rsidR="00224E1A" w:rsidRPr="00D41179" w:rsidRDefault="00224E1A">
            <w:pPr>
              <w:jc w:val="center"/>
              <w:rPr>
                <w:rFonts w:ascii="Arial Narrow" w:hAnsi="Arial Narrow" w:cs="Calibri"/>
                <w:color w:val="000000"/>
                <w:sz w:val="20"/>
                <w:szCs w:val="20"/>
              </w:rPr>
            </w:pPr>
            <w:r w:rsidRPr="00D41179">
              <w:rPr>
                <w:rFonts w:ascii="Arial Narrow" w:hAnsi="Arial Narrow" w:cs="Calibri"/>
                <w:color w:val="000000"/>
                <w:sz w:val="20"/>
                <w:szCs w:val="20"/>
              </w:rPr>
              <w:t>90.00 (29.71, 99.77)</w:t>
            </w:r>
          </w:p>
        </w:tc>
      </w:tr>
      <w:tr w:rsidR="00224E1A" w:rsidRPr="00D41179" w14:paraId="425D6F9C" w14:textId="77777777">
        <w:trPr>
          <w:trHeight w:val="170"/>
          <w:jc w:val="center"/>
        </w:trPr>
        <w:tc>
          <w:tcPr>
            <w:tcW w:w="235" w:type="pct"/>
            <w:vMerge/>
            <w:vAlign w:val="center"/>
            <w:hideMark/>
          </w:tcPr>
          <w:p w14:paraId="4712B9AE" w14:textId="77777777" w:rsidR="00224E1A" w:rsidRPr="00D41179" w:rsidRDefault="00224E1A">
            <w:pPr>
              <w:jc w:val="left"/>
              <w:rPr>
                <w:rFonts w:ascii="Arial Narrow" w:hAnsi="Arial Narrow" w:cs="Calibri"/>
                <w:b/>
                <w:bCs/>
                <w:color w:val="000000"/>
                <w:sz w:val="20"/>
                <w:szCs w:val="20"/>
              </w:rPr>
            </w:pPr>
          </w:p>
        </w:tc>
        <w:tc>
          <w:tcPr>
            <w:tcW w:w="397" w:type="pct"/>
            <w:noWrap/>
            <w:vAlign w:val="center"/>
            <w:hideMark/>
          </w:tcPr>
          <w:p w14:paraId="346A1C5B" w14:textId="77777777" w:rsidR="00224E1A" w:rsidRPr="00D41179" w:rsidRDefault="00224E1A">
            <w:pPr>
              <w:jc w:val="center"/>
              <w:rPr>
                <w:rFonts w:ascii="Arial Narrow" w:hAnsi="Arial Narrow" w:cs="Calibri"/>
                <w:color w:val="000000"/>
                <w:sz w:val="20"/>
                <w:szCs w:val="20"/>
              </w:rPr>
            </w:pPr>
            <w:r w:rsidRPr="00D41179">
              <w:rPr>
                <w:rFonts w:ascii="Arial Narrow" w:hAnsi="Arial Narrow" w:cs="Calibri"/>
                <w:color w:val="000000"/>
                <w:sz w:val="20"/>
                <w:szCs w:val="20"/>
              </w:rPr>
              <w:t>≥70</w:t>
            </w:r>
          </w:p>
        </w:tc>
        <w:tc>
          <w:tcPr>
            <w:tcW w:w="488" w:type="pct"/>
            <w:noWrap/>
            <w:vAlign w:val="center"/>
            <w:hideMark/>
          </w:tcPr>
          <w:p w14:paraId="65CEA839" w14:textId="77777777" w:rsidR="00224E1A" w:rsidRPr="00D41179" w:rsidRDefault="00224E1A">
            <w:pPr>
              <w:jc w:val="center"/>
              <w:rPr>
                <w:rFonts w:ascii="Arial Narrow" w:hAnsi="Arial Narrow" w:cs="Calibri"/>
                <w:color w:val="000000"/>
                <w:sz w:val="20"/>
                <w:szCs w:val="20"/>
              </w:rPr>
            </w:pPr>
            <w:r w:rsidRPr="00D41179">
              <w:rPr>
                <w:rFonts w:ascii="Arial Narrow" w:eastAsia="Calibri" w:hAnsi="Arial Narrow" w:cs="Calibri"/>
                <w:color w:val="000000"/>
                <w:sz w:val="20"/>
                <w:szCs w:val="20"/>
              </w:rPr>
              <w:t>3,209</w:t>
            </w:r>
          </w:p>
        </w:tc>
        <w:tc>
          <w:tcPr>
            <w:tcW w:w="277" w:type="pct"/>
            <w:noWrap/>
            <w:vAlign w:val="center"/>
            <w:hideMark/>
          </w:tcPr>
          <w:p w14:paraId="44187264" w14:textId="77777777" w:rsidR="00224E1A" w:rsidRPr="00D41179" w:rsidRDefault="00224E1A">
            <w:pPr>
              <w:jc w:val="center"/>
              <w:rPr>
                <w:rFonts w:ascii="Arial Narrow" w:hAnsi="Arial Narrow" w:cs="Calibri"/>
                <w:color w:val="000000"/>
                <w:sz w:val="20"/>
                <w:szCs w:val="20"/>
              </w:rPr>
            </w:pPr>
            <w:r w:rsidRPr="00D41179">
              <w:rPr>
                <w:rFonts w:ascii="Arial Narrow" w:eastAsia="Calibri" w:hAnsi="Arial Narrow" w:cs="Calibri"/>
                <w:color w:val="000000"/>
                <w:sz w:val="20"/>
                <w:szCs w:val="20"/>
              </w:rPr>
              <w:t>14</w:t>
            </w:r>
          </w:p>
        </w:tc>
        <w:tc>
          <w:tcPr>
            <w:tcW w:w="486" w:type="pct"/>
            <w:noWrap/>
            <w:vAlign w:val="center"/>
            <w:hideMark/>
          </w:tcPr>
          <w:p w14:paraId="78E93E71" w14:textId="77777777" w:rsidR="00224E1A" w:rsidRPr="00D41179" w:rsidRDefault="00224E1A">
            <w:pPr>
              <w:jc w:val="center"/>
              <w:rPr>
                <w:rFonts w:ascii="Arial Narrow" w:hAnsi="Arial Narrow" w:cs="Calibri"/>
                <w:color w:val="000000"/>
                <w:sz w:val="20"/>
                <w:szCs w:val="20"/>
              </w:rPr>
            </w:pPr>
            <w:r w:rsidRPr="00D41179">
              <w:rPr>
                <w:rFonts w:ascii="Arial Narrow" w:eastAsia="Calibri" w:hAnsi="Arial Narrow" w:cs="Calibri"/>
                <w:color w:val="000000"/>
                <w:sz w:val="20"/>
                <w:szCs w:val="20"/>
              </w:rPr>
              <w:t>3,040.6</w:t>
            </w:r>
          </w:p>
        </w:tc>
        <w:tc>
          <w:tcPr>
            <w:tcW w:w="493" w:type="pct"/>
            <w:noWrap/>
            <w:vAlign w:val="center"/>
            <w:hideMark/>
          </w:tcPr>
          <w:p w14:paraId="270D6645" w14:textId="77777777" w:rsidR="00224E1A" w:rsidRPr="00D41179" w:rsidRDefault="00224E1A">
            <w:pPr>
              <w:jc w:val="center"/>
              <w:rPr>
                <w:rFonts w:ascii="Arial Narrow" w:hAnsi="Arial Narrow" w:cs="Calibri"/>
                <w:color w:val="000000"/>
                <w:sz w:val="20"/>
                <w:szCs w:val="20"/>
              </w:rPr>
            </w:pPr>
            <w:r w:rsidRPr="00D41179">
              <w:rPr>
                <w:rFonts w:ascii="Arial Narrow" w:eastAsia="Calibri" w:hAnsi="Arial Narrow" w:cs="Calibri"/>
                <w:color w:val="000000"/>
                <w:sz w:val="20"/>
                <w:szCs w:val="20"/>
              </w:rPr>
              <w:t>4.6</w:t>
            </w:r>
          </w:p>
        </w:tc>
        <w:tc>
          <w:tcPr>
            <w:tcW w:w="364" w:type="pct"/>
            <w:noWrap/>
            <w:vAlign w:val="center"/>
            <w:hideMark/>
          </w:tcPr>
          <w:p w14:paraId="48192A3A" w14:textId="77777777" w:rsidR="00224E1A" w:rsidRPr="00D41179" w:rsidRDefault="00224E1A">
            <w:pPr>
              <w:jc w:val="center"/>
              <w:rPr>
                <w:rFonts w:ascii="Arial Narrow" w:hAnsi="Arial Narrow" w:cs="Calibri"/>
                <w:color w:val="000000"/>
                <w:sz w:val="20"/>
                <w:szCs w:val="20"/>
              </w:rPr>
            </w:pPr>
            <w:r w:rsidRPr="00D41179">
              <w:rPr>
                <w:rFonts w:ascii="Arial Narrow" w:eastAsia="Calibri" w:hAnsi="Arial Narrow" w:cs="Calibri"/>
                <w:color w:val="000000"/>
                <w:sz w:val="20"/>
                <w:szCs w:val="20"/>
              </w:rPr>
              <w:t>3,209</w:t>
            </w:r>
          </w:p>
        </w:tc>
        <w:tc>
          <w:tcPr>
            <w:tcW w:w="276" w:type="pct"/>
            <w:noWrap/>
            <w:vAlign w:val="center"/>
            <w:hideMark/>
          </w:tcPr>
          <w:p w14:paraId="0875BFA7" w14:textId="77777777" w:rsidR="00224E1A" w:rsidRPr="00D41179" w:rsidRDefault="00224E1A">
            <w:pPr>
              <w:jc w:val="center"/>
              <w:rPr>
                <w:rFonts w:ascii="Arial Narrow" w:hAnsi="Arial Narrow" w:cs="Calibri"/>
                <w:color w:val="000000"/>
                <w:sz w:val="20"/>
                <w:szCs w:val="20"/>
              </w:rPr>
            </w:pPr>
            <w:r w:rsidRPr="00D41179">
              <w:rPr>
                <w:rFonts w:ascii="Arial Narrow" w:eastAsia="Calibri" w:hAnsi="Arial Narrow" w:cs="Calibri"/>
                <w:color w:val="000000"/>
                <w:sz w:val="20"/>
                <w:szCs w:val="20"/>
              </w:rPr>
              <w:t>27</w:t>
            </w:r>
          </w:p>
        </w:tc>
        <w:tc>
          <w:tcPr>
            <w:tcW w:w="486" w:type="pct"/>
            <w:noWrap/>
            <w:vAlign w:val="center"/>
            <w:hideMark/>
          </w:tcPr>
          <w:p w14:paraId="28460F35" w14:textId="77777777" w:rsidR="00224E1A" w:rsidRPr="00D41179" w:rsidRDefault="00224E1A">
            <w:pPr>
              <w:jc w:val="center"/>
              <w:rPr>
                <w:rFonts w:ascii="Arial Narrow" w:hAnsi="Arial Narrow" w:cs="Calibri"/>
                <w:color w:val="000000"/>
                <w:sz w:val="20"/>
                <w:szCs w:val="20"/>
              </w:rPr>
            </w:pPr>
            <w:r w:rsidRPr="00D41179">
              <w:rPr>
                <w:rFonts w:ascii="Arial Narrow" w:eastAsia="Calibri" w:hAnsi="Arial Narrow" w:cs="Calibri"/>
                <w:color w:val="000000"/>
                <w:sz w:val="20"/>
                <w:szCs w:val="20"/>
              </w:rPr>
              <w:t>3,040.6</w:t>
            </w:r>
          </w:p>
        </w:tc>
        <w:tc>
          <w:tcPr>
            <w:tcW w:w="550" w:type="pct"/>
            <w:noWrap/>
            <w:vAlign w:val="center"/>
            <w:hideMark/>
          </w:tcPr>
          <w:p w14:paraId="22C23E2C" w14:textId="77777777" w:rsidR="00224E1A" w:rsidRPr="00D41179" w:rsidRDefault="00224E1A">
            <w:pPr>
              <w:jc w:val="center"/>
              <w:rPr>
                <w:rFonts w:ascii="Arial Narrow" w:hAnsi="Arial Narrow" w:cs="Calibri"/>
                <w:color w:val="000000"/>
                <w:sz w:val="20"/>
                <w:szCs w:val="20"/>
              </w:rPr>
            </w:pPr>
            <w:r w:rsidRPr="00D41179">
              <w:rPr>
                <w:rFonts w:ascii="Arial Narrow" w:eastAsia="Calibri" w:hAnsi="Arial Narrow" w:cs="Calibri"/>
                <w:color w:val="000000"/>
                <w:sz w:val="20"/>
                <w:szCs w:val="20"/>
              </w:rPr>
              <w:t>8.9</w:t>
            </w:r>
          </w:p>
        </w:tc>
        <w:tc>
          <w:tcPr>
            <w:tcW w:w="947" w:type="pct"/>
            <w:noWrap/>
            <w:vAlign w:val="center"/>
            <w:hideMark/>
          </w:tcPr>
          <w:p w14:paraId="10D7D044" w14:textId="77777777" w:rsidR="00224E1A" w:rsidRPr="00D41179" w:rsidRDefault="00224E1A">
            <w:pPr>
              <w:jc w:val="center"/>
              <w:rPr>
                <w:rFonts w:ascii="Arial Narrow" w:hAnsi="Arial Narrow" w:cs="Calibri"/>
                <w:color w:val="000000"/>
                <w:sz w:val="20"/>
                <w:szCs w:val="20"/>
              </w:rPr>
            </w:pPr>
            <w:r w:rsidRPr="00D41179">
              <w:rPr>
                <w:rFonts w:ascii="Arial Narrow" w:hAnsi="Arial Narrow" w:cs="Calibri"/>
                <w:color w:val="000000"/>
                <w:sz w:val="20"/>
                <w:szCs w:val="20"/>
              </w:rPr>
              <w:t>48.15 (-2.41, 74.87)</w:t>
            </w:r>
          </w:p>
        </w:tc>
      </w:tr>
      <w:tr w:rsidR="00224E1A" w:rsidRPr="00D41179" w14:paraId="7925AAB1" w14:textId="77777777">
        <w:trPr>
          <w:trHeight w:val="170"/>
          <w:jc w:val="center"/>
        </w:trPr>
        <w:tc>
          <w:tcPr>
            <w:tcW w:w="235" w:type="pct"/>
            <w:vMerge w:val="restart"/>
            <w:noWrap/>
            <w:vAlign w:val="center"/>
            <w:hideMark/>
          </w:tcPr>
          <w:p w14:paraId="158F8246" w14:textId="77777777" w:rsidR="00224E1A" w:rsidRPr="00D41179" w:rsidRDefault="00224E1A">
            <w:pPr>
              <w:jc w:val="left"/>
              <w:rPr>
                <w:rFonts w:ascii="Arial Narrow" w:hAnsi="Arial Narrow" w:cs="Calibri"/>
                <w:b/>
                <w:bCs/>
                <w:color w:val="000000"/>
                <w:sz w:val="20"/>
                <w:szCs w:val="20"/>
              </w:rPr>
            </w:pPr>
            <w:r w:rsidRPr="00D41179">
              <w:rPr>
                <w:rFonts w:ascii="Arial Narrow" w:hAnsi="Arial Narrow" w:cs="Calibri"/>
                <w:b/>
                <w:bCs/>
                <w:color w:val="000000"/>
                <w:sz w:val="20"/>
                <w:szCs w:val="20"/>
              </w:rPr>
              <w:t>Y 11</w:t>
            </w:r>
          </w:p>
        </w:tc>
        <w:tc>
          <w:tcPr>
            <w:tcW w:w="397" w:type="pct"/>
            <w:noWrap/>
            <w:vAlign w:val="center"/>
            <w:hideMark/>
          </w:tcPr>
          <w:p w14:paraId="3D857FA9" w14:textId="77777777" w:rsidR="00224E1A" w:rsidRPr="00D41179" w:rsidRDefault="00224E1A">
            <w:pPr>
              <w:jc w:val="center"/>
              <w:rPr>
                <w:rFonts w:ascii="Arial Narrow" w:hAnsi="Arial Narrow" w:cs="Calibri"/>
                <w:color w:val="000000"/>
                <w:sz w:val="20"/>
                <w:szCs w:val="20"/>
              </w:rPr>
            </w:pPr>
            <w:r w:rsidRPr="00D41179">
              <w:rPr>
                <w:rFonts w:ascii="Arial Narrow" w:hAnsi="Arial Narrow" w:cs="Calibri"/>
                <w:color w:val="000000"/>
                <w:sz w:val="20"/>
                <w:szCs w:val="20"/>
              </w:rPr>
              <w:t>Overall</w:t>
            </w:r>
          </w:p>
        </w:tc>
        <w:tc>
          <w:tcPr>
            <w:tcW w:w="488" w:type="pct"/>
            <w:noWrap/>
            <w:vAlign w:val="center"/>
            <w:hideMark/>
          </w:tcPr>
          <w:p w14:paraId="457F5421" w14:textId="77777777" w:rsidR="00224E1A" w:rsidRPr="00D41179" w:rsidRDefault="00224E1A">
            <w:pPr>
              <w:jc w:val="center"/>
              <w:rPr>
                <w:rFonts w:ascii="Arial Narrow" w:hAnsi="Arial Narrow" w:cs="Calibri"/>
                <w:color w:val="000000"/>
                <w:sz w:val="20"/>
                <w:szCs w:val="20"/>
              </w:rPr>
            </w:pPr>
            <w:r w:rsidRPr="00D41179">
              <w:rPr>
                <w:rFonts w:ascii="Arial Narrow" w:eastAsia="Calibri" w:hAnsi="Arial Narrow" w:cs="Calibri"/>
                <w:color w:val="000000"/>
                <w:sz w:val="20"/>
                <w:szCs w:val="20"/>
              </w:rPr>
              <w:t>5,849 (80.6%)</w:t>
            </w:r>
          </w:p>
        </w:tc>
        <w:tc>
          <w:tcPr>
            <w:tcW w:w="277" w:type="pct"/>
            <w:noWrap/>
            <w:vAlign w:val="center"/>
            <w:hideMark/>
          </w:tcPr>
          <w:p w14:paraId="40CB58BE" w14:textId="77777777" w:rsidR="00224E1A" w:rsidRPr="00D41179" w:rsidRDefault="00224E1A">
            <w:pPr>
              <w:jc w:val="center"/>
              <w:rPr>
                <w:rFonts w:ascii="Arial Narrow" w:hAnsi="Arial Narrow" w:cs="Calibri"/>
                <w:color w:val="000000"/>
                <w:sz w:val="20"/>
                <w:szCs w:val="20"/>
              </w:rPr>
            </w:pPr>
            <w:r w:rsidRPr="00D41179">
              <w:rPr>
                <w:rFonts w:ascii="Arial Narrow" w:eastAsia="Calibri" w:hAnsi="Arial Narrow" w:cs="Calibri"/>
                <w:color w:val="000000"/>
                <w:sz w:val="20"/>
                <w:szCs w:val="20"/>
              </w:rPr>
              <w:t>9</w:t>
            </w:r>
          </w:p>
        </w:tc>
        <w:tc>
          <w:tcPr>
            <w:tcW w:w="486" w:type="pct"/>
            <w:noWrap/>
            <w:vAlign w:val="center"/>
            <w:hideMark/>
          </w:tcPr>
          <w:p w14:paraId="54185A4C" w14:textId="77777777" w:rsidR="00224E1A" w:rsidRPr="00D41179" w:rsidRDefault="00224E1A">
            <w:pPr>
              <w:jc w:val="center"/>
              <w:rPr>
                <w:rFonts w:ascii="Arial Narrow" w:hAnsi="Arial Narrow" w:cs="Calibri"/>
                <w:color w:val="000000"/>
                <w:sz w:val="20"/>
                <w:szCs w:val="20"/>
              </w:rPr>
            </w:pPr>
            <w:r w:rsidRPr="00D41179">
              <w:rPr>
                <w:rFonts w:ascii="Arial Narrow" w:eastAsia="Calibri" w:hAnsi="Arial Narrow" w:cs="Calibri"/>
                <w:color w:val="000000"/>
                <w:sz w:val="20"/>
                <w:szCs w:val="20"/>
              </w:rPr>
              <w:t>5,697.7</w:t>
            </w:r>
          </w:p>
        </w:tc>
        <w:tc>
          <w:tcPr>
            <w:tcW w:w="493" w:type="pct"/>
            <w:noWrap/>
            <w:vAlign w:val="center"/>
            <w:hideMark/>
          </w:tcPr>
          <w:p w14:paraId="454CF751" w14:textId="77777777" w:rsidR="00224E1A" w:rsidRPr="00D41179" w:rsidRDefault="00224E1A">
            <w:pPr>
              <w:jc w:val="center"/>
              <w:rPr>
                <w:rFonts w:ascii="Arial Narrow" w:hAnsi="Arial Narrow" w:cs="Calibri"/>
                <w:color w:val="000000"/>
                <w:sz w:val="20"/>
                <w:szCs w:val="20"/>
              </w:rPr>
            </w:pPr>
            <w:r w:rsidRPr="00D41179">
              <w:rPr>
                <w:rFonts w:ascii="Arial Narrow" w:eastAsia="Calibri" w:hAnsi="Arial Narrow" w:cs="Calibri"/>
                <w:color w:val="000000"/>
                <w:sz w:val="20"/>
                <w:szCs w:val="20"/>
              </w:rPr>
              <w:t>1.6</w:t>
            </w:r>
          </w:p>
        </w:tc>
        <w:tc>
          <w:tcPr>
            <w:tcW w:w="364" w:type="pct"/>
            <w:noWrap/>
            <w:vAlign w:val="center"/>
            <w:hideMark/>
          </w:tcPr>
          <w:p w14:paraId="34B8B2DF" w14:textId="77777777" w:rsidR="00224E1A" w:rsidRPr="00D41179" w:rsidRDefault="00224E1A">
            <w:pPr>
              <w:jc w:val="center"/>
              <w:rPr>
                <w:rFonts w:ascii="Arial Narrow" w:hAnsi="Arial Narrow" w:cs="Calibri"/>
                <w:color w:val="000000"/>
                <w:sz w:val="20"/>
                <w:szCs w:val="20"/>
              </w:rPr>
            </w:pPr>
            <w:r w:rsidRPr="00D41179">
              <w:rPr>
                <w:rFonts w:ascii="Arial Narrow" w:eastAsia="Calibri" w:hAnsi="Arial Narrow" w:cs="Calibri"/>
                <w:color w:val="000000"/>
                <w:sz w:val="20"/>
                <w:szCs w:val="20"/>
              </w:rPr>
              <w:t>5,849</w:t>
            </w:r>
          </w:p>
        </w:tc>
        <w:tc>
          <w:tcPr>
            <w:tcW w:w="276" w:type="pct"/>
            <w:noWrap/>
            <w:vAlign w:val="center"/>
            <w:hideMark/>
          </w:tcPr>
          <w:p w14:paraId="2CB2E3B0" w14:textId="77777777" w:rsidR="00224E1A" w:rsidRPr="00D41179" w:rsidRDefault="00224E1A">
            <w:pPr>
              <w:jc w:val="center"/>
              <w:rPr>
                <w:rFonts w:ascii="Arial Narrow" w:hAnsi="Arial Narrow" w:cs="Calibri"/>
                <w:color w:val="000000"/>
                <w:sz w:val="20"/>
                <w:szCs w:val="20"/>
              </w:rPr>
            </w:pPr>
            <w:r w:rsidRPr="00D41179">
              <w:rPr>
                <w:rFonts w:ascii="Arial Narrow" w:eastAsia="Calibri" w:hAnsi="Arial Narrow" w:cs="Calibri"/>
                <w:color w:val="000000"/>
                <w:sz w:val="20"/>
                <w:szCs w:val="20"/>
              </w:rPr>
              <w:t>50</w:t>
            </w:r>
          </w:p>
        </w:tc>
        <w:tc>
          <w:tcPr>
            <w:tcW w:w="486" w:type="pct"/>
            <w:noWrap/>
            <w:vAlign w:val="center"/>
            <w:hideMark/>
          </w:tcPr>
          <w:p w14:paraId="65D5A622" w14:textId="77777777" w:rsidR="00224E1A" w:rsidRPr="00D41179" w:rsidRDefault="00224E1A">
            <w:pPr>
              <w:jc w:val="center"/>
              <w:rPr>
                <w:rFonts w:ascii="Arial Narrow" w:hAnsi="Arial Narrow" w:cs="Calibri"/>
                <w:color w:val="000000"/>
                <w:sz w:val="20"/>
                <w:szCs w:val="20"/>
              </w:rPr>
            </w:pPr>
            <w:r w:rsidRPr="00D41179">
              <w:rPr>
                <w:rFonts w:ascii="Arial Narrow" w:eastAsia="Calibri" w:hAnsi="Arial Narrow" w:cs="Calibri"/>
                <w:color w:val="000000"/>
                <w:sz w:val="20"/>
                <w:szCs w:val="20"/>
              </w:rPr>
              <w:t>5,697.7</w:t>
            </w:r>
          </w:p>
        </w:tc>
        <w:tc>
          <w:tcPr>
            <w:tcW w:w="550" w:type="pct"/>
            <w:noWrap/>
            <w:vAlign w:val="center"/>
            <w:hideMark/>
          </w:tcPr>
          <w:p w14:paraId="50536654" w14:textId="77777777" w:rsidR="00224E1A" w:rsidRPr="00D41179" w:rsidRDefault="00224E1A">
            <w:pPr>
              <w:jc w:val="center"/>
              <w:rPr>
                <w:rFonts w:ascii="Arial Narrow" w:hAnsi="Arial Narrow" w:cs="Calibri"/>
                <w:color w:val="000000"/>
                <w:sz w:val="20"/>
                <w:szCs w:val="20"/>
              </w:rPr>
            </w:pPr>
            <w:r w:rsidRPr="00D41179">
              <w:rPr>
                <w:rFonts w:ascii="Arial Narrow" w:eastAsia="Calibri" w:hAnsi="Arial Narrow" w:cs="Calibri"/>
                <w:color w:val="000000"/>
                <w:sz w:val="20"/>
                <w:szCs w:val="20"/>
              </w:rPr>
              <w:t>8.8</w:t>
            </w:r>
          </w:p>
        </w:tc>
        <w:tc>
          <w:tcPr>
            <w:tcW w:w="947" w:type="pct"/>
            <w:noWrap/>
            <w:vAlign w:val="center"/>
            <w:hideMark/>
          </w:tcPr>
          <w:p w14:paraId="2A8987A6" w14:textId="77777777" w:rsidR="00224E1A" w:rsidRPr="00D41179" w:rsidRDefault="00224E1A">
            <w:pPr>
              <w:jc w:val="center"/>
              <w:rPr>
                <w:rFonts w:ascii="Arial Narrow" w:hAnsi="Arial Narrow" w:cs="Calibri"/>
                <w:color w:val="000000"/>
                <w:sz w:val="20"/>
                <w:szCs w:val="20"/>
              </w:rPr>
            </w:pPr>
            <w:r w:rsidRPr="00D41179">
              <w:rPr>
                <w:rFonts w:ascii="Arial Narrow" w:hAnsi="Arial Narrow" w:cs="Calibri"/>
                <w:color w:val="000000"/>
                <w:sz w:val="20"/>
                <w:szCs w:val="20"/>
              </w:rPr>
              <w:t>82.00 (63.03, 92.22)</w:t>
            </w:r>
          </w:p>
        </w:tc>
      </w:tr>
      <w:tr w:rsidR="00224E1A" w:rsidRPr="00D41179" w14:paraId="2DBBAA11" w14:textId="77777777">
        <w:trPr>
          <w:trHeight w:val="170"/>
          <w:jc w:val="center"/>
        </w:trPr>
        <w:tc>
          <w:tcPr>
            <w:tcW w:w="235" w:type="pct"/>
            <w:vMerge/>
            <w:vAlign w:val="center"/>
            <w:hideMark/>
          </w:tcPr>
          <w:p w14:paraId="35123BC4" w14:textId="77777777" w:rsidR="00224E1A" w:rsidRPr="00D41179" w:rsidRDefault="00224E1A">
            <w:pPr>
              <w:jc w:val="left"/>
              <w:rPr>
                <w:rFonts w:ascii="Arial Narrow" w:hAnsi="Arial Narrow" w:cs="Calibri"/>
                <w:color w:val="000000"/>
                <w:sz w:val="20"/>
                <w:szCs w:val="20"/>
              </w:rPr>
            </w:pPr>
          </w:p>
        </w:tc>
        <w:tc>
          <w:tcPr>
            <w:tcW w:w="397" w:type="pct"/>
            <w:noWrap/>
            <w:vAlign w:val="center"/>
            <w:hideMark/>
          </w:tcPr>
          <w:p w14:paraId="178BA499" w14:textId="77777777" w:rsidR="00224E1A" w:rsidRPr="00D41179" w:rsidRDefault="00224E1A">
            <w:pPr>
              <w:jc w:val="center"/>
              <w:rPr>
                <w:rFonts w:ascii="Arial Narrow" w:hAnsi="Arial Narrow" w:cs="Calibri"/>
                <w:color w:val="000000"/>
                <w:sz w:val="20"/>
                <w:szCs w:val="20"/>
              </w:rPr>
            </w:pPr>
            <w:r w:rsidRPr="00D41179">
              <w:rPr>
                <w:rFonts w:ascii="Arial Narrow" w:hAnsi="Arial Narrow" w:cs="Calibri"/>
                <w:color w:val="000000"/>
                <w:sz w:val="20"/>
                <w:szCs w:val="20"/>
              </w:rPr>
              <w:t>50-59</w:t>
            </w:r>
          </w:p>
        </w:tc>
        <w:tc>
          <w:tcPr>
            <w:tcW w:w="488" w:type="pct"/>
            <w:noWrap/>
            <w:vAlign w:val="center"/>
            <w:hideMark/>
          </w:tcPr>
          <w:p w14:paraId="6336459D" w14:textId="77777777" w:rsidR="00224E1A" w:rsidRPr="00D41179" w:rsidRDefault="00224E1A">
            <w:pPr>
              <w:jc w:val="center"/>
              <w:rPr>
                <w:rFonts w:ascii="Arial Narrow" w:hAnsi="Arial Narrow" w:cs="Calibri"/>
                <w:color w:val="000000"/>
                <w:sz w:val="20"/>
                <w:szCs w:val="20"/>
              </w:rPr>
            </w:pPr>
            <w:r w:rsidRPr="00D41179">
              <w:rPr>
                <w:rFonts w:ascii="Arial Narrow" w:eastAsia="Calibri" w:hAnsi="Arial Narrow" w:cs="Calibri"/>
                <w:color w:val="000000"/>
                <w:sz w:val="20"/>
                <w:szCs w:val="20"/>
              </w:rPr>
              <w:t>1,883</w:t>
            </w:r>
          </w:p>
        </w:tc>
        <w:tc>
          <w:tcPr>
            <w:tcW w:w="277" w:type="pct"/>
            <w:noWrap/>
            <w:vAlign w:val="center"/>
            <w:hideMark/>
          </w:tcPr>
          <w:p w14:paraId="3419958B" w14:textId="77777777" w:rsidR="00224E1A" w:rsidRPr="00D41179" w:rsidRDefault="00224E1A">
            <w:pPr>
              <w:jc w:val="center"/>
              <w:rPr>
                <w:rFonts w:ascii="Arial Narrow" w:hAnsi="Arial Narrow" w:cs="Calibri"/>
                <w:color w:val="000000"/>
                <w:sz w:val="20"/>
                <w:szCs w:val="20"/>
              </w:rPr>
            </w:pPr>
            <w:r w:rsidRPr="00D41179">
              <w:rPr>
                <w:rFonts w:ascii="Arial Narrow" w:eastAsia="Calibri" w:hAnsi="Arial Narrow" w:cs="Calibri"/>
                <w:color w:val="000000"/>
                <w:sz w:val="20"/>
                <w:szCs w:val="20"/>
              </w:rPr>
              <w:t>2</w:t>
            </w:r>
          </w:p>
        </w:tc>
        <w:tc>
          <w:tcPr>
            <w:tcW w:w="486" w:type="pct"/>
            <w:noWrap/>
            <w:vAlign w:val="center"/>
            <w:hideMark/>
          </w:tcPr>
          <w:p w14:paraId="548AB27D" w14:textId="77777777" w:rsidR="00224E1A" w:rsidRPr="00D41179" w:rsidRDefault="00224E1A">
            <w:pPr>
              <w:jc w:val="center"/>
              <w:rPr>
                <w:rFonts w:ascii="Arial Narrow" w:hAnsi="Arial Narrow" w:cs="Calibri"/>
                <w:color w:val="000000"/>
                <w:sz w:val="20"/>
                <w:szCs w:val="20"/>
              </w:rPr>
            </w:pPr>
            <w:r w:rsidRPr="00D41179">
              <w:rPr>
                <w:rFonts w:ascii="Arial Narrow" w:eastAsia="Calibri" w:hAnsi="Arial Narrow" w:cs="Calibri"/>
                <w:color w:val="000000"/>
                <w:sz w:val="20"/>
                <w:szCs w:val="20"/>
              </w:rPr>
              <w:t>1,867.1</w:t>
            </w:r>
          </w:p>
        </w:tc>
        <w:tc>
          <w:tcPr>
            <w:tcW w:w="493" w:type="pct"/>
            <w:noWrap/>
            <w:vAlign w:val="center"/>
            <w:hideMark/>
          </w:tcPr>
          <w:p w14:paraId="67EE39B4" w14:textId="77777777" w:rsidR="00224E1A" w:rsidRPr="00D41179" w:rsidRDefault="00224E1A">
            <w:pPr>
              <w:jc w:val="center"/>
              <w:rPr>
                <w:rFonts w:ascii="Arial Narrow" w:hAnsi="Arial Narrow" w:cs="Calibri"/>
                <w:color w:val="000000"/>
                <w:sz w:val="20"/>
                <w:szCs w:val="20"/>
              </w:rPr>
            </w:pPr>
            <w:r w:rsidRPr="00D41179">
              <w:rPr>
                <w:rFonts w:ascii="Arial Narrow" w:eastAsia="Calibri" w:hAnsi="Arial Narrow" w:cs="Calibri"/>
                <w:color w:val="000000"/>
                <w:sz w:val="20"/>
                <w:szCs w:val="20"/>
              </w:rPr>
              <w:t>1.1</w:t>
            </w:r>
          </w:p>
        </w:tc>
        <w:tc>
          <w:tcPr>
            <w:tcW w:w="364" w:type="pct"/>
            <w:noWrap/>
            <w:vAlign w:val="center"/>
            <w:hideMark/>
          </w:tcPr>
          <w:p w14:paraId="3928957E" w14:textId="77777777" w:rsidR="00224E1A" w:rsidRPr="00D41179" w:rsidRDefault="00224E1A">
            <w:pPr>
              <w:jc w:val="center"/>
              <w:rPr>
                <w:rFonts w:ascii="Arial Narrow" w:hAnsi="Arial Narrow" w:cs="Calibri"/>
                <w:color w:val="000000"/>
                <w:sz w:val="20"/>
                <w:szCs w:val="20"/>
              </w:rPr>
            </w:pPr>
            <w:r w:rsidRPr="00D41179">
              <w:rPr>
                <w:rFonts w:ascii="Arial Narrow" w:eastAsia="Calibri" w:hAnsi="Arial Narrow" w:cs="Calibri"/>
                <w:color w:val="000000"/>
                <w:sz w:val="20"/>
                <w:szCs w:val="20"/>
              </w:rPr>
              <w:t>1,883</w:t>
            </w:r>
          </w:p>
        </w:tc>
        <w:tc>
          <w:tcPr>
            <w:tcW w:w="276" w:type="pct"/>
            <w:noWrap/>
            <w:vAlign w:val="center"/>
            <w:hideMark/>
          </w:tcPr>
          <w:p w14:paraId="64FBDA36" w14:textId="77777777" w:rsidR="00224E1A" w:rsidRPr="00D41179" w:rsidRDefault="00224E1A">
            <w:pPr>
              <w:jc w:val="center"/>
              <w:rPr>
                <w:rFonts w:ascii="Arial Narrow" w:hAnsi="Arial Narrow" w:cs="Calibri"/>
                <w:color w:val="000000"/>
                <w:sz w:val="20"/>
                <w:szCs w:val="20"/>
              </w:rPr>
            </w:pPr>
            <w:r w:rsidRPr="00D41179">
              <w:rPr>
                <w:rFonts w:ascii="Arial Narrow" w:eastAsia="Calibri" w:hAnsi="Arial Narrow" w:cs="Calibri"/>
                <w:color w:val="000000"/>
                <w:sz w:val="20"/>
                <w:szCs w:val="20"/>
              </w:rPr>
              <w:t>15</w:t>
            </w:r>
          </w:p>
        </w:tc>
        <w:tc>
          <w:tcPr>
            <w:tcW w:w="486" w:type="pct"/>
            <w:noWrap/>
            <w:vAlign w:val="center"/>
            <w:hideMark/>
          </w:tcPr>
          <w:p w14:paraId="2CEF48D9" w14:textId="77777777" w:rsidR="00224E1A" w:rsidRPr="00D41179" w:rsidRDefault="00224E1A">
            <w:pPr>
              <w:jc w:val="center"/>
              <w:rPr>
                <w:rFonts w:ascii="Arial Narrow" w:hAnsi="Arial Narrow" w:cs="Calibri"/>
                <w:color w:val="000000"/>
                <w:sz w:val="20"/>
                <w:szCs w:val="20"/>
              </w:rPr>
            </w:pPr>
            <w:r w:rsidRPr="00D41179">
              <w:rPr>
                <w:rFonts w:ascii="Arial Narrow" w:eastAsia="Calibri" w:hAnsi="Arial Narrow" w:cs="Calibri"/>
                <w:color w:val="000000"/>
                <w:sz w:val="20"/>
                <w:szCs w:val="20"/>
              </w:rPr>
              <w:t>1,867.1</w:t>
            </w:r>
          </w:p>
        </w:tc>
        <w:tc>
          <w:tcPr>
            <w:tcW w:w="550" w:type="pct"/>
            <w:noWrap/>
            <w:vAlign w:val="center"/>
            <w:hideMark/>
          </w:tcPr>
          <w:p w14:paraId="72CA70A4" w14:textId="77777777" w:rsidR="00224E1A" w:rsidRPr="00D41179" w:rsidRDefault="00224E1A">
            <w:pPr>
              <w:jc w:val="center"/>
              <w:rPr>
                <w:rFonts w:ascii="Arial Narrow" w:hAnsi="Arial Narrow" w:cs="Calibri"/>
                <w:color w:val="000000"/>
                <w:sz w:val="20"/>
                <w:szCs w:val="20"/>
              </w:rPr>
            </w:pPr>
            <w:r w:rsidRPr="00D41179">
              <w:rPr>
                <w:rFonts w:ascii="Arial Narrow" w:eastAsia="Calibri" w:hAnsi="Arial Narrow" w:cs="Calibri"/>
                <w:color w:val="000000"/>
                <w:sz w:val="20"/>
                <w:szCs w:val="20"/>
              </w:rPr>
              <w:t>8.0</w:t>
            </w:r>
          </w:p>
        </w:tc>
        <w:tc>
          <w:tcPr>
            <w:tcW w:w="947" w:type="pct"/>
            <w:noWrap/>
            <w:vAlign w:val="center"/>
            <w:hideMark/>
          </w:tcPr>
          <w:p w14:paraId="5B502C2D" w14:textId="77777777" w:rsidR="00224E1A" w:rsidRPr="00D41179" w:rsidRDefault="00224E1A">
            <w:pPr>
              <w:jc w:val="center"/>
              <w:rPr>
                <w:rFonts w:ascii="Arial Narrow" w:hAnsi="Arial Narrow" w:cs="Calibri"/>
                <w:color w:val="000000"/>
                <w:sz w:val="20"/>
                <w:szCs w:val="20"/>
              </w:rPr>
            </w:pPr>
            <w:r w:rsidRPr="00D41179">
              <w:rPr>
                <w:rFonts w:ascii="Arial Narrow" w:hAnsi="Arial Narrow" w:cs="Calibri"/>
                <w:color w:val="000000"/>
                <w:sz w:val="20"/>
                <w:szCs w:val="20"/>
              </w:rPr>
              <w:t>86.67 (42.67, 98.52)</w:t>
            </w:r>
          </w:p>
        </w:tc>
      </w:tr>
      <w:tr w:rsidR="00224E1A" w:rsidRPr="00D41179" w14:paraId="5DDD8216" w14:textId="77777777">
        <w:trPr>
          <w:trHeight w:val="170"/>
          <w:jc w:val="center"/>
        </w:trPr>
        <w:tc>
          <w:tcPr>
            <w:tcW w:w="235" w:type="pct"/>
            <w:vMerge/>
            <w:vAlign w:val="center"/>
            <w:hideMark/>
          </w:tcPr>
          <w:p w14:paraId="13782159" w14:textId="77777777" w:rsidR="00224E1A" w:rsidRPr="00D41179" w:rsidRDefault="00224E1A">
            <w:pPr>
              <w:jc w:val="left"/>
              <w:rPr>
                <w:rFonts w:ascii="Arial Narrow" w:hAnsi="Arial Narrow" w:cs="Calibri"/>
                <w:color w:val="000000"/>
                <w:sz w:val="20"/>
                <w:szCs w:val="20"/>
              </w:rPr>
            </w:pPr>
          </w:p>
        </w:tc>
        <w:tc>
          <w:tcPr>
            <w:tcW w:w="397" w:type="pct"/>
            <w:noWrap/>
            <w:vAlign w:val="center"/>
            <w:hideMark/>
          </w:tcPr>
          <w:p w14:paraId="02A41EA4" w14:textId="77777777" w:rsidR="00224E1A" w:rsidRPr="00D41179" w:rsidRDefault="00224E1A">
            <w:pPr>
              <w:jc w:val="center"/>
              <w:rPr>
                <w:rFonts w:ascii="Arial Narrow" w:hAnsi="Arial Narrow" w:cs="Calibri"/>
                <w:color w:val="000000"/>
                <w:sz w:val="20"/>
                <w:szCs w:val="20"/>
              </w:rPr>
            </w:pPr>
            <w:r w:rsidRPr="00D41179">
              <w:rPr>
                <w:rFonts w:ascii="Arial Narrow" w:hAnsi="Arial Narrow" w:cs="Calibri"/>
                <w:color w:val="000000"/>
                <w:sz w:val="20"/>
                <w:szCs w:val="20"/>
              </w:rPr>
              <w:t>60-69</w:t>
            </w:r>
          </w:p>
        </w:tc>
        <w:tc>
          <w:tcPr>
            <w:tcW w:w="488" w:type="pct"/>
            <w:noWrap/>
            <w:vAlign w:val="center"/>
            <w:hideMark/>
          </w:tcPr>
          <w:p w14:paraId="6D381BBE" w14:textId="77777777" w:rsidR="00224E1A" w:rsidRPr="00D41179" w:rsidRDefault="00224E1A">
            <w:pPr>
              <w:jc w:val="center"/>
              <w:rPr>
                <w:rFonts w:ascii="Arial Narrow" w:hAnsi="Arial Narrow" w:cs="Calibri"/>
                <w:color w:val="000000"/>
                <w:sz w:val="20"/>
                <w:szCs w:val="20"/>
              </w:rPr>
            </w:pPr>
            <w:r w:rsidRPr="00D41179">
              <w:rPr>
                <w:rFonts w:ascii="Arial Narrow" w:eastAsia="Calibri" w:hAnsi="Arial Narrow" w:cs="Calibri"/>
                <w:color w:val="000000"/>
                <w:sz w:val="20"/>
                <w:szCs w:val="20"/>
              </w:rPr>
              <w:t>1,075</w:t>
            </w:r>
          </w:p>
        </w:tc>
        <w:tc>
          <w:tcPr>
            <w:tcW w:w="277" w:type="pct"/>
            <w:noWrap/>
            <w:vAlign w:val="center"/>
            <w:hideMark/>
          </w:tcPr>
          <w:p w14:paraId="1C8D41A3" w14:textId="77777777" w:rsidR="00224E1A" w:rsidRPr="00D41179" w:rsidRDefault="00224E1A">
            <w:pPr>
              <w:jc w:val="center"/>
              <w:rPr>
                <w:rFonts w:ascii="Arial Narrow" w:hAnsi="Arial Narrow" w:cs="Calibri"/>
                <w:color w:val="000000"/>
                <w:sz w:val="20"/>
                <w:szCs w:val="20"/>
              </w:rPr>
            </w:pPr>
            <w:r w:rsidRPr="00D41179">
              <w:rPr>
                <w:rFonts w:ascii="Arial Narrow" w:eastAsia="Calibri" w:hAnsi="Arial Narrow" w:cs="Calibri"/>
                <w:color w:val="000000"/>
                <w:sz w:val="20"/>
                <w:szCs w:val="20"/>
              </w:rPr>
              <w:t>0</w:t>
            </w:r>
          </w:p>
        </w:tc>
        <w:tc>
          <w:tcPr>
            <w:tcW w:w="486" w:type="pct"/>
            <w:noWrap/>
            <w:vAlign w:val="center"/>
            <w:hideMark/>
          </w:tcPr>
          <w:p w14:paraId="721BCD20" w14:textId="77777777" w:rsidR="00224E1A" w:rsidRPr="00D41179" w:rsidRDefault="00224E1A">
            <w:pPr>
              <w:jc w:val="center"/>
              <w:rPr>
                <w:rFonts w:ascii="Arial Narrow" w:hAnsi="Arial Narrow" w:cs="Calibri"/>
                <w:color w:val="000000"/>
                <w:sz w:val="20"/>
                <w:szCs w:val="20"/>
              </w:rPr>
            </w:pPr>
            <w:r w:rsidRPr="00D41179">
              <w:rPr>
                <w:rFonts w:ascii="Arial Narrow" w:eastAsia="Calibri" w:hAnsi="Arial Narrow" w:cs="Calibri"/>
                <w:color w:val="000000"/>
                <w:sz w:val="20"/>
                <w:szCs w:val="20"/>
              </w:rPr>
              <w:t>1,064.7</w:t>
            </w:r>
          </w:p>
        </w:tc>
        <w:tc>
          <w:tcPr>
            <w:tcW w:w="493" w:type="pct"/>
            <w:noWrap/>
            <w:vAlign w:val="center"/>
            <w:hideMark/>
          </w:tcPr>
          <w:p w14:paraId="2F992655" w14:textId="77777777" w:rsidR="00224E1A" w:rsidRPr="00D41179" w:rsidRDefault="00224E1A">
            <w:pPr>
              <w:jc w:val="center"/>
              <w:rPr>
                <w:rFonts w:ascii="Arial Narrow" w:hAnsi="Arial Narrow" w:cs="Calibri"/>
                <w:color w:val="000000"/>
                <w:sz w:val="20"/>
                <w:szCs w:val="20"/>
              </w:rPr>
            </w:pPr>
            <w:r w:rsidRPr="00D41179">
              <w:rPr>
                <w:rFonts w:ascii="Arial Narrow" w:eastAsia="Calibri" w:hAnsi="Arial Narrow" w:cs="Calibri"/>
                <w:color w:val="000000"/>
                <w:sz w:val="20"/>
                <w:szCs w:val="20"/>
              </w:rPr>
              <w:t>0.0</w:t>
            </w:r>
          </w:p>
        </w:tc>
        <w:tc>
          <w:tcPr>
            <w:tcW w:w="364" w:type="pct"/>
            <w:noWrap/>
            <w:vAlign w:val="center"/>
            <w:hideMark/>
          </w:tcPr>
          <w:p w14:paraId="21605F53" w14:textId="77777777" w:rsidR="00224E1A" w:rsidRPr="00D41179" w:rsidRDefault="00224E1A">
            <w:pPr>
              <w:jc w:val="center"/>
              <w:rPr>
                <w:rFonts w:ascii="Arial Narrow" w:hAnsi="Arial Narrow" w:cs="Calibri"/>
                <w:color w:val="000000"/>
                <w:sz w:val="20"/>
                <w:szCs w:val="20"/>
              </w:rPr>
            </w:pPr>
            <w:r w:rsidRPr="00D41179">
              <w:rPr>
                <w:rFonts w:ascii="Arial Narrow" w:eastAsia="Calibri" w:hAnsi="Arial Narrow" w:cs="Calibri"/>
                <w:color w:val="000000"/>
                <w:sz w:val="20"/>
                <w:szCs w:val="20"/>
              </w:rPr>
              <w:t>1,075</w:t>
            </w:r>
          </w:p>
        </w:tc>
        <w:tc>
          <w:tcPr>
            <w:tcW w:w="276" w:type="pct"/>
            <w:noWrap/>
            <w:vAlign w:val="center"/>
            <w:hideMark/>
          </w:tcPr>
          <w:p w14:paraId="0935C1D5" w14:textId="77777777" w:rsidR="00224E1A" w:rsidRPr="00D41179" w:rsidRDefault="00224E1A">
            <w:pPr>
              <w:jc w:val="center"/>
              <w:rPr>
                <w:rFonts w:ascii="Arial Narrow" w:hAnsi="Arial Narrow" w:cs="Calibri"/>
                <w:color w:val="000000"/>
                <w:sz w:val="20"/>
                <w:szCs w:val="20"/>
              </w:rPr>
            </w:pPr>
            <w:r w:rsidRPr="00D41179">
              <w:rPr>
                <w:rFonts w:ascii="Arial Narrow" w:eastAsia="Calibri" w:hAnsi="Arial Narrow" w:cs="Calibri"/>
                <w:color w:val="000000"/>
                <w:sz w:val="20"/>
                <w:szCs w:val="20"/>
              </w:rPr>
              <w:t>10</w:t>
            </w:r>
          </w:p>
        </w:tc>
        <w:tc>
          <w:tcPr>
            <w:tcW w:w="486" w:type="pct"/>
            <w:noWrap/>
            <w:vAlign w:val="center"/>
            <w:hideMark/>
          </w:tcPr>
          <w:p w14:paraId="6E59B136" w14:textId="77777777" w:rsidR="00224E1A" w:rsidRPr="00D41179" w:rsidRDefault="00224E1A">
            <w:pPr>
              <w:jc w:val="center"/>
              <w:rPr>
                <w:rFonts w:ascii="Arial Narrow" w:hAnsi="Arial Narrow" w:cs="Calibri"/>
                <w:color w:val="000000"/>
                <w:sz w:val="20"/>
                <w:szCs w:val="20"/>
              </w:rPr>
            </w:pPr>
            <w:r w:rsidRPr="00D41179">
              <w:rPr>
                <w:rFonts w:ascii="Arial Narrow" w:eastAsia="Calibri" w:hAnsi="Arial Narrow" w:cs="Calibri"/>
                <w:color w:val="000000"/>
                <w:sz w:val="20"/>
                <w:szCs w:val="20"/>
              </w:rPr>
              <w:t>1,064.7</w:t>
            </w:r>
          </w:p>
        </w:tc>
        <w:tc>
          <w:tcPr>
            <w:tcW w:w="550" w:type="pct"/>
            <w:noWrap/>
            <w:vAlign w:val="center"/>
            <w:hideMark/>
          </w:tcPr>
          <w:p w14:paraId="01F06499" w14:textId="77777777" w:rsidR="00224E1A" w:rsidRPr="00D41179" w:rsidRDefault="00224E1A">
            <w:pPr>
              <w:jc w:val="center"/>
              <w:rPr>
                <w:rFonts w:ascii="Arial Narrow" w:hAnsi="Arial Narrow" w:cs="Calibri"/>
                <w:color w:val="000000"/>
                <w:sz w:val="20"/>
                <w:szCs w:val="20"/>
              </w:rPr>
            </w:pPr>
            <w:r w:rsidRPr="00D41179">
              <w:rPr>
                <w:rFonts w:ascii="Arial Narrow" w:eastAsia="Calibri" w:hAnsi="Arial Narrow" w:cs="Calibri"/>
                <w:color w:val="000000"/>
                <w:sz w:val="20"/>
                <w:szCs w:val="20"/>
              </w:rPr>
              <w:t>9.4</w:t>
            </w:r>
          </w:p>
        </w:tc>
        <w:tc>
          <w:tcPr>
            <w:tcW w:w="947" w:type="pct"/>
            <w:noWrap/>
            <w:vAlign w:val="center"/>
            <w:hideMark/>
          </w:tcPr>
          <w:p w14:paraId="7E4FFE58" w14:textId="77777777" w:rsidR="00224E1A" w:rsidRPr="00D41179" w:rsidRDefault="00224E1A">
            <w:pPr>
              <w:jc w:val="center"/>
              <w:rPr>
                <w:rFonts w:ascii="Arial Narrow" w:hAnsi="Arial Narrow" w:cs="Calibri"/>
                <w:color w:val="000000"/>
                <w:sz w:val="20"/>
                <w:szCs w:val="20"/>
              </w:rPr>
            </w:pPr>
            <w:r w:rsidRPr="00D41179">
              <w:rPr>
                <w:rFonts w:ascii="Arial Narrow" w:hAnsi="Arial Narrow" w:cs="Calibri"/>
                <w:color w:val="000000"/>
                <w:sz w:val="20"/>
                <w:szCs w:val="20"/>
              </w:rPr>
              <w:t>100.00(65.07, 100.00)</w:t>
            </w:r>
          </w:p>
        </w:tc>
      </w:tr>
      <w:tr w:rsidR="00224E1A" w:rsidRPr="00D41179" w14:paraId="2EEB4213" w14:textId="77777777">
        <w:trPr>
          <w:trHeight w:val="170"/>
          <w:jc w:val="center"/>
        </w:trPr>
        <w:tc>
          <w:tcPr>
            <w:tcW w:w="235" w:type="pct"/>
            <w:vMerge/>
            <w:vAlign w:val="center"/>
            <w:hideMark/>
          </w:tcPr>
          <w:p w14:paraId="15D46A2D" w14:textId="77777777" w:rsidR="00224E1A" w:rsidRPr="00D41179" w:rsidRDefault="00224E1A">
            <w:pPr>
              <w:jc w:val="left"/>
              <w:rPr>
                <w:rFonts w:ascii="Arial Narrow" w:hAnsi="Arial Narrow" w:cs="Calibri"/>
                <w:color w:val="000000"/>
                <w:sz w:val="20"/>
                <w:szCs w:val="20"/>
              </w:rPr>
            </w:pPr>
          </w:p>
        </w:tc>
        <w:tc>
          <w:tcPr>
            <w:tcW w:w="397" w:type="pct"/>
            <w:noWrap/>
            <w:vAlign w:val="center"/>
            <w:hideMark/>
          </w:tcPr>
          <w:p w14:paraId="10F9EE35" w14:textId="77777777" w:rsidR="00224E1A" w:rsidRPr="00D41179" w:rsidRDefault="00224E1A">
            <w:pPr>
              <w:jc w:val="center"/>
              <w:rPr>
                <w:rFonts w:ascii="Arial Narrow" w:hAnsi="Arial Narrow" w:cs="Calibri"/>
                <w:color w:val="000000"/>
                <w:sz w:val="20"/>
                <w:szCs w:val="20"/>
              </w:rPr>
            </w:pPr>
            <w:r w:rsidRPr="00D41179">
              <w:rPr>
                <w:rFonts w:ascii="Arial Narrow" w:hAnsi="Arial Narrow" w:cs="Calibri"/>
                <w:color w:val="000000"/>
                <w:sz w:val="20"/>
                <w:szCs w:val="20"/>
              </w:rPr>
              <w:t>≥70</w:t>
            </w:r>
          </w:p>
        </w:tc>
        <w:tc>
          <w:tcPr>
            <w:tcW w:w="488" w:type="pct"/>
            <w:noWrap/>
            <w:vAlign w:val="center"/>
            <w:hideMark/>
          </w:tcPr>
          <w:p w14:paraId="5F342106" w14:textId="77777777" w:rsidR="00224E1A" w:rsidRPr="00D41179" w:rsidRDefault="00224E1A">
            <w:pPr>
              <w:jc w:val="center"/>
              <w:rPr>
                <w:rFonts w:ascii="Arial Narrow" w:hAnsi="Arial Narrow" w:cs="Calibri"/>
                <w:color w:val="000000"/>
                <w:sz w:val="20"/>
                <w:szCs w:val="20"/>
              </w:rPr>
            </w:pPr>
            <w:r w:rsidRPr="00D41179">
              <w:rPr>
                <w:rFonts w:ascii="Arial Narrow" w:eastAsia="Calibri" w:hAnsi="Arial Narrow" w:cs="Calibri"/>
                <w:color w:val="000000"/>
                <w:sz w:val="20"/>
                <w:szCs w:val="20"/>
              </w:rPr>
              <w:t>2,891</w:t>
            </w:r>
          </w:p>
        </w:tc>
        <w:tc>
          <w:tcPr>
            <w:tcW w:w="277" w:type="pct"/>
            <w:noWrap/>
            <w:vAlign w:val="center"/>
            <w:hideMark/>
          </w:tcPr>
          <w:p w14:paraId="6DE3BEBD" w14:textId="77777777" w:rsidR="00224E1A" w:rsidRPr="00D41179" w:rsidRDefault="00224E1A">
            <w:pPr>
              <w:jc w:val="center"/>
              <w:rPr>
                <w:rFonts w:ascii="Arial Narrow" w:hAnsi="Arial Narrow" w:cs="Calibri"/>
                <w:color w:val="000000"/>
                <w:sz w:val="20"/>
                <w:szCs w:val="20"/>
              </w:rPr>
            </w:pPr>
            <w:r w:rsidRPr="00D41179">
              <w:rPr>
                <w:rFonts w:ascii="Arial Narrow" w:eastAsia="Calibri" w:hAnsi="Arial Narrow" w:cs="Calibri"/>
                <w:color w:val="000000"/>
                <w:sz w:val="20"/>
                <w:szCs w:val="20"/>
              </w:rPr>
              <w:t>7</w:t>
            </w:r>
          </w:p>
        </w:tc>
        <w:tc>
          <w:tcPr>
            <w:tcW w:w="486" w:type="pct"/>
            <w:noWrap/>
            <w:vAlign w:val="center"/>
            <w:hideMark/>
          </w:tcPr>
          <w:p w14:paraId="55195783" w14:textId="77777777" w:rsidR="00224E1A" w:rsidRPr="00D41179" w:rsidRDefault="00224E1A">
            <w:pPr>
              <w:jc w:val="center"/>
              <w:rPr>
                <w:rFonts w:ascii="Arial Narrow" w:hAnsi="Arial Narrow" w:cs="Calibri"/>
                <w:color w:val="000000"/>
                <w:sz w:val="20"/>
                <w:szCs w:val="20"/>
              </w:rPr>
            </w:pPr>
            <w:r w:rsidRPr="00D41179">
              <w:rPr>
                <w:rFonts w:ascii="Arial Narrow" w:eastAsia="Calibri" w:hAnsi="Arial Narrow" w:cs="Calibri"/>
                <w:color w:val="000000"/>
                <w:sz w:val="20"/>
                <w:szCs w:val="20"/>
              </w:rPr>
              <w:t>2,765.9</w:t>
            </w:r>
          </w:p>
        </w:tc>
        <w:tc>
          <w:tcPr>
            <w:tcW w:w="493" w:type="pct"/>
            <w:noWrap/>
            <w:vAlign w:val="center"/>
            <w:hideMark/>
          </w:tcPr>
          <w:p w14:paraId="483F2A5C" w14:textId="77777777" w:rsidR="00224E1A" w:rsidRPr="00D41179" w:rsidRDefault="00224E1A">
            <w:pPr>
              <w:jc w:val="center"/>
              <w:rPr>
                <w:rFonts w:ascii="Arial Narrow" w:hAnsi="Arial Narrow" w:cs="Calibri"/>
                <w:color w:val="000000"/>
                <w:sz w:val="20"/>
                <w:szCs w:val="20"/>
              </w:rPr>
            </w:pPr>
            <w:r w:rsidRPr="00D41179">
              <w:rPr>
                <w:rFonts w:ascii="Arial Narrow" w:eastAsia="Calibri" w:hAnsi="Arial Narrow" w:cs="Calibri"/>
                <w:color w:val="000000"/>
                <w:sz w:val="20"/>
                <w:szCs w:val="20"/>
              </w:rPr>
              <w:t>2.5</w:t>
            </w:r>
          </w:p>
        </w:tc>
        <w:tc>
          <w:tcPr>
            <w:tcW w:w="364" w:type="pct"/>
            <w:noWrap/>
            <w:vAlign w:val="center"/>
            <w:hideMark/>
          </w:tcPr>
          <w:p w14:paraId="3A48E93C" w14:textId="77777777" w:rsidR="00224E1A" w:rsidRPr="00D41179" w:rsidRDefault="00224E1A">
            <w:pPr>
              <w:jc w:val="center"/>
              <w:rPr>
                <w:rFonts w:ascii="Arial Narrow" w:hAnsi="Arial Narrow" w:cs="Calibri"/>
                <w:color w:val="000000"/>
                <w:sz w:val="20"/>
                <w:szCs w:val="20"/>
              </w:rPr>
            </w:pPr>
            <w:r w:rsidRPr="00D41179">
              <w:rPr>
                <w:rFonts w:ascii="Arial Narrow" w:eastAsia="Calibri" w:hAnsi="Arial Narrow" w:cs="Calibri"/>
                <w:color w:val="000000"/>
                <w:sz w:val="20"/>
                <w:szCs w:val="20"/>
              </w:rPr>
              <w:t>2,891</w:t>
            </w:r>
          </w:p>
        </w:tc>
        <w:tc>
          <w:tcPr>
            <w:tcW w:w="276" w:type="pct"/>
            <w:noWrap/>
            <w:vAlign w:val="center"/>
            <w:hideMark/>
          </w:tcPr>
          <w:p w14:paraId="1A286629" w14:textId="77777777" w:rsidR="00224E1A" w:rsidRPr="00D41179" w:rsidRDefault="00224E1A">
            <w:pPr>
              <w:jc w:val="center"/>
              <w:rPr>
                <w:rFonts w:ascii="Arial Narrow" w:hAnsi="Arial Narrow" w:cs="Calibri"/>
                <w:color w:val="000000"/>
                <w:sz w:val="20"/>
                <w:szCs w:val="20"/>
              </w:rPr>
            </w:pPr>
            <w:r w:rsidRPr="00D41179">
              <w:rPr>
                <w:rFonts w:ascii="Arial Narrow" w:eastAsia="Calibri" w:hAnsi="Arial Narrow" w:cs="Calibri"/>
                <w:color w:val="000000"/>
                <w:sz w:val="20"/>
                <w:szCs w:val="20"/>
              </w:rPr>
              <w:t>25</w:t>
            </w:r>
          </w:p>
        </w:tc>
        <w:tc>
          <w:tcPr>
            <w:tcW w:w="486" w:type="pct"/>
            <w:noWrap/>
            <w:vAlign w:val="center"/>
            <w:hideMark/>
          </w:tcPr>
          <w:p w14:paraId="1AE3F1B0" w14:textId="77777777" w:rsidR="00224E1A" w:rsidRPr="00D41179" w:rsidRDefault="00224E1A">
            <w:pPr>
              <w:jc w:val="center"/>
              <w:rPr>
                <w:rFonts w:ascii="Arial Narrow" w:hAnsi="Arial Narrow" w:cs="Calibri"/>
                <w:color w:val="000000"/>
                <w:sz w:val="20"/>
                <w:szCs w:val="20"/>
              </w:rPr>
            </w:pPr>
            <w:r w:rsidRPr="00D41179">
              <w:rPr>
                <w:rFonts w:ascii="Arial Narrow" w:eastAsia="Calibri" w:hAnsi="Arial Narrow" w:cs="Calibri"/>
                <w:color w:val="000000"/>
                <w:sz w:val="20"/>
                <w:szCs w:val="20"/>
              </w:rPr>
              <w:t>2,765.9</w:t>
            </w:r>
          </w:p>
        </w:tc>
        <w:tc>
          <w:tcPr>
            <w:tcW w:w="550" w:type="pct"/>
            <w:noWrap/>
            <w:vAlign w:val="center"/>
            <w:hideMark/>
          </w:tcPr>
          <w:p w14:paraId="35BBA8A8" w14:textId="77777777" w:rsidR="00224E1A" w:rsidRPr="00D41179" w:rsidRDefault="00224E1A">
            <w:pPr>
              <w:jc w:val="center"/>
              <w:rPr>
                <w:rFonts w:ascii="Arial Narrow" w:hAnsi="Arial Narrow" w:cs="Calibri"/>
                <w:color w:val="000000"/>
                <w:sz w:val="20"/>
                <w:szCs w:val="20"/>
              </w:rPr>
            </w:pPr>
            <w:r w:rsidRPr="00D41179">
              <w:rPr>
                <w:rFonts w:ascii="Arial Narrow" w:eastAsia="Calibri" w:hAnsi="Arial Narrow" w:cs="Calibri"/>
                <w:color w:val="000000"/>
                <w:sz w:val="20"/>
                <w:szCs w:val="20"/>
              </w:rPr>
              <w:t>9.0</w:t>
            </w:r>
          </w:p>
        </w:tc>
        <w:tc>
          <w:tcPr>
            <w:tcW w:w="947" w:type="pct"/>
            <w:noWrap/>
            <w:vAlign w:val="center"/>
            <w:hideMark/>
          </w:tcPr>
          <w:p w14:paraId="7B4205F3" w14:textId="77777777" w:rsidR="00224E1A" w:rsidRPr="00D41179" w:rsidRDefault="00224E1A">
            <w:pPr>
              <w:jc w:val="center"/>
              <w:rPr>
                <w:rFonts w:ascii="Arial Narrow" w:hAnsi="Arial Narrow" w:cs="Calibri"/>
                <w:color w:val="000000"/>
                <w:sz w:val="20"/>
                <w:szCs w:val="20"/>
              </w:rPr>
            </w:pPr>
            <w:r w:rsidRPr="00D41179">
              <w:rPr>
                <w:rFonts w:ascii="Arial Narrow" w:hAnsi="Arial Narrow" w:cs="Calibri"/>
                <w:color w:val="000000"/>
                <w:sz w:val="20"/>
                <w:szCs w:val="20"/>
              </w:rPr>
              <w:t>72.00 (33.41, 89.77)</w:t>
            </w:r>
          </w:p>
        </w:tc>
      </w:tr>
    </w:tbl>
    <w:p w14:paraId="1252A40E" w14:textId="54FB74DB" w:rsidR="00224E1A" w:rsidRPr="00D41179" w:rsidRDefault="00224E1A" w:rsidP="00224E1A">
      <w:pPr>
        <w:pStyle w:val="TableNotes"/>
        <w:spacing w:after="0"/>
        <w:rPr>
          <w:rFonts w:eastAsia="Calibri"/>
        </w:rPr>
      </w:pPr>
      <w:r w:rsidRPr="00D41179">
        <w:rPr>
          <w:rFonts w:eastAsia="Calibri"/>
        </w:rPr>
        <w:lastRenderedPageBreak/>
        <w:t xml:space="preserve">Source: Adapted from Table 2 24: Vaccine efficacy: First or only episode of HZ over each year of follow-up </w:t>
      </w:r>
      <w:proofErr w:type="gramStart"/>
      <w:r w:rsidRPr="00D41179">
        <w:rPr>
          <w:rFonts w:eastAsia="Calibri"/>
        </w:rPr>
        <w:t>since</w:t>
      </w:r>
      <w:proofErr w:type="gramEnd"/>
      <w:r w:rsidRPr="00D41179">
        <w:rPr>
          <w:rFonts w:eastAsia="Calibri"/>
        </w:rPr>
        <w:t xml:space="preserve"> one month post-dose 2 in </w:t>
      </w:r>
      <w:r w:rsidR="006E4120" w:rsidRPr="00D41179">
        <w:rPr>
          <w:rFonts w:eastAsia="Calibri"/>
        </w:rPr>
        <w:t xml:space="preserve">ZOE-50/-70 </w:t>
      </w:r>
      <w:r w:rsidRPr="00D41179">
        <w:rPr>
          <w:rFonts w:eastAsia="Calibri"/>
        </w:rPr>
        <w:t>studies by age strata and overall using Poisson regression method (</w:t>
      </w:r>
      <w:proofErr w:type="spellStart"/>
      <w:r w:rsidRPr="00D41179">
        <w:rPr>
          <w:rFonts w:eastAsia="Calibri"/>
        </w:rPr>
        <w:t>mTVC</w:t>
      </w:r>
      <w:proofErr w:type="spellEnd"/>
      <w:r w:rsidRPr="00D41179">
        <w:rPr>
          <w:rFonts w:eastAsia="Calibri"/>
        </w:rPr>
        <w:t xml:space="preserve"> - pooled </w:t>
      </w:r>
      <w:r w:rsidR="006E4120" w:rsidRPr="00D41179">
        <w:rPr>
          <w:rFonts w:eastAsia="Calibri"/>
        </w:rPr>
        <w:t xml:space="preserve">ZOE-50/-70 </w:t>
      </w:r>
      <w:r w:rsidRPr="00D41179">
        <w:rPr>
          <w:rFonts w:eastAsia="Calibri"/>
        </w:rPr>
        <w:t xml:space="preserve">and </w:t>
      </w:r>
      <w:proofErr w:type="spellStart"/>
      <w:r w:rsidRPr="00D41179">
        <w:rPr>
          <w:rFonts w:eastAsia="Calibri"/>
        </w:rPr>
        <w:t>mTVC</w:t>
      </w:r>
      <w:proofErr w:type="spellEnd"/>
      <w:r w:rsidRPr="00D41179">
        <w:rPr>
          <w:rFonts w:eastAsia="Calibri"/>
        </w:rPr>
        <w:t xml:space="preserve"> – ZOSTER-049), p115-116 of the submission.</w:t>
      </w:r>
    </w:p>
    <w:p w14:paraId="076C55B3" w14:textId="0D683B23" w:rsidR="00224E1A" w:rsidRPr="00D41179" w:rsidRDefault="00224E1A" w:rsidP="00224E1A">
      <w:pPr>
        <w:pStyle w:val="TableNotes"/>
        <w:spacing w:after="0"/>
        <w:rPr>
          <w:rFonts w:eastAsia="Calibri"/>
        </w:rPr>
      </w:pPr>
      <w:r w:rsidRPr="00D41179">
        <w:rPr>
          <w:rFonts w:eastAsia="Calibri"/>
        </w:rPr>
        <w:t>CI = confidence interval;</w:t>
      </w:r>
      <w:r w:rsidR="004B3253">
        <w:rPr>
          <w:rFonts w:eastAsia="Calibri"/>
        </w:rPr>
        <w:t xml:space="preserve"> </w:t>
      </w:r>
      <w:r w:rsidRPr="00D41179">
        <w:rPr>
          <w:rFonts w:eastAsia="Calibri"/>
        </w:rPr>
        <w:t>HZ = herpes zoster; IR = incidence rate</w:t>
      </w:r>
      <w:r w:rsidR="008C5ED8" w:rsidRPr="00D41179">
        <w:rPr>
          <w:rFonts w:eastAsia="Calibri"/>
        </w:rPr>
        <w:t>;</w:t>
      </w:r>
      <w:r w:rsidRPr="00D41179">
        <w:rPr>
          <w:rFonts w:eastAsia="Calibri"/>
        </w:rPr>
        <w:t xml:space="preserve"> </w:t>
      </w:r>
      <w:proofErr w:type="spellStart"/>
      <w:r w:rsidRPr="00D41179">
        <w:rPr>
          <w:rFonts w:eastAsia="Calibri"/>
        </w:rPr>
        <w:t>mTVC</w:t>
      </w:r>
      <w:proofErr w:type="spellEnd"/>
      <w:r w:rsidRPr="00D41179">
        <w:rPr>
          <w:rFonts w:eastAsia="Calibri"/>
        </w:rPr>
        <w:t xml:space="preserve"> = modified total vaccinated cohort; n = number of individuals having at least one confirmed herpes zoster episode; N = number of individuals included in each group; PY = person-year; RZV, recombinant zoster vaccine (</w:t>
      </w:r>
      <w:r w:rsidRPr="00D41179">
        <w:rPr>
          <w:rFonts w:eastAsia="Calibri"/>
          <w:i/>
        </w:rPr>
        <w:t>Shingrix</w:t>
      </w:r>
      <w:r w:rsidRPr="00D41179">
        <w:rPr>
          <w:rFonts w:eastAsia="Calibri"/>
          <w:vertAlign w:val="superscript"/>
        </w:rPr>
        <w:t>®</w:t>
      </w:r>
      <w:r w:rsidRPr="00D41179">
        <w:rPr>
          <w:rFonts w:eastAsia="Calibri"/>
        </w:rPr>
        <w:t>); T (year) = sum of follow-up (censored at the first occurrence of a confirmed HZ episode) expressed in years; VE = vaccine efficacy.</w:t>
      </w:r>
    </w:p>
    <w:p w14:paraId="37646E1D" w14:textId="13270FEB" w:rsidR="00495814" w:rsidRPr="00D41179" w:rsidRDefault="00224E1A" w:rsidP="00224E1A">
      <w:pPr>
        <w:pStyle w:val="TableNotes"/>
      </w:pPr>
      <w:r w:rsidRPr="00D41179">
        <w:rPr>
          <w:shd w:val="clear" w:color="auto" w:fill="DAEEF3" w:themeFill="accent5" w:themeFillTint="33"/>
        </w:rPr>
        <w:t>Text in blue indicates information previously presented to PBAC</w:t>
      </w:r>
      <w:r w:rsidRPr="00D41179">
        <w:t>.</w:t>
      </w:r>
    </w:p>
    <w:p w14:paraId="06817AD8" w14:textId="5DB87735" w:rsidR="00C20FE2" w:rsidRPr="00D41179" w:rsidRDefault="00C20FE2" w:rsidP="00C20FE2">
      <w:pPr>
        <w:pStyle w:val="Caption"/>
        <w:rPr>
          <w:rFonts w:asciiTheme="minorHAnsi" w:eastAsiaTheme="minorHAnsi" w:hAnsiTheme="minorHAnsi" w:cstheme="minorBidi"/>
          <w:szCs w:val="22"/>
        </w:rPr>
      </w:pPr>
      <w:bookmarkStart w:id="28" w:name="_Ref210987383"/>
      <w:bookmarkStart w:id="29" w:name="_Ref207615065"/>
      <w:r w:rsidRPr="00D41179">
        <w:t xml:space="preserve">Figure </w:t>
      </w:r>
      <w:r w:rsidRPr="00D41179">
        <w:fldChar w:fldCharType="begin"/>
      </w:r>
      <w:r w:rsidRPr="00D41179">
        <w:instrText>SEQ Figure \* ARABIC</w:instrText>
      </w:r>
      <w:r w:rsidRPr="00D41179">
        <w:fldChar w:fldCharType="separate"/>
      </w:r>
      <w:r w:rsidR="00E7345C" w:rsidRPr="00D41179">
        <w:rPr>
          <w:noProof/>
        </w:rPr>
        <w:t>1</w:t>
      </w:r>
      <w:r w:rsidRPr="00D41179">
        <w:fldChar w:fldCharType="end"/>
      </w:r>
      <w:bookmarkEnd w:id="28"/>
      <w:r w:rsidRPr="00D41179">
        <w:t>: VE against HZ by year in ZOE-50/70 to the end of the ZOE-LTFU study (</w:t>
      </w:r>
      <w:proofErr w:type="spellStart"/>
      <w:r w:rsidRPr="00D41179">
        <w:t>mTVC</w:t>
      </w:r>
      <w:proofErr w:type="spellEnd"/>
      <w:r w:rsidRPr="00D41179">
        <w:t>) (overall population)</w:t>
      </w:r>
    </w:p>
    <w:p w14:paraId="6EACB193" w14:textId="727E2C9D" w:rsidR="002373A7" w:rsidRPr="00D41179" w:rsidRDefault="00C20FE2" w:rsidP="002373A7">
      <w:pPr>
        <w:spacing w:before="60" w:after="60"/>
        <w:rPr>
          <w:rFonts w:asciiTheme="minorHAnsi" w:eastAsiaTheme="minorHAnsi" w:hAnsiTheme="minorHAnsi" w:cstheme="minorBidi"/>
          <w:szCs w:val="22"/>
        </w:rPr>
      </w:pPr>
      <w:r w:rsidRPr="00D41179">
        <w:rPr>
          <w:rFonts w:asciiTheme="minorHAnsi" w:eastAsiaTheme="minorHAnsi" w:hAnsiTheme="minorHAnsi" w:cstheme="minorBidi"/>
          <w:noProof/>
          <w:szCs w:val="22"/>
        </w:rPr>
        <w:drawing>
          <wp:inline distT="0" distB="0" distL="0" distR="0" wp14:anchorId="6D827C31" wp14:editId="685B0C7B">
            <wp:extent cx="5732145" cy="2515870"/>
            <wp:effectExtent l="0" t="0" r="1905" b="0"/>
            <wp:docPr id="422550385" name="Picture 1" descr="Figure 1: VE against HZ by year in ZOE-50/70 to the end of the ZOE-LTFU study (mTVC) (overall popul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2550385" name="Picture 1" descr="Figure 1: VE against HZ by year in ZOE-50/70 to the end of the ZOE-LTFU study (mTVC) (overall population)"/>
                    <pic:cNvPicPr/>
                  </pic:nvPicPr>
                  <pic:blipFill>
                    <a:blip r:embed="rId11"/>
                    <a:stretch>
                      <a:fillRect/>
                    </a:stretch>
                  </pic:blipFill>
                  <pic:spPr>
                    <a:xfrm>
                      <a:off x="0" y="0"/>
                      <a:ext cx="5732145" cy="2515870"/>
                    </a:xfrm>
                    <a:prstGeom prst="rect">
                      <a:avLst/>
                    </a:prstGeom>
                  </pic:spPr>
                </pic:pic>
              </a:graphicData>
            </a:graphic>
          </wp:inline>
        </w:drawing>
      </w:r>
    </w:p>
    <w:p w14:paraId="68D89E89" w14:textId="3ED464FF" w:rsidR="002373A7" w:rsidRPr="00D41179" w:rsidRDefault="00C20FE2" w:rsidP="000A113F">
      <w:pPr>
        <w:pStyle w:val="TableFigureFooter"/>
        <w:rPr>
          <w:i/>
          <w:iCs/>
        </w:rPr>
      </w:pPr>
      <w:r w:rsidRPr="00D41179">
        <w:t xml:space="preserve">Source: Figure 3, </w:t>
      </w:r>
      <w:proofErr w:type="spellStart"/>
      <w:r w:rsidRPr="00D41179">
        <w:t>Strezova</w:t>
      </w:r>
      <w:proofErr w:type="spellEnd"/>
      <w:r w:rsidRPr="00D41179">
        <w:t xml:space="preserve"> 2025</w:t>
      </w:r>
    </w:p>
    <w:p w14:paraId="29AFB0D6" w14:textId="69CBF613" w:rsidR="00C20FE2" w:rsidRPr="00D41179" w:rsidRDefault="000A113F" w:rsidP="000A113F">
      <w:pPr>
        <w:pStyle w:val="TableFigureFooter"/>
        <w:rPr>
          <w:rFonts w:asciiTheme="minorHAnsi" w:hAnsiTheme="minorHAnsi" w:cstheme="minorBidi"/>
        </w:rPr>
      </w:pPr>
      <w:r w:rsidRPr="00D41179">
        <w:t xml:space="preserve">CI = confidence intervals; HZ = herpes zoster; </w:t>
      </w:r>
      <w:proofErr w:type="spellStart"/>
      <w:r w:rsidRPr="00D41179">
        <w:t>mTVC</w:t>
      </w:r>
      <w:proofErr w:type="spellEnd"/>
      <w:r w:rsidRPr="00D41179">
        <w:t xml:space="preserve"> = modified total vaccinated cohort (participants receiving 2 doses without confirmed HZ within 30 days post-dose 2); VE = vaccine efficacy; Y = year.</w:t>
      </w:r>
    </w:p>
    <w:p w14:paraId="5AD61F81" w14:textId="2C56A12E" w:rsidR="00224E1A" w:rsidRPr="00D41179" w:rsidRDefault="00224E1A" w:rsidP="00A64F5D">
      <w:pPr>
        <w:numPr>
          <w:ilvl w:val="1"/>
          <w:numId w:val="8"/>
        </w:numPr>
        <w:spacing w:before="60" w:after="60"/>
        <w:ind w:left="709"/>
        <w:rPr>
          <w:rFonts w:asciiTheme="minorHAnsi" w:eastAsiaTheme="minorHAnsi" w:hAnsiTheme="minorHAnsi" w:cstheme="minorBidi"/>
          <w:szCs w:val="22"/>
        </w:rPr>
      </w:pPr>
      <w:bookmarkStart w:id="30" w:name="_Ref211842054"/>
      <w:r w:rsidRPr="00D41179">
        <w:rPr>
          <w:rFonts w:asciiTheme="minorHAnsi" w:eastAsiaTheme="minorHAnsi" w:hAnsiTheme="minorHAnsi" w:cstheme="minorBidi"/>
          <w:szCs w:val="22"/>
        </w:rPr>
        <w:t>When analysed by age strata at vaccination and by year since vaccination (</w:t>
      </w:r>
      <w:r w:rsidR="000064C2" w:rsidRPr="00D41179">
        <w:rPr>
          <w:rFonts w:asciiTheme="minorHAnsi" w:eastAsiaTheme="minorHAnsi" w:hAnsiTheme="minorHAnsi" w:cstheme="minorBidi"/>
          <w:szCs w:val="22"/>
        </w:rPr>
        <w:fldChar w:fldCharType="begin"/>
      </w:r>
      <w:r w:rsidR="000064C2" w:rsidRPr="00D41179">
        <w:rPr>
          <w:rFonts w:asciiTheme="minorHAnsi" w:eastAsiaTheme="minorHAnsi" w:hAnsiTheme="minorHAnsi" w:cstheme="minorBidi"/>
          <w:szCs w:val="22"/>
        </w:rPr>
        <w:instrText xml:space="preserve"> REF _Ref207878213 \h  \* MERGEFORMAT </w:instrText>
      </w:r>
      <w:r w:rsidR="000064C2" w:rsidRPr="00D41179">
        <w:rPr>
          <w:rFonts w:asciiTheme="minorHAnsi" w:eastAsiaTheme="minorHAnsi" w:hAnsiTheme="minorHAnsi" w:cstheme="minorBidi"/>
          <w:szCs w:val="22"/>
        </w:rPr>
      </w:r>
      <w:r w:rsidR="000064C2" w:rsidRPr="00D41179">
        <w:rPr>
          <w:rFonts w:asciiTheme="minorHAnsi" w:eastAsiaTheme="minorHAnsi" w:hAnsiTheme="minorHAnsi" w:cstheme="minorBidi"/>
          <w:szCs w:val="22"/>
        </w:rPr>
        <w:fldChar w:fldCharType="separate"/>
      </w:r>
      <w:r w:rsidR="00E7345C" w:rsidRPr="00D41179">
        <w:t xml:space="preserve">Table </w:t>
      </w:r>
      <w:r w:rsidR="00E7345C" w:rsidRPr="00D41179">
        <w:rPr>
          <w:noProof/>
        </w:rPr>
        <w:t>5</w:t>
      </w:r>
      <w:r w:rsidR="000064C2" w:rsidRPr="00D41179">
        <w:rPr>
          <w:rFonts w:asciiTheme="minorHAnsi" w:eastAsiaTheme="minorHAnsi" w:hAnsiTheme="minorHAnsi" w:cstheme="minorBidi"/>
          <w:szCs w:val="22"/>
        </w:rPr>
        <w:fldChar w:fldCharType="end"/>
      </w:r>
      <w:r w:rsidRPr="00D41179">
        <w:rPr>
          <w:rFonts w:asciiTheme="minorHAnsi" w:eastAsiaTheme="minorHAnsi" w:hAnsiTheme="minorHAnsi" w:cstheme="minorBidi"/>
          <w:szCs w:val="22"/>
        </w:rPr>
        <w:t>), the submission commented that VE</w:t>
      </w:r>
      <w:r w:rsidRPr="00D41179">
        <w:rPr>
          <w:rFonts w:asciiTheme="minorHAnsi" w:eastAsiaTheme="minorHAnsi" w:hAnsiTheme="minorHAnsi" w:cstheme="minorBidi"/>
          <w:szCs w:val="22"/>
          <w:vertAlign w:val="subscript"/>
        </w:rPr>
        <w:t>HZ</w:t>
      </w:r>
      <w:r w:rsidRPr="00D41179">
        <w:rPr>
          <w:rFonts w:asciiTheme="minorHAnsi" w:eastAsiaTheme="minorHAnsi" w:hAnsiTheme="minorHAnsi" w:cstheme="minorBidi"/>
          <w:szCs w:val="22"/>
        </w:rPr>
        <w:t xml:space="preserve"> appears to remain high over years 6-11, although confidence intervals were wide due to low HZ case numbers particularly in the younger age strata.</w:t>
      </w:r>
      <w:r w:rsidRPr="00D41179">
        <w:rPr>
          <w:rFonts w:asciiTheme="minorHAnsi" w:eastAsiaTheme="minorHAnsi" w:hAnsiTheme="minorHAnsi" w:cstheme="minorBidi"/>
          <w:i/>
          <w:iCs/>
          <w:szCs w:val="22"/>
        </w:rPr>
        <w:t xml:space="preserve"> </w:t>
      </w:r>
      <w:r w:rsidRPr="00D41179">
        <w:rPr>
          <w:rFonts w:asciiTheme="minorHAnsi" w:eastAsiaTheme="minorHAnsi" w:hAnsiTheme="minorHAnsi" w:cstheme="minorBidi"/>
          <w:szCs w:val="22"/>
        </w:rPr>
        <w:t xml:space="preserve">The VE point estimates for individual age strata became variable </w:t>
      </w:r>
      <w:r w:rsidR="004D4FF3" w:rsidRPr="00D41179">
        <w:rPr>
          <w:rFonts w:asciiTheme="minorHAnsi" w:eastAsiaTheme="minorHAnsi" w:hAnsiTheme="minorHAnsi" w:cstheme="minorBidi"/>
          <w:szCs w:val="22"/>
        </w:rPr>
        <w:t>with wide</w:t>
      </w:r>
      <w:r w:rsidR="00BC28DC" w:rsidRPr="00D41179">
        <w:rPr>
          <w:rFonts w:asciiTheme="minorHAnsi" w:eastAsiaTheme="minorHAnsi" w:hAnsiTheme="minorHAnsi" w:cstheme="minorBidi"/>
          <w:szCs w:val="22"/>
        </w:rPr>
        <w:t>r</w:t>
      </w:r>
      <w:r w:rsidR="004D4FF3" w:rsidRPr="00D41179">
        <w:rPr>
          <w:rFonts w:asciiTheme="minorHAnsi" w:eastAsiaTheme="minorHAnsi" w:hAnsiTheme="minorHAnsi" w:cstheme="minorBidi"/>
          <w:szCs w:val="22"/>
        </w:rPr>
        <w:t xml:space="preserve"> confidence</w:t>
      </w:r>
      <w:r w:rsidR="00BC28DC" w:rsidRPr="00D41179">
        <w:rPr>
          <w:rFonts w:asciiTheme="minorHAnsi" w:eastAsiaTheme="minorHAnsi" w:hAnsiTheme="minorHAnsi" w:cstheme="minorBidi"/>
          <w:szCs w:val="22"/>
        </w:rPr>
        <w:t xml:space="preserve"> intervals </w:t>
      </w:r>
      <w:r w:rsidRPr="00D41179">
        <w:rPr>
          <w:rFonts w:asciiTheme="minorHAnsi" w:eastAsiaTheme="minorHAnsi" w:hAnsiTheme="minorHAnsi" w:cstheme="minorBidi"/>
          <w:szCs w:val="22"/>
        </w:rPr>
        <w:t xml:space="preserve">within each additional year of analysis, particularly from year 9 onwards. </w:t>
      </w:r>
      <w:r w:rsidR="004776E6" w:rsidRPr="00D41179">
        <w:rPr>
          <w:rFonts w:asciiTheme="minorHAnsi" w:eastAsiaTheme="minorHAnsi" w:hAnsiTheme="minorHAnsi" w:cstheme="minorBidi"/>
          <w:szCs w:val="22"/>
        </w:rPr>
        <w:t>These f</w:t>
      </w:r>
      <w:r w:rsidR="004776E6" w:rsidRPr="00D41179">
        <w:rPr>
          <w:rFonts w:cstheme="minorHAnsi"/>
          <w:bCs/>
        </w:rPr>
        <w:t>luctuations observed beyond Year 9</w:t>
      </w:r>
      <w:r w:rsidR="00985943" w:rsidRPr="00D41179">
        <w:rPr>
          <w:rFonts w:cstheme="minorHAnsi"/>
          <w:bCs/>
        </w:rPr>
        <w:t xml:space="preserve"> </w:t>
      </w:r>
      <w:r w:rsidR="003158F0" w:rsidRPr="00D41179">
        <w:rPr>
          <w:rFonts w:cstheme="minorHAnsi"/>
          <w:bCs/>
        </w:rPr>
        <w:t>add uncertainty in the interpretation of evidence</w:t>
      </w:r>
      <w:r w:rsidR="003158F0" w:rsidRPr="00D41179">
        <w:rPr>
          <w:rFonts w:cstheme="minorHAnsi"/>
          <w:bCs/>
          <w:i/>
          <w:iCs/>
        </w:rPr>
        <w:t xml:space="preserve">. </w:t>
      </w:r>
      <w:r w:rsidRPr="00D41179">
        <w:rPr>
          <w:rFonts w:asciiTheme="minorHAnsi" w:eastAsiaTheme="minorHAnsi" w:hAnsiTheme="minorHAnsi" w:cstheme="minorBidi"/>
          <w:szCs w:val="22"/>
        </w:rPr>
        <w:t xml:space="preserve">Participant numbers </w:t>
      </w:r>
      <w:r w:rsidR="00777CF1" w:rsidRPr="00D41179">
        <w:rPr>
          <w:rFonts w:asciiTheme="minorHAnsi" w:eastAsiaTheme="minorHAnsi" w:hAnsiTheme="minorHAnsi" w:cstheme="minorBidi"/>
          <w:szCs w:val="22"/>
        </w:rPr>
        <w:t>reduced</w:t>
      </w:r>
      <w:r w:rsidRPr="00D41179">
        <w:rPr>
          <w:rFonts w:asciiTheme="minorHAnsi" w:eastAsiaTheme="minorHAnsi" w:hAnsiTheme="minorHAnsi" w:cstheme="minorBidi"/>
          <w:szCs w:val="22"/>
        </w:rPr>
        <w:t xml:space="preserve"> over time, </w:t>
      </w:r>
      <w:r w:rsidR="008251EE" w:rsidRPr="00D41179">
        <w:rPr>
          <w:rFonts w:asciiTheme="minorHAnsi" w:eastAsiaTheme="minorHAnsi" w:hAnsiTheme="minorHAnsi" w:cstheme="minorBidi"/>
          <w:szCs w:val="22"/>
        </w:rPr>
        <w:t>with</w:t>
      </w:r>
      <w:r w:rsidR="00294858" w:rsidRPr="00D41179">
        <w:rPr>
          <w:rFonts w:asciiTheme="minorHAnsi" w:eastAsiaTheme="minorHAnsi" w:hAnsiTheme="minorHAnsi" w:cstheme="minorBidi"/>
          <w:szCs w:val="22"/>
        </w:rPr>
        <w:t xml:space="preserve"> </w:t>
      </w:r>
      <w:r w:rsidRPr="00D41179">
        <w:rPr>
          <w:rFonts w:asciiTheme="minorHAnsi" w:eastAsiaTheme="minorHAnsi" w:hAnsiTheme="minorHAnsi" w:cstheme="minorBidi"/>
          <w:szCs w:val="22"/>
        </w:rPr>
        <w:t>86.0% remaining at year 10 and 80.6% by year 11.</w:t>
      </w:r>
      <w:r w:rsidRPr="00D41179">
        <w:rPr>
          <w:rFonts w:asciiTheme="minorHAnsi" w:eastAsiaTheme="minorHAnsi" w:hAnsiTheme="minorHAnsi" w:cstheme="minorBidi"/>
          <w:i/>
          <w:iCs/>
          <w:szCs w:val="22"/>
        </w:rPr>
        <w:t xml:space="preserve"> </w:t>
      </w:r>
      <w:r w:rsidRPr="00D41179">
        <w:rPr>
          <w:rFonts w:asciiTheme="minorHAnsi" w:eastAsiaTheme="minorHAnsi" w:hAnsiTheme="minorHAnsi" w:cstheme="minorBidi"/>
          <w:szCs w:val="22"/>
        </w:rPr>
        <w:t>Given the me</w:t>
      </w:r>
      <w:r w:rsidR="00DD35E2" w:rsidRPr="00D41179">
        <w:rPr>
          <w:rFonts w:asciiTheme="minorHAnsi" w:eastAsiaTheme="minorHAnsi" w:hAnsiTheme="minorHAnsi" w:cstheme="minorBidi"/>
          <w:szCs w:val="22"/>
        </w:rPr>
        <w:t>an</w:t>
      </w:r>
      <w:r w:rsidRPr="00D41179">
        <w:rPr>
          <w:rFonts w:asciiTheme="minorHAnsi" w:eastAsiaTheme="minorHAnsi" w:hAnsiTheme="minorHAnsi" w:cstheme="minorBidi"/>
          <w:szCs w:val="22"/>
        </w:rPr>
        <w:t xml:space="preserve"> age at vaccination was 67 years, this was considered consistent with a population approaching around 80 years. The ATAGI </w:t>
      </w:r>
      <w:r w:rsidR="008251EE" w:rsidRPr="00D41179">
        <w:rPr>
          <w:rFonts w:asciiTheme="minorHAnsi" w:eastAsiaTheme="minorHAnsi" w:hAnsiTheme="minorHAnsi" w:cstheme="minorBidi"/>
          <w:szCs w:val="22"/>
        </w:rPr>
        <w:t xml:space="preserve">noted </w:t>
      </w:r>
      <w:r w:rsidRPr="00D41179">
        <w:rPr>
          <w:rFonts w:asciiTheme="minorHAnsi" w:eastAsiaTheme="minorHAnsi" w:hAnsiTheme="minorHAnsi" w:cstheme="minorBidi"/>
          <w:szCs w:val="22"/>
        </w:rPr>
        <w:t xml:space="preserve">the </w:t>
      </w:r>
      <w:r w:rsidR="008251EE" w:rsidRPr="00D41179">
        <w:rPr>
          <w:rFonts w:asciiTheme="minorHAnsi" w:eastAsiaTheme="minorHAnsi" w:hAnsiTheme="minorHAnsi" w:cstheme="minorBidi"/>
          <w:szCs w:val="22"/>
        </w:rPr>
        <w:t>reduction</w:t>
      </w:r>
      <w:r w:rsidRPr="00D41179">
        <w:rPr>
          <w:rFonts w:asciiTheme="minorHAnsi" w:eastAsiaTheme="minorHAnsi" w:hAnsiTheme="minorHAnsi" w:cstheme="minorBidi"/>
          <w:szCs w:val="22"/>
        </w:rPr>
        <w:t xml:space="preserve"> in VE after year 8 and then the apparent re-bound in year 11, and concluded that overall, there was a clear declining trend in VE, with variability in VE at the later time points (April 2025, p59). </w:t>
      </w:r>
      <w:r w:rsidR="00471F7E" w:rsidRPr="00D41179">
        <w:rPr>
          <w:rFonts w:asciiTheme="minorHAnsi" w:eastAsiaTheme="minorHAnsi" w:hAnsiTheme="minorHAnsi" w:cstheme="minorBidi"/>
          <w:szCs w:val="22"/>
        </w:rPr>
        <w:t xml:space="preserve">Additionally, </w:t>
      </w:r>
      <w:r w:rsidRPr="00D41179">
        <w:rPr>
          <w:rFonts w:asciiTheme="minorHAnsi" w:eastAsiaTheme="minorHAnsi" w:hAnsiTheme="minorHAnsi" w:cstheme="minorBidi"/>
          <w:szCs w:val="22"/>
        </w:rPr>
        <w:t>ATAGI noted (April 2025, p43) that the decline between Years 9 and 10 coincided with an increase in HZ cases in the RZV arm (15 cases annually, up from 10 cases in prior years). This is not consistent with the claimed plateau in VE over time</w:t>
      </w:r>
      <w:r w:rsidRPr="00D41179">
        <w:rPr>
          <w:rFonts w:asciiTheme="minorHAnsi" w:eastAsiaTheme="minorHAnsi" w:hAnsiTheme="minorHAnsi" w:cstheme="minorBidi"/>
          <w:i/>
          <w:iCs/>
          <w:szCs w:val="22"/>
        </w:rPr>
        <w:t>.</w:t>
      </w:r>
      <w:bookmarkEnd w:id="29"/>
      <w:bookmarkEnd w:id="30"/>
    </w:p>
    <w:p w14:paraId="63837299" w14:textId="31A96EFA" w:rsidR="00224E1A" w:rsidRPr="00D41179" w:rsidRDefault="00224E1A" w:rsidP="00A64F5D">
      <w:pPr>
        <w:numPr>
          <w:ilvl w:val="1"/>
          <w:numId w:val="8"/>
        </w:numPr>
        <w:spacing w:before="60" w:after="60"/>
        <w:ind w:left="709"/>
        <w:rPr>
          <w:rFonts w:asciiTheme="minorHAnsi" w:eastAsiaTheme="minorHAnsi" w:hAnsiTheme="minorHAnsi" w:cstheme="minorBidi"/>
          <w:szCs w:val="22"/>
        </w:rPr>
      </w:pPr>
      <w:r w:rsidRPr="00D41179">
        <w:rPr>
          <w:rFonts w:asciiTheme="minorHAnsi" w:eastAsiaTheme="minorHAnsi" w:hAnsiTheme="minorHAnsi" w:cstheme="minorBidi"/>
          <w:szCs w:val="22"/>
        </w:rPr>
        <w:t xml:space="preserve">A key issue identified by ATAGI was “There is uncertainty regarding vaccine effectiveness beyond 11.4 years and when a booster dose may be required” (ATAGI </w:t>
      </w:r>
      <w:r w:rsidRPr="00D41179">
        <w:rPr>
          <w:rFonts w:asciiTheme="minorHAnsi" w:eastAsiaTheme="minorHAnsi" w:hAnsiTheme="minorHAnsi" w:cstheme="minorBidi"/>
          <w:szCs w:val="22"/>
        </w:rPr>
        <w:lastRenderedPageBreak/>
        <w:t>advice, April 2025). Th</w:t>
      </w:r>
      <w:r w:rsidR="00F337D3" w:rsidRPr="00D41179">
        <w:rPr>
          <w:rFonts w:asciiTheme="minorHAnsi" w:eastAsiaTheme="minorHAnsi" w:hAnsiTheme="minorHAnsi" w:cstheme="minorBidi"/>
          <w:szCs w:val="22"/>
        </w:rPr>
        <w:t xml:space="preserve">e ESC noted this </w:t>
      </w:r>
      <w:r w:rsidRPr="00D41179">
        <w:rPr>
          <w:rFonts w:asciiTheme="minorHAnsi" w:eastAsiaTheme="minorHAnsi" w:hAnsiTheme="minorHAnsi" w:cstheme="minorBidi"/>
          <w:szCs w:val="22"/>
        </w:rPr>
        <w:t xml:space="preserve">remained an issue for interpretation of the clinical evidence in the evaluation particularly the durability of VE over time. </w:t>
      </w:r>
    </w:p>
    <w:p w14:paraId="0793ADE5" w14:textId="407108DA" w:rsidR="00224E1A" w:rsidRPr="00D41179" w:rsidRDefault="00224E1A" w:rsidP="00A64F5D">
      <w:pPr>
        <w:numPr>
          <w:ilvl w:val="1"/>
          <w:numId w:val="8"/>
        </w:numPr>
        <w:spacing w:before="60" w:after="60"/>
        <w:ind w:left="709"/>
        <w:rPr>
          <w:rFonts w:asciiTheme="minorHAnsi" w:eastAsiaTheme="minorHAnsi" w:hAnsiTheme="minorHAnsi" w:cstheme="minorBidi"/>
          <w:szCs w:val="22"/>
        </w:rPr>
      </w:pPr>
      <w:r w:rsidRPr="00D41179">
        <w:rPr>
          <w:rFonts w:asciiTheme="minorHAnsi" w:eastAsiaTheme="minorHAnsi" w:hAnsiTheme="minorHAnsi" w:cstheme="minorBidi"/>
          <w:szCs w:val="22"/>
        </w:rPr>
        <w:t>PHN and non-PHN complications during the ZOSTER-049 study were rare. Of the 69 HZ cases, five individuals developed complications (4 PHN and 1 disseminated HZ). These complications were observed in adults with an onset of HZ at &gt;75 years and occurred 6-10 years after vaccination.</w:t>
      </w:r>
      <w:r w:rsidRPr="00D41179">
        <w:rPr>
          <w:rFonts w:asciiTheme="minorHAnsi" w:eastAsiaTheme="minorHAnsi" w:hAnsiTheme="minorHAnsi" w:cstheme="minorBidi"/>
          <w:i/>
          <w:iCs/>
          <w:szCs w:val="22"/>
        </w:rPr>
        <w:t xml:space="preserve"> </w:t>
      </w:r>
    </w:p>
    <w:p w14:paraId="4782D68C" w14:textId="312A117D" w:rsidR="00224E1A" w:rsidRPr="00D41179" w:rsidRDefault="00224E1A" w:rsidP="00A64F5D">
      <w:pPr>
        <w:numPr>
          <w:ilvl w:val="1"/>
          <w:numId w:val="8"/>
        </w:numPr>
        <w:spacing w:before="60" w:after="60"/>
        <w:ind w:left="709"/>
        <w:rPr>
          <w:rFonts w:asciiTheme="minorHAnsi" w:eastAsiaTheme="minorHAnsi" w:hAnsiTheme="minorHAnsi" w:cstheme="minorBidi"/>
          <w:iCs/>
          <w:szCs w:val="22"/>
        </w:rPr>
      </w:pPr>
      <w:r w:rsidRPr="00D41179">
        <w:rPr>
          <w:rFonts w:asciiTheme="minorHAnsi" w:eastAsiaTheme="minorHAnsi" w:hAnsiTheme="minorHAnsi" w:cstheme="minorBidi"/>
          <w:szCs w:val="22"/>
        </w:rPr>
        <w:t xml:space="preserve">Results for VE against PHN for the overall population and by age strata for the trial period are presented in </w:t>
      </w:r>
      <w:r w:rsidR="003D4A1E" w:rsidRPr="00D41179">
        <w:rPr>
          <w:rFonts w:asciiTheme="minorHAnsi" w:eastAsiaTheme="minorHAnsi" w:hAnsiTheme="minorHAnsi" w:cstheme="minorBidi"/>
          <w:szCs w:val="22"/>
        </w:rPr>
        <w:fldChar w:fldCharType="begin"/>
      </w:r>
      <w:r w:rsidR="003D4A1E" w:rsidRPr="00D41179">
        <w:rPr>
          <w:rFonts w:asciiTheme="minorHAnsi" w:eastAsiaTheme="minorHAnsi" w:hAnsiTheme="minorHAnsi" w:cstheme="minorBidi"/>
          <w:szCs w:val="22"/>
        </w:rPr>
        <w:instrText xml:space="preserve"> REF _Ref207878450 \h </w:instrText>
      </w:r>
      <w:r w:rsidR="00D41179" w:rsidRPr="00D41179">
        <w:rPr>
          <w:rFonts w:asciiTheme="minorHAnsi" w:eastAsiaTheme="minorHAnsi" w:hAnsiTheme="minorHAnsi" w:cstheme="minorBidi"/>
          <w:szCs w:val="22"/>
        </w:rPr>
        <w:instrText xml:space="preserve"> \* MERGEFORMAT </w:instrText>
      </w:r>
      <w:r w:rsidR="003D4A1E" w:rsidRPr="00D41179">
        <w:rPr>
          <w:rFonts w:asciiTheme="minorHAnsi" w:eastAsiaTheme="minorHAnsi" w:hAnsiTheme="minorHAnsi" w:cstheme="minorBidi"/>
          <w:szCs w:val="22"/>
        </w:rPr>
      </w:r>
      <w:r w:rsidR="003D4A1E" w:rsidRPr="00D41179">
        <w:rPr>
          <w:rFonts w:asciiTheme="minorHAnsi" w:eastAsiaTheme="minorHAnsi" w:hAnsiTheme="minorHAnsi" w:cstheme="minorBidi"/>
          <w:szCs w:val="22"/>
        </w:rPr>
        <w:fldChar w:fldCharType="separate"/>
      </w:r>
      <w:r w:rsidR="00E7345C" w:rsidRPr="00D41179">
        <w:t xml:space="preserve">Table </w:t>
      </w:r>
      <w:r w:rsidR="00E7345C" w:rsidRPr="00D41179">
        <w:rPr>
          <w:noProof/>
        </w:rPr>
        <w:t>6</w:t>
      </w:r>
      <w:r w:rsidR="003D4A1E" w:rsidRPr="00D41179">
        <w:rPr>
          <w:rFonts w:asciiTheme="minorHAnsi" w:eastAsiaTheme="minorHAnsi" w:hAnsiTheme="minorHAnsi" w:cstheme="minorBidi"/>
          <w:szCs w:val="22"/>
        </w:rPr>
        <w:fldChar w:fldCharType="end"/>
      </w:r>
      <w:r w:rsidR="00762AAB" w:rsidRPr="00D41179">
        <w:rPr>
          <w:rFonts w:asciiTheme="minorHAnsi" w:eastAsiaTheme="minorHAnsi" w:hAnsiTheme="minorHAnsi" w:cstheme="minorBidi"/>
          <w:szCs w:val="22"/>
        </w:rPr>
        <w:t xml:space="preserve"> </w:t>
      </w:r>
      <w:r w:rsidRPr="00D41179">
        <w:rPr>
          <w:rFonts w:asciiTheme="minorHAnsi" w:eastAsiaTheme="minorHAnsi" w:hAnsiTheme="minorHAnsi" w:cstheme="minorBidi"/>
          <w:szCs w:val="22"/>
        </w:rPr>
        <w:t>VE</w:t>
      </w:r>
      <w:r w:rsidRPr="00D41179">
        <w:rPr>
          <w:rFonts w:asciiTheme="minorHAnsi" w:eastAsiaTheme="minorHAnsi" w:hAnsiTheme="minorHAnsi" w:cstheme="minorBidi"/>
          <w:szCs w:val="22"/>
          <w:vertAlign w:val="subscript"/>
        </w:rPr>
        <w:t>PHN</w:t>
      </w:r>
      <w:r w:rsidRPr="00D41179">
        <w:rPr>
          <w:rFonts w:asciiTheme="minorHAnsi" w:eastAsiaTheme="minorHAnsi" w:hAnsiTheme="minorHAnsi" w:cstheme="minorBidi"/>
          <w:szCs w:val="22"/>
        </w:rPr>
        <w:t xml:space="preserve"> in participants vaccinated at ≥50 years was 87.5% (95% CI: 64.8, 96.8) during the ZOSTER-049 trial period. VE</w:t>
      </w:r>
      <w:r w:rsidRPr="00D41179">
        <w:rPr>
          <w:rFonts w:asciiTheme="minorHAnsi" w:eastAsiaTheme="minorHAnsi" w:hAnsiTheme="minorHAnsi" w:cstheme="minorBidi"/>
          <w:szCs w:val="22"/>
          <w:vertAlign w:val="subscript"/>
        </w:rPr>
        <w:t>PHN</w:t>
      </w:r>
      <w:r w:rsidRPr="00D41179">
        <w:rPr>
          <w:rFonts w:asciiTheme="minorHAnsi" w:eastAsiaTheme="minorHAnsi" w:hAnsiTheme="minorHAnsi" w:cstheme="minorBidi"/>
          <w:szCs w:val="22"/>
        </w:rPr>
        <w:t xml:space="preserve"> in the 60-69 years cohort was 50.0% (95% CI</w:t>
      </w:r>
      <w:r w:rsidR="00487281" w:rsidRPr="00D41179">
        <w:rPr>
          <w:rFonts w:asciiTheme="minorHAnsi" w:eastAsiaTheme="minorHAnsi" w:hAnsiTheme="minorHAnsi" w:cstheme="minorBidi"/>
          <w:szCs w:val="22"/>
        </w:rPr>
        <w:t>:</w:t>
      </w:r>
      <w:r w:rsidRPr="00D41179">
        <w:rPr>
          <w:rFonts w:asciiTheme="minorHAnsi" w:eastAsiaTheme="minorHAnsi" w:hAnsiTheme="minorHAnsi" w:cstheme="minorBidi"/>
          <w:szCs w:val="22"/>
        </w:rPr>
        <w:t xml:space="preserve"> -860.45, 99.15) in the ZOSTER-049 trial period</w:t>
      </w:r>
      <w:r w:rsidR="002F6591" w:rsidRPr="00D41179">
        <w:rPr>
          <w:rFonts w:asciiTheme="minorHAnsi" w:eastAsiaTheme="minorHAnsi" w:hAnsiTheme="minorHAnsi" w:cstheme="minorBidi"/>
          <w:szCs w:val="22"/>
        </w:rPr>
        <w:t>,</w:t>
      </w:r>
      <w:r w:rsidRPr="00D41179">
        <w:rPr>
          <w:rFonts w:asciiTheme="minorHAnsi" w:eastAsiaTheme="minorHAnsi" w:hAnsiTheme="minorHAnsi" w:cstheme="minorBidi"/>
          <w:szCs w:val="22"/>
        </w:rPr>
        <w:t xml:space="preserve"> noting the point estimate and confidence intervals were affected by there being only one PHN case reported. </w:t>
      </w:r>
      <w:r w:rsidRPr="00D41179">
        <w:rPr>
          <w:rFonts w:asciiTheme="minorHAnsi" w:eastAsiaTheme="minorHAnsi" w:hAnsiTheme="minorHAnsi" w:cstheme="minorBidi"/>
          <w:iCs/>
          <w:szCs w:val="22"/>
        </w:rPr>
        <w:t>Overall, low cases of PHN meant that VE</w:t>
      </w:r>
      <w:r w:rsidRPr="00D41179">
        <w:rPr>
          <w:rFonts w:asciiTheme="minorHAnsi" w:eastAsiaTheme="minorHAnsi" w:hAnsiTheme="minorHAnsi" w:cstheme="minorBidi"/>
          <w:iCs/>
          <w:szCs w:val="22"/>
          <w:vertAlign w:val="subscript"/>
        </w:rPr>
        <w:t>PHN</w:t>
      </w:r>
      <w:r w:rsidRPr="00D41179">
        <w:rPr>
          <w:rFonts w:asciiTheme="minorHAnsi" w:eastAsiaTheme="minorHAnsi" w:hAnsiTheme="minorHAnsi" w:cstheme="minorBidi"/>
          <w:iCs/>
          <w:szCs w:val="22"/>
        </w:rPr>
        <w:t xml:space="preserve"> particularly for the 50-59 YOA and 60-69 YOA strata were variable with wide confidence intervals.</w:t>
      </w:r>
    </w:p>
    <w:p w14:paraId="61703EEF" w14:textId="49AD8850" w:rsidR="00F714D1" w:rsidRPr="00D41179" w:rsidRDefault="00F714D1" w:rsidP="008839FA">
      <w:pPr>
        <w:pStyle w:val="Caption"/>
        <w:rPr>
          <w:rStyle w:val="CommentReference"/>
          <w:b/>
          <w:szCs w:val="24"/>
        </w:rPr>
      </w:pPr>
      <w:bookmarkStart w:id="31" w:name="_Ref207361447"/>
      <w:bookmarkStart w:id="32" w:name="_Ref207878450"/>
      <w:r w:rsidRPr="00D41179">
        <w:t>Table</w:t>
      </w:r>
      <w:bookmarkEnd w:id="31"/>
      <w:r w:rsidR="008839FA" w:rsidRPr="00D41179">
        <w:t xml:space="preserve"> </w:t>
      </w:r>
      <w:r w:rsidRPr="00D41179">
        <w:fldChar w:fldCharType="begin"/>
      </w:r>
      <w:r w:rsidRPr="00D41179">
        <w:instrText>SEQ Table \* ARABIC</w:instrText>
      </w:r>
      <w:r w:rsidRPr="00D41179">
        <w:fldChar w:fldCharType="separate"/>
      </w:r>
      <w:r w:rsidR="00E7345C" w:rsidRPr="00D41179">
        <w:rPr>
          <w:noProof/>
        </w:rPr>
        <w:t>6</w:t>
      </w:r>
      <w:r w:rsidRPr="00D41179">
        <w:fldChar w:fldCharType="end"/>
      </w:r>
      <w:bookmarkEnd w:id="32"/>
      <w:r w:rsidRPr="00D41179">
        <w:t>:</w:t>
      </w:r>
      <w:r w:rsidRPr="00D41179">
        <w:rPr>
          <w:rStyle w:val="CommentReference"/>
          <w:b/>
          <w:szCs w:val="24"/>
        </w:rPr>
        <w:t xml:space="preserve"> </w:t>
      </w:r>
      <w:r w:rsidRPr="00D41179">
        <w:t>VE against PHN (Poisson regression): ZOSTER-049 (</w:t>
      </w:r>
      <w:proofErr w:type="spellStart"/>
      <w:r w:rsidRPr="00D41179">
        <w:t>mTVC</w:t>
      </w:r>
      <w:proofErr w:type="spellEnd"/>
      <w:r w:rsidRPr="00D41179">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Caption w:val="Table 6: VE against PHN (Poisson regression): ZOSTER-049 (mTVC)"/>
      </w:tblPr>
      <w:tblGrid>
        <w:gridCol w:w="1271"/>
        <w:gridCol w:w="851"/>
        <w:gridCol w:w="568"/>
        <w:gridCol w:w="426"/>
        <w:gridCol w:w="849"/>
        <w:gridCol w:w="711"/>
        <w:gridCol w:w="566"/>
        <w:gridCol w:w="426"/>
        <w:gridCol w:w="851"/>
        <w:gridCol w:w="781"/>
        <w:gridCol w:w="1717"/>
      </w:tblGrid>
      <w:tr w:rsidR="00F714D1" w:rsidRPr="00D41179" w14:paraId="7179E65F" w14:textId="77777777">
        <w:trPr>
          <w:cantSplit/>
          <w:tblHeader/>
        </w:trPr>
        <w:tc>
          <w:tcPr>
            <w:tcW w:w="705" w:type="pct"/>
            <w:vMerge w:val="restart"/>
            <w:tcMar>
              <w:top w:w="17" w:type="auto"/>
              <w:left w:w="17" w:type="auto"/>
              <w:bottom w:w="17" w:type="auto"/>
              <w:right w:w="17" w:type="auto"/>
            </w:tcMar>
            <w:vAlign w:val="center"/>
          </w:tcPr>
          <w:p w14:paraId="2A2B3F0D" w14:textId="77777777" w:rsidR="00F714D1" w:rsidRPr="00D41179" w:rsidRDefault="00F714D1">
            <w:pPr>
              <w:pStyle w:val="tabletextNS"/>
              <w:keepNext/>
              <w:rPr>
                <w:rFonts w:cs="Arial"/>
                <w:b/>
                <w:bCs/>
                <w:sz w:val="20"/>
                <w:szCs w:val="20"/>
                <w:lang w:val="en-AU"/>
              </w:rPr>
            </w:pPr>
            <w:r w:rsidRPr="00D41179">
              <w:rPr>
                <w:rFonts w:cs="Arial"/>
                <w:b/>
                <w:bCs/>
                <w:sz w:val="20"/>
                <w:szCs w:val="20"/>
                <w:lang w:val="en-AU"/>
              </w:rPr>
              <w:t>Trial</w:t>
            </w:r>
          </w:p>
        </w:tc>
        <w:tc>
          <w:tcPr>
            <w:tcW w:w="472" w:type="pct"/>
            <w:vMerge w:val="restart"/>
            <w:vAlign w:val="center"/>
          </w:tcPr>
          <w:p w14:paraId="581EA299" w14:textId="77777777" w:rsidR="00F714D1" w:rsidRPr="00D41179" w:rsidRDefault="00F714D1">
            <w:pPr>
              <w:pStyle w:val="tabletextNS"/>
              <w:keepNext/>
              <w:rPr>
                <w:rFonts w:cs="Arial"/>
                <w:sz w:val="20"/>
                <w:szCs w:val="20"/>
                <w:lang w:val="en-AU"/>
              </w:rPr>
            </w:pPr>
            <w:r w:rsidRPr="00D41179">
              <w:rPr>
                <w:b/>
                <w:bCs/>
                <w:sz w:val="20"/>
                <w:szCs w:val="20"/>
                <w:lang w:val="en-AU"/>
              </w:rPr>
              <w:t>Age strata</w:t>
            </w:r>
            <w:r w:rsidRPr="00D41179">
              <w:rPr>
                <w:b/>
                <w:bCs/>
                <w:sz w:val="20"/>
                <w:szCs w:val="20"/>
                <w:vertAlign w:val="superscript"/>
                <w:lang w:val="en-AU"/>
              </w:rPr>
              <w:t>1</w:t>
            </w:r>
          </w:p>
        </w:tc>
        <w:tc>
          <w:tcPr>
            <w:tcW w:w="1416" w:type="pct"/>
            <w:gridSpan w:val="4"/>
            <w:tcMar>
              <w:top w:w="17" w:type="auto"/>
              <w:left w:w="17" w:type="auto"/>
              <w:bottom w:w="17" w:type="auto"/>
              <w:right w:w="17" w:type="auto"/>
            </w:tcMar>
          </w:tcPr>
          <w:p w14:paraId="2A50AF5C" w14:textId="77777777" w:rsidR="00F714D1" w:rsidRPr="00D41179" w:rsidRDefault="00F714D1">
            <w:pPr>
              <w:pStyle w:val="tabletextNS"/>
              <w:keepNext/>
              <w:jc w:val="center"/>
              <w:rPr>
                <w:rFonts w:cs="Arial"/>
                <w:sz w:val="20"/>
                <w:szCs w:val="20"/>
                <w:lang w:val="en-AU"/>
              </w:rPr>
            </w:pPr>
            <w:r w:rsidRPr="00D41179">
              <w:rPr>
                <w:b/>
                <w:bCs/>
                <w:sz w:val="20"/>
                <w:szCs w:val="20"/>
                <w:lang w:val="en-AU"/>
              </w:rPr>
              <w:t>RZV group</w:t>
            </w:r>
            <w:r w:rsidRPr="00D41179">
              <w:rPr>
                <w:b/>
                <w:bCs/>
                <w:sz w:val="20"/>
                <w:szCs w:val="20"/>
                <w:vertAlign w:val="superscript"/>
                <w:lang w:val="en-AU"/>
              </w:rPr>
              <w:t>3</w:t>
            </w:r>
          </w:p>
        </w:tc>
        <w:tc>
          <w:tcPr>
            <w:tcW w:w="1455" w:type="pct"/>
            <w:gridSpan w:val="4"/>
            <w:tcMar>
              <w:top w:w="17" w:type="auto"/>
              <w:left w:w="17" w:type="auto"/>
              <w:bottom w:w="17" w:type="auto"/>
              <w:right w:w="17" w:type="auto"/>
            </w:tcMar>
          </w:tcPr>
          <w:p w14:paraId="746425D9" w14:textId="77777777" w:rsidR="00F714D1" w:rsidRPr="00D41179" w:rsidRDefault="00F714D1">
            <w:pPr>
              <w:pStyle w:val="tabletextNS"/>
              <w:keepNext/>
              <w:jc w:val="center"/>
              <w:rPr>
                <w:rFonts w:cs="Arial"/>
                <w:sz w:val="20"/>
                <w:szCs w:val="20"/>
                <w:lang w:val="en-AU"/>
              </w:rPr>
            </w:pPr>
            <w:r w:rsidRPr="00D41179">
              <w:rPr>
                <w:b/>
                <w:bCs/>
                <w:sz w:val="20"/>
                <w:szCs w:val="20"/>
                <w:lang w:val="en-AU"/>
              </w:rPr>
              <w:t>Historical control</w:t>
            </w:r>
            <w:r w:rsidRPr="00D41179">
              <w:rPr>
                <w:b/>
                <w:bCs/>
                <w:sz w:val="20"/>
                <w:szCs w:val="20"/>
                <w:vertAlign w:val="superscript"/>
                <w:lang w:val="en-AU"/>
              </w:rPr>
              <w:t>4</w:t>
            </w:r>
          </w:p>
        </w:tc>
        <w:tc>
          <w:tcPr>
            <w:tcW w:w="952" w:type="pct"/>
            <w:vMerge w:val="restart"/>
            <w:tcMar>
              <w:top w:w="17" w:type="auto"/>
              <w:left w:w="17" w:type="auto"/>
              <w:bottom w:w="17" w:type="auto"/>
              <w:right w:w="17" w:type="auto"/>
            </w:tcMar>
          </w:tcPr>
          <w:p w14:paraId="410CF656" w14:textId="77777777" w:rsidR="00F714D1" w:rsidRPr="00D41179" w:rsidRDefault="00F714D1">
            <w:pPr>
              <w:pStyle w:val="tabletextNS"/>
              <w:keepNext/>
              <w:jc w:val="center"/>
              <w:rPr>
                <w:rFonts w:cs="Arial"/>
                <w:b/>
                <w:bCs/>
                <w:sz w:val="20"/>
                <w:szCs w:val="20"/>
                <w:lang w:val="en-AU"/>
              </w:rPr>
            </w:pPr>
            <w:r w:rsidRPr="00D41179">
              <w:rPr>
                <w:rFonts w:cs="Arial"/>
                <w:b/>
                <w:bCs/>
                <w:sz w:val="20"/>
                <w:szCs w:val="20"/>
                <w:lang w:val="en-AU"/>
              </w:rPr>
              <w:t>VE</w:t>
            </w:r>
            <w:r w:rsidRPr="00D41179">
              <w:rPr>
                <w:rFonts w:cs="Arial"/>
                <w:b/>
                <w:bCs/>
                <w:sz w:val="20"/>
                <w:szCs w:val="20"/>
                <w:vertAlign w:val="subscript"/>
                <w:lang w:val="en-AU"/>
              </w:rPr>
              <w:t xml:space="preserve">PHN </w:t>
            </w:r>
            <w:r w:rsidRPr="00D41179">
              <w:rPr>
                <w:rFonts w:cs="Arial"/>
                <w:b/>
                <w:bCs/>
                <w:sz w:val="20"/>
                <w:szCs w:val="20"/>
                <w:lang w:val="en-AU"/>
              </w:rPr>
              <w:t xml:space="preserve">% </w:t>
            </w:r>
          </w:p>
          <w:p w14:paraId="29530880" w14:textId="77777777" w:rsidR="00F714D1" w:rsidRPr="00D41179" w:rsidRDefault="00F714D1">
            <w:pPr>
              <w:pStyle w:val="tabletextNS"/>
              <w:keepNext/>
              <w:jc w:val="center"/>
              <w:rPr>
                <w:rFonts w:cs="Arial"/>
                <w:b/>
                <w:bCs/>
                <w:sz w:val="20"/>
                <w:szCs w:val="20"/>
                <w:lang w:val="en-AU"/>
              </w:rPr>
            </w:pPr>
            <w:r w:rsidRPr="00D41179">
              <w:rPr>
                <w:rFonts w:cs="Arial"/>
                <w:b/>
                <w:bCs/>
                <w:sz w:val="20"/>
                <w:szCs w:val="20"/>
                <w:lang w:val="en-AU"/>
              </w:rPr>
              <w:t>(95% CI)</w:t>
            </w:r>
          </w:p>
        </w:tc>
      </w:tr>
      <w:tr w:rsidR="00F714D1" w:rsidRPr="00D41179" w14:paraId="02569001" w14:textId="77777777">
        <w:trPr>
          <w:cantSplit/>
          <w:tblHeader/>
        </w:trPr>
        <w:tc>
          <w:tcPr>
            <w:tcW w:w="705" w:type="pct"/>
            <w:vMerge/>
            <w:tcMar>
              <w:top w:w="17" w:type="auto"/>
              <w:left w:w="17" w:type="auto"/>
              <w:bottom w:w="17" w:type="auto"/>
              <w:right w:w="17" w:type="auto"/>
            </w:tcMar>
          </w:tcPr>
          <w:p w14:paraId="6C87BC7A" w14:textId="77777777" w:rsidR="00F714D1" w:rsidRPr="00D41179" w:rsidRDefault="00F714D1">
            <w:pPr>
              <w:pStyle w:val="tabletextNS"/>
              <w:keepNext/>
              <w:rPr>
                <w:rFonts w:cs="Arial"/>
                <w:sz w:val="20"/>
                <w:szCs w:val="20"/>
                <w:lang w:val="en-AU"/>
              </w:rPr>
            </w:pPr>
          </w:p>
        </w:tc>
        <w:tc>
          <w:tcPr>
            <w:tcW w:w="472" w:type="pct"/>
            <w:vMerge/>
          </w:tcPr>
          <w:p w14:paraId="2E5678CD" w14:textId="77777777" w:rsidR="00F714D1" w:rsidRPr="00D41179" w:rsidRDefault="00F714D1">
            <w:pPr>
              <w:pStyle w:val="tabletextNS"/>
              <w:keepNext/>
              <w:rPr>
                <w:rFonts w:cs="Arial"/>
                <w:sz w:val="20"/>
                <w:szCs w:val="20"/>
                <w:lang w:val="en-AU"/>
              </w:rPr>
            </w:pPr>
          </w:p>
        </w:tc>
        <w:tc>
          <w:tcPr>
            <w:tcW w:w="315" w:type="pct"/>
            <w:tcMar>
              <w:top w:w="17" w:type="auto"/>
              <w:left w:w="17" w:type="auto"/>
              <w:bottom w:w="17" w:type="auto"/>
              <w:right w:w="17" w:type="auto"/>
            </w:tcMar>
          </w:tcPr>
          <w:p w14:paraId="46651A47" w14:textId="77777777" w:rsidR="00F714D1" w:rsidRPr="00D41179" w:rsidRDefault="00F714D1">
            <w:pPr>
              <w:pStyle w:val="tabletextNS"/>
              <w:keepNext/>
              <w:jc w:val="center"/>
              <w:rPr>
                <w:rFonts w:cs="Arial"/>
                <w:sz w:val="20"/>
                <w:szCs w:val="20"/>
                <w:lang w:val="en-AU"/>
              </w:rPr>
            </w:pPr>
            <w:r w:rsidRPr="00D41179">
              <w:rPr>
                <w:b/>
                <w:bCs/>
                <w:sz w:val="20"/>
                <w:szCs w:val="20"/>
                <w:lang w:val="en-AU"/>
              </w:rPr>
              <w:t>N</w:t>
            </w:r>
          </w:p>
        </w:tc>
        <w:tc>
          <w:tcPr>
            <w:tcW w:w="236" w:type="pct"/>
            <w:tcMar>
              <w:top w:w="17" w:type="auto"/>
              <w:left w:w="17" w:type="auto"/>
              <w:bottom w:w="17" w:type="auto"/>
              <w:right w:w="17" w:type="auto"/>
            </w:tcMar>
          </w:tcPr>
          <w:p w14:paraId="2FADEC69" w14:textId="77777777" w:rsidR="00F714D1" w:rsidRPr="00D41179" w:rsidRDefault="00F714D1">
            <w:pPr>
              <w:pStyle w:val="tabletextNS"/>
              <w:keepNext/>
              <w:jc w:val="center"/>
              <w:rPr>
                <w:rFonts w:cs="Arial"/>
                <w:sz w:val="20"/>
                <w:szCs w:val="20"/>
                <w:lang w:val="en-AU"/>
              </w:rPr>
            </w:pPr>
            <w:r w:rsidRPr="00D41179">
              <w:rPr>
                <w:b/>
                <w:bCs/>
                <w:sz w:val="20"/>
                <w:szCs w:val="20"/>
                <w:lang w:val="en-AU"/>
              </w:rPr>
              <w:t>n</w:t>
            </w:r>
          </w:p>
        </w:tc>
        <w:tc>
          <w:tcPr>
            <w:tcW w:w="471" w:type="pct"/>
            <w:tcMar>
              <w:top w:w="17" w:type="auto"/>
              <w:left w:w="17" w:type="auto"/>
              <w:bottom w:w="17" w:type="auto"/>
              <w:right w:w="17" w:type="auto"/>
            </w:tcMar>
          </w:tcPr>
          <w:p w14:paraId="3E535116" w14:textId="77777777" w:rsidR="00F714D1" w:rsidRPr="00D41179" w:rsidRDefault="00F714D1">
            <w:pPr>
              <w:pStyle w:val="tabletextNS"/>
              <w:keepNext/>
              <w:jc w:val="center"/>
              <w:rPr>
                <w:rFonts w:cs="Arial"/>
                <w:sz w:val="20"/>
                <w:szCs w:val="20"/>
                <w:lang w:val="en-AU"/>
              </w:rPr>
            </w:pPr>
            <w:r w:rsidRPr="00D41179">
              <w:rPr>
                <w:b/>
                <w:bCs/>
                <w:sz w:val="20"/>
                <w:szCs w:val="20"/>
                <w:lang w:val="en-AU"/>
              </w:rPr>
              <w:t>T(year)</w:t>
            </w:r>
          </w:p>
        </w:tc>
        <w:tc>
          <w:tcPr>
            <w:tcW w:w="394" w:type="pct"/>
            <w:tcMar>
              <w:top w:w="17" w:type="auto"/>
              <w:left w:w="17" w:type="auto"/>
              <w:bottom w:w="17" w:type="auto"/>
              <w:right w:w="17" w:type="auto"/>
            </w:tcMar>
          </w:tcPr>
          <w:p w14:paraId="1D5A83C6" w14:textId="77777777" w:rsidR="00F714D1" w:rsidRPr="00D41179" w:rsidRDefault="00F714D1">
            <w:pPr>
              <w:pStyle w:val="tabletextNS"/>
              <w:keepNext/>
              <w:jc w:val="center"/>
              <w:rPr>
                <w:rFonts w:cs="Arial"/>
                <w:sz w:val="20"/>
                <w:szCs w:val="20"/>
                <w:lang w:val="en-AU"/>
              </w:rPr>
            </w:pPr>
            <w:r w:rsidRPr="00D41179">
              <w:rPr>
                <w:b/>
                <w:bCs/>
                <w:sz w:val="20"/>
                <w:szCs w:val="20"/>
                <w:lang w:val="en-AU"/>
              </w:rPr>
              <w:t>n/T (per 1000)</w:t>
            </w:r>
          </w:p>
        </w:tc>
        <w:tc>
          <w:tcPr>
            <w:tcW w:w="314" w:type="pct"/>
            <w:tcMar>
              <w:top w:w="17" w:type="auto"/>
              <w:left w:w="17" w:type="auto"/>
              <w:bottom w:w="17" w:type="auto"/>
              <w:right w:w="17" w:type="auto"/>
            </w:tcMar>
          </w:tcPr>
          <w:p w14:paraId="347E010C" w14:textId="77777777" w:rsidR="00F714D1" w:rsidRPr="00D41179" w:rsidRDefault="00F714D1">
            <w:pPr>
              <w:pStyle w:val="tabletextNS"/>
              <w:keepNext/>
              <w:jc w:val="center"/>
              <w:rPr>
                <w:rFonts w:cs="Arial"/>
                <w:sz w:val="20"/>
                <w:szCs w:val="20"/>
                <w:lang w:val="en-AU"/>
              </w:rPr>
            </w:pPr>
            <w:r w:rsidRPr="00D41179">
              <w:rPr>
                <w:b/>
                <w:bCs/>
                <w:sz w:val="20"/>
                <w:szCs w:val="20"/>
                <w:lang w:val="en-AU"/>
              </w:rPr>
              <w:t>N</w:t>
            </w:r>
            <w:r w:rsidRPr="00D41179">
              <w:rPr>
                <w:b/>
                <w:bCs/>
                <w:sz w:val="20"/>
                <w:szCs w:val="20"/>
                <w:vertAlign w:val="superscript"/>
                <w:lang w:val="en-AU"/>
              </w:rPr>
              <w:t>2</w:t>
            </w:r>
          </w:p>
        </w:tc>
        <w:tc>
          <w:tcPr>
            <w:tcW w:w="236" w:type="pct"/>
            <w:tcMar>
              <w:top w:w="17" w:type="auto"/>
              <w:left w:w="17" w:type="auto"/>
              <w:bottom w:w="17" w:type="auto"/>
              <w:right w:w="17" w:type="auto"/>
            </w:tcMar>
          </w:tcPr>
          <w:p w14:paraId="60FAF316" w14:textId="77777777" w:rsidR="00F714D1" w:rsidRPr="00D41179" w:rsidRDefault="00F714D1">
            <w:pPr>
              <w:pStyle w:val="tabletextNS"/>
              <w:keepNext/>
              <w:jc w:val="center"/>
              <w:rPr>
                <w:rFonts w:cs="Arial"/>
                <w:sz w:val="20"/>
                <w:szCs w:val="20"/>
                <w:lang w:val="en-AU"/>
              </w:rPr>
            </w:pPr>
            <w:r w:rsidRPr="00D41179">
              <w:rPr>
                <w:b/>
                <w:bCs/>
                <w:sz w:val="20"/>
                <w:szCs w:val="20"/>
                <w:lang w:val="en-AU"/>
              </w:rPr>
              <w:t>n</w:t>
            </w:r>
          </w:p>
        </w:tc>
        <w:tc>
          <w:tcPr>
            <w:tcW w:w="472" w:type="pct"/>
            <w:tcMar>
              <w:top w:w="17" w:type="auto"/>
              <w:left w:w="17" w:type="auto"/>
              <w:bottom w:w="17" w:type="auto"/>
              <w:right w:w="17" w:type="auto"/>
            </w:tcMar>
          </w:tcPr>
          <w:p w14:paraId="164C8902" w14:textId="77777777" w:rsidR="00F714D1" w:rsidRPr="00D41179" w:rsidRDefault="00F714D1">
            <w:pPr>
              <w:pStyle w:val="tabletextNS"/>
              <w:keepNext/>
              <w:jc w:val="center"/>
              <w:rPr>
                <w:rFonts w:cs="Arial"/>
                <w:sz w:val="20"/>
                <w:szCs w:val="20"/>
                <w:lang w:val="en-AU"/>
              </w:rPr>
            </w:pPr>
            <w:r w:rsidRPr="00D41179">
              <w:rPr>
                <w:b/>
                <w:bCs/>
                <w:sz w:val="20"/>
                <w:szCs w:val="20"/>
                <w:lang w:val="en-AU"/>
              </w:rPr>
              <w:t>T(year)</w:t>
            </w:r>
            <w:r w:rsidRPr="00D41179">
              <w:rPr>
                <w:b/>
                <w:bCs/>
                <w:sz w:val="20"/>
                <w:szCs w:val="20"/>
                <w:vertAlign w:val="superscript"/>
                <w:lang w:val="en-AU"/>
              </w:rPr>
              <w:t>2</w:t>
            </w:r>
          </w:p>
        </w:tc>
        <w:tc>
          <w:tcPr>
            <w:tcW w:w="433" w:type="pct"/>
            <w:tcMar>
              <w:top w:w="17" w:type="auto"/>
              <w:left w:w="17" w:type="auto"/>
              <w:bottom w:w="17" w:type="auto"/>
              <w:right w:w="17" w:type="auto"/>
            </w:tcMar>
          </w:tcPr>
          <w:p w14:paraId="1130C86D" w14:textId="77777777" w:rsidR="00F714D1" w:rsidRPr="00D41179" w:rsidRDefault="00F714D1">
            <w:pPr>
              <w:pStyle w:val="tabletextNS"/>
              <w:keepNext/>
              <w:jc w:val="center"/>
              <w:rPr>
                <w:rFonts w:cs="Arial"/>
                <w:sz w:val="20"/>
                <w:szCs w:val="20"/>
                <w:lang w:val="en-AU"/>
              </w:rPr>
            </w:pPr>
            <w:r w:rsidRPr="00D41179">
              <w:rPr>
                <w:b/>
                <w:bCs/>
                <w:sz w:val="20"/>
                <w:szCs w:val="20"/>
                <w:lang w:val="en-AU"/>
              </w:rPr>
              <w:t>n/T (per 1000)</w:t>
            </w:r>
          </w:p>
        </w:tc>
        <w:tc>
          <w:tcPr>
            <w:tcW w:w="952" w:type="pct"/>
            <w:vMerge/>
            <w:tcMar>
              <w:top w:w="17" w:type="auto"/>
              <w:left w:w="17" w:type="auto"/>
              <w:bottom w:w="17" w:type="auto"/>
              <w:right w:w="17" w:type="auto"/>
            </w:tcMar>
          </w:tcPr>
          <w:p w14:paraId="1785C801" w14:textId="77777777" w:rsidR="00F714D1" w:rsidRPr="00D41179" w:rsidRDefault="00F714D1">
            <w:pPr>
              <w:pStyle w:val="tabletextNS"/>
              <w:keepNext/>
              <w:jc w:val="center"/>
              <w:rPr>
                <w:rFonts w:cs="Arial"/>
                <w:sz w:val="20"/>
                <w:szCs w:val="20"/>
                <w:lang w:val="en-AU"/>
              </w:rPr>
            </w:pPr>
          </w:p>
        </w:tc>
      </w:tr>
      <w:tr w:rsidR="00F714D1" w:rsidRPr="00D41179" w14:paraId="06016706" w14:textId="77777777">
        <w:trPr>
          <w:cantSplit/>
        </w:trPr>
        <w:tc>
          <w:tcPr>
            <w:tcW w:w="5000" w:type="pct"/>
            <w:gridSpan w:val="11"/>
            <w:tcMar>
              <w:top w:w="17" w:type="auto"/>
              <w:left w:w="17" w:type="auto"/>
              <w:bottom w:w="17" w:type="auto"/>
              <w:right w:w="17" w:type="auto"/>
            </w:tcMar>
            <w:vAlign w:val="center"/>
          </w:tcPr>
          <w:p w14:paraId="4DDF2E56" w14:textId="77777777" w:rsidR="00F714D1" w:rsidRPr="00D41179" w:rsidRDefault="00F714D1">
            <w:pPr>
              <w:keepNext/>
              <w:jc w:val="left"/>
              <w:rPr>
                <w:sz w:val="20"/>
                <w:szCs w:val="20"/>
              </w:rPr>
            </w:pPr>
            <w:r w:rsidRPr="00D41179">
              <w:rPr>
                <w:rFonts w:ascii="Arial Narrow" w:hAnsi="Arial Narrow" w:cs="Calibri"/>
                <w:b/>
                <w:bCs/>
                <w:color w:val="000000"/>
                <w:sz w:val="20"/>
                <w:szCs w:val="20"/>
              </w:rPr>
              <w:t>VE</w:t>
            </w:r>
            <w:r w:rsidRPr="00D41179">
              <w:rPr>
                <w:rFonts w:ascii="Arial Narrow" w:hAnsi="Arial Narrow" w:cs="Calibri"/>
                <w:b/>
                <w:bCs/>
                <w:color w:val="000000"/>
                <w:sz w:val="20"/>
                <w:szCs w:val="20"/>
                <w:vertAlign w:val="subscript"/>
              </w:rPr>
              <w:t xml:space="preserve"> </w:t>
            </w:r>
            <w:r w:rsidRPr="00D41179">
              <w:rPr>
                <w:rFonts w:ascii="Arial Narrow" w:hAnsi="Arial Narrow" w:cs="Calibri"/>
                <w:b/>
                <w:bCs/>
                <w:color w:val="000000"/>
                <w:sz w:val="20"/>
                <w:szCs w:val="20"/>
              </w:rPr>
              <w:t>against PHN during ZOSTER-049 (median: 5.6 to 11.4 years post-vaccination)</w:t>
            </w:r>
          </w:p>
        </w:tc>
      </w:tr>
      <w:tr w:rsidR="00F714D1" w:rsidRPr="00D41179" w14:paraId="1D2C1E29" w14:textId="77777777">
        <w:trPr>
          <w:cantSplit/>
        </w:trPr>
        <w:tc>
          <w:tcPr>
            <w:tcW w:w="705" w:type="pct"/>
            <w:vMerge w:val="restart"/>
            <w:tcMar>
              <w:top w:w="17" w:type="auto"/>
              <w:left w:w="17" w:type="auto"/>
              <w:bottom w:w="17" w:type="auto"/>
              <w:right w:w="17" w:type="auto"/>
            </w:tcMar>
          </w:tcPr>
          <w:p w14:paraId="7EDA0A1F" w14:textId="77777777" w:rsidR="00F714D1" w:rsidRPr="00D41179" w:rsidRDefault="00F714D1">
            <w:pPr>
              <w:pStyle w:val="tabletextNS"/>
              <w:keepNext/>
              <w:rPr>
                <w:b/>
                <w:bCs/>
                <w:sz w:val="20"/>
                <w:szCs w:val="20"/>
                <w:lang w:val="en-AU"/>
              </w:rPr>
            </w:pPr>
            <w:r w:rsidRPr="00D41179">
              <w:rPr>
                <w:rFonts w:cs="Calibri"/>
                <w:b/>
                <w:bCs/>
                <w:color w:val="000000"/>
                <w:sz w:val="20"/>
                <w:szCs w:val="20"/>
              </w:rPr>
              <w:t>ZOSTER-049 (</w:t>
            </w:r>
            <w:proofErr w:type="spellStart"/>
            <w:r w:rsidRPr="00D41179">
              <w:rPr>
                <w:rFonts w:cs="Calibri"/>
                <w:b/>
                <w:bCs/>
                <w:color w:val="000000"/>
                <w:sz w:val="20"/>
                <w:szCs w:val="20"/>
              </w:rPr>
              <w:t>mTVC</w:t>
            </w:r>
            <w:proofErr w:type="spellEnd"/>
            <w:r w:rsidRPr="00D41179">
              <w:rPr>
                <w:rFonts w:cs="Calibri"/>
                <w:b/>
                <w:bCs/>
                <w:color w:val="000000"/>
                <w:sz w:val="20"/>
                <w:szCs w:val="20"/>
              </w:rPr>
              <w:t>)</w:t>
            </w:r>
          </w:p>
        </w:tc>
        <w:tc>
          <w:tcPr>
            <w:tcW w:w="472" w:type="pct"/>
          </w:tcPr>
          <w:p w14:paraId="0DC34944" w14:textId="77777777" w:rsidR="00F714D1" w:rsidRPr="00D41179" w:rsidRDefault="00F714D1">
            <w:pPr>
              <w:pStyle w:val="tabletextNS"/>
              <w:keepNext/>
              <w:rPr>
                <w:b/>
                <w:bCs/>
                <w:sz w:val="20"/>
                <w:szCs w:val="20"/>
                <w:lang w:val="en-AU"/>
              </w:rPr>
            </w:pPr>
            <w:r w:rsidRPr="00D41179">
              <w:rPr>
                <w:b/>
                <w:bCs/>
                <w:sz w:val="20"/>
                <w:szCs w:val="20"/>
                <w:lang w:val="en-AU"/>
              </w:rPr>
              <w:t>Overall</w:t>
            </w:r>
          </w:p>
        </w:tc>
        <w:tc>
          <w:tcPr>
            <w:tcW w:w="315" w:type="pct"/>
            <w:tcMar>
              <w:top w:w="17" w:type="auto"/>
              <w:left w:w="17" w:type="auto"/>
              <w:bottom w:w="17" w:type="auto"/>
              <w:right w:w="17" w:type="auto"/>
            </w:tcMar>
          </w:tcPr>
          <w:p w14:paraId="17DE6EE0" w14:textId="77777777" w:rsidR="00F714D1" w:rsidRPr="00D41179" w:rsidRDefault="00F714D1">
            <w:pPr>
              <w:pStyle w:val="tabletextNS"/>
              <w:keepNext/>
              <w:jc w:val="center"/>
              <w:rPr>
                <w:sz w:val="20"/>
                <w:szCs w:val="20"/>
                <w:lang w:val="en-AU"/>
              </w:rPr>
            </w:pPr>
            <w:r w:rsidRPr="00D41179">
              <w:rPr>
                <w:sz w:val="20"/>
                <w:szCs w:val="20"/>
                <w:lang w:val="en-AU"/>
              </w:rPr>
              <w:t>7271</w:t>
            </w:r>
          </w:p>
        </w:tc>
        <w:tc>
          <w:tcPr>
            <w:tcW w:w="236" w:type="pct"/>
            <w:tcMar>
              <w:top w:w="17" w:type="auto"/>
              <w:left w:w="17" w:type="auto"/>
              <w:bottom w:w="17" w:type="auto"/>
              <w:right w:w="17" w:type="auto"/>
            </w:tcMar>
          </w:tcPr>
          <w:p w14:paraId="4B50518E" w14:textId="77777777" w:rsidR="00F714D1" w:rsidRPr="00D41179" w:rsidRDefault="00F714D1">
            <w:pPr>
              <w:pStyle w:val="tabletextNS"/>
              <w:keepNext/>
              <w:jc w:val="center"/>
              <w:rPr>
                <w:sz w:val="20"/>
                <w:szCs w:val="20"/>
                <w:lang w:val="en-AU"/>
              </w:rPr>
            </w:pPr>
            <w:r w:rsidRPr="00D41179">
              <w:rPr>
                <w:sz w:val="20"/>
                <w:szCs w:val="20"/>
                <w:lang w:val="en-AU"/>
              </w:rPr>
              <w:t>4</w:t>
            </w:r>
          </w:p>
        </w:tc>
        <w:tc>
          <w:tcPr>
            <w:tcW w:w="471" w:type="pct"/>
            <w:tcMar>
              <w:top w:w="17" w:type="auto"/>
              <w:left w:w="17" w:type="auto"/>
              <w:bottom w:w="17" w:type="auto"/>
              <w:right w:w="17" w:type="auto"/>
            </w:tcMar>
          </w:tcPr>
          <w:p w14:paraId="635587AE" w14:textId="77777777" w:rsidR="00F714D1" w:rsidRPr="00D41179" w:rsidRDefault="00F714D1">
            <w:pPr>
              <w:pStyle w:val="tabletextNS"/>
              <w:keepNext/>
              <w:jc w:val="center"/>
              <w:rPr>
                <w:sz w:val="20"/>
                <w:szCs w:val="20"/>
                <w:lang w:val="en-AU"/>
              </w:rPr>
            </w:pPr>
            <w:r w:rsidRPr="00D41179">
              <w:rPr>
                <w:sz w:val="20"/>
                <w:szCs w:val="20"/>
                <w:lang w:val="en-AU"/>
              </w:rPr>
              <w:t>39347.3</w:t>
            </w:r>
          </w:p>
        </w:tc>
        <w:tc>
          <w:tcPr>
            <w:tcW w:w="394" w:type="pct"/>
            <w:tcMar>
              <w:top w:w="17" w:type="auto"/>
              <w:left w:w="17" w:type="auto"/>
              <w:bottom w:w="17" w:type="auto"/>
              <w:right w:w="17" w:type="auto"/>
            </w:tcMar>
          </w:tcPr>
          <w:p w14:paraId="634308E8" w14:textId="77777777" w:rsidR="00F714D1" w:rsidRPr="00D41179" w:rsidRDefault="00F714D1">
            <w:pPr>
              <w:pStyle w:val="tabletextNS"/>
              <w:keepNext/>
              <w:jc w:val="center"/>
              <w:rPr>
                <w:sz w:val="20"/>
                <w:szCs w:val="20"/>
                <w:lang w:val="en-AU"/>
              </w:rPr>
            </w:pPr>
            <w:r w:rsidRPr="00D41179">
              <w:rPr>
                <w:sz w:val="20"/>
                <w:szCs w:val="20"/>
                <w:lang w:val="en-AU"/>
              </w:rPr>
              <w:t>0.1</w:t>
            </w:r>
          </w:p>
        </w:tc>
        <w:tc>
          <w:tcPr>
            <w:tcW w:w="314" w:type="pct"/>
            <w:tcMar>
              <w:top w:w="17" w:type="auto"/>
              <w:left w:w="17" w:type="auto"/>
              <w:bottom w:w="17" w:type="auto"/>
              <w:right w:w="17" w:type="auto"/>
            </w:tcMar>
          </w:tcPr>
          <w:p w14:paraId="1DB99F4C" w14:textId="77777777" w:rsidR="00F714D1" w:rsidRPr="00D41179" w:rsidRDefault="00F714D1">
            <w:pPr>
              <w:pStyle w:val="tabletextNS"/>
              <w:keepNext/>
              <w:jc w:val="center"/>
              <w:rPr>
                <w:sz w:val="20"/>
                <w:szCs w:val="20"/>
                <w:lang w:val="en-AU"/>
              </w:rPr>
            </w:pPr>
            <w:r w:rsidRPr="00D41179">
              <w:rPr>
                <w:sz w:val="20"/>
                <w:szCs w:val="20"/>
                <w:lang w:val="en-AU"/>
              </w:rPr>
              <w:t>7271</w:t>
            </w:r>
          </w:p>
        </w:tc>
        <w:tc>
          <w:tcPr>
            <w:tcW w:w="236" w:type="pct"/>
            <w:tcMar>
              <w:top w:w="17" w:type="auto"/>
              <w:left w:w="17" w:type="auto"/>
              <w:bottom w:w="17" w:type="auto"/>
              <w:right w:w="17" w:type="auto"/>
            </w:tcMar>
          </w:tcPr>
          <w:p w14:paraId="7520F97A" w14:textId="77777777" w:rsidR="00F714D1" w:rsidRPr="00D41179" w:rsidRDefault="00F714D1">
            <w:pPr>
              <w:pStyle w:val="tabletextNS"/>
              <w:keepNext/>
              <w:jc w:val="center"/>
              <w:rPr>
                <w:sz w:val="20"/>
                <w:szCs w:val="20"/>
                <w:lang w:val="en-AU"/>
              </w:rPr>
            </w:pPr>
            <w:r w:rsidRPr="00D41179">
              <w:rPr>
                <w:sz w:val="20"/>
                <w:szCs w:val="20"/>
                <w:lang w:val="en-AU"/>
              </w:rPr>
              <w:t>32</w:t>
            </w:r>
          </w:p>
        </w:tc>
        <w:tc>
          <w:tcPr>
            <w:tcW w:w="472" w:type="pct"/>
            <w:tcMar>
              <w:top w:w="17" w:type="auto"/>
              <w:left w:w="17" w:type="auto"/>
              <w:bottom w:w="17" w:type="auto"/>
              <w:right w:w="17" w:type="auto"/>
            </w:tcMar>
          </w:tcPr>
          <w:p w14:paraId="0D0FB97B" w14:textId="77777777" w:rsidR="00F714D1" w:rsidRPr="00D41179" w:rsidRDefault="00F714D1">
            <w:pPr>
              <w:pStyle w:val="tabletextNS"/>
              <w:keepNext/>
              <w:jc w:val="center"/>
              <w:rPr>
                <w:sz w:val="20"/>
                <w:szCs w:val="20"/>
                <w:lang w:val="en-AU"/>
              </w:rPr>
            </w:pPr>
            <w:r w:rsidRPr="00D41179">
              <w:rPr>
                <w:sz w:val="20"/>
                <w:szCs w:val="20"/>
                <w:lang w:val="en-AU"/>
              </w:rPr>
              <w:t>39347.3</w:t>
            </w:r>
          </w:p>
        </w:tc>
        <w:tc>
          <w:tcPr>
            <w:tcW w:w="433" w:type="pct"/>
            <w:tcMar>
              <w:top w:w="17" w:type="auto"/>
              <w:left w:w="17" w:type="auto"/>
              <w:bottom w:w="17" w:type="auto"/>
              <w:right w:w="17" w:type="auto"/>
            </w:tcMar>
          </w:tcPr>
          <w:p w14:paraId="2F4B5669" w14:textId="77777777" w:rsidR="00F714D1" w:rsidRPr="00D41179" w:rsidRDefault="00F714D1">
            <w:pPr>
              <w:pStyle w:val="tabletextNS"/>
              <w:keepNext/>
              <w:jc w:val="center"/>
              <w:rPr>
                <w:sz w:val="20"/>
                <w:szCs w:val="20"/>
                <w:lang w:val="en-AU"/>
              </w:rPr>
            </w:pPr>
            <w:r w:rsidRPr="00D41179">
              <w:rPr>
                <w:sz w:val="20"/>
                <w:szCs w:val="20"/>
                <w:lang w:val="en-AU"/>
              </w:rPr>
              <w:t>0.8</w:t>
            </w:r>
          </w:p>
        </w:tc>
        <w:tc>
          <w:tcPr>
            <w:tcW w:w="952" w:type="pct"/>
            <w:tcMar>
              <w:top w:w="17" w:type="auto"/>
              <w:left w:w="17" w:type="auto"/>
              <w:bottom w:w="17" w:type="auto"/>
              <w:right w:w="17" w:type="auto"/>
            </w:tcMar>
          </w:tcPr>
          <w:p w14:paraId="783ED2DB" w14:textId="77777777" w:rsidR="00F714D1" w:rsidRPr="00D41179" w:rsidRDefault="00F714D1">
            <w:pPr>
              <w:pStyle w:val="tabletextNS"/>
              <w:keepNext/>
              <w:jc w:val="center"/>
              <w:rPr>
                <w:sz w:val="20"/>
                <w:szCs w:val="20"/>
                <w:lang w:val="en-AU"/>
              </w:rPr>
            </w:pPr>
            <w:r w:rsidRPr="00D41179">
              <w:rPr>
                <w:sz w:val="20"/>
                <w:szCs w:val="20"/>
                <w:lang w:val="en-AU"/>
              </w:rPr>
              <w:t>87.50 (64.75, 96.79)</w:t>
            </w:r>
          </w:p>
        </w:tc>
      </w:tr>
      <w:tr w:rsidR="00F714D1" w:rsidRPr="00D41179" w14:paraId="6FD349CC" w14:textId="77777777">
        <w:trPr>
          <w:cantSplit/>
        </w:trPr>
        <w:tc>
          <w:tcPr>
            <w:tcW w:w="705" w:type="pct"/>
            <w:vMerge/>
            <w:tcMar>
              <w:top w:w="17" w:type="auto"/>
              <w:left w:w="17" w:type="auto"/>
              <w:bottom w:w="17" w:type="auto"/>
              <w:right w:w="17" w:type="auto"/>
            </w:tcMar>
          </w:tcPr>
          <w:p w14:paraId="408DD573" w14:textId="77777777" w:rsidR="00F714D1" w:rsidRPr="00D41179" w:rsidRDefault="00F714D1">
            <w:pPr>
              <w:pStyle w:val="tabletextNS"/>
              <w:keepNext/>
              <w:rPr>
                <w:rFonts w:cs="Arial"/>
                <w:b/>
                <w:bCs/>
                <w:sz w:val="20"/>
                <w:szCs w:val="20"/>
                <w:lang w:val="en-AU"/>
              </w:rPr>
            </w:pPr>
          </w:p>
        </w:tc>
        <w:tc>
          <w:tcPr>
            <w:tcW w:w="472" w:type="pct"/>
          </w:tcPr>
          <w:p w14:paraId="1C426C5B" w14:textId="77777777" w:rsidR="00F714D1" w:rsidRPr="00D41179" w:rsidRDefault="00F714D1">
            <w:pPr>
              <w:pStyle w:val="tabletextNS"/>
              <w:keepNext/>
              <w:rPr>
                <w:rFonts w:cs="Arial"/>
                <w:b/>
                <w:bCs/>
                <w:sz w:val="20"/>
                <w:szCs w:val="20"/>
                <w:lang w:val="en-AU"/>
              </w:rPr>
            </w:pPr>
            <w:r w:rsidRPr="00D41179">
              <w:rPr>
                <w:b/>
                <w:bCs/>
                <w:sz w:val="20"/>
                <w:szCs w:val="20"/>
                <w:lang w:val="en-AU"/>
              </w:rPr>
              <w:t>50-59</w:t>
            </w:r>
          </w:p>
        </w:tc>
        <w:tc>
          <w:tcPr>
            <w:tcW w:w="315" w:type="pct"/>
            <w:tcMar>
              <w:top w:w="17" w:type="auto"/>
              <w:left w:w="17" w:type="auto"/>
              <w:bottom w:w="17" w:type="auto"/>
              <w:right w:w="17" w:type="auto"/>
            </w:tcMar>
          </w:tcPr>
          <w:p w14:paraId="3B438ECA" w14:textId="77777777" w:rsidR="00F714D1" w:rsidRPr="00D41179" w:rsidRDefault="00F714D1">
            <w:pPr>
              <w:pStyle w:val="tabletextNS"/>
              <w:keepNext/>
              <w:jc w:val="center"/>
              <w:rPr>
                <w:rFonts w:cs="Arial"/>
                <w:sz w:val="20"/>
                <w:szCs w:val="20"/>
                <w:lang w:val="en-AU"/>
              </w:rPr>
            </w:pPr>
            <w:r w:rsidRPr="00D41179">
              <w:rPr>
                <w:sz w:val="20"/>
                <w:szCs w:val="20"/>
                <w:lang w:val="en-AU"/>
              </w:rPr>
              <w:t>2046</w:t>
            </w:r>
          </w:p>
        </w:tc>
        <w:tc>
          <w:tcPr>
            <w:tcW w:w="236" w:type="pct"/>
            <w:tcMar>
              <w:top w:w="17" w:type="auto"/>
              <w:left w:w="17" w:type="auto"/>
              <w:bottom w:w="17" w:type="auto"/>
              <w:right w:w="17" w:type="auto"/>
            </w:tcMar>
          </w:tcPr>
          <w:p w14:paraId="29C9A9E9" w14:textId="77777777" w:rsidR="00F714D1" w:rsidRPr="00D41179" w:rsidRDefault="00F714D1">
            <w:pPr>
              <w:pStyle w:val="tabletextNS"/>
              <w:keepNext/>
              <w:jc w:val="center"/>
              <w:rPr>
                <w:rFonts w:cs="Arial"/>
                <w:sz w:val="20"/>
                <w:szCs w:val="20"/>
                <w:lang w:val="en-AU"/>
              </w:rPr>
            </w:pPr>
            <w:r w:rsidRPr="00D41179">
              <w:rPr>
                <w:sz w:val="20"/>
                <w:szCs w:val="20"/>
                <w:lang w:val="en-AU"/>
              </w:rPr>
              <w:t>0</w:t>
            </w:r>
          </w:p>
        </w:tc>
        <w:tc>
          <w:tcPr>
            <w:tcW w:w="471" w:type="pct"/>
            <w:tcMar>
              <w:top w:w="17" w:type="auto"/>
              <w:left w:w="17" w:type="auto"/>
              <w:bottom w:w="17" w:type="auto"/>
              <w:right w:w="17" w:type="auto"/>
            </w:tcMar>
          </w:tcPr>
          <w:p w14:paraId="388810E8" w14:textId="77777777" w:rsidR="00F714D1" w:rsidRPr="00D41179" w:rsidRDefault="00F714D1">
            <w:pPr>
              <w:pStyle w:val="tabletextNS"/>
              <w:keepNext/>
              <w:jc w:val="center"/>
              <w:rPr>
                <w:rFonts w:cs="Arial"/>
                <w:sz w:val="20"/>
                <w:szCs w:val="20"/>
                <w:lang w:val="en-AU"/>
              </w:rPr>
            </w:pPr>
            <w:r w:rsidRPr="00D41179">
              <w:rPr>
                <w:sz w:val="20"/>
                <w:szCs w:val="20"/>
                <w:lang w:val="en-AU"/>
              </w:rPr>
              <w:t>11795.6</w:t>
            </w:r>
          </w:p>
        </w:tc>
        <w:tc>
          <w:tcPr>
            <w:tcW w:w="394" w:type="pct"/>
            <w:tcMar>
              <w:top w:w="17" w:type="auto"/>
              <w:left w:w="17" w:type="auto"/>
              <w:bottom w:w="17" w:type="auto"/>
              <w:right w:w="17" w:type="auto"/>
            </w:tcMar>
          </w:tcPr>
          <w:p w14:paraId="56FD7623" w14:textId="77777777" w:rsidR="00F714D1" w:rsidRPr="00D41179" w:rsidRDefault="00F714D1">
            <w:pPr>
              <w:pStyle w:val="tabletextNS"/>
              <w:keepNext/>
              <w:jc w:val="center"/>
              <w:rPr>
                <w:rFonts w:cs="Arial"/>
                <w:sz w:val="20"/>
                <w:szCs w:val="20"/>
                <w:lang w:val="en-AU"/>
              </w:rPr>
            </w:pPr>
            <w:r w:rsidRPr="00D41179">
              <w:rPr>
                <w:sz w:val="20"/>
                <w:szCs w:val="20"/>
                <w:lang w:val="en-AU"/>
              </w:rPr>
              <w:t>0.0</w:t>
            </w:r>
          </w:p>
        </w:tc>
        <w:tc>
          <w:tcPr>
            <w:tcW w:w="314" w:type="pct"/>
            <w:tcMar>
              <w:top w:w="17" w:type="auto"/>
              <w:left w:w="17" w:type="auto"/>
              <w:bottom w:w="17" w:type="auto"/>
              <w:right w:w="17" w:type="auto"/>
            </w:tcMar>
          </w:tcPr>
          <w:p w14:paraId="54A9FF18" w14:textId="77777777" w:rsidR="00F714D1" w:rsidRPr="00D41179" w:rsidRDefault="00F714D1">
            <w:pPr>
              <w:pStyle w:val="tabletextNS"/>
              <w:keepNext/>
              <w:jc w:val="center"/>
              <w:rPr>
                <w:rFonts w:cs="Arial"/>
                <w:sz w:val="20"/>
                <w:szCs w:val="20"/>
                <w:lang w:val="en-AU"/>
              </w:rPr>
            </w:pPr>
            <w:r w:rsidRPr="00D41179">
              <w:rPr>
                <w:sz w:val="20"/>
                <w:szCs w:val="20"/>
                <w:lang w:val="en-AU"/>
              </w:rPr>
              <w:t>2046</w:t>
            </w:r>
          </w:p>
        </w:tc>
        <w:tc>
          <w:tcPr>
            <w:tcW w:w="236" w:type="pct"/>
            <w:tcMar>
              <w:top w:w="17" w:type="auto"/>
              <w:left w:w="17" w:type="auto"/>
              <w:bottom w:w="17" w:type="auto"/>
              <w:right w:w="17" w:type="auto"/>
            </w:tcMar>
          </w:tcPr>
          <w:p w14:paraId="18AC2884" w14:textId="77777777" w:rsidR="00F714D1" w:rsidRPr="00D41179" w:rsidRDefault="00F714D1">
            <w:pPr>
              <w:pStyle w:val="tabletextNS"/>
              <w:keepNext/>
              <w:jc w:val="center"/>
              <w:rPr>
                <w:rFonts w:cs="Arial"/>
                <w:sz w:val="20"/>
                <w:szCs w:val="20"/>
                <w:lang w:val="en-AU"/>
              </w:rPr>
            </w:pPr>
            <w:r w:rsidRPr="00D41179">
              <w:rPr>
                <w:sz w:val="20"/>
                <w:szCs w:val="20"/>
                <w:lang w:val="en-AU"/>
              </w:rPr>
              <w:t>7</w:t>
            </w:r>
          </w:p>
        </w:tc>
        <w:tc>
          <w:tcPr>
            <w:tcW w:w="472" w:type="pct"/>
            <w:tcMar>
              <w:top w:w="17" w:type="auto"/>
              <w:left w:w="17" w:type="auto"/>
              <w:bottom w:w="17" w:type="auto"/>
              <w:right w:w="17" w:type="auto"/>
            </w:tcMar>
          </w:tcPr>
          <w:p w14:paraId="1F9B1FE7" w14:textId="77777777" w:rsidR="00F714D1" w:rsidRPr="00D41179" w:rsidRDefault="00F714D1">
            <w:pPr>
              <w:pStyle w:val="tabletextNS"/>
              <w:keepNext/>
              <w:jc w:val="center"/>
              <w:rPr>
                <w:rFonts w:cs="Arial"/>
                <w:sz w:val="20"/>
                <w:szCs w:val="20"/>
                <w:lang w:val="en-AU"/>
              </w:rPr>
            </w:pPr>
            <w:r w:rsidRPr="00D41179">
              <w:rPr>
                <w:sz w:val="20"/>
                <w:szCs w:val="20"/>
                <w:lang w:val="en-AU"/>
              </w:rPr>
              <w:t>11795.6</w:t>
            </w:r>
          </w:p>
        </w:tc>
        <w:tc>
          <w:tcPr>
            <w:tcW w:w="433" w:type="pct"/>
            <w:tcMar>
              <w:top w:w="17" w:type="auto"/>
              <w:left w:w="17" w:type="auto"/>
              <w:bottom w:w="17" w:type="auto"/>
              <w:right w:w="17" w:type="auto"/>
            </w:tcMar>
          </w:tcPr>
          <w:p w14:paraId="1D23B37E" w14:textId="77777777" w:rsidR="00F714D1" w:rsidRPr="00D41179" w:rsidRDefault="00F714D1">
            <w:pPr>
              <w:pStyle w:val="tabletextNS"/>
              <w:keepNext/>
              <w:jc w:val="center"/>
              <w:rPr>
                <w:rFonts w:cs="Arial"/>
                <w:sz w:val="20"/>
                <w:szCs w:val="20"/>
                <w:lang w:val="en-AU"/>
              </w:rPr>
            </w:pPr>
            <w:r w:rsidRPr="00D41179">
              <w:rPr>
                <w:sz w:val="20"/>
                <w:szCs w:val="20"/>
                <w:lang w:val="en-AU"/>
              </w:rPr>
              <w:t>0.6</w:t>
            </w:r>
          </w:p>
        </w:tc>
        <w:tc>
          <w:tcPr>
            <w:tcW w:w="952" w:type="pct"/>
            <w:tcMar>
              <w:top w:w="17" w:type="auto"/>
              <w:left w:w="17" w:type="auto"/>
              <w:bottom w:w="17" w:type="auto"/>
              <w:right w:w="17" w:type="auto"/>
            </w:tcMar>
          </w:tcPr>
          <w:p w14:paraId="7DA9A2B1" w14:textId="77777777" w:rsidR="00F714D1" w:rsidRPr="00D41179" w:rsidRDefault="00F714D1">
            <w:pPr>
              <w:pStyle w:val="tabletextNS"/>
              <w:keepNext/>
              <w:jc w:val="center"/>
              <w:rPr>
                <w:rFonts w:cs="Arial"/>
                <w:sz w:val="20"/>
                <w:szCs w:val="20"/>
                <w:lang w:val="en-AU"/>
              </w:rPr>
            </w:pPr>
            <w:r w:rsidRPr="00D41179">
              <w:rPr>
                <w:sz w:val="20"/>
                <w:szCs w:val="20"/>
                <w:lang w:val="en-AU"/>
              </w:rPr>
              <w:t>100.00 (46.59, 100.00)</w:t>
            </w:r>
          </w:p>
        </w:tc>
      </w:tr>
      <w:tr w:rsidR="00F714D1" w:rsidRPr="00D41179" w14:paraId="05FDD250" w14:textId="77777777">
        <w:trPr>
          <w:cantSplit/>
        </w:trPr>
        <w:tc>
          <w:tcPr>
            <w:tcW w:w="705" w:type="pct"/>
            <w:vMerge/>
            <w:tcMar>
              <w:top w:w="17" w:type="auto"/>
              <w:left w:w="17" w:type="auto"/>
              <w:bottom w:w="17" w:type="auto"/>
              <w:right w:w="17" w:type="auto"/>
            </w:tcMar>
          </w:tcPr>
          <w:p w14:paraId="17C30DB9" w14:textId="77777777" w:rsidR="00F714D1" w:rsidRPr="00D41179" w:rsidRDefault="00F714D1">
            <w:pPr>
              <w:pStyle w:val="tabletextNS"/>
              <w:keepNext/>
              <w:rPr>
                <w:rFonts w:cs="Arial"/>
                <w:b/>
                <w:bCs/>
                <w:sz w:val="20"/>
                <w:szCs w:val="20"/>
                <w:lang w:val="en-AU"/>
              </w:rPr>
            </w:pPr>
          </w:p>
        </w:tc>
        <w:tc>
          <w:tcPr>
            <w:tcW w:w="472" w:type="pct"/>
          </w:tcPr>
          <w:p w14:paraId="30F23A5D" w14:textId="77777777" w:rsidR="00F714D1" w:rsidRPr="00D41179" w:rsidRDefault="00F714D1">
            <w:pPr>
              <w:pStyle w:val="tabletextNS"/>
              <w:keepNext/>
              <w:rPr>
                <w:rFonts w:cs="Arial"/>
                <w:b/>
                <w:bCs/>
                <w:sz w:val="20"/>
                <w:szCs w:val="20"/>
                <w:lang w:val="en-AU"/>
              </w:rPr>
            </w:pPr>
            <w:r w:rsidRPr="00D41179">
              <w:rPr>
                <w:b/>
                <w:bCs/>
                <w:sz w:val="20"/>
                <w:szCs w:val="20"/>
                <w:lang w:val="en-AU"/>
              </w:rPr>
              <w:t>60-69</w:t>
            </w:r>
          </w:p>
        </w:tc>
        <w:tc>
          <w:tcPr>
            <w:tcW w:w="315" w:type="pct"/>
            <w:tcMar>
              <w:top w:w="17" w:type="auto"/>
              <w:left w:w="17" w:type="auto"/>
              <w:bottom w:w="17" w:type="auto"/>
              <w:right w:w="17" w:type="auto"/>
            </w:tcMar>
          </w:tcPr>
          <w:p w14:paraId="57B5D88D" w14:textId="77777777" w:rsidR="00F714D1" w:rsidRPr="00D41179" w:rsidRDefault="00F714D1">
            <w:pPr>
              <w:pStyle w:val="tabletextNS"/>
              <w:keepNext/>
              <w:jc w:val="center"/>
              <w:rPr>
                <w:rFonts w:cs="Arial"/>
                <w:sz w:val="20"/>
                <w:szCs w:val="20"/>
                <w:lang w:val="en-AU"/>
              </w:rPr>
            </w:pPr>
            <w:r w:rsidRPr="00D41179">
              <w:rPr>
                <w:sz w:val="20"/>
                <w:szCs w:val="20"/>
                <w:lang w:val="en-AU"/>
              </w:rPr>
              <w:t>1243</w:t>
            </w:r>
          </w:p>
        </w:tc>
        <w:tc>
          <w:tcPr>
            <w:tcW w:w="236" w:type="pct"/>
            <w:tcMar>
              <w:top w:w="17" w:type="auto"/>
              <w:left w:w="17" w:type="auto"/>
              <w:bottom w:w="17" w:type="auto"/>
              <w:right w:w="17" w:type="auto"/>
            </w:tcMar>
          </w:tcPr>
          <w:p w14:paraId="76418019" w14:textId="77777777" w:rsidR="00F714D1" w:rsidRPr="00D41179" w:rsidRDefault="00F714D1">
            <w:pPr>
              <w:pStyle w:val="tabletextNS"/>
              <w:keepNext/>
              <w:jc w:val="center"/>
              <w:rPr>
                <w:rFonts w:cs="Arial"/>
                <w:sz w:val="20"/>
                <w:szCs w:val="20"/>
                <w:lang w:val="en-AU"/>
              </w:rPr>
            </w:pPr>
            <w:r w:rsidRPr="00D41179">
              <w:rPr>
                <w:sz w:val="20"/>
                <w:szCs w:val="20"/>
                <w:lang w:val="en-AU"/>
              </w:rPr>
              <w:t>1</w:t>
            </w:r>
          </w:p>
        </w:tc>
        <w:tc>
          <w:tcPr>
            <w:tcW w:w="471" w:type="pct"/>
            <w:tcMar>
              <w:top w:w="17" w:type="auto"/>
              <w:left w:w="17" w:type="auto"/>
              <w:bottom w:w="17" w:type="auto"/>
              <w:right w:w="17" w:type="auto"/>
            </w:tcMar>
          </w:tcPr>
          <w:p w14:paraId="49DC27FB" w14:textId="77777777" w:rsidR="00F714D1" w:rsidRPr="00D41179" w:rsidRDefault="00F714D1">
            <w:pPr>
              <w:pStyle w:val="tabletextNS"/>
              <w:keepNext/>
              <w:jc w:val="center"/>
              <w:rPr>
                <w:rFonts w:cs="Arial"/>
                <w:sz w:val="20"/>
                <w:szCs w:val="20"/>
                <w:lang w:val="en-AU"/>
              </w:rPr>
            </w:pPr>
            <w:r w:rsidRPr="00D41179">
              <w:rPr>
                <w:sz w:val="20"/>
                <w:szCs w:val="20"/>
                <w:lang w:val="en-AU"/>
              </w:rPr>
              <w:t>6986.1</w:t>
            </w:r>
          </w:p>
        </w:tc>
        <w:tc>
          <w:tcPr>
            <w:tcW w:w="394" w:type="pct"/>
            <w:tcMar>
              <w:top w:w="17" w:type="auto"/>
              <w:left w:w="17" w:type="auto"/>
              <w:bottom w:w="17" w:type="auto"/>
              <w:right w:w="17" w:type="auto"/>
            </w:tcMar>
          </w:tcPr>
          <w:p w14:paraId="1DF6AD6A" w14:textId="77777777" w:rsidR="00F714D1" w:rsidRPr="00D41179" w:rsidRDefault="00F714D1">
            <w:pPr>
              <w:pStyle w:val="tabletextNS"/>
              <w:keepNext/>
              <w:jc w:val="center"/>
              <w:rPr>
                <w:rFonts w:cs="Arial"/>
                <w:sz w:val="20"/>
                <w:szCs w:val="20"/>
                <w:lang w:val="en-AU"/>
              </w:rPr>
            </w:pPr>
            <w:r w:rsidRPr="00D41179">
              <w:rPr>
                <w:sz w:val="20"/>
                <w:szCs w:val="20"/>
                <w:lang w:val="en-AU"/>
              </w:rPr>
              <w:t>0.1</w:t>
            </w:r>
          </w:p>
        </w:tc>
        <w:tc>
          <w:tcPr>
            <w:tcW w:w="314" w:type="pct"/>
            <w:tcMar>
              <w:top w:w="17" w:type="auto"/>
              <w:left w:w="17" w:type="auto"/>
              <w:bottom w:w="17" w:type="auto"/>
              <w:right w:w="17" w:type="auto"/>
            </w:tcMar>
          </w:tcPr>
          <w:p w14:paraId="1B677E32" w14:textId="77777777" w:rsidR="00F714D1" w:rsidRPr="00D41179" w:rsidRDefault="00F714D1">
            <w:pPr>
              <w:pStyle w:val="tabletextNS"/>
              <w:keepNext/>
              <w:jc w:val="center"/>
              <w:rPr>
                <w:rFonts w:cs="Arial"/>
                <w:sz w:val="20"/>
                <w:szCs w:val="20"/>
                <w:lang w:val="en-AU"/>
              </w:rPr>
            </w:pPr>
            <w:r w:rsidRPr="00D41179">
              <w:rPr>
                <w:sz w:val="20"/>
                <w:szCs w:val="20"/>
                <w:lang w:val="en-AU"/>
              </w:rPr>
              <w:t>1243</w:t>
            </w:r>
          </w:p>
        </w:tc>
        <w:tc>
          <w:tcPr>
            <w:tcW w:w="236" w:type="pct"/>
            <w:tcMar>
              <w:top w:w="17" w:type="auto"/>
              <w:left w:w="17" w:type="auto"/>
              <w:bottom w:w="17" w:type="auto"/>
              <w:right w:w="17" w:type="auto"/>
            </w:tcMar>
          </w:tcPr>
          <w:p w14:paraId="6C6110F7" w14:textId="77777777" w:rsidR="00F714D1" w:rsidRPr="00D41179" w:rsidRDefault="00F714D1">
            <w:pPr>
              <w:pStyle w:val="tabletextNS"/>
              <w:keepNext/>
              <w:jc w:val="center"/>
              <w:rPr>
                <w:rFonts w:cs="Arial"/>
                <w:sz w:val="20"/>
                <w:szCs w:val="20"/>
                <w:lang w:val="en-AU"/>
              </w:rPr>
            </w:pPr>
            <w:r w:rsidRPr="00D41179">
              <w:rPr>
                <w:sz w:val="20"/>
                <w:szCs w:val="20"/>
                <w:lang w:val="en-AU"/>
              </w:rPr>
              <w:t>2</w:t>
            </w:r>
          </w:p>
        </w:tc>
        <w:tc>
          <w:tcPr>
            <w:tcW w:w="472" w:type="pct"/>
            <w:tcMar>
              <w:top w:w="17" w:type="auto"/>
              <w:left w:w="17" w:type="auto"/>
              <w:bottom w:w="17" w:type="auto"/>
              <w:right w:w="17" w:type="auto"/>
            </w:tcMar>
          </w:tcPr>
          <w:p w14:paraId="62D4B489" w14:textId="77777777" w:rsidR="00F714D1" w:rsidRPr="00D41179" w:rsidRDefault="00F714D1">
            <w:pPr>
              <w:pStyle w:val="tabletextNS"/>
              <w:keepNext/>
              <w:jc w:val="center"/>
              <w:rPr>
                <w:rFonts w:cs="Arial"/>
                <w:sz w:val="20"/>
                <w:szCs w:val="20"/>
                <w:lang w:val="en-AU"/>
              </w:rPr>
            </w:pPr>
            <w:r w:rsidRPr="00D41179">
              <w:rPr>
                <w:sz w:val="20"/>
                <w:szCs w:val="20"/>
                <w:lang w:val="en-AU"/>
              </w:rPr>
              <w:t>6986.1</w:t>
            </w:r>
          </w:p>
        </w:tc>
        <w:tc>
          <w:tcPr>
            <w:tcW w:w="433" w:type="pct"/>
            <w:tcMar>
              <w:top w:w="17" w:type="auto"/>
              <w:left w:w="17" w:type="auto"/>
              <w:bottom w:w="17" w:type="auto"/>
              <w:right w:w="17" w:type="auto"/>
            </w:tcMar>
          </w:tcPr>
          <w:p w14:paraId="151EDFB0" w14:textId="77777777" w:rsidR="00F714D1" w:rsidRPr="00D41179" w:rsidRDefault="00F714D1">
            <w:pPr>
              <w:pStyle w:val="tabletextNS"/>
              <w:keepNext/>
              <w:jc w:val="center"/>
              <w:rPr>
                <w:rFonts w:cs="Arial"/>
                <w:sz w:val="20"/>
                <w:szCs w:val="20"/>
                <w:lang w:val="en-AU"/>
              </w:rPr>
            </w:pPr>
            <w:r w:rsidRPr="00D41179">
              <w:rPr>
                <w:sz w:val="20"/>
                <w:szCs w:val="20"/>
                <w:lang w:val="en-AU"/>
              </w:rPr>
              <w:t>0.3</w:t>
            </w:r>
          </w:p>
        </w:tc>
        <w:tc>
          <w:tcPr>
            <w:tcW w:w="952" w:type="pct"/>
            <w:tcMar>
              <w:top w:w="17" w:type="auto"/>
              <w:left w:w="17" w:type="auto"/>
              <w:bottom w:w="17" w:type="auto"/>
              <w:right w:w="17" w:type="auto"/>
            </w:tcMar>
          </w:tcPr>
          <w:p w14:paraId="5C781656" w14:textId="77777777" w:rsidR="00F714D1" w:rsidRPr="00D41179" w:rsidRDefault="00F714D1">
            <w:pPr>
              <w:pStyle w:val="tabletextNS"/>
              <w:keepNext/>
              <w:jc w:val="center"/>
              <w:rPr>
                <w:rFonts w:cs="Arial"/>
                <w:sz w:val="20"/>
                <w:szCs w:val="20"/>
                <w:lang w:val="en-AU"/>
              </w:rPr>
            </w:pPr>
            <w:r w:rsidRPr="00D41179">
              <w:rPr>
                <w:sz w:val="20"/>
                <w:szCs w:val="20"/>
                <w:lang w:val="en-AU"/>
              </w:rPr>
              <w:t>50.00 (-860.45, 99.15)</w:t>
            </w:r>
          </w:p>
        </w:tc>
      </w:tr>
      <w:tr w:rsidR="00F714D1" w:rsidRPr="00D41179" w14:paraId="08DCE4BA" w14:textId="77777777">
        <w:trPr>
          <w:cantSplit/>
        </w:trPr>
        <w:tc>
          <w:tcPr>
            <w:tcW w:w="705" w:type="pct"/>
            <w:vMerge/>
            <w:tcMar>
              <w:top w:w="17" w:type="auto"/>
              <w:left w:w="17" w:type="auto"/>
              <w:bottom w:w="17" w:type="auto"/>
              <w:right w:w="17" w:type="auto"/>
            </w:tcMar>
          </w:tcPr>
          <w:p w14:paraId="7579FE35" w14:textId="77777777" w:rsidR="00F714D1" w:rsidRPr="00D41179" w:rsidRDefault="00F714D1">
            <w:pPr>
              <w:pStyle w:val="tabletextNS"/>
              <w:keepNext/>
              <w:rPr>
                <w:rFonts w:cs="Arial"/>
                <w:b/>
                <w:bCs/>
                <w:sz w:val="20"/>
                <w:szCs w:val="20"/>
                <w:lang w:val="en-AU"/>
              </w:rPr>
            </w:pPr>
          </w:p>
        </w:tc>
        <w:tc>
          <w:tcPr>
            <w:tcW w:w="472" w:type="pct"/>
          </w:tcPr>
          <w:p w14:paraId="641A2B77" w14:textId="77777777" w:rsidR="00F714D1" w:rsidRPr="00D41179" w:rsidRDefault="00F714D1">
            <w:pPr>
              <w:pStyle w:val="tabletextNS"/>
              <w:keepNext/>
              <w:rPr>
                <w:rFonts w:cs="Arial"/>
                <w:b/>
                <w:bCs/>
                <w:sz w:val="20"/>
                <w:szCs w:val="20"/>
                <w:lang w:val="en-AU"/>
              </w:rPr>
            </w:pPr>
            <w:r w:rsidRPr="00D41179">
              <w:rPr>
                <w:b/>
                <w:bCs/>
                <w:sz w:val="20"/>
                <w:szCs w:val="20"/>
                <w:lang w:val="en-AU"/>
              </w:rPr>
              <w:t xml:space="preserve">≥70 </w:t>
            </w:r>
          </w:p>
        </w:tc>
        <w:tc>
          <w:tcPr>
            <w:tcW w:w="315" w:type="pct"/>
            <w:tcMar>
              <w:top w:w="17" w:type="auto"/>
              <w:left w:w="17" w:type="auto"/>
              <w:bottom w:w="17" w:type="auto"/>
              <w:right w:w="17" w:type="auto"/>
            </w:tcMar>
          </w:tcPr>
          <w:p w14:paraId="5B0269F1" w14:textId="77777777" w:rsidR="00F714D1" w:rsidRPr="00D41179" w:rsidRDefault="00F714D1">
            <w:pPr>
              <w:pStyle w:val="tabletextNS"/>
              <w:keepNext/>
              <w:jc w:val="center"/>
              <w:rPr>
                <w:rFonts w:cs="Arial"/>
                <w:sz w:val="20"/>
                <w:szCs w:val="20"/>
                <w:lang w:val="en-AU"/>
              </w:rPr>
            </w:pPr>
            <w:r w:rsidRPr="00D41179">
              <w:rPr>
                <w:sz w:val="20"/>
                <w:szCs w:val="20"/>
                <w:lang w:val="en-AU"/>
              </w:rPr>
              <w:t>3982</w:t>
            </w:r>
          </w:p>
        </w:tc>
        <w:tc>
          <w:tcPr>
            <w:tcW w:w="236" w:type="pct"/>
            <w:tcMar>
              <w:top w:w="17" w:type="auto"/>
              <w:left w:w="17" w:type="auto"/>
              <w:bottom w:w="17" w:type="auto"/>
              <w:right w:w="17" w:type="auto"/>
            </w:tcMar>
          </w:tcPr>
          <w:p w14:paraId="06A72A1B" w14:textId="77777777" w:rsidR="00F714D1" w:rsidRPr="00D41179" w:rsidRDefault="00F714D1">
            <w:pPr>
              <w:pStyle w:val="tabletextNS"/>
              <w:keepNext/>
              <w:jc w:val="center"/>
              <w:rPr>
                <w:rFonts w:cs="Arial"/>
                <w:sz w:val="20"/>
                <w:szCs w:val="20"/>
                <w:lang w:val="en-AU"/>
              </w:rPr>
            </w:pPr>
            <w:r w:rsidRPr="00D41179">
              <w:rPr>
                <w:sz w:val="20"/>
                <w:szCs w:val="20"/>
                <w:lang w:val="en-AU"/>
              </w:rPr>
              <w:t>3</w:t>
            </w:r>
          </w:p>
        </w:tc>
        <w:tc>
          <w:tcPr>
            <w:tcW w:w="471" w:type="pct"/>
            <w:tcMar>
              <w:top w:w="17" w:type="auto"/>
              <w:left w:w="17" w:type="auto"/>
              <w:bottom w:w="17" w:type="auto"/>
              <w:right w:w="17" w:type="auto"/>
            </w:tcMar>
          </w:tcPr>
          <w:p w14:paraId="56070255" w14:textId="77777777" w:rsidR="00F714D1" w:rsidRPr="00D41179" w:rsidRDefault="00F714D1">
            <w:pPr>
              <w:pStyle w:val="tabletextNS"/>
              <w:keepNext/>
              <w:jc w:val="center"/>
              <w:rPr>
                <w:rFonts w:cs="Arial"/>
                <w:sz w:val="20"/>
                <w:szCs w:val="20"/>
                <w:lang w:val="en-AU"/>
              </w:rPr>
            </w:pPr>
            <w:r w:rsidRPr="00D41179">
              <w:rPr>
                <w:sz w:val="20"/>
                <w:szCs w:val="20"/>
                <w:lang w:val="en-AU"/>
              </w:rPr>
              <w:t>20565.7</w:t>
            </w:r>
          </w:p>
        </w:tc>
        <w:tc>
          <w:tcPr>
            <w:tcW w:w="394" w:type="pct"/>
            <w:tcMar>
              <w:top w:w="17" w:type="auto"/>
              <w:left w:w="17" w:type="auto"/>
              <w:bottom w:w="17" w:type="auto"/>
              <w:right w:w="17" w:type="auto"/>
            </w:tcMar>
          </w:tcPr>
          <w:p w14:paraId="65F15D61" w14:textId="77777777" w:rsidR="00F714D1" w:rsidRPr="00D41179" w:rsidRDefault="00F714D1">
            <w:pPr>
              <w:pStyle w:val="tabletextNS"/>
              <w:keepNext/>
              <w:jc w:val="center"/>
              <w:rPr>
                <w:rFonts w:cs="Arial"/>
                <w:sz w:val="20"/>
                <w:szCs w:val="20"/>
                <w:lang w:val="en-AU"/>
              </w:rPr>
            </w:pPr>
            <w:r w:rsidRPr="00D41179">
              <w:rPr>
                <w:sz w:val="20"/>
                <w:szCs w:val="20"/>
                <w:lang w:val="en-AU"/>
              </w:rPr>
              <w:t>0.1</w:t>
            </w:r>
          </w:p>
        </w:tc>
        <w:tc>
          <w:tcPr>
            <w:tcW w:w="314" w:type="pct"/>
            <w:tcMar>
              <w:top w:w="17" w:type="auto"/>
              <w:left w:w="17" w:type="auto"/>
              <w:bottom w:w="17" w:type="auto"/>
              <w:right w:w="17" w:type="auto"/>
            </w:tcMar>
          </w:tcPr>
          <w:p w14:paraId="77983EA8" w14:textId="77777777" w:rsidR="00F714D1" w:rsidRPr="00D41179" w:rsidRDefault="00F714D1">
            <w:pPr>
              <w:pStyle w:val="tabletextNS"/>
              <w:keepNext/>
              <w:jc w:val="center"/>
              <w:rPr>
                <w:rFonts w:cs="Arial"/>
                <w:sz w:val="20"/>
                <w:szCs w:val="20"/>
                <w:lang w:val="en-AU"/>
              </w:rPr>
            </w:pPr>
            <w:r w:rsidRPr="00D41179">
              <w:rPr>
                <w:sz w:val="20"/>
                <w:szCs w:val="20"/>
                <w:lang w:val="en-AU"/>
              </w:rPr>
              <w:t>3982</w:t>
            </w:r>
          </w:p>
        </w:tc>
        <w:tc>
          <w:tcPr>
            <w:tcW w:w="236" w:type="pct"/>
            <w:tcMar>
              <w:top w:w="17" w:type="auto"/>
              <w:left w:w="17" w:type="auto"/>
              <w:bottom w:w="17" w:type="auto"/>
              <w:right w:w="17" w:type="auto"/>
            </w:tcMar>
          </w:tcPr>
          <w:p w14:paraId="26A8ACDE" w14:textId="77777777" w:rsidR="00F714D1" w:rsidRPr="00D41179" w:rsidRDefault="00F714D1">
            <w:pPr>
              <w:pStyle w:val="tabletextNS"/>
              <w:keepNext/>
              <w:jc w:val="center"/>
              <w:rPr>
                <w:rFonts w:cs="Arial"/>
                <w:sz w:val="20"/>
                <w:szCs w:val="20"/>
                <w:lang w:val="en-AU"/>
              </w:rPr>
            </w:pPr>
            <w:r w:rsidRPr="00D41179">
              <w:rPr>
                <w:sz w:val="20"/>
                <w:szCs w:val="20"/>
                <w:lang w:val="en-AU"/>
              </w:rPr>
              <w:t>23</w:t>
            </w:r>
          </w:p>
        </w:tc>
        <w:tc>
          <w:tcPr>
            <w:tcW w:w="472" w:type="pct"/>
            <w:tcMar>
              <w:top w:w="17" w:type="auto"/>
              <w:left w:w="17" w:type="auto"/>
              <w:bottom w:w="17" w:type="auto"/>
              <w:right w:w="17" w:type="auto"/>
            </w:tcMar>
          </w:tcPr>
          <w:p w14:paraId="2FFC819D" w14:textId="77777777" w:rsidR="00F714D1" w:rsidRPr="00D41179" w:rsidRDefault="00F714D1">
            <w:pPr>
              <w:pStyle w:val="tabletextNS"/>
              <w:keepNext/>
              <w:jc w:val="center"/>
              <w:rPr>
                <w:rFonts w:cs="Arial"/>
                <w:sz w:val="20"/>
                <w:szCs w:val="20"/>
                <w:lang w:val="en-AU"/>
              </w:rPr>
            </w:pPr>
            <w:r w:rsidRPr="00D41179">
              <w:rPr>
                <w:sz w:val="20"/>
                <w:szCs w:val="20"/>
                <w:lang w:val="en-AU"/>
              </w:rPr>
              <w:t>20565.7</w:t>
            </w:r>
          </w:p>
        </w:tc>
        <w:tc>
          <w:tcPr>
            <w:tcW w:w="433" w:type="pct"/>
            <w:tcMar>
              <w:top w:w="17" w:type="auto"/>
              <w:left w:w="17" w:type="auto"/>
              <w:bottom w:w="17" w:type="auto"/>
              <w:right w:w="17" w:type="auto"/>
            </w:tcMar>
          </w:tcPr>
          <w:p w14:paraId="05052A06" w14:textId="77777777" w:rsidR="00F714D1" w:rsidRPr="00D41179" w:rsidRDefault="00F714D1">
            <w:pPr>
              <w:pStyle w:val="tabletextNS"/>
              <w:keepNext/>
              <w:jc w:val="center"/>
              <w:rPr>
                <w:rFonts w:cs="Arial"/>
                <w:sz w:val="20"/>
                <w:szCs w:val="20"/>
                <w:lang w:val="en-AU"/>
              </w:rPr>
            </w:pPr>
            <w:r w:rsidRPr="00D41179">
              <w:rPr>
                <w:sz w:val="20"/>
                <w:szCs w:val="20"/>
                <w:lang w:val="en-AU"/>
              </w:rPr>
              <w:t>1.1</w:t>
            </w:r>
          </w:p>
        </w:tc>
        <w:tc>
          <w:tcPr>
            <w:tcW w:w="952" w:type="pct"/>
            <w:tcMar>
              <w:top w:w="17" w:type="auto"/>
              <w:left w:w="17" w:type="auto"/>
              <w:bottom w:w="17" w:type="auto"/>
              <w:right w:w="17" w:type="auto"/>
            </w:tcMar>
          </w:tcPr>
          <w:p w14:paraId="3229CE52" w14:textId="77777777" w:rsidR="00F714D1" w:rsidRPr="00D41179" w:rsidRDefault="00F714D1">
            <w:pPr>
              <w:pStyle w:val="tabletextNS"/>
              <w:keepNext/>
              <w:jc w:val="center"/>
              <w:rPr>
                <w:rFonts w:cs="Arial"/>
                <w:sz w:val="20"/>
                <w:szCs w:val="20"/>
                <w:lang w:val="en-AU"/>
              </w:rPr>
            </w:pPr>
            <w:r w:rsidRPr="00D41179">
              <w:rPr>
                <w:sz w:val="20"/>
                <w:szCs w:val="20"/>
                <w:lang w:val="en-AU"/>
              </w:rPr>
              <w:t>86.96 (56.83, 97.49)</w:t>
            </w:r>
          </w:p>
        </w:tc>
      </w:tr>
    </w:tbl>
    <w:p w14:paraId="1D3F6B3F" w14:textId="53D3597A" w:rsidR="00F714D1" w:rsidRPr="00D41179" w:rsidRDefault="00F714D1" w:rsidP="00F714D1">
      <w:pPr>
        <w:pStyle w:val="TableNotes"/>
      </w:pPr>
      <w:r w:rsidRPr="00D41179">
        <w:t>Source: Table 2 26: Vaccine efficacy: First or only episode of PHN by age strata and overall using Poisson regression method (</w:t>
      </w:r>
      <w:proofErr w:type="spellStart"/>
      <w:r w:rsidRPr="00D41179">
        <w:t>mTVC</w:t>
      </w:r>
      <w:proofErr w:type="spellEnd"/>
      <w:r w:rsidRPr="00D41179">
        <w:t xml:space="preserve">-pooled </w:t>
      </w:r>
      <w:r w:rsidR="006E4120" w:rsidRPr="00D41179">
        <w:t xml:space="preserve">ZOE-50/-70 </w:t>
      </w:r>
      <w:r w:rsidRPr="00D41179">
        <w:t>and mTVC-ZOSTER-049), p117 of the submission.</w:t>
      </w:r>
    </w:p>
    <w:p w14:paraId="250201CA" w14:textId="40629A8D" w:rsidR="00F714D1" w:rsidRPr="00D41179" w:rsidRDefault="00F714D1" w:rsidP="00F714D1">
      <w:pPr>
        <w:pStyle w:val="TableNotes"/>
      </w:pPr>
      <w:r w:rsidRPr="00D41179">
        <w:t xml:space="preserve">CI = confidence interval; DLP = data lock point; FU = follow-up; LTFU = long-term follow-up; </w:t>
      </w:r>
      <w:proofErr w:type="spellStart"/>
      <w:r w:rsidRPr="00D41179">
        <w:t>mTVC</w:t>
      </w:r>
      <w:proofErr w:type="spellEnd"/>
      <w:r w:rsidRPr="00D41179">
        <w:t xml:space="preserve"> = modified total vaccinated cohort; n = number of individuals having at least one confirmed herpes zoster episode; N = number of individuals included in each group; PHN = post herpetic neuralgia; PY = person-year; RZV = recombinant zoster vaccine (</w:t>
      </w:r>
      <w:r w:rsidRPr="00D41179">
        <w:rPr>
          <w:i/>
        </w:rPr>
        <w:t>Shingrix</w:t>
      </w:r>
      <w:r w:rsidRPr="00D41179">
        <w:t>); T (year) = sum of follow-up (censored at the first occurrence of a confirmed PHN episode) expressed in years; VE = vaccine efficacy.</w:t>
      </w:r>
    </w:p>
    <w:p w14:paraId="590B7B2C" w14:textId="1E68F062" w:rsidR="00F714D1" w:rsidRPr="00D41179" w:rsidRDefault="00F714D1" w:rsidP="00F714D1">
      <w:pPr>
        <w:pStyle w:val="TableNotes"/>
      </w:pPr>
      <w:r w:rsidRPr="00D41179">
        <w:rPr>
          <w:vertAlign w:val="superscript"/>
        </w:rPr>
        <w:t xml:space="preserve">1 </w:t>
      </w:r>
      <w:r w:rsidRPr="00D41179">
        <w:t xml:space="preserve">Age strata defined by subjects’ age at first vaccination in </w:t>
      </w:r>
      <w:r w:rsidR="006E4120" w:rsidRPr="00D41179">
        <w:t xml:space="preserve">ZOE-50/-70 </w:t>
      </w:r>
      <w:r w:rsidRPr="00D41179">
        <w:t xml:space="preserve">studies. </w:t>
      </w:r>
    </w:p>
    <w:p w14:paraId="28812A31" w14:textId="77777777" w:rsidR="00F714D1" w:rsidRPr="00D41179" w:rsidRDefault="00F714D1" w:rsidP="00F714D1">
      <w:pPr>
        <w:pStyle w:val="TableNotes"/>
      </w:pPr>
      <w:r w:rsidRPr="00D41179">
        <w:rPr>
          <w:vertAlign w:val="superscript"/>
        </w:rPr>
        <w:t>2</w:t>
      </w:r>
      <w:r w:rsidRPr="00D41179">
        <w:t xml:space="preserve"> Assumed to be same as for RZV group in ZOSTER-049. </w:t>
      </w:r>
    </w:p>
    <w:p w14:paraId="7E3C6028" w14:textId="71F535E0" w:rsidR="00F714D1" w:rsidRPr="00D41179" w:rsidRDefault="00F714D1" w:rsidP="00F714D1">
      <w:pPr>
        <w:pStyle w:val="TableNotes"/>
      </w:pPr>
      <w:r w:rsidRPr="00D41179">
        <w:rPr>
          <w:vertAlign w:val="superscript"/>
        </w:rPr>
        <w:t>3</w:t>
      </w:r>
      <w:r w:rsidRPr="00D41179">
        <w:t xml:space="preserve"> Subjects from the RZV group in </w:t>
      </w:r>
      <w:r w:rsidR="006E4120" w:rsidRPr="00D41179">
        <w:t xml:space="preserve">ZOE-50/-70 </w:t>
      </w:r>
      <w:r w:rsidRPr="00D41179">
        <w:t xml:space="preserve">were used for Year 1 through Year 4 and subjects from LTFU group in ZOSTER-049 were used for Year 6 onwards. </w:t>
      </w:r>
    </w:p>
    <w:p w14:paraId="6D41CDDF" w14:textId="7462B427" w:rsidR="00F714D1" w:rsidRPr="00D41179" w:rsidRDefault="00F714D1" w:rsidP="00F714D1">
      <w:pPr>
        <w:pStyle w:val="TableNotes"/>
      </w:pPr>
      <w:r w:rsidRPr="00D41179">
        <w:rPr>
          <w:vertAlign w:val="superscript"/>
        </w:rPr>
        <w:t>4</w:t>
      </w:r>
      <w:r w:rsidRPr="00D41179">
        <w:t xml:space="preserve"> Subjects from the placebo group in </w:t>
      </w:r>
      <w:r w:rsidR="006E4120" w:rsidRPr="00D41179">
        <w:t xml:space="preserve">ZOE-50/-70 </w:t>
      </w:r>
      <w:r w:rsidRPr="00D41179">
        <w:t xml:space="preserve">were used for Year 1 through Year 4 and a historical control group based on the placebo group in </w:t>
      </w:r>
      <w:r w:rsidR="006E4120" w:rsidRPr="00D41179">
        <w:t xml:space="preserve">ZOE-50/-70 </w:t>
      </w:r>
      <w:r w:rsidRPr="00D41179">
        <w:t>were also used for Year 6 onwards.</w:t>
      </w:r>
    </w:p>
    <w:p w14:paraId="56A9DE54" w14:textId="35EDBB0F" w:rsidR="00F714D1" w:rsidRPr="00D41179" w:rsidRDefault="00F714D1" w:rsidP="00A64F5D">
      <w:pPr>
        <w:numPr>
          <w:ilvl w:val="1"/>
          <w:numId w:val="8"/>
        </w:numPr>
        <w:spacing w:before="60" w:after="60"/>
        <w:ind w:left="709"/>
        <w:rPr>
          <w:rFonts w:asciiTheme="minorHAnsi" w:eastAsiaTheme="minorHAnsi" w:hAnsiTheme="minorHAnsi" w:cstheme="minorBidi"/>
          <w:szCs w:val="22"/>
        </w:rPr>
      </w:pPr>
      <w:bookmarkStart w:id="33" w:name="_Toc22897642"/>
      <w:r w:rsidRPr="00D41179">
        <w:rPr>
          <w:rFonts w:asciiTheme="minorHAnsi" w:eastAsiaTheme="minorHAnsi" w:hAnsiTheme="minorHAnsi" w:cstheme="minorBidi"/>
          <w:szCs w:val="22"/>
        </w:rPr>
        <w:t xml:space="preserve">Results for VE against non-PHN complications for the overall population and by age strata for the trial period are presented in </w:t>
      </w:r>
      <w:r w:rsidR="00762AAB" w:rsidRPr="00D41179">
        <w:rPr>
          <w:rFonts w:asciiTheme="minorHAnsi" w:eastAsiaTheme="minorHAnsi" w:hAnsiTheme="minorHAnsi" w:cstheme="minorBidi"/>
          <w:szCs w:val="22"/>
        </w:rPr>
        <w:fldChar w:fldCharType="begin"/>
      </w:r>
      <w:r w:rsidR="00762AAB" w:rsidRPr="00D41179">
        <w:rPr>
          <w:rFonts w:asciiTheme="minorHAnsi" w:eastAsiaTheme="minorHAnsi" w:hAnsiTheme="minorHAnsi" w:cstheme="minorBidi"/>
          <w:szCs w:val="22"/>
        </w:rPr>
        <w:instrText xml:space="preserve"> REF _Ref207878593 \h </w:instrText>
      </w:r>
      <w:r w:rsidR="00D41179" w:rsidRPr="00D41179">
        <w:rPr>
          <w:rFonts w:asciiTheme="minorHAnsi" w:eastAsiaTheme="minorHAnsi" w:hAnsiTheme="minorHAnsi" w:cstheme="minorBidi"/>
          <w:szCs w:val="22"/>
        </w:rPr>
        <w:instrText xml:space="preserve"> \* MERGEFORMAT </w:instrText>
      </w:r>
      <w:r w:rsidR="00762AAB" w:rsidRPr="00D41179">
        <w:rPr>
          <w:rFonts w:asciiTheme="minorHAnsi" w:eastAsiaTheme="minorHAnsi" w:hAnsiTheme="minorHAnsi" w:cstheme="minorBidi"/>
          <w:szCs w:val="22"/>
        </w:rPr>
      </w:r>
      <w:r w:rsidR="00762AAB" w:rsidRPr="00D41179">
        <w:rPr>
          <w:rFonts w:asciiTheme="minorHAnsi" w:eastAsiaTheme="minorHAnsi" w:hAnsiTheme="minorHAnsi" w:cstheme="minorBidi"/>
          <w:szCs w:val="22"/>
        </w:rPr>
        <w:fldChar w:fldCharType="separate"/>
      </w:r>
      <w:r w:rsidR="00E7345C" w:rsidRPr="00D41179">
        <w:t xml:space="preserve">Table </w:t>
      </w:r>
      <w:r w:rsidR="00E7345C" w:rsidRPr="00D41179">
        <w:rPr>
          <w:noProof/>
        </w:rPr>
        <w:t>7</w:t>
      </w:r>
      <w:r w:rsidR="00762AAB" w:rsidRPr="00D41179">
        <w:rPr>
          <w:rFonts w:asciiTheme="minorHAnsi" w:eastAsiaTheme="minorHAnsi" w:hAnsiTheme="minorHAnsi" w:cstheme="minorBidi"/>
          <w:szCs w:val="22"/>
        </w:rPr>
        <w:fldChar w:fldCharType="end"/>
      </w:r>
      <w:r w:rsidR="00762AAB" w:rsidRPr="00D41179">
        <w:rPr>
          <w:rFonts w:asciiTheme="minorHAnsi" w:eastAsiaTheme="minorHAnsi" w:hAnsiTheme="minorHAnsi" w:cstheme="minorBidi"/>
          <w:szCs w:val="22"/>
        </w:rPr>
        <w:t xml:space="preserve"> </w:t>
      </w:r>
      <w:r w:rsidRPr="00D41179">
        <w:rPr>
          <w:rFonts w:asciiTheme="minorHAnsi" w:eastAsiaTheme="minorHAnsi" w:hAnsiTheme="minorHAnsi" w:cstheme="minorBidi"/>
          <w:szCs w:val="22"/>
        </w:rPr>
        <w:t>noting that there was only one non-PHN complication recorded during the ZOSTER-049 trial period. VE against non-PHN complications in participants vaccinated at ≥50 years was 91.7% (95% CI: 43.7, 99.8) during the ZOSTER-049 trial period. As for VE</w:t>
      </w:r>
      <w:r w:rsidRPr="00D41179">
        <w:rPr>
          <w:rFonts w:asciiTheme="minorHAnsi" w:eastAsiaTheme="minorHAnsi" w:hAnsiTheme="minorHAnsi" w:cstheme="minorBidi"/>
          <w:szCs w:val="22"/>
          <w:vertAlign w:val="subscript"/>
        </w:rPr>
        <w:t>PHN</w:t>
      </w:r>
      <w:r w:rsidRPr="00D41179">
        <w:rPr>
          <w:rFonts w:asciiTheme="minorHAnsi" w:eastAsiaTheme="minorHAnsi" w:hAnsiTheme="minorHAnsi" w:cstheme="minorBidi"/>
          <w:szCs w:val="22"/>
        </w:rPr>
        <w:t>, the single non-PHN complication reported meant that VE against non-PHN complications were variable with wide confidence</w:t>
      </w:r>
      <w:r w:rsidRPr="00D41179">
        <w:rPr>
          <w:rFonts w:asciiTheme="minorHAnsi" w:eastAsiaTheme="minorHAnsi" w:hAnsiTheme="minorHAnsi" w:cstheme="minorBidi"/>
          <w:i/>
          <w:iCs/>
          <w:szCs w:val="22"/>
        </w:rPr>
        <w:t xml:space="preserve"> </w:t>
      </w:r>
      <w:r w:rsidRPr="00D41179">
        <w:rPr>
          <w:rFonts w:asciiTheme="minorHAnsi" w:eastAsiaTheme="minorHAnsi" w:hAnsiTheme="minorHAnsi" w:cstheme="minorBidi"/>
          <w:szCs w:val="22"/>
        </w:rPr>
        <w:t xml:space="preserve">intervals. </w:t>
      </w:r>
    </w:p>
    <w:p w14:paraId="0A8CBB99" w14:textId="773009EF" w:rsidR="00F714D1" w:rsidRPr="00D41179" w:rsidRDefault="00F714D1" w:rsidP="00762AAB">
      <w:pPr>
        <w:pStyle w:val="Caption"/>
        <w:rPr>
          <w:rStyle w:val="CommentReference"/>
          <w:b/>
          <w:szCs w:val="24"/>
        </w:rPr>
      </w:pPr>
      <w:bookmarkStart w:id="34" w:name="_Ref207362203"/>
      <w:bookmarkStart w:id="35" w:name="_Ref207878593"/>
      <w:r w:rsidRPr="00D41179">
        <w:lastRenderedPageBreak/>
        <w:t>Table</w:t>
      </w:r>
      <w:bookmarkEnd w:id="34"/>
      <w:r w:rsidR="00762AAB" w:rsidRPr="00D41179">
        <w:t xml:space="preserve"> </w:t>
      </w:r>
      <w:r w:rsidRPr="00D41179">
        <w:fldChar w:fldCharType="begin"/>
      </w:r>
      <w:r w:rsidRPr="00D41179">
        <w:instrText>SEQ Table \* ARABIC</w:instrText>
      </w:r>
      <w:r w:rsidRPr="00D41179">
        <w:fldChar w:fldCharType="separate"/>
      </w:r>
      <w:r w:rsidR="00E7345C" w:rsidRPr="00D41179">
        <w:rPr>
          <w:noProof/>
        </w:rPr>
        <w:t>7</w:t>
      </w:r>
      <w:r w:rsidRPr="00D41179">
        <w:fldChar w:fldCharType="end"/>
      </w:r>
      <w:bookmarkEnd w:id="35"/>
      <w:r w:rsidRPr="00D41179">
        <w:t>:</w:t>
      </w:r>
      <w:r w:rsidRPr="00D41179">
        <w:rPr>
          <w:rStyle w:val="CommentReference"/>
          <w:b/>
          <w:szCs w:val="24"/>
        </w:rPr>
        <w:t xml:space="preserve"> </w:t>
      </w:r>
      <w:r w:rsidRPr="00D41179">
        <w:t>VE against non-PHN complications (Poisson regression): ZOSTER-049 (</w:t>
      </w:r>
      <w:proofErr w:type="spellStart"/>
      <w:r w:rsidRPr="00D41179">
        <w:t>mTVC</w:t>
      </w:r>
      <w:proofErr w:type="spellEnd"/>
      <w:r w:rsidRPr="00D41179">
        <w:t>)</w:t>
      </w:r>
    </w:p>
    <w:tbl>
      <w:tblPr>
        <w:tblW w:w="5000" w:type="pct"/>
        <w:tblBorders>
          <w:left w:val="single" w:sz="2" w:space="0" w:color="auto"/>
          <w:right w:val="single" w:sz="2" w:space="0" w:color="auto"/>
          <w:insideH w:val="single" w:sz="2" w:space="0" w:color="auto"/>
          <w:insideV w:val="single" w:sz="2" w:space="0" w:color="auto"/>
        </w:tblBorders>
        <w:tblLayout w:type="fixed"/>
        <w:tblCellMar>
          <w:left w:w="28" w:type="dxa"/>
          <w:right w:w="28" w:type="dxa"/>
        </w:tblCellMar>
        <w:tblLook w:val="0000" w:firstRow="0" w:lastRow="0" w:firstColumn="0" w:lastColumn="0" w:noHBand="0" w:noVBand="0"/>
        <w:tblCaption w:val="Table 7: VE against non-PHN complications (Poisson regression): ZOSTER-049 (mTVC"/>
      </w:tblPr>
      <w:tblGrid>
        <w:gridCol w:w="987"/>
        <w:gridCol w:w="706"/>
        <w:gridCol w:w="573"/>
        <w:gridCol w:w="283"/>
        <w:gridCol w:w="709"/>
        <w:gridCol w:w="1136"/>
        <w:gridCol w:w="564"/>
        <w:gridCol w:w="281"/>
        <w:gridCol w:w="709"/>
        <w:gridCol w:w="1134"/>
        <w:gridCol w:w="1935"/>
      </w:tblGrid>
      <w:tr w:rsidR="00F714D1" w:rsidRPr="00D41179" w14:paraId="13CE2C66" w14:textId="77777777" w:rsidTr="00CB523A">
        <w:trPr>
          <w:cantSplit/>
          <w:tblHeader/>
        </w:trPr>
        <w:tc>
          <w:tcPr>
            <w:tcW w:w="547" w:type="pct"/>
            <w:vMerge w:val="restart"/>
            <w:tcBorders>
              <w:top w:val="single" w:sz="4" w:space="0" w:color="auto"/>
              <w:left w:val="single" w:sz="4" w:space="0" w:color="auto"/>
              <w:right w:val="single" w:sz="4" w:space="0" w:color="auto"/>
            </w:tcBorders>
            <w:tcMar>
              <w:top w:w="17" w:type="auto"/>
              <w:left w:w="17" w:type="auto"/>
              <w:bottom w:w="17" w:type="auto"/>
              <w:right w:w="17" w:type="auto"/>
            </w:tcMar>
            <w:vAlign w:val="center"/>
          </w:tcPr>
          <w:p w14:paraId="54058D0F" w14:textId="77777777" w:rsidR="00F714D1" w:rsidRPr="00D41179" w:rsidRDefault="00F714D1">
            <w:pPr>
              <w:pStyle w:val="Table"/>
              <w:keepNext/>
              <w:spacing w:after="0"/>
              <w:rPr>
                <w:b/>
                <w:bCs/>
              </w:rPr>
            </w:pPr>
            <w:r w:rsidRPr="00D41179">
              <w:rPr>
                <w:b/>
                <w:bCs/>
              </w:rPr>
              <w:t xml:space="preserve">Trial </w:t>
            </w:r>
          </w:p>
        </w:tc>
        <w:tc>
          <w:tcPr>
            <w:tcW w:w="391" w:type="pct"/>
            <w:vMerge w:val="restart"/>
            <w:tcBorders>
              <w:top w:val="single" w:sz="4" w:space="0" w:color="auto"/>
              <w:left w:val="single" w:sz="4" w:space="0" w:color="auto"/>
              <w:right w:val="single" w:sz="4" w:space="0" w:color="auto"/>
            </w:tcBorders>
            <w:vAlign w:val="center"/>
          </w:tcPr>
          <w:p w14:paraId="7401664B" w14:textId="77777777" w:rsidR="00F714D1" w:rsidRPr="00D41179" w:rsidRDefault="00F714D1">
            <w:pPr>
              <w:pStyle w:val="Table"/>
              <w:keepNext/>
              <w:spacing w:after="0"/>
            </w:pPr>
            <w:r w:rsidRPr="00D41179">
              <w:rPr>
                <w:b/>
                <w:bCs/>
              </w:rPr>
              <w:t>Age strata</w:t>
            </w:r>
            <w:r w:rsidRPr="00D41179">
              <w:rPr>
                <w:b/>
                <w:bCs/>
                <w:vertAlign w:val="superscript"/>
              </w:rPr>
              <w:t>1</w:t>
            </w:r>
          </w:p>
        </w:tc>
        <w:tc>
          <w:tcPr>
            <w:tcW w:w="1498" w:type="pct"/>
            <w:gridSpan w:val="4"/>
            <w:tcBorders>
              <w:top w:val="single" w:sz="4" w:space="0" w:color="auto"/>
              <w:left w:val="single" w:sz="4" w:space="0" w:color="auto"/>
              <w:bottom w:val="single" w:sz="4" w:space="0" w:color="auto"/>
              <w:right w:val="single" w:sz="4" w:space="0" w:color="auto"/>
            </w:tcBorders>
            <w:tcMar>
              <w:top w:w="17" w:type="auto"/>
              <w:left w:w="17" w:type="auto"/>
              <w:bottom w:w="17" w:type="auto"/>
              <w:right w:w="17" w:type="auto"/>
            </w:tcMar>
            <w:vAlign w:val="center"/>
          </w:tcPr>
          <w:p w14:paraId="74BE3006" w14:textId="77777777" w:rsidR="00F714D1" w:rsidRPr="00D41179" w:rsidRDefault="00F714D1">
            <w:pPr>
              <w:pStyle w:val="Table"/>
              <w:keepNext/>
              <w:spacing w:after="0"/>
              <w:jc w:val="center"/>
            </w:pPr>
            <w:r w:rsidRPr="00D41179">
              <w:rPr>
                <w:b/>
                <w:bCs/>
              </w:rPr>
              <w:t>RZV</w:t>
            </w:r>
            <w:r w:rsidRPr="00D41179">
              <w:rPr>
                <w:b/>
                <w:bCs/>
                <w:vertAlign w:val="superscript"/>
              </w:rPr>
              <w:t>3</w:t>
            </w:r>
          </w:p>
        </w:tc>
        <w:tc>
          <w:tcPr>
            <w:tcW w:w="1491" w:type="pct"/>
            <w:gridSpan w:val="4"/>
            <w:tcBorders>
              <w:top w:val="single" w:sz="4" w:space="0" w:color="auto"/>
              <w:left w:val="single" w:sz="4" w:space="0" w:color="auto"/>
              <w:bottom w:val="single" w:sz="4" w:space="0" w:color="auto"/>
              <w:right w:val="single" w:sz="4" w:space="0" w:color="auto"/>
            </w:tcBorders>
            <w:tcMar>
              <w:top w:w="17" w:type="auto"/>
              <w:left w:w="17" w:type="auto"/>
              <w:bottom w:w="17" w:type="auto"/>
              <w:right w:w="17" w:type="auto"/>
            </w:tcMar>
            <w:vAlign w:val="center"/>
          </w:tcPr>
          <w:p w14:paraId="3F453BDC" w14:textId="77777777" w:rsidR="00F714D1" w:rsidRPr="00D41179" w:rsidRDefault="00F714D1">
            <w:pPr>
              <w:pStyle w:val="Table"/>
              <w:keepNext/>
              <w:spacing w:after="0"/>
              <w:jc w:val="center"/>
            </w:pPr>
            <w:r w:rsidRPr="00D41179">
              <w:rPr>
                <w:b/>
                <w:bCs/>
              </w:rPr>
              <w:t>Placebo/Historical control</w:t>
            </w:r>
            <w:r w:rsidRPr="00D41179">
              <w:rPr>
                <w:b/>
                <w:bCs/>
                <w:vertAlign w:val="superscript"/>
              </w:rPr>
              <w:t>4</w:t>
            </w:r>
          </w:p>
        </w:tc>
        <w:tc>
          <w:tcPr>
            <w:tcW w:w="1072" w:type="pct"/>
            <w:vMerge w:val="restart"/>
            <w:tcBorders>
              <w:top w:val="single" w:sz="4" w:space="0" w:color="auto"/>
              <w:left w:val="single" w:sz="4" w:space="0" w:color="auto"/>
              <w:right w:val="single" w:sz="4" w:space="0" w:color="auto"/>
            </w:tcBorders>
            <w:tcMar>
              <w:top w:w="17" w:type="auto"/>
              <w:left w:w="17" w:type="auto"/>
              <w:bottom w:w="17" w:type="auto"/>
              <w:right w:w="17" w:type="auto"/>
            </w:tcMar>
            <w:vAlign w:val="center"/>
          </w:tcPr>
          <w:p w14:paraId="5E162D21" w14:textId="77777777" w:rsidR="00F714D1" w:rsidRPr="00D41179" w:rsidRDefault="00F714D1">
            <w:pPr>
              <w:pStyle w:val="Table"/>
              <w:keepNext/>
              <w:spacing w:after="0"/>
              <w:jc w:val="center"/>
              <w:rPr>
                <w:b/>
                <w:bCs/>
              </w:rPr>
            </w:pPr>
            <w:r w:rsidRPr="00D41179">
              <w:rPr>
                <w:b/>
                <w:bCs/>
              </w:rPr>
              <w:t>VE % (95% CI)</w:t>
            </w:r>
          </w:p>
        </w:tc>
      </w:tr>
      <w:tr w:rsidR="00F714D1" w:rsidRPr="00D41179" w14:paraId="30A236DD" w14:textId="77777777" w:rsidTr="00CB523A">
        <w:trPr>
          <w:cantSplit/>
          <w:tblHeader/>
        </w:trPr>
        <w:tc>
          <w:tcPr>
            <w:tcW w:w="547" w:type="pct"/>
            <w:vMerge/>
            <w:tcBorders>
              <w:left w:val="single" w:sz="4" w:space="0" w:color="auto"/>
              <w:bottom w:val="single" w:sz="4" w:space="0" w:color="auto"/>
              <w:right w:val="single" w:sz="4" w:space="0" w:color="auto"/>
            </w:tcBorders>
            <w:tcMar>
              <w:top w:w="17" w:type="auto"/>
              <w:left w:w="17" w:type="auto"/>
              <w:bottom w:w="17" w:type="auto"/>
              <w:right w:w="17" w:type="auto"/>
            </w:tcMar>
            <w:vAlign w:val="center"/>
          </w:tcPr>
          <w:p w14:paraId="6789FDA0" w14:textId="77777777" w:rsidR="00F714D1" w:rsidRPr="00D41179" w:rsidRDefault="00F714D1">
            <w:pPr>
              <w:pStyle w:val="Table"/>
              <w:keepNext/>
              <w:spacing w:after="0"/>
            </w:pPr>
          </w:p>
        </w:tc>
        <w:tc>
          <w:tcPr>
            <w:tcW w:w="391" w:type="pct"/>
            <w:vMerge/>
            <w:tcBorders>
              <w:left w:val="single" w:sz="4" w:space="0" w:color="auto"/>
              <w:bottom w:val="single" w:sz="4" w:space="0" w:color="auto"/>
              <w:right w:val="single" w:sz="4" w:space="0" w:color="auto"/>
            </w:tcBorders>
            <w:vAlign w:val="center"/>
          </w:tcPr>
          <w:p w14:paraId="33D3C249" w14:textId="77777777" w:rsidR="00F714D1" w:rsidRPr="00D41179" w:rsidRDefault="00F714D1">
            <w:pPr>
              <w:pStyle w:val="Table"/>
              <w:keepNext/>
              <w:spacing w:after="0"/>
            </w:pPr>
          </w:p>
        </w:tc>
        <w:tc>
          <w:tcPr>
            <w:tcW w:w="318" w:type="pct"/>
            <w:tcBorders>
              <w:top w:val="single" w:sz="4" w:space="0" w:color="auto"/>
              <w:left w:val="single" w:sz="4" w:space="0" w:color="auto"/>
              <w:bottom w:val="single" w:sz="4" w:space="0" w:color="auto"/>
              <w:right w:val="single" w:sz="4" w:space="0" w:color="auto"/>
            </w:tcBorders>
            <w:tcMar>
              <w:top w:w="17" w:type="auto"/>
              <w:left w:w="17" w:type="auto"/>
              <w:bottom w:w="17" w:type="auto"/>
              <w:right w:w="17" w:type="auto"/>
            </w:tcMar>
            <w:vAlign w:val="center"/>
          </w:tcPr>
          <w:p w14:paraId="5DD13838" w14:textId="77777777" w:rsidR="00F714D1" w:rsidRPr="00D41179" w:rsidRDefault="00F714D1">
            <w:pPr>
              <w:pStyle w:val="Table"/>
              <w:keepNext/>
              <w:spacing w:after="0"/>
              <w:jc w:val="center"/>
            </w:pPr>
            <w:r w:rsidRPr="00D41179">
              <w:rPr>
                <w:b/>
                <w:bCs/>
              </w:rPr>
              <w:t>N</w:t>
            </w:r>
          </w:p>
        </w:tc>
        <w:tc>
          <w:tcPr>
            <w:tcW w:w="157" w:type="pct"/>
            <w:tcBorders>
              <w:top w:val="single" w:sz="4" w:space="0" w:color="auto"/>
              <w:left w:val="single" w:sz="4" w:space="0" w:color="auto"/>
              <w:bottom w:val="single" w:sz="4" w:space="0" w:color="auto"/>
              <w:right w:val="single" w:sz="4" w:space="0" w:color="auto"/>
            </w:tcBorders>
            <w:tcMar>
              <w:top w:w="17" w:type="auto"/>
              <w:left w:w="17" w:type="auto"/>
              <w:bottom w:w="17" w:type="auto"/>
              <w:right w:w="17" w:type="auto"/>
            </w:tcMar>
            <w:vAlign w:val="center"/>
          </w:tcPr>
          <w:p w14:paraId="3E66A40C" w14:textId="77777777" w:rsidR="00F714D1" w:rsidRPr="00D41179" w:rsidRDefault="00F714D1">
            <w:pPr>
              <w:pStyle w:val="Table"/>
              <w:keepNext/>
              <w:spacing w:after="0"/>
              <w:jc w:val="center"/>
            </w:pPr>
            <w:r w:rsidRPr="00D41179">
              <w:rPr>
                <w:b/>
                <w:bCs/>
              </w:rPr>
              <w:t>n</w:t>
            </w:r>
          </w:p>
        </w:tc>
        <w:tc>
          <w:tcPr>
            <w:tcW w:w="393" w:type="pct"/>
            <w:tcBorders>
              <w:top w:val="single" w:sz="4" w:space="0" w:color="auto"/>
              <w:left w:val="single" w:sz="4" w:space="0" w:color="auto"/>
              <w:bottom w:val="single" w:sz="4" w:space="0" w:color="auto"/>
              <w:right w:val="single" w:sz="4" w:space="0" w:color="auto"/>
            </w:tcBorders>
            <w:tcMar>
              <w:top w:w="17" w:type="auto"/>
              <w:left w:w="17" w:type="auto"/>
              <w:bottom w:w="17" w:type="auto"/>
              <w:right w:w="17" w:type="auto"/>
            </w:tcMar>
            <w:vAlign w:val="center"/>
          </w:tcPr>
          <w:p w14:paraId="02B022D3" w14:textId="77777777" w:rsidR="00F714D1" w:rsidRPr="00D41179" w:rsidRDefault="00F714D1">
            <w:pPr>
              <w:pStyle w:val="Table"/>
              <w:keepNext/>
              <w:spacing w:after="0"/>
              <w:jc w:val="center"/>
            </w:pPr>
            <w:r w:rsidRPr="00D41179">
              <w:rPr>
                <w:b/>
                <w:bCs/>
              </w:rPr>
              <w:t>T (year)</w:t>
            </w:r>
          </w:p>
        </w:tc>
        <w:tc>
          <w:tcPr>
            <w:tcW w:w="630" w:type="pct"/>
            <w:tcBorders>
              <w:top w:val="single" w:sz="4" w:space="0" w:color="auto"/>
              <w:left w:val="single" w:sz="4" w:space="0" w:color="auto"/>
              <w:bottom w:val="single" w:sz="4" w:space="0" w:color="auto"/>
              <w:right w:val="single" w:sz="4" w:space="0" w:color="auto"/>
            </w:tcBorders>
            <w:tcMar>
              <w:top w:w="17" w:type="auto"/>
              <w:left w:w="17" w:type="auto"/>
              <w:bottom w:w="17" w:type="auto"/>
              <w:right w:w="17" w:type="auto"/>
            </w:tcMar>
            <w:vAlign w:val="center"/>
          </w:tcPr>
          <w:p w14:paraId="3A34B08D" w14:textId="77777777" w:rsidR="00F714D1" w:rsidRPr="00D41179" w:rsidRDefault="00F714D1">
            <w:pPr>
              <w:pStyle w:val="Table"/>
              <w:keepNext/>
              <w:spacing w:after="0"/>
              <w:jc w:val="center"/>
            </w:pPr>
            <w:r w:rsidRPr="00D41179">
              <w:rPr>
                <w:b/>
                <w:bCs/>
              </w:rPr>
              <w:t>n/T (per 1000)</w:t>
            </w:r>
          </w:p>
        </w:tc>
        <w:tc>
          <w:tcPr>
            <w:tcW w:w="313" w:type="pct"/>
            <w:tcBorders>
              <w:top w:val="single" w:sz="4" w:space="0" w:color="auto"/>
              <w:left w:val="single" w:sz="4" w:space="0" w:color="auto"/>
              <w:bottom w:val="single" w:sz="4" w:space="0" w:color="auto"/>
              <w:right w:val="single" w:sz="4" w:space="0" w:color="auto"/>
            </w:tcBorders>
            <w:tcMar>
              <w:top w:w="17" w:type="auto"/>
              <w:left w:w="17" w:type="auto"/>
              <w:bottom w:w="17" w:type="auto"/>
              <w:right w:w="17" w:type="auto"/>
            </w:tcMar>
            <w:vAlign w:val="center"/>
          </w:tcPr>
          <w:p w14:paraId="1265D809" w14:textId="77777777" w:rsidR="00F714D1" w:rsidRPr="00D41179" w:rsidRDefault="00F714D1">
            <w:pPr>
              <w:pStyle w:val="Table"/>
              <w:keepNext/>
              <w:spacing w:after="0"/>
              <w:jc w:val="center"/>
            </w:pPr>
            <w:r w:rsidRPr="00D41179">
              <w:rPr>
                <w:b/>
                <w:bCs/>
              </w:rPr>
              <w:t>N</w:t>
            </w:r>
            <w:r w:rsidRPr="00D41179">
              <w:rPr>
                <w:b/>
                <w:bCs/>
                <w:vertAlign w:val="superscript"/>
              </w:rPr>
              <w:t>2</w:t>
            </w:r>
          </w:p>
        </w:tc>
        <w:tc>
          <w:tcPr>
            <w:tcW w:w="156" w:type="pct"/>
            <w:tcBorders>
              <w:top w:val="single" w:sz="4" w:space="0" w:color="auto"/>
              <w:left w:val="single" w:sz="4" w:space="0" w:color="auto"/>
              <w:bottom w:val="single" w:sz="4" w:space="0" w:color="auto"/>
              <w:right w:val="single" w:sz="4" w:space="0" w:color="auto"/>
            </w:tcBorders>
            <w:tcMar>
              <w:top w:w="17" w:type="auto"/>
              <w:left w:w="17" w:type="auto"/>
              <w:bottom w:w="17" w:type="auto"/>
              <w:right w:w="17" w:type="auto"/>
            </w:tcMar>
            <w:vAlign w:val="center"/>
          </w:tcPr>
          <w:p w14:paraId="681D8E55" w14:textId="77777777" w:rsidR="00F714D1" w:rsidRPr="00D41179" w:rsidRDefault="00F714D1">
            <w:pPr>
              <w:pStyle w:val="Table"/>
              <w:keepNext/>
              <w:spacing w:after="0"/>
              <w:jc w:val="center"/>
            </w:pPr>
            <w:r w:rsidRPr="00D41179">
              <w:rPr>
                <w:b/>
                <w:bCs/>
              </w:rPr>
              <w:t>n</w:t>
            </w:r>
          </w:p>
        </w:tc>
        <w:tc>
          <w:tcPr>
            <w:tcW w:w="393" w:type="pct"/>
            <w:tcBorders>
              <w:top w:val="single" w:sz="4" w:space="0" w:color="auto"/>
              <w:left w:val="single" w:sz="4" w:space="0" w:color="auto"/>
              <w:bottom w:val="single" w:sz="4" w:space="0" w:color="auto"/>
              <w:right w:val="single" w:sz="4" w:space="0" w:color="auto"/>
            </w:tcBorders>
            <w:tcMar>
              <w:top w:w="17" w:type="auto"/>
              <w:left w:w="17" w:type="auto"/>
              <w:bottom w:w="17" w:type="auto"/>
              <w:right w:w="17" w:type="auto"/>
            </w:tcMar>
            <w:vAlign w:val="center"/>
          </w:tcPr>
          <w:p w14:paraId="50EA5481" w14:textId="77777777" w:rsidR="00F714D1" w:rsidRPr="00D41179" w:rsidRDefault="00F714D1">
            <w:pPr>
              <w:pStyle w:val="Table"/>
              <w:keepNext/>
              <w:spacing w:after="0"/>
              <w:jc w:val="center"/>
            </w:pPr>
            <w:r w:rsidRPr="00D41179">
              <w:rPr>
                <w:b/>
                <w:bCs/>
              </w:rPr>
              <w:t>T (year)</w:t>
            </w:r>
            <w:r w:rsidRPr="00D41179">
              <w:rPr>
                <w:b/>
                <w:bCs/>
                <w:vertAlign w:val="superscript"/>
              </w:rPr>
              <w:t>2</w:t>
            </w:r>
          </w:p>
        </w:tc>
        <w:tc>
          <w:tcPr>
            <w:tcW w:w="629" w:type="pct"/>
            <w:tcBorders>
              <w:top w:val="single" w:sz="4" w:space="0" w:color="auto"/>
              <w:left w:val="single" w:sz="4" w:space="0" w:color="auto"/>
              <w:bottom w:val="single" w:sz="4" w:space="0" w:color="auto"/>
              <w:right w:val="single" w:sz="4" w:space="0" w:color="auto"/>
            </w:tcBorders>
            <w:tcMar>
              <w:top w:w="17" w:type="auto"/>
              <w:left w:w="17" w:type="auto"/>
              <w:bottom w:w="17" w:type="auto"/>
              <w:right w:w="17" w:type="auto"/>
            </w:tcMar>
            <w:vAlign w:val="center"/>
          </w:tcPr>
          <w:p w14:paraId="48B8BBD8" w14:textId="77777777" w:rsidR="00F714D1" w:rsidRPr="00D41179" w:rsidRDefault="00F714D1">
            <w:pPr>
              <w:pStyle w:val="Table"/>
              <w:keepNext/>
              <w:spacing w:after="0"/>
              <w:jc w:val="center"/>
            </w:pPr>
            <w:r w:rsidRPr="00D41179">
              <w:rPr>
                <w:b/>
                <w:bCs/>
              </w:rPr>
              <w:t>n/T (per 1000)</w:t>
            </w:r>
          </w:p>
        </w:tc>
        <w:tc>
          <w:tcPr>
            <w:tcW w:w="1072" w:type="pct"/>
            <w:vMerge/>
            <w:tcBorders>
              <w:left w:val="single" w:sz="4" w:space="0" w:color="auto"/>
              <w:bottom w:val="single" w:sz="4" w:space="0" w:color="auto"/>
              <w:right w:val="single" w:sz="4" w:space="0" w:color="auto"/>
            </w:tcBorders>
            <w:tcMar>
              <w:top w:w="17" w:type="auto"/>
              <w:left w:w="17" w:type="auto"/>
              <w:bottom w:w="17" w:type="auto"/>
              <w:right w:w="17" w:type="auto"/>
            </w:tcMar>
            <w:vAlign w:val="center"/>
          </w:tcPr>
          <w:p w14:paraId="720B2548" w14:textId="77777777" w:rsidR="00F714D1" w:rsidRPr="00D41179" w:rsidRDefault="00F714D1">
            <w:pPr>
              <w:pStyle w:val="Table"/>
              <w:keepNext/>
              <w:spacing w:after="0"/>
              <w:jc w:val="center"/>
            </w:pPr>
          </w:p>
        </w:tc>
      </w:tr>
      <w:tr w:rsidR="00F714D1" w:rsidRPr="00D41179" w14:paraId="082E228B" w14:textId="77777777">
        <w:tblPrEx>
          <w:tblBorders>
            <w:insideH w:val="none" w:sz="0" w:space="0" w:color="auto"/>
          </w:tblBorders>
        </w:tblPrEx>
        <w:trPr>
          <w:cantSplit/>
        </w:trPr>
        <w:tc>
          <w:tcPr>
            <w:tcW w:w="5000" w:type="pct"/>
            <w:gridSpan w:val="11"/>
            <w:tcBorders>
              <w:top w:val="single" w:sz="4" w:space="0" w:color="auto"/>
              <w:bottom w:val="single" w:sz="2" w:space="0" w:color="auto"/>
            </w:tcBorders>
            <w:tcMar>
              <w:top w:w="17" w:type="auto"/>
              <w:left w:w="17" w:type="auto"/>
              <w:bottom w:w="17" w:type="auto"/>
              <w:right w:w="17" w:type="auto"/>
            </w:tcMar>
            <w:vAlign w:val="center"/>
          </w:tcPr>
          <w:p w14:paraId="5A1F91ED" w14:textId="77777777" w:rsidR="00F714D1" w:rsidRPr="00D41179" w:rsidRDefault="00F714D1">
            <w:pPr>
              <w:pStyle w:val="Table"/>
              <w:keepNext/>
              <w:spacing w:after="0"/>
            </w:pPr>
            <w:r w:rsidRPr="00D41179">
              <w:rPr>
                <w:rFonts w:eastAsia="Times New Roman" w:cs="Calibri"/>
                <w:b/>
                <w:bCs/>
                <w:color w:val="000000"/>
                <w:szCs w:val="20"/>
                <w:lang w:eastAsia="en-AU"/>
              </w:rPr>
              <w:t>VE</w:t>
            </w:r>
            <w:r w:rsidRPr="00D41179">
              <w:rPr>
                <w:rFonts w:eastAsia="Times New Roman" w:cs="Calibri"/>
                <w:b/>
                <w:bCs/>
                <w:color w:val="000000"/>
                <w:szCs w:val="20"/>
                <w:vertAlign w:val="subscript"/>
                <w:lang w:eastAsia="en-AU"/>
              </w:rPr>
              <w:t xml:space="preserve"> </w:t>
            </w:r>
            <w:r w:rsidRPr="00D41179">
              <w:rPr>
                <w:rFonts w:eastAsia="Times New Roman" w:cs="Calibri"/>
                <w:b/>
                <w:bCs/>
                <w:color w:val="000000"/>
                <w:szCs w:val="20"/>
                <w:lang w:eastAsia="en-AU"/>
              </w:rPr>
              <w:t>against HZ-related complications during ZOSTER-049 (median: 5.6 to 11.4 years post-vaccination)</w:t>
            </w:r>
          </w:p>
        </w:tc>
      </w:tr>
      <w:tr w:rsidR="00F714D1" w:rsidRPr="00D41179" w14:paraId="23422A62" w14:textId="77777777" w:rsidTr="00CB523A">
        <w:tblPrEx>
          <w:tblBorders>
            <w:insideH w:val="none" w:sz="0" w:space="0" w:color="auto"/>
          </w:tblBorders>
        </w:tblPrEx>
        <w:trPr>
          <w:cantSplit/>
        </w:trPr>
        <w:tc>
          <w:tcPr>
            <w:tcW w:w="547" w:type="pct"/>
            <w:vMerge w:val="restart"/>
            <w:tcBorders>
              <w:top w:val="single" w:sz="4" w:space="0" w:color="auto"/>
            </w:tcBorders>
            <w:tcMar>
              <w:top w:w="17" w:type="auto"/>
              <w:left w:w="17" w:type="auto"/>
              <w:bottom w:w="17" w:type="auto"/>
              <w:right w:w="17" w:type="auto"/>
            </w:tcMar>
          </w:tcPr>
          <w:p w14:paraId="6CEFE21F" w14:textId="77777777" w:rsidR="00F714D1" w:rsidRPr="00D41179" w:rsidRDefault="00F714D1">
            <w:pPr>
              <w:pStyle w:val="Table"/>
              <w:keepNext/>
              <w:spacing w:after="0"/>
              <w:rPr>
                <w:b/>
                <w:bCs/>
              </w:rPr>
            </w:pPr>
            <w:r w:rsidRPr="00D41179">
              <w:rPr>
                <w:rFonts w:cs="Calibri"/>
                <w:b/>
                <w:bCs/>
                <w:color w:val="000000"/>
                <w:szCs w:val="20"/>
              </w:rPr>
              <w:t>ZOSTER-049 (</w:t>
            </w:r>
            <w:proofErr w:type="spellStart"/>
            <w:r w:rsidRPr="00D41179">
              <w:rPr>
                <w:rFonts w:cs="Calibri"/>
                <w:b/>
                <w:bCs/>
                <w:color w:val="000000"/>
                <w:szCs w:val="20"/>
              </w:rPr>
              <w:t>mTVC</w:t>
            </w:r>
            <w:proofErr w:type="spellEnd"/>
            <w:r w:rsidRPr="00D41179">
              <w:rPr>
                <w:rFonts w:cs="Calibri"/>
                <w:b/>
                <w:bCs/>
                <w:color w:val="000000"/>
                <w:szCs w:val="20"/>
              </w:rPr>
              <w:t>)</w:t>
            </w:r>
          </w:p>
        </w:tc>
        <w:tc>
          <w:tcPr>
            <w:tcW w:w="391" w:type="pct"/>
            <w:tcBorders>
              <w:top w:val="single" w:sz="4" w:space="0" w:color="auto"/>
              <w:bottom w:val="single" w:sz="2" w:space="0" w:color="auto"/>
            </w:tcBorders>
            <w:vAlign w:val="center"/>
          </w:tcPr>
          <w:p w14:paraId="49C29EDF" w14:textId="77777777" w:rsidR="00F714D1" w:rsidRPr="00D41179" w:rsidRDefault="00F714D1">
            <w:pPr>
              <w:pStyle w:val="Table"/>
              <w:keepNext/>
              <w:spacing w:after="0"/>
              <w:rPr>
                <w:b/>
                <w:bCs/>
              </w:rPr>
            </w:pPr>
            <w:r w:rsidRPr="00D41179">
              <w:rPr>
                <w:b/>
                <w:bCs/>
              </w:rPr>
              <w:t>Overall</w:t>
            </w:r>
          </w:p>
        </w:tc>
        <w:tc>
          <w:tcPr>
            <w:tcW w:w="318" w:type="pct"/>
            <w:tcBorders>
              <w:top w:val="single" w:sz="4" w:space="0" w:color="auto"/>
              <w:bottom w:val="single" w:sz="2" w:space="0" w:color="auto"/>
            </w:tcBorders>
            <w:tcMar>
              <w:top w:w="17" w:type="auto"/>
              <w:left w:w="17" w:type="auto"/>
              <w:bottom w:w="17" w:type="auto"/>
              <w:right w:w="17" w:type="auto"/>
            </w:tcMar>
            <w:vAlign w:val="center"/>
          </w:tcPr>
          <w:p w14:paraId="4A55A229" w14:textId="77777777" w:rsidR="00F714D1" w:rsidRPr="00D41179" w:rsidRDefault="00F714D1">
            <w:pPr>
              <w:pStyle w:val="Table"/>
              <w:keepNext/>
              <w:spacing w:after="0"/>
              <w:jc w:val="center"/>
            </w:pPr>
            <w:r w:rsidRPr="00D41179">
              <w:t>7273</w:t>
            </w:r>
          </w:p>
        </w:tc>
        <w:tc>
          <w:tcPr>
            <w:tcW w:w="157" w:type="pct"/>
            <w:tcBorders>
              <w:top w:val="single" w:sz="4" w:space="0" w:color="auto"/>
              <w:bottom w:val="single" w:sz="2" w:space="0" w:color="auto"/>
            </w:tcBorders>
            <w:tcMar>
              <w:top w:w="17" w:type="auto"/>
              <w:left w:w="17" w:type="auto"/>
              <w:bottom w:w="17" w:type="auto"/>
              <w:right w:w="17" w:type="auto"/>
            </w:tcMar>
            <w:vAlign w:val="center"/>
          </w:tcPr>
          <w:p w14:paraId="523ACDDE" w14:textId="77777777" w:rsidR="00F714D1" w:rsidRPr="00D41179" w:rsidRDefault="00F714D1">
            <w:pPr>
              <w:pStyle w:val="Table"/>
              <w:keepNext/>
              <w:spacing w:after="0"/>
              <w:jc w:val="center"/>
            </w:pPr>
            <w:r w:rsidRPr="00D41179">
              <w:t>1</w:t>
            </w:r>
          </w:p>
        </w:tc>
        <w:tc>
          <w:tcPr>
            <w:tcW w:w="393" w:type="pct"/>
            <w:tcBorders>
              <w:top w:val="single" w:sz="4" w:space="0" w:color="auto"/>
              <w:bottom w:val="single" w:sz="2" w:space="0" w:color="auto"/>
            </w:tcBorders>
            <w:tcMar>
              <w:top w:w="17" w:type="auto"/>
              <w:left w:w="17" w:type="auto"/>
              <w:bottom w:w="17" w:type="auto"/>
              <w:right w:w="17" w:type="auto"/>
            </w:tcMar>
            <w:vAlign w:val="center"/>
          </w:tcPr>
          <w:p w14:paraId="34F8A8B9" w14:textId="77777777" w:rsidR="00F714D1" w:rsidRPr="00D41179" w:rsidRDefault="00F714D1">
            <w:pPr>
              <w:pStyle w:val="Table"/>
              <w:keepNext/>
              <w:spacing w:after="0"/>
              <w:jc w:val="center"/>
            </w:pPr>
            <w:r w:rsidRPr="00D41179">
              <w:t>39359.9</w:t>
            </w:r>
          </w:p>
        </w:tc>
        <w:tc>
          <w:tcPr>
            <w:tcW w:w="630" w:type="pct"/>
            <w:tcBorders>
              <w:top w:val="single" w:sz="4" w:space="0" w:color="auto"/>
              <w:bottom w:val="single" w:sz="2" w:space="0" w:color="auto"/>
            </w:tcBorders>
            <w:tcMar>
              <w:top w:w="17" w:type="auto"/>
              <w:left w:w="17" w:type="auto"/>
              <w:bottom w:w="17" w:type="auto"/>
              <w:right w:w="17" w:type="auto"/>
            </w:tcMar>
            <w:vAlign w:val="center"/>
          </w:tcPr>
          <w:p w14:paraId="426D8A56" w14:textId="77777777" w:rsidR="00F714D1" w:rsidRPr="00D41179" w:rsidRDefault="00F714D1">
            <w:pPr>
              <w:pStyle w:val="Table"/>
              <w:keepNext/>
              <w:spacing w:after="0"/>
              <w:jc w:val="center"/>
            </w:pPr>
            <w:r w:rsidRPr="00D41179">
              <w:t>0.0</w:t>
            </w:r>
          </w:p>
        </w:tc>
        <w:tc>
          <w:tcPr>
            <w:tcW w:w="313" w:type="pct"/>
            <w:tcBorders>
              <w:top w:val="single" w:sz="4" w:space="0" w:color="auto"/>
              <w:bottom w:val="single" w:sz="2" w:space="0" w:color="auto"/>
            </w:tcBorders>
            <w:tcMar>
              <w:top w:w="17" w:type="auto"/>
              <w:left w:w="17" w:type="auto"/>
              <w:bottom w:w="17" w:type="auto"/>
              <w:right w:w="17" w:type="auto"/>
            </w:tcMar>
            <w:vAlign w:val="center"/>
          </w:tcPr>
          <w:p w14:paraId="7F60E9DE" w14:textId="77777777" w:rsidR="00F714D1" w:rsidRPr="00D41179" w:rsidRDefault="00F714D1">
            <w:pPr>
              <w:pStyle w:val="Table"/>
              <w:keepNext/>
              <w:spacing w:after="0"/>
              <w:jc w:val="center"/>
            </w:pPr>
            <w:r w:rsidRPr="00D41179">
              <w:t>7273</w:t>
            </w:r>
          </w:p>
        </w:tc>
        <w:tc>
          <w:tcPr>
            <w:tcW w:w="156" w:type="pct"/>
            <w:tcBorders>
              <w:top w:val="single" w:sz="4" w:space="0" w:color="auto"/>
              <w:bottom w:val="single" w:sz="2" w:space="0" w:color="auto"/>
            </w:tcBorders>
            <w:tcMar>
              <w:top w:w="17" w:type="auto"/>
              <w:left w:w="17" w:type="auto"/>
              <w:bottom w:w="17" w:type="auto"/>
              <w:right w:w="17" w:type="auto"/>
            </w:tcMar>
            <w:vAlign w:val="center"/>
          </w:tcPr>
          <w:p w14:paraId="43F8E7AE" w14:textId="77777777" w:rsidR="00F714D1" w:rsidRPr="00D41179" w:rsidRDefault="00F714D1">
            <w:pPr>
              <w:pStyle w:val="Table"/>
              <w:keepNext/>
              <w:spacing w:after="0"/>
              <w:jc w:val="center"/>
            </w:pPr>
            <w:r w:rsidRPr="00D41179">
              <w:t>12</w:t>
            </w:r>
          </w:p>
        </w:tc>
        <w:tc>
          <w:tcPr>
            <w:tcW w:w="393" w:type="pct"/>
            <w:tcBorders>
              <w:top w:val="single" w:sz="4" w:space="0" w:color="auto"/>
              <w:bottom w:val="single" w:sz="2" w:space="0" w:color="auto"/>
            </w:tcBorders>
            <w:tcMar>
              <w:top w:w="17" w:type="auto"/>
              <w:left w:w="17" w:type="auto"/>
              <w:bottom w:w="17" w:type="auto"/>
              <w:right w:w="17" w:type="auto"/>
            </w:tcMar>
            <w:vAlign w:val="center"/>
          </w:tcPr>
          <w:p w14:paraId="3EDCC5C5" w14:textId="77777777" w:rsidR="00F714D1" w:rsidRPr="00D41179" w:rsidRDefault="00F714D1">
            <w:pPr>
              <w:pStyle w:val="Table"/>
              <w:keepNext/>
              <w:spacing w:after="0"/>
              <w:jc w:val="center"/>
            </w:pPr>
            <w:r w:rsidRPr="00D41179">
              <w:t>39359.9</w:t>
            </w:r>
          </w:p>
        </w:tc>
        <w:tc>
          <w:tcPr>
            <w:tcW w:w="629" w:type="pct"/>
            <w:tcBorders>
              <w:top w:val="single" w:sz="4" w:space="0" w:color="auto"/>
              <w:bottom w:val="single" w:sz="2" w:space="0" w:color="auto"/>
            </w:tcBorders>
            <w:tcMar>
              <w:top w:w="17" w:type="auto"/>
              <w:left w:w="17" w:type="auto"/>
              <w:bottom w:w="17" w:type="auto"/>
              <w:right w:w="17" w:type="auto"/>
            </w:tcMar>
            <w:vAlign w:val="center"/>
          </w:tcPr>
          <w:p w14:paraId="369BDBF3" w14:textId="77777777" w:rsidR="00F714D1" w:rsidRPr="00D41179" w:rsidRDefault="00F714D1">
            <w:pPr>
              <w:pStyle w:val="Table"/>
              <w:keepNext/>
              <w:spacing w:after="0"/>
              <w:jc w:val="center"/>
            </w:pPr>
            <w:r w:rsidRPr="00D41179">
              <w:t>0.3</w:t>
            </w:r>
          </w:p>
        </w:tc>
        <w:tc>
          <w:tcPr>
            <w:tcW w:w="1072" w:type="pct"/>
            <w:tcBorders>
              <w:top w:val="single" w:sz="4" w:space="0" w:color="auto"/>
              <w:bottom w:val="single" w:sz="2" w:space="0" w:color="auto"/>
            </w:tcBorders>
            <w:tcMar>
              <w:top w:w="17" w:type="auto"/>
              <w:left w:w="17" w:type="auto"/>
              <w:bottom w:w="17" w:type="auto"/>
              <w:right w:w="17" w:type="auto"/>
            </w:tcMar>
            <w:vAlign w:val="center"/>
          </w:tcPr>
          <w:p w14:paraId="1451DAC3" w14:textId="77777777" w:rsidR="00F714D1" w:rsidRPr="00D41179" w:rsidRDefault="00F714D1">
            <w:pPr>
              <w:pStyle w:val="Table"/>
              <w:keepNext/>
              <w:spacing w:after="0"/>
              <w:jc w:val="center"/>
            </w:pPr>
            <w:r w:rsidRPr="00D41179">
              <w:t>91.67 (43.68, 99.81)</w:t>
            </w:r>
          </w:p>
        </w:tc>
      </w:tr>
      <w:tr w:rsidR="00F714D1" w:rsidRPr="00D41179" w14:paraId="69230051" w14:textId="77777777" w:rsidTr="00CB523A">
        <w:tblPrEx>
          <w:tblBorders>
            <w:insideH w:val="none" w:sz="0" w:space="0" w:color="auto"/>
          </w:tblBorders>
        </w:tblPrEx>
        <w:trPr>
          <w:cantSplit/>
        </w:trPr>
        <w:tc>
          <w:tcPr>
            <w:tcW w:w="547" w:type="pct"/>
            <w:vMerge/>
            <w:tcMar>
              <w:top w:w="17" w:type="auto"/>
              <w:left w:w="17" w:type="auto"/>
              <w:bottom w:w="17" w:type="auto"/>
              <w:right w:w="17" w:type="auto"/>
            </w:tcMar>
            <w:vAlign w:val="center"/>
          </w:tcPr>
          <w:p w14:paraId="3C60A647" w14:textId="77777777" w:rsidR="00F714D1" w:rsidRPr="00D41179" w:rsidRDefault="00F714D1">
            <w:pPr>
              <w:pStyle w:val="Table"/>
              <w:keepNext/>
              <w:spacing w:after="0"/>
              <w:rPr>
                <w:b/>
                <w:bCs/>
              </w:rPr>
            </w:pPr>
          </w:p>
        </w:tc>
        <w:tc>
          <w:tcPr>
            <w:tcW w:w="391" w:type="pct"/>
            <w:tcBorders>
              <w:top w:val="single" w:sz="4" w:space="0" w:color="auto"/>
              <w:bottom w:val="single" w:sz="2" w:space="0" w:color="auto"/>
            </w:tcBorders>
            <w:vAlign w:val="center"/>
          </w:tcPr>
          <w:p w14:paraId="62D7BFDE" w14:textId="77777777" w:rsidR="00F714D1" w:rsidRPr="00D41179" w:rsidRDefault="00F714D1">
            <w:pPr>
              <w:pStyle w:val="Table"/>
              <w:keepNext/>
              <w:spacing w:after="0"/>
              <w:rPr>
                <w:b/>
                <w:bCs/>
              </w:rPr>
            </w:pPr>
            <w:r w:rsidRPr="00D41179">
              <w:rPr>
                <w:b/>
                <w:bCs/>
              </w:rPr>
              <w:t>50-59</w:t>
            </w:r>
          </w:p>
        </w:tc>
        <w:tc>
          <w:tcPr>
            <w:tcW w:w="318" w:type="pct"/>
            <w:tcBorders>
              <w:top w:val="single" w:sz="4" w:space="0" w:color="auto"/>
              <w:bottom w:val="single" w:sz="2" w:space="0" w:color="auto"/>
            </w:tcBorders>
            <w:tcMar>
              <w:top w:w="17" w:type="auto"/>
              <w:left w:w="17" w:type="auto"/>
              <w:bottom w:w="17" w:type="auto"/>
              <w:right w:w="17" w:type="auto"/>
            </w:tcMar>
            <w:vAlign w:val="center"/>
          </w:tcPr>
          <w:p w14:paraId="09E88BD5" w14:textId="77777777" w:rsidR="00F714D1" w:rsidRPr="00D41179" w:rsidRDefault="00F714D1">
            <w:pPr>
              <w:pStyle w:val="Table"/>
              <w:keepNext/>
              <w:spacing w:after="0"/>
              <w:jc w:val="center"/>
            </w:pPr>
            <w:r w:rsidRPr="00D41179">
              <w:t>2046</w:t>
            </w:r>
          </w:p>
        </w:tc>
        <w:tc>
          <w:tcPr>
            <w:tcW w:w="157" w:type="pct"/>
            <w:tcBorders>
              <w:top w:val="single" w:sz="4" w:space="0" w:color="auto"/>
              <w:bottom w:val="single" w:sz="2" w:space="0" w:color="auto"/>
            </w:tcBorders>
            <w:tcMar>
              <w:top w:w="17" w:type="auto"/>
              <w:left w:w="17" w:type="auto"/>
              <w:bottom w:w="17" w:type="auto"/>
              <w:right w:w="17" w:type="auto"/>
            </w:tcMar>
            <w:vAlign w:val="center"/>
          </w:tcPr>
          <w:p w14:paraId="3949183C" w14:textId="77777777" w:rsidR="00F714D1" w:rsidRPr="00D41179" w:rsidRDefault="00F714D1">
            <w:pPr>
              <w:pStyle w:val="Table"/>
              <w:keepNext/>
              <w:spacing w:after="0"/>
              <w:jc w:val="center"/>
            </w:pPr>
            <w:r w:rsidRPr="00D41179">
              <w:t>0</w:t>
            </w:r>
          </w:p>
        </w:tc>
        <w:tc>
          <w:tcPr>
            <w:tcW w:w="393" w:type="pct"/>
            <w:tcBorders>
              <w:top w:val="single" w:sz="4" w:space="0" w:color="auto"/>
              <w:bottom w:val="single" w:sz="2" w:space="0" w:color="auto"/>
            </w:tcBorders>
            <w:tcMar>
              <w:top w:w="17" w:type="auto"/>
              <w:left w:w="17" w:type="auto"/>
              <w:bottom w:w="17" w:type="auto"/>
              <w:right w:w="17" w:type="auto"/>
            </w:tcMar>
            <w:vAlign w:val="center"/>
          </w:tcPr>
          <w:p w14:paraId="443395EE" w14:textId="77777777" w:rsidR="00F714D1" w:rsidRPr="00D41179" w:rsidRDefault="00F714D1">
            <w:pPr>
              <w:pStyle w:val="Table"/>
              <w:keepNext/>
              <w:spacing w:after="0"/>
              <w:jc w:val="center"/>
            </w:pPr>
            <w:r w:rsidRPr="00D41179">
              <w:t>11795.6</w:t>
            </w:r>
          </w:p>
        </w:tc>
        <w:tc>
          <w:tcPr>
            <w:tcW w:w="630" w:type="pct"/>
            <w:tcBorders>
              <w:top w:val="single" w:sz="4" w:space="0" w:color="auto"/>
              <w:bottom w:val="single" w:sz="2" w:space="0" w:color="auto"/>
            </w:tcBorders>
            <w:tcMar>
              <w:top w:w="17" w:type="auto"/>
              <w:left w:w="17" w:type="auto"/>
              <w:bottom w:w="17" w:type="auto"/>
              <w:right w:w="17" w:type="auto"/>
            </w:tcMar>
            <w:vAlign w:val="center"/>
          </w:tcPr>
          <w:p w14:paraId="0A0BA707" w14:textId="77777777" w:rsidR="00F714D1" w:rsidRPr="00D41179" w:rsidRDefault="00F714D1">
            <w:pPr>
              <w:pStyle w:val="Table"/>
              <w:keepNext/>
              <w:spacing w:after="0"/>
              <w:jc w:val="center"/>
            </w:pPr>
            <w:r w:rsidRPr="00D41179">
              <w:t>0.0</w:t>
            </w:r>
          </w:p>
        </w:tc>
        <w:tc>
          <w:tcPr>
            <w:tcW w:w="313" w:type="pct"/>
            <w:tcBorders>
              <w:top w:val="single" w:sz="4" w:space="0" w:color="auto"/>
              <w:bottom w:val="single" w:sz="2" w:space="0" w:color="auto"/>
            </w:tcBorders>
            <w:tcMar>
              <w:top w:w="17" w:type="auto"/>
              <w:left w:w="17" w:type="auto"/>
              <w:bottom w:w="17" w:type="auto"/>
              <w:right w:w="17" w:type="auto"/>
            </w:tcMar>
            <w:vAlign w:val="center"/>
          </w:tcPr>
          <w:p w14:paraId="7C1369AB" w14:textId="77777777" w:rsidR="00F714D1" w:rsidRPr="00D41179" w:rsidRDefault="00F714D1">
            <w:pPr>
              <w:pStyle w:val="Table"/>
              <w:keepNext/>
              <w:spacing w:after="0"/>
              <w:jc w:val="center"/>
            </w:pPr>
            <w:r w:rsidRPr="00D41179">
              <w:t>2046</w:t>
            </w:r>
          </w:p>
        </w:tc>
        <w:tc>
          <w:tcPr>
            <w:tcW w:w="156" w:type="pct"/>
            <w:tcBorders>
              <w:top w:val="single" w:sz="4" w:space="0" w:color="auto"/>
              <w:bottom w:val="single" w:sz="2" w:space="0" w:color="auto"/>
            </w:tcBorders>
            <w:tcMar>
              <w:top w:w="17" w:type="auto"/>
              <w:left w:w="17" w:type="auto"/>
              <w:bottom w:w="17" w:type="auto"/>
              <w:right w:w="17" w:type="auto"/>
            </w:tcMar>
            <w:vAlign w:val="center"/>
          </w:tcPr>
          <w:p w14:paraId="0FC9B2D2" w14:textId="77777777" w:rsidR="00F714D1" w:rsidRPr="00D41179" w:rsidRDefault="00F714D1">
            <w:pPr>
              <w:pStyle w:val="Table"/>
              <w:keepNext/>
              <w:spacing w:after="0"/>
              <w:jc w:val="center"/>
            </w:pPr>
            <w:r w:rsidRPr="00D41179">
              <w:t>0</w:t>
            </w:r>
          </w:p>
        </w:tc>
        <w:tc>
          <w:tcPr>
            <w:tcW w:w="393" w:type="pct"/>
            <w:tcBorders>
              <w:top w:val="single" w:sz="4" w:space="0" w:color="auto"/>
              <w:bottom w:val="single" w:sz="2" w:space="0" w:color="auto"/>
            </w:tcBorders>
            <w:tcMar>
              <w:top w:w="17" w:type="auto"/>
              <w:left w:w="17" w:type="auto"/>
              <w:bottom w:w="17" w:type="auto"/>
              <w:right w:w="17" w:type="auto"/>
            </w:tcMar>
            <w:vAlign w:val="center"/>
          </w:tcPr>
          <w:p w14:paraId="47DDD2C4" w14:textId="77777777" w:rsidR="00F714D1" w:rsidRPr="00D41179" w:rsidRDefault="00F714D1">
            <w:pPr>
              <w:pStyle w:val="Table"/>
              <w:keepNext/>
              <w:spacing w:after="0"/>
              <w:jc w:val="center"/>
            </w:pPr>
            <w:r w:rsidRPr="00D41179">
              <w:t>11795.6</w:t>
            </w:r>
          </w:p>
        </w:tc>
        <w:tc>
          <w:tcPr>
            <w:tcW w:w="629" w:type="pct"/>
            <w:tcBorders>
              <w:top w:val="single" w:sz="4" w:space="0" w:color="auto"/>
              <w:bottom w:val="single" w:sz="2" w:space="0" w:color="auto"/>
            </w:tcBorders>
            <w:tcMar>
              <w:top w:w="17" w:type="auto"/>
              <w:left w:w="17" w:type="auto"/>
              <w:bottom w:w="17" w:type="auto"/>
              <w:right w:w="17" w:type="auto"/>
            </w:tcMar>
            <w:vAlign w:val="center"/>
          </w:tcPr>
          <w:p w14:paraId="23EB970D" w14:textId="77777777" w:rsidR="00F714D1" w:rsidRPr="00D41179" w:rsidRDefault="00F714D1">
            <w:pPr>
              <w:pStyle w:val="Table"/>
              <w:keepNext/>
              <w:spacing w:after="0"/>
              <w:jc w:val="center"/>
            </w:pPr>
            <w:r w:rsidRPr="00D41179">
              <w:t>0.0</w:t>
            </w:r>
          </w:p>
        </w:tc>
        <w:tc>
          <w:tcPr>
            <w:tcW w:w="1072" w:type="pct"/>
            <w:tcBorders>
              <w:top w:val="single" w:sz="4" w:space="0" w:color="auto"/>
              <w:bottom w:val="single" w:sz="2" w:space="0" w:color="auto"/>
            </w:tcBorders>
            <w:tcMar>
              <w:top w:w="17" w:type="auto"/>
              <w:left w:w="17" w:type="auto"/>
              <w:bottom w:w="17" w:type="auto"/>
              <w:right w:w="17" w:type="auto"/>
            </w:tcMar>
            <w:vAlign w:val="center"/>
          </w:tcPr>
          <w:p w14:paraId="200E8C24" w14:textId="77777777" w:rsidR="00F714D1" w:rsidRPr="00D41179" w:rsidRDefault="00F714D1">
            <w:pPr>
              <w:pStyle w:val="Table"/>
              <w:keepNext/>
              <w:spacing w:after="0"/>
              <w:jc w:val="center"/>
            </w:pPr>
            <w:r w:rsidRPr="00D41179">
              <w:t>Undefined</w:t>
            </w:r>
            <w:r w:rsidRPr="00D41179">
              <w:rPr>
                <w:vertAlign w:val="superscript"/>
              </w:rPr>
              <w:t>5</w:t>
            </w:r>
          </w:p>
        </w:tc>
      </w:tr>
      <w:tr w:rsidR="00F714D1" w:rsidRPr="00D41179" w14:paraId="69A5BA78" w14:textId="77777777" w:rsidTr="00CB523A">
        <w:tblPrEx>
          <w:tblBorders>
            <w:insideH w:val="none" w:sz="0" w:space="0" w:color="auto"/>
          </w:tblBorders>
        </w:tblPrEx>
        <w:trPr>
          <w:cantSplit/>
        </w:trPr>
        <w:tc>
          <w:tcPr>
            <w:tcW w:w="547" w:type="pct"/>
            <w:vMerge/>
            <w:tcMar>
              <w:top w:w="17" w:type="auto"/>
              <w:left w:w="17" w:type="auto"/>
              <w:bottom w:w="17" w:type="auto"/>
              <w:right w:w="17" w:type="auto"/>
            </w:tcMar>
            <w:vAlign w:val="center"/>
          </w:tcPr>
          <w:p w14:paraId="7ED008F3" w14:textId="77777777" w:rsidR="00F714D1" w:rsidRPr="00D41179" w:rsidRDefault="00F714D1">
            <w:pPr>
              <w:pStyle w:val="Table"/>
              <w:keepNext/>
              <w:spacing w:after="0"/>
              <w:rPr>
                <w:b/>
                <w:bCs/>
              </w:rPr>
            </w:pPr>
          </w:p>
        </w:tc>
        <w:tc>
          <w:tcPr>
            <w:tcW w:w="391" w:type="pct"/>
            <w:tcBorders>
              <w:top w:val="single" w:sz="4" w:space="0" w:color="auto"/>
              <w:bottom w:val="single" w:sz="2" w:space="0" w:color="auto"/>
            </w:tcBorders>
            <w:vAlign w:val="center"/>
          </w:tcPr>
          <w:p w14:paraId="0DF45734" w14:textId="77777777" w:rsidR="00F714D1" w:rsidRPr="00D41179" w:rsidRDefault="00F714D1">
            <w:pPr>
              <w:pStyle w:val="Table"/>
              <w:keepNext/>
              <w:spacing w:after="0"/>
              <w:rPr>
                <w:b/>
                <w:bCs/>
              </w:rPr>
            </w:pPr>
            <w:r w:rsidRPr="00D41179">
              <w:rPr>
                <w:b/>
                <w:bCs/>
              </w:rPr>
              <w:t>60-69</w:t>
            </w:r>
          </w:p>
        </w:tc>
        <w:tc>
          <w:tcPr>
            <w:tcW w:w="318" w:type="pct"/>
            <w:tcBorders>
              <w:top w:val="single" w:sz="4" w:space="0" w:color="auto"/>
              <w:bottom w:val="single" w:sz="2" w:space="0" w:color="auto"/>
            </w:tcBorders>
            <w:tcMar>
              <w:top w:w="17" w:type="auto"/>
              <w:left w:w="17" w:type="auto"/>
              <w:bottom w:w="17" w:type="auto"/>
              <w:right w:w="17" w:type="auto"/>
            </w:tcMar>
            <w:vAlign w:val="center"/>
          </w:tcPr>
          <w:p w14:paraId="71C2225B" w14:textId="77777777" w:rsidR="00F714D1" w:rsidRPr="00D41179" w:rsidRDefault="00F714D1">
            <w:pPr>
              <w:pStyle w:val="Table"/>
              <w:keepNext/>
              <w:spacing w:after="0"/>
              <w:jc w:val="center"/>
            </w:pPr>
            <w:r w:rsidRPr="00D41179">
              <w:t>1243</w:t>
            </w:r>
          </w:p>
        </w:tc>
        <w:tc>
          <w:tcPr>
            <w:tcW w:w="157" w:type="pct"/>
            <w:tcBorders>
              <w:top w:val="single" w:sz="4" w:space="0" w:color="auto"/>
              <w:bottom w:val="single" w:sz="2" w:space="0" w:color="auto"/>
            </w:tcBorders>
            <w:tcMar>
              <w:top w:w="17" w:type="auto"/>
              <w:left w:w="17" w:type="auto"/>
              <w:bottom w:w="17" w:type="auto"/>
              <w:right w:w="17" w:type="auto"/>
            </w:tcMar>
            <w:vAlign w:val="center"/>
          </w:tcPr>
          <w:p w14:paraId="3FACED4D" w14:textId="77777777" w:rsidR="00F714D1" w:rsidRPr="00D41179" w:rsidRDefault="00F714D1">
            <w:pPr>
              <w:pStyle w:val="Table"/>
              <w:keepNext/>
              <w:spacing w:after="0"/>
              <w:jc w:val="center"/>
            </w:pPr>
            <w:r w:rsidRPr="00D41179">
              <w:t>0</w:t>
            </w:r>
          </w:p>
        </w:tc>
        <w:tc>
          <w:tcPr>
            <w:tcW w:w="393" w:type="pct"/>
            <w:tcBorders>
              <w:top w:val="single" w:sz="4" w:space="0" w:color="auto"/>
              <w:bottom w:val="single" w:sz="2" w:space="0" w:color="auto"/>
            </w:tcBorders>
            <w:tcMar>
              <w:top w:w="17" w:type="auto"/>
              <w:left w:w="17" w:type="auto"/>
              <w:bottom w:w="17" w:type="auto"/>
              <w:right w:w="17" w:type="auto"/>
            </w:tcMar>
            <w:vAlign w:val="center"/>
          </w:tcPr>
          <w:p w14:paraId="681880B5" w14:textId="77777777" w:rsidR="00F714D1" w:rsidRPr="00D41179" w:rsidRDefault="00F714D1">
            <w:pPr>
              <w:pStyle w:val="Table"/>
              <w:keepNext/>
              <w:spacing w:after="0"/>
              <w:jc w:val="center"/>
            </w:pPr>
            <w:r w:rsidRPr="00D41179">
              <w:t>6986.3</w:t>
            </w:r>
          </w:p>
        </w:tc>
        <w:tc>
          <w:tcPr>
            <w:tcW w:w="630" w:type="pct"/>
            <w:tcBorders>
              <w:top w:val="single" w:sz="4" w:space="0" w:color="auto"/>
              <w:bottom w:val="single" w:sz="2" w:space="0" w:color="auto"/>
            </w:tcBorders>
            <w:tcMar>
              <w:top w:w="17" w:type="auto"/>
              <w:left w:w="17" w:type="auto"/>
              <w:bottom w:w="17" w:type="auto"/>
              <w:right w:w="17" w:type="auto"/>
            </w:tcMar>
            <w:vAlign w:val="center"/>
          </w:tcPr>
          <w:p w14:paraId="0F0E8283" w14:textId="77777777" w:rsidR="00F714D1" w:rsidRPr="00D41179" w:rsidRDefault="00F714D1">
            <w:pPr>
              <w:pStyle w:val="Table"/>
              <w:keepNext/>
              <w:spacing w:after="0"/>
              <w:jc w:val="center"/>
            </w:pPr>
            <w:r w:rsidRPr="00D41179">
              <w:t>0.0</w:t>
            </w:r>
          </w:p>
        </w:tc>
        <w:tc>
          <w:tcPr>
            <w:tcW w:w="313" w:type="pct"/>
            <w:tcBorders>
              <w:top w:val="single" w:sz="4" w:space="0" w:color="auto"/>
              <w:bottom w:val="single" w:sz="2" w:space="0" w:color="auto"/>
            </w:tcBorders>
            <w:tcMar>
              <w:top w:w="17" w:type="auto"/>
              <w:left w:w="17" w:type="auto"/>
              <w:bottom w:w="17" w:type="auto"/>
              <w:right w:w="17" w:type="auto"/>
            </w:tcMar>
            <w:vAlign w:val="center"/>
          </w:tcPr>
          <w:p w14:paraId="3AB19E80" w14:textId="77777777" w:rsidR="00F714D1" w:rsidRPr="00D41179" w:rsidRDefault="00F714D1">
            <w:pPr>
              <w:pStyle w:val="Table"/>
              <w:keepNext/>
              <w:spacing w:after="0"/>
              <w:jc w:val="center"/>
            </w:pPr>
            <w:r w:rsidRPr="00D41179">
              <w:t>1243</w:t>
            </w:r>
          </w:p>
        </w:tc>
        <w:tc>
          <w:tcPr>
            <w:tcW w:w="156" w:type="pct"/>
            <w:tcBorders>
              <w:top w:val="single" w:sz="4" w:space="0" w:color="auto"/>
              <w:bottom w:val="single" w:sz="2" w:space="0" w:color="auto"/>
            </w:tcBorders>
            <w:tcMar>
              <w:top w:w="17" w:type="auto"/>
              <w:left w:w="17" w:type="auto"/>
              <w:bottom w:w="17" w:type="auto"/>
              <w:right w:w="17" w:type="auto"/>
            </w:tcMar>
            <w:vAlign w:val="center"/>
          </w:tcPr>
          <w:p w14:paraId="4B1A7635" w14:textId="77777777" w:rsidR="00F714D1" w:rsidRPr="00D41179" w:rsidRDefault="00F714D1">
            <w:pPr>
              <w:pStyle w:val="Table"/>
              <w:keepNext/>
              <w:spacing w:after="0"/>
              <w:jc w:val="center"/>
            </w:pPr>
            <w:r w:rsidRPr="00D41179">
              <w:t>2</w:t>
            </w:r>
          </w:p>
        </w:tc>
        <w:tc>
          <w:tcPr>
            <w:tcW w:w="393" w:type="pct"/>
            <w:tcBorders>
              <w:top w:val="single" w:sz="4" w:space="0" w:color="auto"/>
              <w:bottom w:val="single" w:sz="2" w:space="0" w:color="auto"/>
            </w:tcBorders>
            <w:tcMar>
              <w:top w:w="17" w:type="auto"/>
              <w:left w:w="17" w:type="auto"/>
              <w:bottom w:w="17" w:type="auto"/>
              <w:right w:w="17" w:type="auto"/>
            </w:tcMar>
            <w:vAlign w:val="center"/>
          </w:tcPr>
          <w:p w14:paraId="5135A3B3" w14:textId="77777777" w:rsidR="00F714D1" w:rsidRPr="00D41179" w:rsidRDefault="00F714D1">
            <w:pPr>
              <w:pStyle w:val="Table"/>
              <w:keepNext/>
              <w:spacing w:after="0"/>
              <w:jc w:val="center"/>
            </w:pPr>
            <w:r w:rsidRPr="00D41179">
              <w:t>6986.3</w:t>
            </w:r>
          </w:p>
        </w:tc>
        <w:tc>
          <w:tcPr>
            <w:tcW w:w="629" w:type="pct"/>
            <w:tcBorders>
              <w:top w:val="single" w:sz="4" w:space="0" w:color="auto"/>
              <w:bottom w:val="single" w:sz="2" w:space="0" w:color="auto"/>
            </w:tcBorders>
            <w:tcMar>
              <w:top w:w="17" w:type="auto"/>
              <w:left w:w="17" w:type="auto"/>
              <w:bottom w:w="17" w:type="auto"/>
              <w:right w:w="17" w:type="auto"/>
            </w:tcMar>
            <w:vAlign w:val="center"/>
          </w:tcPr>
          <w:p w14:paraId="11D5D8B5" w14:textId="77777777" w:rsidR="00F714D1" w:rsidRPr="00D41179" w:rsidRDefault="00F714D1">
            <w:pPr>
              <w:pStyle w:val="Table"/>
              <w:keepNext/>
              <w:spacing w:after="0"/>
              <w:jc w:val="center"/>
            </w:pPr>
            <w:r w:rsidRPr="00D41179">
              <w:t>0.3</w:t>
            </w:r>
          </w:p>
        </w:tc>
        <w:tc>
          <w:tcPr>
            <w:tcW w:w="1072" w:type="pct"/>
            <w:tcBorders>
              <w:top w:val="single" w:sz="4" w:space="0" w:color="auto"/>
              <w:bottom w:val="single" w:sz="2" w:space="0" w:color="auto"/>
            </w:tcBorders>
            <w:tcMar>
              <w:top w:w="17" w:type="auto"/>
              <w:left w:w="17" w:type="auto"/>
              <w:bottom w:w="17" w:type="auto"/>
              <w:right w:w="17" w:type="auto"/>
            </w:tcMar>
            <w:vAlign w:val="center"/>
          </w:tcPr>
          <w:p w14:paraId="53E74097" w14:textId="77777777" w:rsidR="00F714D1" w:rsidRPr="00D41179" w:rsidRDefault="00F714D1">
            <w:pPr>
              <w:pStyle w:val="Table"/>
              <w:keepNext/>
              <w:spacing w:after="0"/>
              <w:jc w:val="center"/>
            </w:pPr>
            <w:r w:rsidRPr="00D41179">
              <w:t>100.00 (-247.21, 100.00)</w:t>
            </w:r>
          </w:p>
        </w:tc>
      </w:tr>
      <w:tr w:rsidR="00F714D1" w:rsidRPr="00D41179" w14:paraId="19D1367B" w14:textId="77777777" w:rsidTr="00CB523A">
        <w:tblPrEx>
          <w:tblBorders>
            <w:insideH w:val="none" w:sz="0" w:space="0" w:color="auto"/>
          </w:tblBorders>
        </w:tblPrEx>
        <w:trPr>
          <w:cantSplit/>
        </w:trPr>
        <w:tc>
          <w:tcPr>
            <w:tcW w:w="547" w:type="pct"/>
            <w:vMerge/>
            <w:tcBorders>
              <w:bottom w:val="single" w:sz="4" w:space="0" w:color="auto"/>
            </w:tcBorders>
            <w:tcMar>
              <w:top w:w="17" w:type="auto"/>
              <w:left w:w="17" w:type="auto"/>
              <w:bottom w:w="17" w:type="auto"/>
              <w:right w:w="17" w:type="auto"/>
            </w:tcMar>
            <w:vAlign w:val="center"/>
          </w:tcPr>
          <w:p w14:paraId="15EF70BA" w14:textId="77777777" w:rsidR="00F714D1" w:rsidRPr="00D41179" w:rsidRDefault="00F714D1">
            <w:pPr>
              <w:pStyle w:val="Table"/>
              <w:keepNext/>
              <w:spacing w:after="0"/>
              <w:rPr>
                <w:b/>
                <w:bCs/>
              </w:rPr>
            </w:pPr>
          </w:p>
        </w:tc>
        <w:tc>
          <w:tcPr>
            <w:tcW w:w="391" w:type="pct"/>
            <w:tcBorders>
              <w:top w:val="single" w:sz="4" w:space="0" w:color="auto"/>
              <w:bottom w:val="single" w:sz="4" w:space="0" w:color="auto"/>
            </w:tcBorders>
            <w:vAlign w:val="center"/>
          </w:tcPr>
          <w:p w14:paraId="1DC44EF6" w14:textId="77777777" w:rsidR="00F714D1" w:rsidRPr="00D41179" w:rsidRDefault="00F714D1">
            <w:pPr>
              <w:pStyle w:val="Table"/>
              <w:keepNext/>
              <w:spacing w:after="0"/>
              <w:rPr>
                <w:b/>
                <w:bCs/>
              </w:rPr>
            </w:pPr>
            <w:r w:rsidRPr="00D41179">
              <w:rPr>
                <w:b/>
                <w:bCs/>
              </w:rPr>
              <w:t>≥70</w:t>
            </w:r>
          </w:p>
        </w:tc>
        <w:tc>
          <w:tcPr>
            <w:tcW w:w="318" w:type="pct"/>
            <w:tcBorders>
              <w:top w:val="single" w:sz="4" w:space="0" w:color="auto"/>
              <w:bottom w:val="single" w:sz="4" w:space="0" w:color="auto"/>
            </w:tcBorders>
            <w:tcMar>
              <w:top w:w="17" w:type="auto"/>
              <w:left w:w="17" w:type="auto"/>
              <w:bottom w:w="17" w:type="auto"/>
              <w:right w:w="17" w:type="auto"/>
            </w:tcMar>
            <w:vAlign w:val="center"/>
          </w:tcPr>
          <w:p w14:paraId="0F160079" w14:textId="77777777" w:rsidR="00F714D1" w:rsidRPr="00D41179" w:rsidRDefault="00F714D1">
            <w:pPr>
              <w:pStyle w:val="Table"/>
              <w:keepNext/>
              <w:spacing w:after="0"/>
              <w:jc w:val="center"/>
            </w:pPr>
            <w:r w:rsidRPr="00D41179">
              <w:t>3984</w:t>
            </w:r>
          </w:p>
        </w:tc>
        <w:tc>
          <w:tcPr>
            <w:tcW w:w="157" w:type="pct"/>
            <w:tcBorders>
              <w:top w:val="single" w:sz="4" w:space="0" w:color="auto"/>
              <w:bottom w:val="single" w:sz="4" w:space="0" w:color="auto"/>
            </w:tcBorders>
            <w:tcMar>
              <w:top w:w="17" w:type="auto"/>
              <w:left w:w="17" w:type="auto"/>
              <w:bottom w:w="17" w:type="auto"/>
              <w:right w:w="17" w:type="auto"/>
            </w:tcMar>
            <w:vAlign w:val="center"/>
          </w:tcPr>
          <w:p w14:paraId="5A1CD1E9" w14:textId="77777777" w:rsidR="00F714D1" w:rsidRPr="00D41179" w:rsidRDefault="00F714D1">
            <w:pPr>
              <w:pStyle w:val="Table"/>
              <w:keepNext/>
              <w:spacing w:after="0"/>
              <w:jc w:val="center"/>
            </w:pPr>
            <w:r w:rsidRPr="00D41179">
              <w:t>1</w:t>
            </w:r>
          </w:p>
        </w:tc>
        <w:tc>
          <w:tcPr>
            <w:tcW w:w="393" w:type="pct"/>
            <w:tcBorders>
              <w:top w:val="single" w:sz="4" w:space="0" w:color="auto"/>
              <w:bottom w:val="single" w:sz="4" w:space="0" w:color="auto"/>
            </w:tcBorders>
            <w:tcMar>
              <w:top w:w="17" w:type="auto"/>
              <w:left w:w="17" w:type="auto"/>
              <w:bottom w:w="17" w:type="auto"/>
              <w:right w:w="17" w:type="auto"/>
            </w:tcMar>
            <w:vAlign w:val="center"/>
          </w:tcPr>
          <w:p w14:paraId="1EADBB14" w14:textId="77777777" w:rsidR="00F714D1" w:rsidRPr="00D41179" w:rsidRDefault="00F714D1">
            <w:pPr>
              <w:pStyle w:val="Table"/>
              <w:keepNext/>
              <w:spacing w:after="0"/>
              <w:jc w:val="center"/>
            </w:pPr>
            <w:r w:rsidRPr="00D41179">
              <w:t>20578.1</w:t>
            </w:r>
          </w:p>
        </w:tc>
        <w:tc>
          <w:tcPr>
            <w:tcW w:w="630" w:type="pct"/>
            <w:tcBorders>
              <w:top w:val="single" w:sz="4" w:space="0" w:color="auto"/>
              <w:bottom w:val="single" w:sz="4" w:space="0" w:color="auto"/>
            </w:tcBorders>
            <w:tcMar>
              <w:top w:w="17" w:type="auto"/>
              <w:left w:w="17" w:type="auto"/>
              <w:bottom w:w="17" w:type="auto"/>
              <w:right w:w="17" w:type="auto"/>
            </w:tcMar>
            <w:vAlign w:val="center"/>
          </w:tcPr>
          <w:p w14:paraId="09EEA32B" w14:textId="77777777" w:rsidR="00F714D1" w:rsidRPr="00D41179" w:rsidRDefault="00F714D1">
            <w:pPr>
              <w:pStyle w:val="Table"/>
              <w:keepNext/>
              <w:spacing w:after="0"/>
              <w:jc w:val="center"/>
            </w:pPr>
            <w:r w:rsidRPr="00D41179">
              <w:t>0.0</w:t>
            </w:r>
          </w:p>
        </w:tc>
        <w:tc>
          <w:tcPr>
            <w:tcW w:w="313" w:type="pct"/>
            <w:tcBorders>
              <w:top w:val="single" w:sz="4" w:space="0" w:color="auto"/>
              <w:bottom w:val="single" w:sz="4" w:space="0" w:color="auto"/>
            </w:tcBorders>
            <w:tcMar>
              <w:top w:w="17" w:type="auto"/>
              <w:left w:w="17" w:type="auto"/>
              <w:bottom w:w="17" w:type="auto"/>
              <w:right w:w="17" w:type="auto"/>
            </w:tcMar>
            <w:vAlign w:val="center"/>
          </w:tcPr>
          <w:p w14:paraId="22F6653D" w14:textId="77777777" w:rsidR="00F714D1" w:rsidRPr="00D41179" w:rsidRDefault="00F714D1">
            <w:pPr>
              <w:pStyle w:val="Table"/>
              <w:keepNext/>
              <w:spacing w:after="0"/>
              <w:jc w:val="center"/>
            </w:pPr>
            <w:r w:rsidRPr="00D41179">
              <w:t>3984</w:t>
            </w:r>
          </w:p>
        </w:tc>
        <w:tc>
          <w:tcPr>
            <w:tcW w:w="156" w:type="pct"/>
            <w:tcBorders>
              <w:top w:val="single" w:sz="4" w:space="0" w:color="auto"/>
              <w:bottom w:val="single" w:sz="4" w:space="0" w:color="auto"/>
            </w:tcBorders>
            <w:tcMar>
              <w:top w:w="17" w:type="auto"/>
              <w:left w:w="17" w:type="auto"/>
              <w:bottom w:w="17" w:type="auto"/>
              <w:right w:w="17" w:type="auto"/>
            </w:tcMar>
            <w:vAlign w:val="center"/>
          </w:tcPr>
          <w:p w14:paraId="6196ACF9" w14:textId="77777777" w:rsidR="00F714D1" w:rsidRPr="00D41179" w:rsidRDefault="00F714D1">
            <w:pPr>
              <w:pStyle w:val="Table"/>
              <w:keepNext/>
              <w:spacing w:after="0"/>
              <w:jc w:val="center"/>
            </w:pPr>
            <w:r w:rsidRPr="00D41179">
              <w:t>9</w:t>
            </w:r>
          </w:p>
        </w:tc>
        <w:tc>
          <w:tcPr>
            <w:tcW w:w="393" w:type="pct"/>
            <w:tcBorders>
              <w:top w:val="single" w:sz="4" w:space="0" w:color="auto"/>
              <w:bottom w:val="single" w:sz="4" w:space="0" w:color="auto"/>
            </w:tcBorders>
            <w:tcMar>
              <w:top w:w="17" w:type="auto"/>
              <w:left w:w="17" w:type="auto"/>
              <w:bottom w:w="17" w:type="auto"/>
              <w:right w:w="17" w:type="auto"/>
            </w:tcMar>
            <w:vAlign w:val="center"/>
          </w:tcPr>
          <w:p w14:paraId="6C76C829" w14:textId="77777777" w:rsidR="00F714D1" w:rsidRPr="00D41179" w:rsidRDefault="00F714D1">
            <w:pPr>
              <w:pStyle w:val="Table"/>
              <w:keepNext/>
              <w:spacing w:after="0"/>
              <w:jc w:val="center"/>
            </w:pPr>
            <w:r w:rsidRPr="00D41179">
              <w:t>20578.1</w:t>
            </w:r>
          </w:p>
        </w:tc>
        <w:tc>
          <w:tcPr>
            <w:tcW w:w="629" w:type="pct"/>
            <w:tcBorders>
              <w:top w:val="single" w:sz="4" w:space="0" w:color="auto"/>
              <w:bottom w:val="single" w:sz="4" w:space="0" w:color="auto"/>
            </w:tcBorders>
            <w:tcMar>
              <w:top w:w="17" w:type="auto"/>
              <w:left w:w="17" w:type="auto"/>
              <w:bottom w:w="17" w:type="auto"/>
              <w:right w:w="17" w:type="auto"/>
            </w:tcMar>
            <w:vAlign w:val="center"/>
          </w:tcPr>
          <w:p w14:paraId="23E9C8D4" w14:textId="77777777" w:rsidR="00F714D1" w:rsidRPr="00D41179" w:rsidRDefault="00F714D1">
            <w:pPr>
              <w:pStyle w:val="Table"/>
              <w:keepNext/>
              <w:spacing w:after="0"/>
              <w:jc w:val="center"/>
            </w:pPr>
            <w:r w:rsidRPr="00D41179">
              <w:t>0.4</w:t>
            </w:r>
          </w:p>
        </w:tc>
        <w:tc>
          <w:tcPr>
            <w:tcW w:w="1072" w:type="pct"/>
            <w:tcBorders>
              <w:top w:val="single" w:sz="4" w:space="0" w:color="auto"/>
              <w:bottom w:val="single" w:sz="4" w:space="0" w:color="auto"/>
            </w:tcBorders>
            <w:tcMar>
              <w:top w:w="17" w:type="auto"/>
              <w:left w:w="17" w:type="auto"/>
              <w:bottom w:w="17" w:type="auto"/>
              <w:right w:w="17" w:type="auto"/>
            </w:tcMar>
            <w:vAlign w:val="center"/>
          </w:tcPr>
          <w:p w14:paraId="5ACA3146" w14:textId="77777777" w:rsidR="00F714D1" w:rsidRPr="00D41179" w:rsidRDefault="00F714D1">
            <w:pPr>
              <w:pStyle w:val="Table"/>
              <w:keepNext/>
              <w:spacing w:after="0"/>
              <w:jc w:val="center"/>
            </w:pPr>
            <w:r w:rsidRPr="00D41179">
              <w:t>88.89 (19.81, 99.75)</w:t>
            </w:r>
          </w:p>
        </w:tc>
      </w:tr>
    </w:tbl>
    <w:p w14:paraId="0A23BD51" w14:textId="4FA6B773" w:rsidR="00F714D1" w:rsidRPr="00D41179" w:rsidRDefault="00F714D1" w:rsidP="00F714D1">
      <w:pPr>
        <w:pStyle w:val="TableNotes"/>
      </w:pPr>
      <w:r w:rsidRPr="00D41179">
        <w:t>Source: Table 2 27: Vaccine efficacy: First or only episode of HZ-related complications (other than PHN) by age strata and overall using Poisson regression method (</w:t>
      </w:r>
      <w:proofErr w:type="spellStart"/>
      <w:r w:rsidRPr="00D41179">
        <w:t>mTVC</w:t>
      </w:r>
      <w:proofErr w:type="spellEnd"/>
      <w:r w:rsidRPr="00D41179">
        <w:t xml:space="preserve">-pooled </w:t>
      </w:r>
      <w:r w:rsidR="006E4120" w:rsidRPr="00D41179">
        <w:t xml:space="preserve">ZOE-50/-70 </w:t>
      </w:r>
      <w:r w:rsidRPr="00D41179">
        <w:t>and mTVC-ZOSTER-049), p119 of the submission</w:t>
      </w:r>
    </w:p>
    <w:p w14:paraId="18227B7C" w14:textId="3C5FF377" w:rsidR="00F714D1" w:rsidRPr="00D41179" w:rsidRDefault="00F714D1" w:rsidP="00F714D1">
      <w:pPr>
        <w:pStyle w:val="TableNotes"/>
      </w:pPr>
      <w:r w:rsidRPr="00D41179">
        <w:t xml:space="preserve">CI = confidence interval; DLP = data lock point; FU = follow-up; HZ = herpes zoster; LTFU = long-term follow-up; </w:t>
      </w:r>
      <w:proofErr w:type="spellStart"/>
      <w:r w:rsidRPr="00D41179">
        <w:t>mTVC</w:t>
      </w:r>
      <w:proofErr w:type="spellEnd"/>
      <w:r w:rsidRPr="00D41179">
        <w:t xml:space="preserve"> = modified total vaccinated cohort; n = number of individuals having at least one confirmed herpes zoster episode; N = number of individuals included in each group; PHN = post herpetic neuralgia; PY = person-year; RZV = recombinant zoster vaccine (</w:t>
      </w:r>
      <w:r w:rsidRPr="00D41179">
        <w:rPr>
          <w:i/>
        </w:rPr>
        <w:t>Shingrix</w:t>
      </w:r>
      <w:r w:rsidRPr="00D41179">
        <w:rPr>
          <w:vertAlign w:val="superscript"/>
        </w:rPr>
        <w:t>®</w:t>
      </w:r>
      <w:r w:rsidRPr="00D41179">
        <w:t>); T (year) = sum of follow-up (censored at the first occurrence of a confirmed PHN episode) expressed in years; VE = vaccine efficacy</w:t>
      </w:r>
    </w:p>
    <w:p w14:paraId="7DE7FA37" w14:textId="49D883BA" w:rsidR="00F714D1" w:rsidRPr="00D41179" w:rsidRDefault="00F714D1" w:rsidP="00F714D1">
      <w:pPr>
        <w:pStyle w:val="TableNotes"/>
      </w:pPr>
      <w:r w:rsidRPr="00D41179">
        <w:rPr>
          <w:vertAlign w:val="superscript"/>
        </w:rPr>
        <w:t xml:space="preserve">1 </w:t>
      </w:r>
      <w:r w:rsidRPr="00D41179">
        <w:t xml:space="preserve">Age strata defined by subjects’ age at first vaccination in </w:t>
      </w:r>
      <w:r w:rsidR="006E4120" w:rsidRPr="00D41179">
        <w:t xml:space="preserve">ZOE-50/-70 </w:t>
      </w:r>
      <w:r w:rsidRPr="00D41179">
        <w:t xml:space="preserve">studies. </w:t>
      </w:r>
    </w:p>
    <w:p w14:paraId="47771CB2" w14:textId="77777777" w:rsidR="00F714D1" w:rsidRPr="00D41179" w:rsidRDefault="00F714D1" w:rsidP="00F714D1">
      <w:pPr>
        <w:pStyle w:val="TableNotes"/>
        <w:rPr>
          <w:vertAlign w:val="superscript"/>
        </w:rPr>
      </w:pPr>
      <w:r w:rsidRPr="00D41179">
        <w:rPr>
          <w:vertAlign w:val="superscript"/>
        </w:rPr>
        <w:t>2</w:t>
      </w:r>
      <w:r w:rsidRPr="00D41179">
        <w:t xml:space="preserve"> Assumed to be same as for RZV group in ZOSTER-049.</w:t>
      </w:r>
      <w:r w:rsidRPr="00D41179">
        <w:rPr>
          <w:vertAlign w:val="superscript"/>
        </w:rPr>
        <w:t xml:space="preserve"> </w:t>
      </w:r>
    </w:p>
    <w:p w14:paraId="3F94B74D" w14:textId="6E197D32" w:rsidR="00F714D1" w:rsidRPr="00D41179" w:rsidRDefault="00F714D1" w:rsidP="00F714D1">
      <w:pPr>
        <w:pStyle w:val="TableNotes"/>
      </w:pPr>
      <w:r w:rsidRPr="00D41179">
        <w:rPr>
          <w:vertAlign w:val="superscript"/>
        </w:rPr>
        <w:t>3</w:t>
      </w:r>
      <w:r w:rsidRPr="00D41179">
        <w:t xml:space="preserve"> Subjects from the RZV group in </w:t>
      </w:r>
      <w:r w:rsidR="006E4120" w:rsidRPr="00D41179">
        <w:t>ZOE-50/-70</w:t>
      </w:r>
      <w:r w:rsidR="00D41179" w:rsidRPr="00D41179">
        <w:t xml:space="preserve"> </w:t>
      </w:r>
      <w:r w:rsidRPr="00D41179">
        <w:t xml:space="preserve">were used for Year 1 through Year 4 and subjects from LTFU group in ZOSTER-049 were used for Year 6 onwards. </w:t>
      </w:r>
    </w:p>
    <w:p w14:paraId="4748C842" w14:textId="54D1D4EF" w:rsidR="00F714D1" w:rsidRPr="00D41179" w:rsidRDefault="00F714D1" w:rsidP="00F714D1">
      <w:pPr>
        <w:pStyle w:val="TableNotes"/>
      </w:pPr>
      <w:r w:rsidRPr="00D41179">
        <w:rPr>
          <w:vertAlign w:val="superscript"/>
        </w:rPr>
        <w:t xml:space="preserve">4 </w:t>
      </w:r>
      <w:r w:rsidRPr="00D41179">
        <w:t xml:space="preserve">Subjects from the placebo group in </w:t>
      </w:r>
      <w:r w:rsidR="006E4120" w:rsidRPr="00D41179">
        <w:t xml:space="preserve">ZOE-50/-70 </w:t>
      </w:r>
      <w:r w:rsidRPr="00D41179">
        <w:t>were used for Year 1 through Year 4 and a historical control group based on the placebo group in ZOE-50/-70</w:t>
      </w:r>
      <w:r w:rsidR="000674C5" w:rsidRPr="00D41179">
        <w:t xml:space="preserve"> </w:t>
      </w:r>
      <w:r w:rsidRPr="00D41179">
        <w:t xml:space="preserve">were also used for Year 6 onwards. </w:t>
      </w:r>
    </w:p>
    <w:p w14:paraId="4E376A29" w14:textId="77777777" w:rsidR="00F714D1" w:rsidRPr="00D41179" w:rsidRDefault="00F714D1" w:rsidP="00F714D1">
      <w:pPr>
        <w:pStyle w:val="TableNotes"/>
      </w:pPr>
      <w:r w:rsidRPr="00D41179">
        <w:rPr>
          <w:vertAlign w:val="superscript"/>
        </w:rPr>
        <w:t>5</w:t>
      </w:r>
      <w:r w:rsidRPr="00D41179">
        <w:t xml:space="preserve"> VE is mathematically undefined when 0 cases observed in the historical control group</w:t>
      </w:r>
    </w:p>
    <w:p w14:paraId="554E8A50" w14:textId="4723173E" w:rsidR="00545A6A" w:rsidRPr="00D41179" w:rsidRDefault="00545A6A" w:rsidP="00545A6A">
      <w:pPr>
        <w:numPr>
          <w:ilvl w:val="1"/>
          <w:numId w:val="8"/>
        </w:numPr>
        <w:tabs>
          <w:tab w:val="left" w:pos="709"/>
        </w:tabs>
        <w:spacing w:before="60" w:after="60"/>
        <w:ind w:left="709"/>
        <w:rPr>
          <w:rFonts w:asciiTheme="minorHAnsi" w:eastAsiaTheme="minorHAnsi" w:hAnsiTheme="minorHAnsi" w:cstheme="minorBidi"/>
          <w:szCs w:val="22"/>
        </w:rPr>
      </w:pPr>
      <w:r w:rsidRPr="00D41179">
        <w:rPr>
          <w:rFonts w:asciiTheme="minorHAnsi" w:eastAsiaTheme="minorHAnsi" w:hAnsiTheme="minorHAnsi" w:cstheme="minorBidi"/>
          <w:szCs w:val="22"/>
        </w:rPr>
        <w:t xml:space="preserve">The ATAGI </w:t>
      </w:r>
      <w:proofErr w:type="spellStart"/>
      <w:r w:rsidRPr="00D41179">
        <w:rPr>
          <w:rFonts w:asciiTheme="minorHAnsi" w:eastAsiaTheme="minorHAnsi" w:hAnsiTheme="minorHAnsi" w:cstheme="minorBidi"/>
          <w:szCs w:val="22"/>
        </w:rPr>
        <w:t>presubmission</w:t>
      </w:r>
      <w:proofErr w:type="spellEnd"/>
      <w:r w:rsidRPr="00D41179">
        <w:rPr>
          <w:rFonts w:asciiTheme="minorHAnsi" w:eastAsiaTheme="minorHAnsi" w:hAnsiTheme="minorHAnsi" w:cstheme="minorBidi"/>
          <w:szCs w:val="22"/>
        </w:rPr>
        <w:t xml:space="preserve"> advice noted that, overall, the long-term immunogenicity data from ZOE-50/70 and ZOSTER-049 confirmed that RZV induces and maintains both humoral and cellular immunity at levels well above baseline for at least a decade post-vaccination. The advice noted that while younger participants (50–69 YOA) demonstrated slightly higher peak responses, the sustained plateau observed in older adults (≥70 YOA) still indicates meaningful immuno</w:t>
      </w:r>
      <w:r w:rsidR="00F977F0" w:rsidRPr="00D41179">
        <w:rPr>
          <w:rFonts w:asciiTheme="minorHAnsi" w:eastAsiaTheme="minorHAnsi" w:hAnsiTheme="minorHAnsi" w:cstheme="minorBidi"/>
          <w:szCs w:val="22"/>
        </w:rPr>
        <w:t>genicity</w:t>
      </w:r>
      <w:r w:rsidRPr="00D41179">
        <w:rPr>
          <w:rFonts w:asciiTheme="minorHAnsi" w:eastAsiaTheme="minorHAnsi" w:hAnsiTheme="minorHAnsi" w:cstheme="minorBidi"/>
          <w:szCs w:val="22"/>
        </w:rPr>
        <w:t xml:space="preserve">, although there is no correlate of protection. </w:t>
      </w:r>
    </w:p>
    <w:p w14:paraId="75D55AFC" w14:textId="020E5897" w:rsidR="00F714D1" w:rsidRPr="00D41179" w:rsidRDefault="00F714D1" w:rsidP="00A64F5D">
      <w:pPr>
        <w:numPr>
          <w:ilvl w:val="1"/>
          <w:numId w:val="8"/>
        </w:numPr>
        <w:tabs>
          <w:tab w:val="left" w:pos="709"/>
        </w:tabs>
        <w:spacing w:before="60" w:after="60"/>
        <w:ind w:left="709"/>
        <w:rPr>
          <w:rFonts w:asciiTheme="minorHAnsi" w:eastAsiaTheme="minorHAnsi" w:hAnsiTheme="minorHAnsi" w:cstheme="minorBidi"/>
          <w:i/>
          <w:iCs/>
          <w:szCs w:val="22"/>
        </w:rPr>
      </w:pPr>
      <w:r w:rsidRPr="00D41179">
        <w:rPr>
          <w:rFonts w:asciiTheme="minorHAnsi" w:eastAsiaTheme="minorHAnsi" w:hAnsiTheme="minorHAnsi" w:cstheme="minorBidi"/>
          <w:szCs w:val="22"/>
        </w:rPr>
        <w:t>The March 2023 submission included four observational studies representing real world evidence of RZV use in practice (Izurieta et al, 2021; Lu et al, 2021, Sun et al, 2021b, 2021a). Three additional observational studies were included in the submission which provided new RWE for RZV vaccine effectiveness (</w:t>
      </w:r>
      <w:proofErr w:type="spellStart"/>
      <w:r w:rsidRPr="00D41179">
        <w:rPr>
          <w:rFonts w:asciiTheme="minorHAnsi" w:eastAsiaTheme="minorHAnsi" w:hAnsiTheme="minorHAnsi" w:cstheme="minorBidi"/>
          <w:szCs w:val="22"/>
        </w:rPr>
        <w:t>VEff</w:t>
      </w:r>
      <w:proofErr w:type="spellEnd"/>
      <w:r w:rsidRPr="00D41179">
        <w:rPr>
          <w:rFonts w:asciiTheme="minorHAnsi" w:eastAsiaTheme="minorHAnsi" w:hAnsiTheme="minorHAnsi" w:cstheme="minorBidi"/>
          <w:szCs w:val="22"/>
        </w:rPr>
        <w:t xml:space="preserve">) in broad populations of adults largely without an increased risk of HZ (Florea et al, 2024; Tseng et al, 2025; Zerbo et al, 2024b, 2024a). The submission commented that although </w:t>
      </w:r>
      <w:proofErr w:type="spellStart"/>
      <w:r w:rsidRPr="00D41179">
        <w:rPr>
          <w:rFonts w:asciiTheme="minorHAnsi" w:eastAsiaTheme="minorHAnsi" w:hAnsiTheme="minorHAnsi" w:cstheme="minorBidi"/>
          <w:szCs w:val="22"/>
        </w:rPr>
        <w:t>VEff</w:t>
      </w:r>
      <w:proofErr w:type="spellEnd"/>
      <w:r w:rsidRPr="00D41179">
        <w:rPr>
          <w:rFonts w:asciiTheme="minorHAnsi" w:eastAsiaTheme="minorHAnsi" w:hAnsiTheme="minorHAnsi" w:cstheme="minorBidi"/>
          <w:szCs w:val="22"/>
        </w:rPr>
        <w:t xml:space="preserve"> against HZ reported in RWE studies was lower than those from the ZOE-50/-70 pooled analysis, that it was generally higher than in Izurieta et al, (2021) (70.1%; [</w:t>
      </w:r>
      <w:r w:rsidR="005618CB" w:rsidRPr="00D41179">
        <w:rPr>
          <w:rFonts w:asciiTheme="minorHAnsi" w:eastAsiaTheme="minorHAnsi" w:hAnsiTheme="minorHAnsi" w:cstheme="minorBidi"/>
          <w:szCs w:val="22"/>
        </w:rPr>
        <w:t>95% CI:</w:t>
      </w:r>
      <w:r w:rsidRPr="00D41179">
        <w:rPr>
          <w:rFonts w:asciiTheme="minorHAnsi" w:eastAsiaTheme="minorHAnsi" w:hAnsiTheme="minorHAnsi" w:cstheme="minorBidi"/>
          <w:szCs w:val="22"/>
        </w:rPr>
        <w:t xml:space="preserve"> 68.6, 71.5]). Aside from Izurieta et al, (2021), the values of </w:t>
      </w:r>
      <w:proofErr w:type="spellStart"/>
      <w:r w:rsidRPr="00D41179">
        <w:rPr>
          <w:rFonts w:asciiTheme="minorHAnsi" w:eastAsiaTheme="minorHAnsi" w:hAnsiTheme="minorHAnsi" w:cstheme="minorBidi"/>
          <w:szCs w:val="22"/>
        </w:rPr>
        <w:t>VEff</w:t>
      </w:r>
      <w:r w:rsidRPr="00D41179">
        <w:rPr>
          <w:rFonts w:asciiTheme="minorHAnsi" w:eastAsiaTheme="minorHAnsi" w:hAnsiTheme="minorHAnsi" w:cstheme="minorBidi"/>
          <w:szCs w:val="22"/>
          <w:vertAlign w:val="subscript"/>
        </w:rPr>
        <w:t>HZ</w:t>
      </w:r>
      <w:proofErr w:type="spellEnd"/>
      <w:r w:rsidRPr="00D41179">
        <w:rPr>
          <w:rFonts w:asciiTheme="minorHAnsi" w:eastAsiaTheme="minorHAnsi" w:hAnsiTheme="minorHAnsi" w:cstheme="minorBidi"/>
          <w:szCs w:val="22"/>
        </w:rPr>
        <w:t xml:space="preserve"> for the RWE ranged from 73.9% (</w:t>
      </w:r>
      <w:r w:rsidR="005618CB" w:rsidRPr="00D41179">
        <w:rPr>
          <w:rFonts w:asciiTheme="minorHAnsi" w:eastAsiaTheme="minorHAnsi" w:hAnsiTheme="minorHAnsi" w:cstheme="minorBidi"/>
          <w:szCs w:val="22"/>
        </w:rPr>
        <w:t>95% CI:</w:t>
      </w:r>
      <w:r w:rsidRPr="00D41179">
        <w:rPr>
          <w:rFonts w:asciiTheme="minorHAnsi" w:eastAsiaTheme="minorHAnsi" w:hAnsiTheme="minorHAnsi" w:cstheme="minorBidi"/>
          <w:szCs w:val="22"/>
        </w:rPr>
        <w:t xml:space="preserve"> 71.8, 75.8) to 87.6% (</w:t>
      </w:r>
      <w:r w:rsidR="005618CB" w:rsidRPr="00D41179">
        <w:rPr>
          <w:rFonts w:asciiTheme="minorHAnsi" w:eastAsiaTheme="minorHAnsi" w:hAnsiTheme="minorHAnsi" w:cstheme="minorBidi"/>
          <w:szCs w:val="22"/>
        </w:rPr>
        <w:t>95% CI:</w:t>
      </w:r>
      <w:r w:rsidRPr="00D41179">
        <w:rPr>
          <w:rFonts w:asciiTheme="minorHAnsi" w:eastAsiaTheme="minorHAnsi" w:hAnsiTheme="minorHAnsi" w:cstheme="minorBidi"/>
          <w:szCs w:val="22"/>
        </w:rPr>
        <w:t xml:space="preserve"> 78.9, 92.7) – thus the results for RWE were generally lower than observed in the trials.</w:t>
      </w:r>
      <w:r w:rsidR="00ED3859" w:rsidRPr="00D41179">
        <w:rPr>
          <w:rFonts w:asciiTheme="minorHAnsi" w:eastAsiaTheme="minorHAnsi" w:hAnsiTheme="minorHAnsi" w:cstheme="minorBidi"/>
          <w:szCs w:val="22"/>
        </w:rPr>
        <w:t xml:space="preserve"> The PSCR noted the submission had provided justification for why lower estimates of </w:t>
      </w:r>
      <w:proofErr w:type="spellStart"/>
      <w:r w:rsidR="00ED3859" w:rsidRPr="00D41179">
        <w:rPr>
          <w:rFonts w:asciiTheme="minorHAnsi" w:eastAsiaTheme="minorHAnsi" w:hAnsiTheme="minorHAnsi" w:cstheme="minorBidi"/>
          <w:szCs w:val="22"/>
        </w:rPr>
        <w:t>VEff</w:t>
      </w:r>
      <w:r w:rsidR="00ED3859" w:rsidRPr="00D41179">
        <w:rPr>
          <w:rFonts w:asciiTheme="minorHAnsi" w:eastAsiaTheme="minorHAnsi" w:hAnsiTheme="minorHAnsi" w:cstheme="minorBidi"/>
          <w:szCs w:val="22"/>
          <w:vertAlign w:val="subscript"/>
        </w:rPr>
        <w:t>HZ</w:t>
      </w:r>
      <w:proofErr w:type="spellEnd"/>
      <w:r w:rsidR="00ED3859" w:rsidRPr="00D41179">
        <w:rPr>
          <w:rFonts w:asciiTheme="minorHAnsi" w:eastAsiaTheme="minorHAnsi" w:hAnsiTheme="minorHAnsi" w:cstheme="minorBidi"/>
          <w:szCs w:val="22"/>
          <w:vertAlign w:val="subscript"/>
        </w:rPr>
        <w:t xml:space="preserve"> </w:t>
      </w:r>
      <w:r w:rsidR="00ED3859" w:rsidRPr="00D41179">
        <w:rPr>
          <w:rFonts w:asciiTheme="minorHAnsi" w:eastAsiaTheme="minorHAnsi" w:hAnsiTheme="minorHAnsi" w:cstheme="minorBidi"/>
          <w:szCs w:val="22"/>
        </w:rPr>
        <w:t>from RWE</w:t>
      </w:r>
      <w:r w:rsidR="00ED3859" w:rsidRPr="00D41179">
        <w:rPr>
          <w:rFonts w:asciiTheme="minorHAnsi" w:eastAsiaTheme="minorHAnsi" w:hAnsiTheme="minorHAnsi" w:cstheme="minorBidi"/>
          <w:szCs w:val="22"/>
          <w:vertAlign w:val="subscript"/>
        </w:rPr>
        <w:t xml:space="preserve"> </w:t>
      </w:r>
      <w:r w:rsidR="00ED3859" w:rsidRPr="00D41179">
        <w:rPr>
          <w:rFonts w:asciiTheme="minorHAnsi" w:eastAsiaTheme="minorHAnsi" w:hAnsiTheme="minorHAnsi" w:cstheme="minorBidi"/>
          <w:szCs w:val="22"/>
        </w:rPr>
        <w:t>are exp</w:t>
      </w:r>
      <w:r w:rsidR="000024D1" w:rsidRPr="00D41179">
        <w:rPr>
          <w:rFonts w:asciiTheme="minorHAnsi" w:eastAsiaTheme="minorHAnsi" w:hAnsiTheme="minorHAnsi" w:cstheme="minorBidi"/>
          <w:szCs w:val="22"/>
        </w:rPr>
        <w:t>ected</w:t>
      </w:r>
      <w:r w:rsidR="000024D1" w:rsidRPr="00D41179">
        <w:t xml:space="preserve"> (</w:t>
      </w:r>
      <w:r w:rsidR="000024D1" w:rsidRPr="00D41179">
        <w:rPr>
          <w:rFonts w:asciiTheme="minorHAnsi" w:eastAsiaTheme="minorHAnsi" w:hAnsiTheme="minorHAnsi" w:cstheme="minorBidi"/>
          <w:szCs w:val="22"/>
        </w:rPr>
        <w:t>primarily, differences in populations, including immunocompromised, as well as older, and possibly more frail subjects, as well as case ascertainment).</w:t>
      </w:r>
      <w:r w:rsidR="00D41179" w:rsidRPr="00D41179">
        <w:rPr>
          <w:rFonts w:asciiTheme="minorHAnsi" w:eastAsiaTheme="minorHAnsi" w:hAnsiTheme="minorHAnsi" w:cstheme="minorBidi"/>
          <w:szCs w:val="22"/>
        </w:rPr>
        <w:t xml:space="preserve"> </w:t>
      </w:r>
    </w:p>
    <w:p w14:paraId="1452C351" w14:textId="7B4EBED5" w:rsidR="00B60939" w:rsidRPr="00D41179" w:rsidRDefault="00B60939" w:rsidP="000F1D34">
      <w:pPr>
        <w:pStyle w:val="Actual4Subsection"/>
      </w:pPr>
      <w:bookmarkStart w:id="36" w:name="_Toc209001304"/>
      <w:r w:rsidRPr="00D41179">
        <w:t>Comparative harms</w:t>
      </w:r>
      <w:bookmarkEnd w:id="33"/>
      <w:bookmarkEnd w:id="36"/>
    </w:p>
    <w:p w14:paraId="1172A7F0" w14:textId="66A730CA" w:rsidR="00F714D1" w:rsidRPr="00D41179" w:rsidRDefault="00F714D1" w:rsidP="00F714D1">
      <w:pPr>
        <w:pStyle w:val="3-BodyText"/>
      </w:pPr>
      <w:r w:rsidRPr="00D41179">
        <w:t xml:space="preserve">The trial data regarding comparative harms remained essentially unchanged compared with the March 2023 submission. No new data or safety analyses were </w:t>
      </w:r>
      <w:r w:rsidRPr="00D41179">
        <w:lastRenderedPageBreak/>
        <w:t>presented for the ZOE-50/-70</w:t>
      </w:r>
      <w:r w:rsidR="000618A1" w:rsidRPr="00D41179">
        <w:t xml:space="preserve"> </w:t>
      </w:r>
      <w:r w:rsidRPr="00D41179">
        <w:t>trials. The ZOSTER-049 trial was a single arm design without comparative safety outcomes. The submission did not present additional adverse events (AE) data from the final analysis as it was not a key outcome for the study. Compared to the previous ZOSTER-049 interim analysis presented in the March 2023 submission, reporting of AEs up to completion of the trial was limited to serious adverse events (SAEs</w:t>
      </w:r>
      <w:r w:rsidR="00291FEC" w:rsidRPr="00D41179">
        <w:t>)</w:t>
      </w:r>
      <w:r w:rsidRPr="00D41179">
        <w:t xml:space="preserve"> which were judged to be unrelated to vaccination. The evaluation considered this was consistent with a population of advancing age with a relatively high baseline incidence of co-morbidities.</w:t>
      </w:r>
    </w:p>
    <w:p w14:paraId="76A162C6" w14:textId="7A802C1A" w:rsidR="00F714D1" w:rsidRPr="00D41179" w:rsidRDefault="00F714D1" w:rsidP="00F714D1">
      <w:pPr>
        <w:pStyle w:val="3-BodyText"/>
        <w:rPr>
          <w:i/>
          <w:iCs/>
        </w:rPr>
      </w:pPr>
      <w:r w:rsidRPr="00D41179">
        <w:t>In terms of extended assessment of harms, a signal for events of Guillain-Barré syndrome (GBS) triggered an update to the TGA-approved Product Information (PI) to include GBS as a very rarely reported post marketing adverse reaction (update of August 2024) and to include relevant findings on which this was based from Goud et al, 2021 and the EPI-ZOSTER-032 trial (update of August 2025). Both</w:t>
      </w:r>
      <w:bookmarkStart w:id="37" w:name="_Hlk207183290"/>
      <w:r w:rsidRPr="00D41179">
        <w:t xml:space="preserve"> studies reported a statistically significant increased risk of GBS in adults aged ≥65 years within a 42-day window following any dose of RZV, estimated at either 3 extra cases (Goud et al, 2021) or 7 extra cases (EPI-ZOSTER-032)</w:t>
      </w:r>
      <w:r w:rsidRPr="00D41179">
        <w:rPr>
          <w:rStyle w:val="FootnoteReference"/>
        </w:rPr>
        <w:footnoteReference w:id="8"/>
      </w:r>
      <w:r w:rsidRPr="00D41179">
        <w:t xml:space="preserve"> per million RZV doses administered.</w:t>
      </w:r>
      <w:bookmarkEnd w:id="37"/>
      <w:r w:rsidR="004E3536" w:rsidRPr="00D41179">
        <w:t xml:space="preserve"> The ESC noted vertigo has </w:t>
      </w:r>
      <w:r w:rsidR="008E6A4F" w:rsidRPr="00D41179">
        <w:t xml:space="preserve">also </w:t>
      </w:r>
      <w:r w:rsidR="004E3536" w:rsidRPr="00D41179">
        <w:t xml:space="preserve">emerged as a rare </w:t>
      </w:r>
      <w:r w:rsidR="00874167" w:rsidRPr="00D41179">
        <w:t>adverse event.</w:t>
      </w:r>
    </w:p>
    <w:p w14:paraId="04908C7F" w14:textId="415B9B7D" w:rsidR="007F1017" w:rsidRPr="00D41179" w:rsidRDefault="007F1017" w:rsidP="000F1D34">
      <w:pPr>
        <w:pStyle w:val="Actual4Subsection"/>
      </w:pPr>
      <w:bookmarkStart w:id="38" w:name="_Toc22897643"/>
      <w:bookmarkStart w:id="39" w:name="_Toc209001305"/>
      <w:r w:rsidRPr="00D41179">
        <w:t>Benefits/harms</w:t>
      </w:r>
      <w:bookmarkEnd w:id="38"/>
      <w:bookmarkEnd w:id="39"/>
    </w:p>
    <w:p w14:paraId="1C3AFEAE" w14:textId="7C2DEF55" w:rsidR="00F714D1" w:rsidRPr="00D41179" w:rsidRDefault="00F714D1" w:rsidP="00F714D1">
      <w:pPr>
        <w:pStyle w:val="3-BodyText"/>
      </w:pPr>
      <w:r w:rsidRPr="00D41179">
        <w:t xml:space="preserve">A summary of the comparative benefits and harms for RZV versus vaccination at </w:t>
      </w:r>
      <w:r w:rsidRPr="00D41179">
        <w:rPr>
          <w:rFonts w:cstheme="minorHAnsi"/>
        </w:rPr>
        <w:t>≥</w:t>
      </w:r>
      <w:r w:rsidRPr="00D41179">
        <w:t xml:space="preserve">50 years </w:t>
      </w:r>
      <w:r w:rsidR="003C1B3F" w:rsidRPr="00D41179">
        <w:t xml:space="preserve">and 60 to 69 years </w:t>
      </w:r>
      <w:r w:rsidRPr="00D41179">
        <w:t xml:space="preserve">is presented in </w:t>
      </w:r>
      <w:r w:rsidR="004C1FA5" w:rsidRPr="00D41179">
        <w:fldChar w:fldCharType="begin"/>
      </w:r>
      <w:r w:rsidR="004C1FA5" w:rsidRPr="00D41179">
        <w:instrText xml:space="preserve"> REF _Ref207878686 \h </w:instrText>
      </w:r>
      <w:r w:rsidR="00D41179" w:rsidRPr="00D41179">
        <w:instrText xml:space="preserve"> \* MERGEFORMAT </w:instrText>
      </w:r>
      <w:r w:rsidR="004C1FA5" w:rsidRPr="00D41179">
        <w:fldChar w:fldCharType="separate"/>
      </w:r>
      <w:r w:rsidR="00E7345C" w:rsidRPr="00D41179">
        <w:t xml:space="preserve">Table </w:t>
      </w:r>
      <w:r w:rsidR="00E7345C" w:rsidRPr="00D41179">
        <w:rPr>
          <w:noProof/>
        </w:rPr>
        <w:t>8</w:t>
      </w:r>
      <w:r w:rsidR="004C1FA5" w:rsidRPr="00D41179">
        <w:fldChar w:fldCharType="end"/>
      </w:r>
      <w:r w:rsidRPr="00D41179">
        <w:t xml:space="preserve">. </w:t>
      </w:r>
    </w:p>
    <w:p w14:paraId="7FF3A0ED" w14:textId="3C58CC79" w:rsidR="00F714D1" w:rsidRPr="00D41179" w:rsidRDefault="00F714D1" w:rsidP="0005173E">
      <w:pPr>
        <w:pStyle w:val="Caption"/>
        <w:rPr>
          <w:rStyle w:val="CommentReference"/>
          <w:b/>
          <w:szCs w:val="24"/>
        </w:rPr>
      </w:pPr>
      <w:bookmarkStart w:id="40" w:name="_Ref207878686"/>
      <w:r w:rsidRPr="00D41179">
        <w:lastRenderedPageBreak/>
        <w:t>Table</w:t>
      </w:r>
      <w:r w:rsidR="004C1FA5" w:rsidRPr="00D41179">
        <w:t xml:space="preserve"> </w:t>
      </w:r>
      <w:r w:rsidRPr="00D41179">
        <w:fldChar w:fldCharType="begin"/>
      </w:r>
      <w:r w:rsidRPr="00D41179">
        <w:instrText>SEQ Table \* ARABIC</w:instrText>
      </w:r>
      <w:r w:rsidRPr="00D41179">
        <w:fldChar w:fldCharType="separate"/>
      </w:r>
      <w:r w:rsidR="00E7345C" w:rsidRPr="00D41179">
        <w:rPr>
          <w:noProof/>
        </w:rPr>
        <w:t>8</w:t>
      </w:r>
      <w:r w:rsidRPr="00D41179">
        <w:fldChar w:fldCharType="end"/>
      </w:r>
      <w:bookmarkEnd w:id="40"/>
      <w:r w:rsidRPr="00D41179">
        <w:t xml:space="preserve">: </w:t>
      </w:r>
      <w:r w:rsidRPr="00D41179">
        <w:rPr>
          <w:rStyle w:val="CommentReference"/>
          <w:b/>
          <w:szCs w:val="24"/>
        </w:rPr>
        <w:t>Summary of comparative benefits/harms for RZV vs placebo (≥50 years i.e. all participants and 60-69 y)</w:t>
      </w:r>
    </w:p>
    <w:tbl>
      <w:tblPr>
        <w:tblW w:w="5000" w:type="pct"/>
        <w:tblLayout w:type="fixed"/>
        <w:tblCellMar>
          <w:left w:w="28" w:type="dxa"/>
          <w:right w:w="28" w:type="dxa"/>
        </w:tblCellMar>
        <w:tblLook w:val="04A0" w:firstRow="1" w:lastRow="0" w:firstColumn="1" w:lastColumn="0" w:noHBand="0" w:noVBand="1"/>
        <w:tblCaption w:val="Table 8: Summary of comparative benefits/harms for RZV vs placebo (≥50 years i.e. all participants and 60-69 y)"/>
      </w:tblPr>
      <w:tblGrid>
        <w:gridCol w:w="2544"/>
        <w:gridCol w:w="283"/>
        <w:gridCol w:w="994"/>
        <w:gridCol w:w="141"/>
        <w:gridCol w:w="994"/>
        <w:gridCol w:w="1558"/>
        <w:gridCol w:w="142"/>
        <w:gridCol w:w="570"/>
        <w:gridCol w:w="709"/>
        <w:gridCol w:w="1082"/>
      </w:tblGrid>
      <w:tr w:rsidR="00F714D1" w:rsidRPr="00D41179" w14:paraId="0FA567F6" w14:textId="77777777" w:rsidTr="008C5ED8">
        <w:trPr>
          <w:trHeight w:val="150"/>
          <w:tblHeader/>
        </w:trPr>
        <w:tc>
          <w:tcPr>
            <w:tcW w:w="1568" w:type="pct"/>
            <w:gridSpan w:val="2"/>
            <w:vMerge w:val="restart"/>
            <w:tcBorders>
              <w:top w:val="single" w:sz="4" w:space="0" w:color="auto"/>
              <w:left w:val="single" w:sz="4" w:space="0" w:color="auto"/>
              <w:bottom w:val="single" w:sz="4" w:space="0" w:color="auto"/>
              <w:right w:val="single" w:sz="4" w:space="0" w:color="auto"/>
            </w:tcBorders>
            <w:vAlign w:val="center"/>
          </w:tcPr>
          <w:p w14:paraId="4071AE1E" w14:textId="48752313" w:rsidR="00F714D1" w:rsidRPr="00D41179" w:rsidRDefault="00F714D1" w:rsidP="00E272F8">
            <w:pPr>
              <w:keepNext/>
              <w:keepLines/>
              <w:jc w:val="left"/>
              <w:rPr>
                <w:rFonts w:ascii="Arial Narrow" w:hAnsi="Arial Narrow"/>
                <w:b/>
                <w:color w:val="000000"/>
                <w:sz w:val="20"/>
                <w:szCs w:val="18"/>
              </w:rPr>
            </w:pPr>
            <w:r w:rsidRPr="00D41179">
              <w:rPr>
                <w:rFonts w:ascii="Arial Narrow" w:hAnsi="Arial Narrow"/>
                <w:b/>
                <w:color w:val="000000"/>
                <w:sz w:val="20"/>
                <w:szCs w:val="18"/>
              </w:rPr>
              <w:t>Outcome/Trial</w:t>
            </w:r>
          </w:p>
        </w:tc>
        <w:tc>
          <w:tcPr>
            <w:tcW w:w="629" w:type="pct"/>
            <w:gridSpan w:val="2"/>
            <w:vMerge w:val="restart"/>
            <w:tcBorders>
              <w:top w:val="single" w:sz="4" w:space="0" w:color="auto"/>
              <w:left w:val="single" w:sz="4" w:space="0" w:color="auto"/>
              <w:right w:val="single" w:sz="4" w:space="0" w:color="auto"/>
            </w:tcBorders>
            <w:vAlign w:val="center"/>
          </w:tcPr>
          <w:p w14:paraId="64317EDA" w14:textId="68956464" w:rsidR="00F714D1" w:rsidRPr="00D41179" w:rsidRDefault="00F714D1" w:rsidP="0005173E">
            <w:pPr>
              <w:keepNext/>
              <w:keepLines/>
              <w:jc w:val="center"/>
              <w:rPr>
                <w:rFonts w:ascii="Arial Narrow" w:hAnsi="Arial Narrow"/>
                <w:b/>
                <w:color w:val="000000"/>
                <w:sz w:val="20"/>
                <w:szCs w:val="18"/>
              </w:rPr>
            </w:pPr>
            <w:r w:rsidRPr="00D41179">
              <w:rPr>
                <w:rFonts w:ascii="Arial Narrow" w:hAnsi="Arial Narrow"/>
                <w:b/>
                <w:color w:val="000000"/>
                <w:sz w:val="20"/>
                <w:szCs w:val="18"/>
              </w:rPr>
              <w:t>N</w:t>
            </w:r>
          </w:p>
        </w:tc>
        <w:tc>
          <w:tcPr>
            <w:tcW w:w="1494" w:type="pct"/>
            <w:gridSpan w:val="3"/>
            <w:vMerge w:val="restart"/>
            <w:tcBorders>
              <w:top w:val="single" w:sz="4" w:space="0" w:color="auto"/>
              <w:left w:val="single" w:sz="4" w:space="0" w:color="auto"/>
              <w:bottom w:val="single" w:sz="4" w:space="0" w:color="auto"/>
              <w:right w:val="single" w:sz="4" w:space="0" w:color="auto"/>
            </w:tcBorders>
            <w:vAlign w:val="center"/>
          </w:tcPr>
          <w:p w14:paraId="59DC55BF" w14:textId="77777777" w:rsidR="00F714D1" w:rsidRPr="00D41179" w:rsidRDefault="00F714D1" w:rsidP="00E272F8">
            <w:pPr>
              <w:keepNext/>
              <w:keepLines/>
              <w:jc w:val="center"/>
              <w:rPr>
                <w:rFonts w:ascii="Arial Narrow" w:hAnsi="Arial Narrow"/>
                <w:b/>
                <w:color w:val="000000"/>
                <w:sz w:val="20"/>
                <w:szCs w:val="18"/>
              </w:rPr>
            </w:pPr>
            <w:r w:rsidRPr="00D41179">
              <w:rPr>
                <w:rFonts w:ascii="Arial Narrow" w:hAnsi="Arial Narrow"/>
                <w:b/>
                <w:color w:val="000000"/>
                <w:sz w:val="20"/>
                <w:szCs w:val="18"/>
              </w:rPr>
              <w:t>VE,</w:t>
            </w:r>
          </w:p>
          <w:p w14:paraId="74D27772" w14:textId="77777777" w:rsidR="00F714D1" w:rsidRPr="00D41179" w:rsidRDefault="00F714D1" w:rsidP="00E272F8">
            <w:pPr>
              <w:keepNext/>
              <w:keepLines/>
              <w:jc w:val="center"/>
              <w:rPr>
                <w:rFonts w:ascii="Arial Narrow" w:hAnsi="Arial Narrow"/>
                <w:b/>
                <w:color w:val="000000"/>
                <w:sz w:val="20"/>
                <w:szCs w:val="18"/>
              </w:rPr>
            </w:pPr>
            <w:r w:rsidRPr="00D41179">
              <w:rPr>
                <w:rFonts w:ascii="Arial Narrow" w:hAnsi="Arial Narrow"/>
                <w:b/>
                <w:color w:val="000000"/>
                <w:sz w:val="20"/>
                <w:szCs w:val="18"/>
              </w:rPr>
              <w:t>% (95% CI)</w:t>
            </w:r>
          </w:p>
        </w:tc>
        <w:tc>
          <w:tcPr>
            <w:tcW w:w="708" w:type="pct"/>
            <w:gridSpan w:val="2"/>
            <w:tcBorders>
              <w:top w:val="single" w:sz="4" w:space="0" w:color="auto"/>
              <w:left w:val="single" w:sz="4" w:space="0" w:color="auto"/>
              <w:bottom w:val="single" w:sz="4" w:space="0" w:color="auto"/>
              <w:right w:val="single" w:sz="4" w:space="0" w:color="auto"/>
            </w:tcBorders>
            <w:vAlign w:val="center"/>
          </w:tcPr>
          <w:p w14:paraId="493D424E" w14:textId="49CA10D9" w:rsidR="00F714D1" w:rsidRPr="00D41179" w:rsidRDefault="00F714D1" w:rsidP="0005173E">
            <w:pPr>
              <w:keepNext/>
              <w:keepLines/>
              <w:jc w:val="center"/>
              <w:rPr>
                <w:rFonts w:ascii="Arial Narrow" w:hAnsi="Arial Narrow"/>
                <w:b/>
                <w:color w:val="000000"/>
                <w:sz w:val="20"/>
                <w:szCs w:val="18"/>
              </w:rPr>
            </w:pPr>
            <w:r w:rsidRPr="00D41179">
              <w:rPr>
                <w:rFonts w:ascii="Arial Narrow" w:hAnsi="Arial Narrow"/>
                <w:b/>
                <w:color w:val="000000"/>
                <w:sz w:val="20"/>
                <w:szCs w:val="18"/>
              </w:rPr>
              <w:t>Event rate/year/1,000 individuals vaccinated</w:t>
            </w:r>
          </w:p>
        </w:tc>
        <w:tc>
          <w:tcPr>
            <w:tcW w:w="601" w:type="pct"/>
            <w:vMerge w:val="restart"/>
            <w:tcBorders>
              <w:top w:val="single" w:sz="4" w:space="0" w:color="auto"/>
              <w:left w:val="single" w:sz="4" w:space="0" w:color="auto"/>
              <w:bottom w:val="single" w:sz="4" w:space="0" w:color="auto"/>
              <w:right w:val="single" w:sz="4" w:space="0" w:color="auto"/>
            </w:tcBorders>
            <w:vAlign w:val="center"/>
          </w:tcPr>
          <w:p w14:paraId="4E2587C5" w14:textId="77777777" w:rsidR="00F714D1" w:rsidRPr="00D41179" w:rsidRDefault="00F714D1" w:rsidP="0005173E">
            <w:pPr>
              <w:keepNext/>
              <w:keepLines/>
              <w:jc w:val="center"/>
              <w:rPr>
                <w:rFonts w:ascii="Arial Narrow" w:hAnsi="Arial Narrow"/>
                <w:b/>
                <w:color w:val="000000"/>
                <w:sz w:val="20"/>
                <w:szCs w:val="18"/>
              </w:rPr>
            </w:pPr>
            <w:r w:rsidRPr="00D41179">
              <w:rPr>
                <w:rFonts w:ascii="Arial Narrow" w:hAnsi="Arial Narrow"/>
                <w:b/>
                <w:color w:val="000000"/>
                <w:sz w:val="20"/>
                <w:szCs w:val="18"/>
              </w:rPr>
              <w:t>Increment</w:t>
            </w:r>
          </w:p>
          <w:p w14:paraId="10D67DD1" w14:textId="421B0FCB" w:rsidR="00F714D1" w:rsidRPr="00D41179" w:rsidRDefault="00F714D1" w:rsidP="0005173E">
            <w:pPr>
              <w:keepNext/>
              <w:keepLines/>
              <w:jc w:val="center"/>
              <w:rPr>
                <w:rFonts w:ascii="Arial Narrow" w:hAnsi="Arial Narrow"/>
                <w:b/>
                <w:color w:val="000000"/>
                <w:sz w:val="20"/>
                <w:szCs w:val="18"/>
              </w:rPr>
            </w:pPr>
            <w:r w:rsidRPr="00D41179">
              <w:rPr>
                <w:rFonts w:ascii="Arial Narrow" w:hAnsi="Arial Narrow"/>
                <w:b/>
                <w:color w:val="000000"/>
                <w:sz w:val="20"/>
                <w:szCs w:val="18"/>
              </w:rPr>
              <w:t>(per year</w:t>
            </w:r>
            <w:r w:rsidR="006F27A0" w:rsidRPr="00D41179">
              <w:rPr>
                <w:rFonts w:ascii="Arial Narrow" w:hAnsi="Arial Narrow"/>
                <w:b/>
                <w:color w:val="000000"/>
                <w:sz w:val="20"/>
                <w:szCs w:val="18"/>
              </w:rPr>
              <w:t>/</w:t>
            </w:r>
            <w:r w:rsidR="00CF5A90" w:rsidRPr="00D41179">
              <w:rPr>
                <w:rFonts w:ascii="Arial Narrow" w:hAnsi="Arial Narrow"/>
                <w:b/>
                <w:color w:val="000000"/>
                <w:sz w:val="20"/>
                <w:szCs w:val="18"/>
              </w:rPr>
              <w:t xml:space="preserve"> 1,000 </w:t>
            </w:r>
            <w:r w:rsidR="00AD4E79" w:rsidRPr="00D41179">
              <w:rPr>
                <w:rFonts w:ascii="Arial Narrow" w:hAnsi="Arial Narrow"/>
                <w:b/>
                <w:color w:val="000000"/>
                <w:sz w:val="20"/>
                <w:szCs w:val="18"/>
              </w:rPr>
              <w:t>individuals</w:t>
            </w:r>
            <w:r w:rsidRPr="00D41179">
              <w:rPr>
                <w:rFonts w:ascii="Arial Narrow" w:hAnsi="Arial Narrow"/>
                <w:b/>
                <w:color w:val="000000"/>
                <w:sz w:val="20"/>
                <w:szCs w:val="18"/>
              </w:rPr>
              <w:t>)</w:t>
            </w:r>
          </w:p>
        </w:tc>
      </w:tr>
      <w:tr w:rsidR="00F714D1" w:rsidRPr="00D41179" w14:paraId="2ACFED78" w14:textId="77777777" w:rsidTr="008C5ED8">
        <w:trPr>
          <w:trHeight w:val="159"/>
        </w:trPr>
        <w:tc>
          <w:tcPr>
            <w:tcW w:w="1568" w:type="pct"/>
            <w:gridSpan w:val="2"/>
            <w:vMerge/>
            <w:tcBorders>
              <w:top w:val="single" w:sz="4" w:space="0" w:color="auto"/>
              <w:left w:val="single" w:sz="4" w:space="0" w:color="auto"/>
              <w:bottom w:val="single" w:sz="4" w:space="0" w:color="auto"/>
              <w:right w:val="single" w:sz="4" w:space="0" w:color="auto"/>
            </w:tcBorders>
            <w:vAlign w:val="center"/>
          </w:tcPr>
          <w:p w14:paraId="57920236" w14:textId="77777777" w:rsidR="00F714D1" w:rsidRPr="00D41179" w:rsidRDefault="00F714D1" w:rsidP="00E272F8">
            <w:pPr>
              <w:keepNext/>
              <w:keepLines/>
              <w:jc w:val="left"/>
              <w:rPr>
                <w:rFonts w:ascii="Arial Narrow" w:hAnsi="Arial Narrow"/>
                <w:b/>
                <w:color w:val="000000"/>
                <w:sz w:val="20"/>
                <w:szCs w:val="18"/>
              </w:rPr>
            </w:pPr>
          </w:p>
        </w:tc>
        <w:tc>
          <w:tcPr>
            <w:tcW w:w="629" w:type="pct"/>
            <w:gridSpan w:val="2"/>
            <w:vMerge/>
            <w:tcBorders>
              <w:left w:val="single" w:sz="4" w:space="0" w:color="auto"/>
              <w:bottom w:val="single" w:sz="4" w:space="0" w:color="auto"/>
              <w:right w:val="single" w:sz="4" w:space="0" w:color="auto"/>
            </w:tcBorders>
            <w:vAlign w:val="center"/>
          </w:tcPr>
          <w:p w14:paraId="176BB427" w14:textId="77777777" w:rsidR="00F714D1" w:rsidRPr="00D41179" w:rsidRDefault="00F714D1" w:rsidP="0005173E">
            <w:pPr>
              <w:keepNext/>
              <w:keepLines/>
              <w:jc w:val="center"/>
              <w:rPr>
                <w:rFonts w:ascii="Arial Narrow" w:hAnsi="Arial Narrow"/>
                <w:b/>
                <w:color w:val="000000"/>
                <w:sz w:val="20"/>
                <w:szCs w:val="18"/>
              </w:rPr>
            </w:pPr>
          </w:p>
        </w:tc>
        <w:tc>
          <w:tcPr>
            <w:tcW w:w="1494" w:type="pct"/>
            <w:gridSpan w:val="3"/>
            <w:vMerge/>
            <w:tcBorders>
              <w:top w:val="single" w:sz="4" w:space="0" w:color="auto"/>
              <w:left w:val="single" w:sz="4" w:space="0" w:color="auto"/>
              <w:bottom w:val="single" w:sz="4" w:space="0" w:color="auto"/>
              <w:right w:val="single" w:sz="4" w:space="0" w:color="auto"/>
            </w:tcBorders>
            <w:vAlign w:val="center"/>
          </w:tcPr>
          <w:p w14:paraId="19EAEA2D" w14:textId="77777777" w:rsidR="00F714D1" w:rsidRPr="00D41179" w:rsidRDefault="00F714D1" w:rsidP="00E272F8">
            <w:pPr>
              <w:keepNext/>
              <w:keepLines/>
              <w:jc w:val="center"/>
              <w:rPr>
                <w:rFonts w:ascii="Arial Narrow" w:hAnsi="Arial Narrow"/>
                <w:b/>
                <w:color w:val="000000"/>
                <w:sz w:val="20"/>
                <w:szCs w:val="18"/>
              </w:rPr>
            </w:pPr>
          </w:p>
        </w:tc>
        <w:tc>
          <w:tcPr>
            <w:tcW w:w="316" w:type="pct"/>
            <w:tcBorders>
              <w:top w:val="single" w:sz="4" w:space="0" w:color="auto"/>
              <w:left w:val="single" w:sz="4" w:space="0" w:color="auto"/>
              <w:bottom w:val="single" w:sz="4" w:space="0" w:color="auto"/>
              <w:right w:val="single" w:sz="4" w:space="0" w:color="auto"/>
            </w:tcBorders>
            <w:vAlign w:val="center"/>
          </w:tcPr>
          <w:p w14:paraId="6426880D" w14:textId="77777777" w:rsidR="00F714D1" w:rsidRPr="00D41179" w:rsidRDefault="00F714D1" w:rsidP="0005173E">
            <w:pPr>
              <w:keepNext/>
              <w:keepLines/>
              <w:jc w:val="center"/>
              <w:rPr>
                <w:rFonts w:ascii="Arial Narrow" w:hAnsi="Arial Narrow"/>
                <w:b/>
                <w:color w:val="000000"/>
                <w:sz w:val="20"/>
                <w:szCs w:val="18"/>
              </w:rPr>
            </w:pPr>
            <w:r w:rsidRPr="00D41179">
              <w:rPr>
                <w:rFonts w:ascii="Arial Narrow" w:hAnsi="Arial Narrow"/>
                <w:b/>
                <w:color w:val="000000"/>
                <w:sz w:val="20"/>
                <w:szCs w:val="18"/>
              </w:rPr>
              <w:t xml:space="preserve">RZV </w:t>
            </w:r>
          </w:p>
        </w:tc>
        <w:tc>
          <w:tcPr>
            <w:tcW w:w="393" w:type="pct"/>
            <w:tcBorders>
              <w:top w:val="single" w:sz="4" w:space="0" w:color="auto"/>
              <w:left w:val="single" w:sz="4" w:space="0" w:color="auto"/>
              <w:bottom w:val="single" w:sz="4" w:space="0" w:color="auto"/>
              <w:right w:val="single" w:sz="4" w:space="0" w:color="auto"/>
            </w:tcBorders>
            <w:vAlign w:val="center"/>
          </w:tcPr>
          <w:p w14:paraId="353E5468" w14:textId="76710338" w:rsidR="00F714D1" w:rsidRPr="00D41179" w:rsidRDefault="00F714D1" w:rsidP="0005173E">
            <w:pPr>
              <w:keepNext/>
              <w:keepLines/>
              <w:jc w:val="center"/>
              <w:rPr>
                <w:rFonts w:ascii="Arial Narrow" w:hAnsi="Arial Narrow"/>
                <w:b/>
                <w:color w:val="000000"/>
                <w:sz w:val="20"/>
                <w:szCs w:val="18"/>
              </w:rPr>
            </w:pPr>
            <w:r w:rsidRPr="00D41179">
              <w:rPr>
                <w:rFonts w:ascii="Arial Narrow" w:hAnsi="Arial Narrow"/>
                <w:b/>
                <w:color w:val="000000"/>
                <w:sz w:val="20"/>
                <w:szCs w:val="18"/>
              </w:rPr>
              <w:t>PBO</w:t>
            </w:r>
          </w:p>
        </w:tc>
        <w:tc>
          <w:tcPr>
            <w:tcW w:w="601" w:type="pct"/>
            <w:vMerge/>
            <w:tcBorders>
              <w:top w:val="single" w:sz="4" w:space="0" w:color="auto"/>
              <w:left w:val="single" w:sz="4" w:space="0" w:color="auto"/>
              <w:bottom w:val="single" w:sz="4" w:space="0" w:color="auto"/>
              <w:right w:val="single" w:sz="4" w:space="0" w:color="auto"/>
            </w:tcBorders>
            <w:vAlign w:val="center"/>
          </w:tcPr>
          <w:p w14:paraId="3338F306" w14:textId="77777777" w:rsidR="00F714D1" w:rsidRPr="00D41179" w:rsidRDefault="00F714D1" w:rsidP="0005173E">
            <w:pPr>
              <w:keepNext/>
              <w:keepLines/>
              <w:jc w:val="center"/>
              <w:rPr>
                <w:rFonts w:ascii="Arial Narrow" w:hAnsi="Arial Narrow"/>
                <w:b/>
                <w:color w:val="000000"/>
                <w:sz w:val="20"/>
                <w:szCs w:val="18"/>
              </w:rPr>
            </w:pPr>
          </w:p>
        </w:tc>
      </w:tr>
      <w:tr w:rsidR="00F714D1" w:rsidRPr="00D41179" w14:paraId="7A48B415" w14:textId="77777777" w:rsidTr="00E272F8">
        <w:tc>
          <w:tcPr>
            <w:tcW w:w="5000" w:type="pct"/>
            <w:gridSpan w:val="10"/>
            <w:tcBorders>
              <w:top w:val="single" w:sz="4" w:space="0" w:color="auto"/>
              <w:left w:val="single" w:sz="4" w:space="0" w:color="auto"/>
              <w:bottom w:val="double" w:sz="4" w:space="0" w:color="auto"/>
              <w:right w:val="single" w:sz="4" w:space="0" w:color="auto"/>
            </w:tcBorders>
            <w:vAlign w:val="center"/>
          </w:tcPr>
          <w:p w14:paraId="05D5E898" w14:textId="77777777" w:rsidR="00F714D1" w:rsidRPr="00D41179" w:rsidRDefault="00F714D1" w:rsidP="00E272F8">
            <w:pPr>
              <w:keepNext/>
              <w:keepLines/>
              <w:jc w:val="left"/>
              <w:rPr>
                <w:rFonts w:ascii="Arial Narrow" w:hAnsi="Arial Narrow"/>
                <w:b/>
                <w:color w:val="000000"/>
                <w:sz w:val="20"/>
                <w:szCs w:val="18"/>
              </w:rPr>
            </w:pPr>
            <w:r w:rsidRPr="00D41179">
              <w:rPr>
                <w:rFonts w:ascii="Arial Narrow" w:hAnsi="Arial Narrow"/>
                <w:b/>
                <w:color w:val="000000"/>
                <w:sz w:val="20"/>
                <w:szCs w:val="18"/>
              </w:rPr>
              <w:t>Benefits</w:t>
            </w:r>
          </w:p>
        </w:tc>
      </w:tr>
      <w:tr w:rsidR="00F714D1" w:rsidRPr="00D41179" w14:paraId="4DDE2C07" w14:textId="77777777" w:rsidTr="00E272F8">
        <w:tc>
          <w:tcPr>
            <w:tcW w:w="5000" w:type="pct"/>
            <w:gridSpan w:val="10"/>
            <w:tcBorders>
              <w:top w:val="double" w:sz="4" w:space="0" w:color="auto"/>
              <w:left w:val="single" w:sz="4" w:space="0" w:color="auto"/>
              <w:bottom w:val="single" w:sz="4" w:space="0" w:color="auto"/>
              <w:right w:val="single" w:sz="4" w:space="0" w:color="auto"/>
            </w:tcBorders>
            <w:vAlign w:val="center"/>
          </w:tcPr>
          <w:p w14:paraId="5231718E" w14:textId="7D7B6419" w:rsidR="00F714D1" w:rsidRPr="00D41179" w:rsidRDefault="00F714D1" w:rsidP="00E272F8">
            <w:pPr>
              <w:keepNext/>
              <w:keepLines/>
              <w:jc w:val="left"/>
              <w:rPr>
                <w:rFonts w:ascii="Arial Narrow" w:hAnsi="Arial Narrow"/>
                <w:b/>
                <w:color w:val="000000"/>
                <w:sz w:val="20"/>
                <w:szCs w:val="18"/>
              </w:rPr>
            </w:pPr>
            <w:r w:rsidRPr="00D41179">
              <w:rPr>
                <w:rFonts w:ascii="Arial Narrow" w:hAnsi="Arial Narrow"/>
                <w:b/>
                <w:color w:val="000000"/>
                <w:sz w:val="20"/>
                <w:szCs w:val="18"/>
              </w:rPr>
              <w:t>Reduction in HZ cases (overall – ≥50 y)</w:t>
            </w:r>
          </w:p>
        </w:tc>
      </w:tr>
      <w:tr w:rsidR="00F714D1" w:rsidRPr="00D41179" w14:paraId="170DC18D" w14:textId="77777777" w:rsidTr="008C5ED8">
        <w:tc>
          <w:tcPr>
            <w:tcW w:w="1568" w:type="pct"/>
            <w:gridSpan w:val="2"/>
            <w:tcBorders>
              <w:top w:val="single" w:sz="4" w:space="0" w:color="auto"/>
              <w:left w:val="single" w:sz="4" w:space="0" w:color="auto"/>
              <w:bottom w:val="single" w:sz="4" w:space="0" w:color="auto"/>
              <w:right w:val="single" w:sz="4" w:space="0" w:color="auto"/>
            </w:tcBorders>
            <w:vAlign w:val="center"/>
          </w:tcPr>
          <w:p w14:paraId="5F4BE168" w14:textId="7DFFC0A7" w:rsidR="00F714D1" w:rsidRPr="00D41179" w:rsidRDefault="00F714D1" w:rsidP="00E272F8">
            <w:pPr>
              <w:keepNext/>
              <w:keepLines/>
              <w:jc w:val="left"/>
              <w:rPr>
                <w:rFonts w:ascii="Arial Narrow" w:hAnsi="Arial Narrow"/>
                <w:color w:val="000000"/>
                <w:sz w:val="20"/>
                <w:szCs w:val="20"/>
                <w:vertAlign w:val="superscript"/>
              </w:rPr>
            </w:pPr>
            <w:r w:rsidRPr="00D41179">
              <w:rPr>
                <w:rFonts w:ascii="Arial Narrow" w:hAnsi="Arial Narrow"/>
                <w:sz w:val="20"/>
                <w:szCs w:val="20"/>
              </w:rPr>
              <w:t>ZOSTER-049</w:t>
            </w:r>
          </w:p>
        </w:tc>
        <w:tc>
          <w:tcPr>
            <w:tcW w:w="629" w:type="pct"/>
            <w:gridSpan w:val="2"/>
            <w:tcBorders>
              <w:top w:val="single" w:sz="4" w:space="0" w:color="auto"/>
              <w:left w:val="single" w:sz="4" w:space="0" w:color="auto"/>
              <w:bottom w:val="single" w:sz="4" w:space="0" w:color="auto"/>
              <w:right w:val="single" w:sz="4" w:space="0" w:color="auto"/>
            </w:tcBorders>
            <w:vAlign w:val="center"/>
          </w:tcPr>
          <w:p w14:paraId="7D133CF4" w14:textId="77777777" w:rsidR="00F714D1" w:rsidRPr="00D41179" w:rsidRDefault="00F714D1" w:rsidP="0005173E">
            <w:pPr>
              <w:keepNext/>
              <w:keepLines/>
              <w:jc w:val="center"/>
              <w:rPr>
                <w:rFonts w:ascii="Arial Narrow" w:hAnsi="Arial Narrow"/>
                <w:color w:val="000000"/>
                <w:sz w:val="20"/>
                <w:szCs w:val="20"/>
              </w:rPr>
            </w:pPr>
            <w:r w:rsidRPr="00D41179">
              <w:rPr>
                <w:rFonts w:ascii="Arial Narrow" w:hAnsi="Arial Narrow"/>
                <w:color w:val="000000"/>
                <w:sz w:val="20"/>
                <w:szCs w:val="20"/>
              </w:rPr>
              <w:t>14,516</w:t>
            </w:r>
          </w:p>
        </w:tc>
        <w:tc>
          <w:tcPr>
            <w:tcW w:w="1494" w:type="pct"/>
            <w:gridSpan w:val="3"/>
            <w:tcBorders>
              <w:top w:val="single" w:sz="4" w:space="0" w:color="auto"/>
              <w:left w:val="single" w:sz="4" w:space="0" w:color="auto"/>
              <w:bottom w:val="single" w:sz="4" w:space="0" w:color="auto"/>
              <w:right w:val="single" w:sz="4" w:space="0" w:color="auto"/>
            </w:tcBorders>
            <w:vAlign w:val="center"/>
          </w:tcPr>
          <w:p w14:paraId="6616453D" w14:textId="09A3A064" w:rsidR="00F714D1" w:rsidRPr="00D41179" w:rsidRDefault="00F714D1" w:rsidP="00E272F8">
            <w:pPr>
              <w:pStyle w:val="TableText0"/>
              <w:jc w:val="center"/>
            </w:pPr>
            <w:r w:rsidRPr="00D41179">
              <w:t>79.77 (73.72, 84.61)</w:t>
            </w:r>
          </w:p>
        </w:tc>
        <w:tc>
          <w:tcPr>
            <w:tcW w:w="316" w:type="pct"/>
            <w:tcBorders>
              <w:top w:val="single" w:sz="4" w:space="0" w:color="auto"/>
              <w:left w:val="single" w:sz="4" w:space="0" w:color="auto"/>
              <w:bottom w:val="single" w:sz="4" w:space="0" w:color="auto"/>
              <w:right w:val="single" w:sz="4" w:space="0" w:color="auto"/>
            </w:tcBorders>
            <w:vAlign w:val="center"/>
          </w:tcPr>
          <w:p w14:paraId="7F6B24E0" w14:textId="77777777" w:rsidR="00F714D1" w:rsidRPr="00D41179" w:rsidRDefault="00F714D1" w:rsidP="0005173E">
            <w:pPr>
              <w:keepNext/>
              <w:keepLines/>
              <w:jc w:val="center"/>
              <w:rPr>
                <w:rFonts w:ascii="Arial Narrow" w:hAnsi="Arial Narrow"/>
                <w:color w:val="000000"/>
                <w:sz w:val="20"/>
                <w:szCs w:val="20"/>
              </w:rPr>
            </w:pPr>
            <w:r w:rsidRPr="00D41179">
              <w:rPr>
                <w:rFonts w:ascii="Arial Narrow" w:hAnsi="Arial Narrow"/>
                <w:color w:val="000000"/>
                <w:sz w:val="20"/>
                <w:szCs w:val="20"/>
              </w:rPr>
              <w:t>1.8</w:t>
            </w:r>
          </w:p>
        </w:tc>
        <w:tc>
          <w:tcPr>
            <w:tcW w:w="393" w:type="pct"/>
            <w:tcBorders>
              <w:top w:val="single" w:sz="4" w:space="0" w:color="auto"/>
              <w:left w:val="single" w:sz="4" w:space="0" w:color="auto"/>
              <w:bottom w:val="single" w:sz="4" w:space="0" w:color="auto"/>
              <w:right w:val="single" w:sz="4" w:space="0" w:color="auto"/>
            </w:tcBorders>
            <w:vAlign w:val="center"/>
          </w:tcPr>
          <w:p w14:paraId="4C729EE9" w14:textId="77777777" w:rsidR="00F714D1" w:rsidRPr="00D41179" w:rsidRDefault="00F714D1" w:rsidP="0005173E">
            <w:pPr>
              <w:keepNext/>
              <w:keepLines/>
              <w:jc w:val="center"/>
              <w:rPr>
                <w:rFonts w:ascii="Arial Narrow" w:hAnsi="Arial Narrow"/>
                <w:color w:val="000000"/>
                <w:sz w:val="20"/>
                <w:szCs w:val="20"/>
              </w:rPr>
            </w:pPr>
            <w:r w:rsidRPr="00D41179">
              <w:rPr>
                <w:rFonts w:ascii="Arial Narrow" w:hAnsi="Arial Narrow"/>
                <w:color w:val="000000"/>
                <w:sz w:val="20"/>
                <w:szCs w:val="20"/>
              </w:rPr>
              <w:t>8.7</w:t>
            </w:r>
          </w:p>
        </w:tc>
        <w:tc>
          <w:tcPr>
            <w:tcW w:w="601" w:type="pct"/>
            <w:tcBorders>
              <w:top w:val="single" w:sz="4" w:space="0" w:color="auto"/>
              <w:left w:val="single" w:sz="4" w:space="0" w:color="auto"/>
              <w:bottom w:val="single" w:sz="4" w:space="0" w:color="auto"/>
              <w:right w:val="single" w:sz="4" w:space="0" w:color="auto"/>
            </w:tcBorders>
            <w:vAlign w:val="center"/>
          </w:tcPr>
          <w:p w14:paraId="64471C18" w14:textId="77777777" w:rsidR="00F714D1" w:rsidRPr="00D41179" w:rsidRDefault="00F714D1" w:rsidP="0005173E">
            <w:pPr>
              <w:keepNext/>
              <w:keepLines/>
              <w:jc w:val="center"/>
              <w:rPr>
                <w:rFonts w:ascii="Arial Narrow" w:hAnsi="Arial Narrow"/>
                <w:color w:val="000000"/>
                <w:sz w:val="20"/>
                <w:szCs w:val="20"/>
              </w:rPr>
            </w:pPr>
            <w:r w:rsidRPr="00D41179">
              <w:rPr>
                <w:rFonts w:ascii="Arial Narrow" w:hAnsi="Arial Narrow"/>
                <w:color w:val="000000"/>
                <w:sz w:val="20"/>
                <w:szCs w:val="20"/>
              </w:rPr>
              <w:t>-6.9</w:t>
            </w:r>
          </w:p>
        </w:tc>
      </w:tr>
      <w:tr w:rsidR="00F714D1" w:rsidRPr="00D41179" w14:paraId="0244AA85" w14:textId="77777777" w:rsidTr="00E272F8">
        <w:tc>
          <w:tcPr>
            <w:tcW w:w="5000" w:type="pct"/>
            <w:gridSpan w:val="10"/>
            <w:tcBorders>
              <w:top w:val="single" w:sz="4" w:space="0" w:color="auto"/>
              <w:left w:val="single" w:sz="4" w:space="0" w:color="auto"/>
              <w:bottom w:val="single" w:sz="4" w:space="0" w:color="auto"/>
              <w:right w:val="single" w:sz="4" w:space="0" w:color="auto"/>
            </w:tcBorders>
            <w:vAlign w:val="center"/>
          </w:tcPr>
          <w:p w14:paraId="4D9257F2" w14:textId="77777777" w:rsidR="00F714D1" w:rsidRPr="00D41179" w:rsidRDefault="00F714D1" w:rsidP="00E272F8">
            <w:pPr>
              <w:keepNext/>
              <w:keepLines/>
              <w:jc w:val="left"/>
              <w:rPr>
                <w:rFonts w:ascii="Arial Narrow" w:hAnsi="Arial Narrow"/>
                <w:b/>
                <w:color w:val="000000"/>
                <w:sz w:val="20"/>
                <w:szCs w:val="18"/>
              </w:rPr>
            </w:pPr>
            <w:r w:rsidRPr="00D41179">
              <w:rPr>
                <w:rFonts w:ascii="Arial Narrow" w:hAnsi="Arial Narrow"/>
                <w:b/>
                <w:color w:val="000000"/>
                <w:sz w:val="20"/>
                <w:szCs w:val="18"/>
              </w:rPr>
              <w:t>Reduction in HZ cases (60-69 y)</w:t>
            </w:r>
          </w:p>
        </w:tc>
      </w:tr>
      <w:tr w:rsidR="00C704D7" w:rsidRPr="00D41179" w14:paraId="4556D321" w14:textId="77777777" w:rsidTr="008C5ED8">
        <w:tc>
          <w:tcPr>
            <w:tcW w:w="1568" w:type="pct"/>
            <w:gridSpan w:val="2"/>
            <w:tcBorders>
              <w:top w:val="single" w:sz="4" w:space="0" w:color="auto"/>
              <w:left w:val="single" w:sz="4" w:space="0" w:color="auto"/>
              <w:bottom w:val="single" w:sz="4" w:space="0" w:color="auto"/>
              <w:right w:val="single" w:sz="4" w:space="0" w:color="auto"/>
            </w:tcBorders>
            <w:vAlign w:val="center"/>
          </w:tcPr>
          <w:p w14:paraId="1F4E6E5C" w14:textId="3C638CF5" w:rsidR="00C704D7" w:rsidRPr="00D41179" w:rsidRDefault="00C704D7" w:rsidP="00E272F8">
            <w:pPr>
              <w:keepNext/>
              <w:keepLines/>
              <w:jc w:val="left"/>
              <w:rPr>
                <w:rFonts w:ascii="Arial Narrow" w:hAnsi="Arial Narrow"/>
                <w:color w:val="000000"/>
                <w:sz w:val="20"/>
                <w:szCs w:val="20"/>
              </w:rPr>
            </w:pPr>
            <w:r w:rsidRPr="00D41179">
              <w:rPr>
                <w:rFonts w:ascii="Arial Narrow" w:hAnsi="Arial Narrow"/>
                <w:sz w:val="20"/>
                <w:szCs w:val="20"/>
              </w:rPr>
              <w:t>ZOSTER-049</w:t>
            </w:r>
          </w:p>
        </w:tc>
        <w:tc>
          <w:tcPr>
            <w:tcW w:w="629" w:type="pct"/>
            <w:gridSpan w:val="2"/>
            <w:tcBorders>
              <w:top w:val="nil"/>
              <w:left w:val="nil"/>
              <w:bottom w:val="single" w:sz="4" w:space="0" w:color="auto"/>
              <w:right w:val="nil"/>
            </w:tcBorders>
            <w:vAlign w:val="bottom"/>
          </w:tcPr>
          <w:p w14:paraId="1EEC8230" w14:textId="77777777" w:rsidR="00C704D7" w:rsidRPr="00D41179" w:rsidRDefault="00C704D7" w:rsidP="00C704D7">
            <w:pPr>
              <w:keepNext/>
              <w:keepLines/>
              <w:jc w:val="center"/>
              <w:rPr>
                <w:rFonts w:ascii="Arial Narrow" w:hAnsi="Arial Narrow"/>
                <w:color w:val="000000"/>
                <w:sz w:val="20"/>
                <w:szCs w:val="20"/>
              </w:rPr>
            </w:pPr>
            <w:r w:rsidRPr="00D41179">
              <w:rPr>
                <w:rFonts w:ascii="Arial Narrow" w:hAnsi="Arial Narrow"/>
                <w:color w:val="000000"/>
                <w:sz w:val="20"/>
                <w:szCs w:val="20"/>
              </w:rPr>
              <w:t>2,484</w:t>
            </w:r>
          </w:p>
        </w:tc>
        <w:tc>
          <w:tcPr>
            <w:tcW w:w="1494" w:type="pct"/>
            <w:gridSpan w:val="3"/>
            <w:tcBorders>
              <w:top w:val="single" w:sz="4" w:space="0" w:color="auto"/>
              <w:left w:val="single" w:sz="4" w:space="0" w:color="auto"/>
              <w:bottom w:val="single" w:sz="4" w:space="0" w:color="auto"/>
              <w:right w:val="single" w:sz="4" w:space="0" w:color="auto"/>
            </w:tcBorders>
            <w:vAlign w:val="center"/>
          </w:tcPr>
          <w:p w14:paraId="724B2FD8" w14:textId="77777777" w:rsidR="00C704D7" w:rsidRPr="00D41179" w:rsidRDefault="00C704D7" w:rsidP="00E272F8">
            <w:pPr>
              <w:pStyle w:val="TableText0"/>
              <w:jc w:val="center"/>
            </w:pPr>
            <w:r w:rsidRPr="00D41179">
              <w:t>87.14 (74.17, 94.35)</w:t>
            </w:r>
          </w:p>
        </w:tc>
        <w:tc>
          <w:tcPr>
            <w:tcW w:w="316" w:type="pct"/>
            <w:tcBorders>
              <w:top w:val="single" w:sz="4" w:space="0" w:color="auto"/>
              <w:left w:val="single" w:sz="4" w:space="0" w:color="auto"/>
              <w:bottom w:val="single" w:sz="4" w:space="0" w:color="auto"/>
              <w:right w:val="single" w:sz="4" w:space="0" w:color="auto"/>
            </w:tcBorders>
            <w:vAlign w:val="center"/>
          </w:tcPr>
          <w:p w14:paraId="49776B74" w14:textId="77777777" w:rsidR="00C704D7" w:rsidRPr="00D41179" w:rsidRDefault="00C704D7" w:rsidP="00C704D7">
            <w:pPr>
              <w:keepNext/>
              <w:keepLines/>
              <w:jc w:val="center"/>
              <w:rPr>
                <w:rFonts w:ascii="Arial Narrow" w:hAnsi="Arial Narrow"/>
                <w:color w:val="000000"/>
                <w:sz w:val="20"/>
                <w:szCs w:val="20"/>
              </w:rPr>
            </w:pPr>
            <w:r w:rsidRPr="00D41179">
              <w:rPr>
                <w:rFonts w:ascii="Arial Narrow" w:hAnsi="Arial Narrow"/>
                <w:color w:val="000000"/>
                <w:sz w:val="20"/>
                <w:szCs w:val="20"/>
              </w:rPr>
              <w:t>1.3</w:t>
            </w:r>
          </w:p>
        </w:tc>
        <w:tc>
          <w:tcPr>
            <w:tcW w:w="393" w:type="pct"/>
            <w:tcBorders>
              <w:top w:val="single" w:sz="4" w:space="0" w:color="auto"/>
              <w:left w:val="single" w:sz="4" w:space="0" w:color="auto"/>
              <w:bottom w:val="single" w:sz="4" w:space="0" w:color="auto"/>
              <w:right w:val="single" w:sz="4" w:space="0" w:color="auto"/>
            </w:tcBorders>
            <w:vAlign w:val="center"/>
          </w:tcPr>
          <w:p w14:paraId="05620FE5" w14:textId="77777777" w:rsidR="00C704D7" w:rsidRPr="00D41179" w:rsidRDefault="00C704D7" w:rsidP="00C704D7">
            <w:pPr>
              <w:keepNext/>
              <w:keepLines/>
              <w:jc w:val="center"/>
              <w:rPr>
                <w:rFonts w:ascii="Arial Narrow" w:hAnsi="Arial Narrow"/>
                <w:color w:val="000000"/>
                <w:sz w:val="20"/>
                <w:szCs w:val="20"/>
              </w:rPr>
            </w:pPr>
            <w:r w:rsidRPr="00D41179">
              <w:rPr>
                <w:rFonts w:ascii="Arial Narrow" w:hAnsi="Arial Narrow"/>
                <w:color w:val="000000"/>
                <w:sz w:val="20"/>
                <w:szCs w:val="20"/>
              </w:rPr>
              <w:t>10.1</w:t>
            </w:r>
          </w:p>
        </w:tc>
        <w:tc>
          <w:tcPr>
            <w:tcW w:w="601" w:type="pct"/>
            <w:tcBorders>
              <w:top w:val="nil"/>
              <w:left w:val="nil"/>
              <w:bottom w:val="single" w:sz="4" w:space="0" w:color="auto"/>
              <w:right w:val="single" w:sz="4" w:space="0" w:color="auto"/>
            </w:tcBorders>
            <w:vAlign w:val="bottom"/>
          </w:tcPr>
          <w:p w14:paraId="1E087400" w14:textId="77777777" w:rsidR="00C704D7" w:rsidRPr="00D41179" w:rsidRDefault="00C704D7" w:rsidP="00C704D7">
            <w:pPr>
              <w:keepNext/>
              <w:keepLines/>
              <w:jc w:val="center"/>
              <w:rPr>
                <w:rFonts w:ascii="Arial Narrow" w:hAnsi="Arial Narrow"/>
                <w:color w:val="000000"/>
                <w:sz w:val="20"/>
                <w:szCs w:val="20"/>
              </w:rPr>
            </w:pPr>
            <w:r w:rsidRPr="00D41179">
              <w:rPr>
                <w:rFonts w:ascii="Arial Narrow" w:hAnsi="Arial Narrow"/>
                <w:color w:val="000000"/>
                <w:sz w:val="20"/>
                <w:szCs w:val="20"/>
              </w:rPr>
              <w:t>-8.8</w:t>
            </w:r>
          </w:p>
        </w:tc>
      </w:tr>
      <w:tr w:rsidR="00C704D7" w:rsidRPr="00D41179" w14:paraId="0167A7AD" w14:textId="77777777" w:rsidTr="00E272F8">
        <w:tc>
          <w:tcPr>
            <w:tcW w:w="5000" w:type="pct"/>
            <w:gridSpan w:val="10"/>
            <w:tcBorders>
              <w:top w:val="double" w:sz="4" w:space="0" w:color="auto"/>
              <w:left w:val="single" w:sz="4" w:space="0" w:color="auto"/>
              <w:bottom w:val="single" w:sz="4" w:space="0" w:color="auto"/>
              <w:right w:val="single" w:sz="4" w:space="0" w:color="auto"/>
            </w:tcBorders>
            <w:vAlign w:val="center"/>
          </w:tcPr>
          <w:p w14:paraId="79D527E0" w14:textId="11EC6B73" w:rsidR="00C704D7" w:rsidRPr="00D41179" w:rsidRDefault="00C704D7" w:rsidP="00E272F8">
            <w:pPr>
              <w:keepNext/>
              <w:keepLines/>
              <w:jc w:val="left"/>
              <w:rPr>
                <w:rFonts w:ascii="Arial Narrow" w:hAnsi="Arial Narrow"/>
                <w:b/>
                <w:color w:val="000000"/>
                <w:sz w:val="20"/>
                <w:szCs w:val="18"/>
              </w:rPr>
            </w:pPr>
            <w:r w:rsidRPr="00D41179">
              <w:rPr>
                <w:rFonts w:ascii="Arial Narrow" w:hAnsi="Arial Narrow"/>
                <w:b/>
                <w:color w:val="000000"/>
                <w:sz w:val="20"/>
                <w:szCs w:val="18"/>
              </w:rPr>
              <w:t>Reduction in PHN cases (overall – ≥50 y)</w:t>
            </w:r>
          </w:p>
        </w:tc>
      </w:tr>
      <w:tr w:rsidR="00C704D7" w:rsidRPr="00D41179" w14:paraId="7121F8FE" w14:textId="77777777" w:rsidTr="008C5ED8">
        <w:tc>
          <w:tcPr>
            <w:tcW w:w="1568" w:type="pct"/>
            <w:gridSpan w:val="2"/>
            <w:tcBorders>
              <w:top w:val="single" w:sz="4" w:space="0" w:color="auto"/>
              <w:left w:val="single" w:sz="4" w:space="0" w:color="auto"/>
              <w:bottom w:val="single" w:sz="4" w:space="0" w:color="auto"/>
              <w:right w:val="single" w:sz="4" w:space="0" w:color="auto"/>
            </w:tcBorders>
            <w:vAlign w:val="center"/>
          </w:tcPr>
          <w:p w14:paraId="00984F86" w14:textId="5C7A0F40" w:rsidR="00C704D7" w:rsidRPr="00D41179" w:rsidRDefault="00C704D7" w:rsidP="00E272F8">
            <w:pPr>
              <w:keepNext/>
              <w:keepLines/>
              <w:jc w:val="left"/>
              <w:rPr>
                <w:rFonts w:ascii="Arial Narrow" w:hAnsi="Arial Narrow"/>
                <w:color w:val="000000"/>
                <w:sz w:val="20"/>
                <w:szCs w:val="18"/>
              </w:rPr>
            </w:pPr>
            <w:r w:rsidRPr="00D41179">
              <w:rPr>
                <w:rFonts w:ascii="Arial Narrow" w:hAnsi="Arial Narrow"/>
                <w:sz w:val="20"/>
                <w:szCs w:val="20"/>
              </w:rPr>
              <w:t>ZOSTER-049</w:t>
            </w:r>
          </w:p>
        </w:tc>
        <w:tc>
          <w:tcPr>
            <w:tcW w:w="629" w:type="pct"/>
            <w:gridSpan w:val="2"/>
            <w:tcBorders>
              <w:top w:val="single" w:sz="4" w:space="0" w:color="auto"/>
              <w:left w:val="single" w:sz="4" w:space="0" w:color="auto"/>
              <w:bottom w:val="single" w:sz="4" w:space="0" w:color="auto"/>
              <w:right w:val="single" w:sz="4" w:space="0" w:color="auto"/>
            </w:tcBorders>
            <w:vAlign w:val="center"/>
          </w:tcPr>
          <w:p w14:paraId="6E2F7995" w14:textId="77777777" w:rsidR="00C704D7" w:rsidRPr="00D41179" w:rsidRDefault="00C704D7" w:rsidP="00C704D7">
            <w:pPr>
              <w:keepNext/>
              <w:keepLines/>
              <w:jc w:val="center"/>
              <w:rPr>
                <w:rFonts w:ascii="Arial Narrow" w:hAnsi="Arial Narrow"/>
                <w:color w:val="000000"/>
                <w:sz w:val="20"/>
                <w:szCs w:val="18"/>
              </w:rPr>
            </w:pPr>
            <w:r w:rsidRPr="00D41179">
              <w:rPr>
                <w:rFonts w:ascii="Arial Narrow" w:hAnsi="Arial Narrow"/>
                <w:color w:val="000000"/>
                <w:sz w:val="20"/>
                <w:szCs w:val="18"/>
              </w:rPr>
              <w:t>14,452</w:t>
            </w:r>
          </w:p>
        </w:tc>
        <w:tc>
          <w:tcPr>
            <w:tcW w:w="1494" w:type="pct"/>
            <w:gridSpan w:val="3"/>
            <w:tcBorders>
              <w:top w:val="single" w:sz="4" w:space="0" w:color="auto"/>
              <w:left w:val="single" w:sz="4" w:space="0" w:color="auto"/>
              <w:bottom w:val="single" w:sz="4" w:space="0" w:color="auto"/>
              <w:right w:val="single" w:sz="4" w:space="0" w:color="auto"/>
            </w:tcBorders>
            <w:vAlign w:val="center"/>
          </w:tcPr>
          <w:p w14:paraId="2E582D6B" w14:textId="2EFA1BA6" w:rsidR="00C704D7" w:rsidRPr="00D41179" w:rsidRDefault="00C704D7" w:rsidP="00E272F8">
            <w:pPr>
              <w:pStyle w:val="TableText0"/>
              <w:jc w:val="center"/>
            </w:pPr>
            <w:r w:rsidRPr="00D41179">
              <w:t>87.50 (64.75, 96.79)</w:t>
            </w:r>
          </w:p>
        </w:tc>
        <w:tc>
          <w:tcPr>
            <w:tcW w:w="316" w:type="pct"/>
            <w:tcBorders>
              <w:top w:val="single" w:sz="4" w:space="0" w:color="auto"/>
              <w:left w:val="single" w:sz="4" w:space="0" w:color="auto"/>
              <w:bottom w:val="single" w:sz="4" w:space="0" w:color="auto"/>
              <w:right w:val="single" w:sz="4" w:space="0" w:color="auto"/>
            </w:tcBorders>
            <w:vAlign w:val="center"/>
          </w:tcPr>
          <w:p w14:paraId="07D33CC3" w14:textId="77777777" w:rsidR="00C704D7" w:rsidRPr="00D41179" w:rsidRDefault="00C704D7" w:rsidP="00C704D7">
            <w:pPr>
              <w:keepNext/>
              <w:keepLines/>
              <w:jc w:val="center"/>
              <w:rPr>
                <w:rFonts w:ascii="Arial Narrow" w:hAnsi="Arial Narrow"/>
                <w:color w:val="000000"/>
                <w:sz w:val="20"/>
                <w:szCs w:val="18"/>
              </w:rPr>
            </w:pPr>
            <w:r w:rsidRPr="00D41179">
              <w:rPr>
                <w:rFonts w:ascii="Arial Narrow" w:hAnsi="Arial Narrow"/>
                <w:color w:val="000000"/>
                <w:sz w:val="20"/>
                <w:szCs w:val="18"/>
              </w:rPr>
              <w:t>0.1</w:t>
            </w:r>
          </w:p>
        </w:tc>
        <w:tc>
          <w:tcPr>
            <w:tcW w:w="393" w:type="pct"/>
            <w:tcBorders>
              <w:top w:val="single" w:sz="4" w:space="0" w:color="auto"/>
              <w:left w:val="single" w:sz="4" w:space="0" w:color="auto"/>
              <w:bottom w:val="single" w:sz="4" w:space="0" w:color="auto"/>
              <w:right w:val="single" w:sz="4" w:space="0" w:color="auto"/>
            </w:tcBorders>
            <w:vAlign w:val="center"/>
          </w:tcPr>
          <w:p w14:paraId="4DCEC4FA" w14:textId="77777777" w:rsidR="00C704D7" w:rsidRPr="00D41179" w:rsidRDefault="00C704D7" w:rsidP="00C704D7">
            <w:pPr>
              <w:keepNext/>
              <w:keepLines/>
              <w:jc w:val="center"/>
              <w:rPr>
                <w:rFonts w:ascii="Arial Narrow" w:hAnsi="Arial Narrow"/>
                <w:color w:val="000000"/>
                <w:sz w:val="20"/>
                <w:szCs w:val="18"/>
              </w:rPr>
            </w:pPr>
            <w:r w:rsidRPr="00D41179">
              <w:rPr>
                <w:rFonts w:ascii="Arial Narrow" w:hAnsi="Arial Narrow"/>
                <w:color w:val="000000"/>
                <w:sz w:val="20"/>
                <w:szCs w:val="18"/>
              </w:rPr>
              <w:t>0.8</w:t>
            </w:r>
          </w:p>
        </w:tc>
        <w:tc>
          <w:tcPr>
            <w:tcW w:w="601" w:type="pct"/>
            <w:tcBorders>
              <w:top w:val="single" w:sz="4" w:space="0" w:color="auto"/>
              <w:left w:val="single" w:sz="4" w:space="0" w:color="auto"/>
              <w:bottom w:val="single" w:sz="4" w:space="0" w:color="auto"/>
              <w:right w:val="single" w:sz="4" w:space="0" w:color="auto"/>
            </w:tcBorders>
            <w:vAlign w:val="center"/>
          </w:tcPr>
          <w:p w14:paraId="1067973F" w14:textId="77777777" w:rsidR="00C704D7" w:rsidRPr="00D41179" w:rsidRDefault="00C704D7" w:rsidP="00C704D7">
            <w:pPr>
              <w:keepNext/>
              <w:keepLines/>
              <w:jc w:val="center"/>
              <w:rPr>
                <w:rFonts w:ascii="Arial Narrow" w:hAnsi="Arial Narrow"/>
                <w:color w:val="000000"/>
                <w:sz w:val="20"/>
                <w:szCs w:val="18"/>
              </w:rPr>
            </w:pPr>
            <w:r w:rsidRPr="00D41179">
              <w:rPr>
                <w:rFonts w:ascii="Arial Narrow" w:hAnsi="Arial Narrow"/>
                <w:color w:val="000000"/>
                <w:sz w:val="20"/>
                <w:szCs w:val="18"/>
              </w:rPr>
              <w:t>-0.7</w:t>
            </w:r>
          </w:p>
        </w:tc>
      </w:tr>
      <w:tr w:rsidR="00C704D7" w:rsidRPr="00D41179" w14:paraId="322B059A" w14:textId="77777777" w:rsidTr="00E272F8">
        <w:tc>
          <w:tcPr>
            <w:tcW w:w="5000" w:type="pct"/>
            <w:gridSpan w:val="10"/>
            <w:tcBorders>
              <w:top w:val="single" w:sz="4" w:space="0" w:color="auto"/>
              <w:left w:val="single" w:sz="4" w:space="0" w:color="auto"/>
              <w:bottom w:val="single" w:sz="4" w:space="0" w:color="auto"/>
              <w:right w:val="single" w:sz="4" w:space="0" w:color="auto"/>
            </w:tcBorders>
            <w:vAlign w:val="center"/>
          </w:tcPr>
          <w:p w14:paraId="32744941" w14:textId="77777777" w:rsidR="00C704D7" w:rsidRPr="00D41179" w:rsidRDefault="00C704D7" w:rsidP="00E272F8">
            <w:pPr>
              <w:keepNext/>
              <w:keepLines/>
              <w:jc w:val="left"/>
              <w:rPr>
                <w:rFonts w:ascii="Arial Narrow" w:hAnsi="Arial Narrow"/>
                <w:b/>
                <w:color w:val="000000"/>
                <w:sz w:val="20"/>
                <w:szCs w:val="18"/>
              </w:rPr>
            </w:pPr>
            <w:r w:rsidRPr="00D41179">
              <w:rPr>
                <w:rFonts w:ascii="Arial Narrow" w:hAnsi="Arial Narrow"/>
                <w:b/>
                <w:color w:val="000000"/>
                <w:sz w:val="20"/>
                <w:szCs w:val="18"/>
              </w:rPr>
              <w:t>Reduction in PHN cases (60-69 y)</w:t>
            </w:r>
          </w:p>
        </w:tc>
      </w:tr>
      <w:tr w:rsidR="00C704D7" w:rsidRPr="00D41179" w14:paraId="02211D29" w14:textId="77777777" w:rsidTr="008C5ED8">
        <w:tc>
          <w:tcPr>
            <w:tcW w:w="1568" w:type="pct"/>
            <w:gridSpan w:val="2"/>
            <w:tcBorders>
              <w:top w:val="single" w:sz="4" w:space="0" w:color="auto"/>
              <w:left w:val="single" w:sz="4" w:space="0" w:color="auto"/>
              <w:bottom w:val="single" w:sz="4" w:space="0" w:color="auto"/>
              <w:right w:val="single" w:sz="4" w:space="0" w:color="auto"/>
            </w:tcBorders>
            <w:vAlign w:val="center"/>
          </w:tcPr>
          <w:p w14:paraId="3782A742" w14:textId="649D9A70" w:rsidR="00C704D7" w:rsidRPr="00D41179" w:rsidRDefault="00C704D7" w:rsidP="00E272F8">
            <w:pPr>
              <w:keepNext/>
              <w:keepLines/>
              <w:jc w:val="left"/>
              <w:rPr>
                <w:rFonts w:ascii="Arial Narrow" w:hAnsi="Arial Narrow"/>
                <w:color w:val="000000"/>
                <w:sz w:val="20"/>
                <w:szCs w:val="18"/>
              </w:rPr>
            </w:pPr>
            <w:r w:rsidRPr="00D41179">
              <w:rPr>
                <w:rFonts w:ascii="Arial Narrow" w:hAnsi="Arial Narrow"/>
                <w:sz w:val="20"/>
                <w:szCs w:val="20"/>
              </w:rPr>
              <w:t>ZOSTER-049</w:t>
            </w:r>
          </w:p>
        </w:tc>
        <w:tc>
          <w:tcPr>
            <w:tcW w:w="629" w:type="pct"/>
            <w:gridSpan w:val="2"/>
            <w:tcBorders>
              <w:top w:val="nil"/>
              <w:left w:val="nil"/>
              <w:bottom w:val="single" w:sz="4" w:space="0" w:color="auto"/>
              <w:right w:val="nil"/>
            </w:tcBorders>
            <w:vAlign w:val="bottom"/>
          </w:tcPr>
          <w:p w14:paraId="2A575F4D" w14:textId="77777777" w:rsidR="00C704D7" w:rsidRPr="00D41179" w:rsidRDefault="00C704D7" w:rsidP="00C704D7">
            <w:pPr>
              <w:keepNext/>
              <w:keepLines/>
              <w:jc w:val="center"/>
              <w:rPr>
                <w:rFonts w:ascii="Arial Narrow" w:hAnsi="Arial Narrow"/>
                <w:color w:val="000000"/>
                <w:sz w:val="20"/>
                <w:szCs w:val="18"/>
              </w:rPr>
            </w:pPr>
            <w:r w:rsidRPr="00D41179">
              <w:rPr>
                <w:rFonts w:ascii="Arial Narrow" w:hAnsi="Arial Narrow"/>
                <w:color w:val="000000"/>
                <w:sz w:val="20"/>
                <w:szCs w:val="20"/>
              </w:rPr>
              <w:t>2,486</w:t>
            </w:r>
          </w:p>
        </w:tc>
        <w:tc>
          <w:tcPr>
            <w:tcW w:w="1494" w:type="pct"/>
            <w:gridSpan w:val="3"/>
            <w:tcBorders>
              <w:top w:val="single" w:sz="4" w:space="0" w:color="auto"/>
              <w:left w:val="single" w:sz="4" w:space="0" w:color="auto"/>
              <w:bottom w:val="single" w:sz="4" w:space="0" w:color="auto"/>
              <w:right w:val="single" w:sz="4" w:space="0" w:color="auto"/>
            </w:tcBorders>
            <w:vAlign w:val="center"/>
          </w:tcPr>
          <w:p w14:paraId="74EFDC05" w14:textId="77777777" w:rsidR="00C704D7" w:rsidRPr="00D41179" w:rsidRDefault="00C704D7" w:rsidP="00E272F8">
            <w:pPr>
              <w:pStyle w:val="TableText0"/>
              <w:jc w:val="center"/>
            </w:pPr>
            <w:r w:rsidRPr="00D41179">
              <w:t>50.00 (-860.45, 99.15)</w:t>
            </w:r>
          </w:p>
        </w:tc>
        <w:tc>
          <w:tcPr>
            <w:tcW w:w="316" w:type="pct"/>
            <w:tcBorders>
              <w:top w:val="single" w:sz="4" w:space="0" w:color="auto"/>
              <w:left w:val="single" w:sz="4" w:space="0" w:color="auto"/>
              <w:bottom w:val="single" w:sz="4" w:space="0" w:color="auto"/>
              <w:right w:val="single" w:sz="4" w:space="0" w:color="auto"/>
            </w:tcBorders>
            <w:vAlign w:val="center"/>
          </w:tcPr>
          <w:p w14:paraId="30D89DDC" w14:textId="77777777" w:rsidR="00C704D7" w:rsidRPr="00D41179" w:rsidRDefault="00C704D7" w:rsidP="00C704D7">
            <w:pPr>
              <w:keepNext/>
              <w:keepLines/>
              <w:jc w:val="center"/>
              <w:rPr>
                <w:rFonts w:ascii="Arial Narrow" w:hAnsi="Arial Narrow"/>
                <w:color w:val="000000"/>
                <w:sz w:val="20"/>
                <w:szCs w:val="18"/>
              </w:rPr>
            </w:pPr>
            <w:r w:rsidRPr="00D41179">
              <w:rPr>
                <w:rFonts w:ascii="Arial Narrow" w:hAnsi="Arial Narrow"/>
                <w:color w:val="000000"/>
                <w:sz w:val="20"/>
                <w:szCs w:val="18"/>
              </w:rPr>
              <w:t>0.1</w:t>
            </w:r>
          </w:p>
        </w:tc>
        <w:tc>
          <w:tcPr>
            <w:tcW w:w="393" w:type="pct"/>
            <w:tcBorders>
              <w:top w:val="single" w:sz="4" w:space="0" w:color="auto"/>
              <w:left w:val="single" w:sz="4" w:space="0" w:color="auto"/>
              <w:bottom w:val="single" w:sz="4" w:space="0" w:color="auto"/>
              <w:right w:val="single" w:sz="4" w:space="0" w:color="auto"/>
            </w:tcBorders>
            <w:vAlign w:val="center"/>
          </w:tcPr>
          <w:p w14:paraId="012CC616" w14:textId="77777777" w:rsidR="00C704D7" w:rsidRPr="00D41179" w:rsidRDefault="00C704D7" w:rsidP="00C704D7">
            <w:pPr>
              <w:keepNext/>
              <w:keepLines/>
              <w:jc w:val="center"/>
              <w:rPr>
                <w:rFonts w:ascii="Arial Narrow" w:hAnsi="Arial Narrow"/>
                <w:color w:val="000000"/>
                <w:sz w:val="20"/>
                <w:szCs w:val="18"/>
              </w:rPr>
            </w:pPr>
            <w:r w:rsidRPr="00D41179">
              <w:rPr>
                <w:rFonts w:ascii="Arial Narrow" w:hAnsi="Arial Narrow"/>
                <w:color w:val="000000"/>
                <w:sz w:val="20"/>
                <w:szCs w:val="18"/>
              </w:rPr>
              <w:t>0.3</w:t>
            </w:r>
          </w:p>
        </w:tc>
        <w:tc>
          <w:tcPr>
            <w:tcW w:w="601" w:type="pct"/>
            <w:tcBorders>
              <w:top w:val="nil"/>
              <w:left w:val="nil"/>
              <w:bottom w:val="single" w:sz="4" w:space="0" w:color="auto"/>
              <w:right w:val="single" w:sz="4" w:space="0" w:color="auto"/>
            </w:tcBorders>
            <w:vAlign w:val="bottom"/>
          </w:tcPr>
          <w:p w14:paraId="2DB7E035" w14:textId="77777777" w:rsidR="00C704D7" w:rsidRPr="00D41179" w:rsidRDefault="00C704D7" w:rsidP="00C704D7">
            <w:pPr>
              <w:keepNext/>
              <w:keepLines/>
              <w:jc w:val="center"/>
              <w:rPr>
                <w:rFonts w:ascii="Arial Narrow" w:hAnsi="Arial Narrow"/>
                <w:color w:val="000000"/>
                <w:sz w:val="20"/>
                <w:szCs w:val="18"/>
              </w:rPr>
            </w:pPr>
            <w:r w:rsidRPr="00D41179">
              <w:rPr>
                <w:rFonts w:ascii="Arial Narrow" w:hAnsi="Arial Narrow"/>
                <w:color w:val="000000"/>
                <w:sz w:val="20"/>
                <w:szCs w:val="20"/>
              </w:rPr>
              <w:t>-0.2</w:t>
            </w:r>
          </w:p>
        </w:tc>
      </w:tr>
      <w:tr w:rsidR="00C704D7" w:rsidRPr="00D41179" w14:paraId="3F2FD904" w14:textId="77777777" w:rsidTr="00E272F8">
        <w:tc>
          <w:tcPr>
            <w:tcW w:w="5000" w:type="pct"/>
            <w:gridSpan w:val="10"/>
            <w:tcBorders>
              <w:top w:val="double" w:sz="4" w:space="0" w:color="auto"/>
              <w:left w:val="single" w:sz="4" w:space="0" w:color="auto"/>
              <w:bottom w:val="single" w:sz="4" w:space="0" w:color="auto"/>
              <w:right w:val="single" w:sz="4" w:space="0" w:color="auto"/>
            </w:tcBorders>
            <w:vAlign w:val="center"/>
          </w:tcPr>
          <w:p w14:paraId="5AB07971" w14:textId="3259A6D5" w:rsidR="00C704D7" w:rsidRPr="00D41179" w:rsidRDefault="00C704D7" w:rsidP="00E272F8">
            <w:pPr>
              <w:keepNext/>
              <w:keepLines/>
              <w:jc w:val="left"/>
              <w:rPr>
                <w:rFonts w:ascii="Arial Narrow" w:hAnsi="Arial Narrow"/>
                <w:b/>
                <w:color w:val="000000"/>
                <w:sz w:val="20"/>
                <w:szCs w:val="18"/>
              </w:rPr>
            </w:pPr>
            <w:r w:rsidRPr="00D41179">
              <w:rPr>
                <w:rFonts w:ascii="Arial Narrow" w:hAnsi="Arial Narrow"/>
                <w:b/>
                <w:color w:val="000000"/>
                <w:sz w:val="20"/>
                <w:szCs w:val="18"/>
              </w:rPr>
              <w:t>Reduction in non-PHN complications (overall – ≥50 y )</w:t>
            </w:r>
          </w:p>
        </w:tc>
      </w:tr>
      <w:tr w:rsidR="00663525" w:rsidRPr="00D41179" w14:paraId="5E9EA345" w14:textId="77777777" w:rsidTr="008C5ED8">
        <w:tc>
          <w:tcPr>
            <w:tcW w:w="1568" w:type="pct"/>
            <w:gridSpan w:val="2"/>
            <w:tcBorders>
              <w:top w:val="single" w:sz="4" w:space="0" w:color="auto"/>
              <w:left w:val="single" w:sz="4" w:space="0" w:color="auto"/>
              <w:bottom w:val="single" w:sz="4" w:space="0" w:color="auto"/>
              <w:right w:val="single" w:sz="4" w:space="0" w:color="auto"/>
            </w:tcBorders>
            <w:vAlign w:val="center"/>
          </w:tcPr>
          <w:p w14:paraId="29A536B0" w14:textId="5CCED79F" w:rsidR="00663525" w:rsidRPr="00D41179" w:rsidRDefault="00663525" w:rsidP="00663525">
            <w:pPr>
              <w:keepNext/>
              <w:keepLines/>
              <w:jc w:val="left"/>
              <w:rPr>
                <w:rFonts w:ascii="Arial Narrow" w:hAnsi="Arial Narrow"/>
                <w:color w:val="000000"/>
                <w:sz w:val="20"/>
                <w:szCs w:val="18"/>
              </w:rPr>
            </w:pPr>
            <w:r w:rsidRPr="00D41179">
              <w:rPr>
                <w:rFonts w:ascii="Arial Narrow" w:hAnsi="Arial Narrow"/>
                <w:sz w:val="20"/>
                <w:szCs w:val="20"/>
              </w:rPr>
              <w:t>ZOSTER-049</w:t>
            </w:r>
          </w:p>
        </w:tc>
        <w:tc>
          <w:tcPr>
            <w:tcW w:w="629" w:type="pct"/>
            <w:gridSpan w:val="2"/>
            <w:tcBorders>
              <w:top w:val="single" w:sz="4" w:space="0" w:color="auto"/>
              <w:left w:val="single" w:sz="4" w:space="0" w:color="auto"/>
              <w:bottom w:val="single" w:sz="4" w:space="0" w:color="auto"/>
              <w:right w:val="single" w:sz="4" w:space="0" w:color="auto"/>
            </w:tcBorders>
          </w:tcPr>
          <w:p w14:paraId="422FB54F" w14:textId="77777777" w:rsidR="00663525" w:rsidRPr="00D41179" w:rsidRDefault="00663525" w:rsidP="00663525">
            <w:pPr>
              <w:keepNext/>
              <w:keepLines/>
              <w:jc w:val="center"/>
              <w:rPr>
                <w:rFonts w:ascii="Arial Narrow" w:hAnsi="Arial Narrow"/>
                <w:color w:val="000000"/>
                <w:sz w:val="20"/>
                <w:szCs w:val="20"/>
              </w:rPr>
            </w:pPr>
            <w:r w:rsidRPr="00D41179">
              <w:rPr>
                <w:rFonts w:ascii="Arial Narrow" w:hAnsi="Arial Narrow"/>
                <w:sz w:val="20"/>
                <w:szCs w:val="20"/>
              </w:rPr>
              <w:t>14,546</w:t>
            </w:r>
          </w:p>
        </w:tc>
        <w:tc>
          <w:tcPr>
            <w:tcW w:w="1494" w:type="pct"/>
            <w:gridSpan w:val="3"/>
            <w:tcBorders>
              <w:top w:val="single" w:sz="4" w:space="0" w:color="auto"/>
              <w:left w:val="single" w:sz="4" w:space="0" w:color="auto"/>
              <w:bottom w:val="single" w:sz="4" w:space="0" w:color="auto"/>
              <w:right w:val="single" w:sz="4" w:space="0" w:color="auto"/>
            </w:tcBorders>
            <w:vAlign w:val="center"/>
          </w:tcPr>
          <w:p w14:paraId="3B4B7A75" w14:textId="2341DB31" w:rsidR="00663525" w:rsidRPr="00D41179" w:rsidRDefault="00663525" w:rsidP="00663525">
            <w:pPr>
              <w:keepNext/>
              <w:keepLines/>
              <w:jc w:val="center"/>
              <w:rPr>
                <w:rFonts w:ascii="Arial Narrow" w:hAnsi="Arial Narrow"/>
                <w:color w:val="000000"/>
                <w:sz w:val="20"/>
                <w:szCs w:val="18"/>
              </w:rPr>
            </w:pPr>
            <w:r w:rsidRPr="00D41179">
              <w:rPr>
                <w:rFonts w:ascii="Arial Narrow" w:hAnsi="Arial Narrow"/>
                <w:color w:val="000000"/>
                <w:sz w:val="20"/>
                <w:szCs w:val="18"/>
              </w:rPr>
              <w:t>91.67 (43.68, 99.81)</w:t>
            </w:r>
          </w:p>
        </w:tc>
        <w:tc>
          <w:tcPr>
            <w:tcW w:w="316" w:type="pct"/>
            <w:tcBorders>
              <w:top w:val="single" w:sz="4" w:space="0" w:color="auto"/>
              <w:left w:val="single" w:sz="4" w:space="0" w:color="auto"/>
              <w:bottom w:val="single" w:sz="4" w:space="0" w:color="auto"/>
              <w:right w:val="single" w:sz="4" w:space="0" w:color="auto"/>
            </w:tcBorders>
            <w:vAlign w:val="center"/>
          </w:tcPr>
          <w:p w14:paraId="59A59D6A" w14:textId="77777777" w:rsidR="00663525" w:rsidRPr="00D41179" w:rsidRDefault="00663525" w:rsidP="00663525">
            <w:pPr>
              <w:keepNext/>
              <w:keepLines/>
              <w:jc w:val="center"/>
              <w:rPr>
                <w:rFonts w:ascii="Arial Narrow" w:hAnsi="Arial Narrow"/>
                <w:color w:val="000000"/>
                <w:sz w:val="20"/>
                <w:szCs w:val="18"/>
              </w:rPr>
            </w:pPr>
            <w:r w:rsidRPr="00D41179">
              <w:rPr>
                <w:rFonts w:ascii="Arial Narrow" w:hAnsi="Arial Narrow"/>
                <w:color w:val="000000"/>
                <w:sz w:val="20"/>
                <w:szCs w:val="18"/>
              </w:rPr>
              <w:t>0.0</w:t>
            </w:r>
          </w:p>
        </w:tc>
        <w:tc>
          <w:tcPr>
            <w:tcW w:w="393" w:type="pct"/>
            <w:tcBorders>
              <w:top w:val="single" w:sz="4" w:space="0" w:color="auto"/>
              <w:left w:val="single" w:sz="4" w:space="0" w:color="auto"/>
              <w:bottom w:val="single" w:sz="4" w:space="0" w:color="auto"/>
              <w:right w:val="single" w:sz="4" w:space="0" w:color="auto"/>
            </w:tcBorders>
            <w:vAlign w:val="center"/>
          </w:tcPr>
          <w:p w14:paraId="4194CD37" w14:textId="77777777" w:rsidR="00663525" w:rsidRPr="00D41179" w:rsidRDefault="00663525" w:rsidP="00663525">
            <w:pPr>
              <w:keepNext/>
              <w:keepLines/>
              <w:jc w:val="center"/>
              <w:rPr>
                <w:rFonts w:ascii="Arial Narrow" w:hAnsi="Arial Narrow"/>
                <w:color w:val="000000"/>
                <w:sz w:val="20"/>
                <w:szCs w:val="18"/>
              </w:rPr>
            </w:pPr>
            <w:r w:rsidRPr="00D41179">
              <w:rPr>
                <w:rFonts w:ascii="Arial Narrow" w:hAnsi="Arial Narrow"/>
                <w:color w:val="000000"/>
                <w:sz w:val="20"/>
                <w:szCs w:val="18"/>
              </w:rPr>
              <w:t>0.3</w:t>
            </w:r>
          </w:p>
        </w:tc>
        <w:tc>
          <w:tcPr>
            <w:tcW w:w="601" w:type="pct"/>
            <w:tcBorders>
              <w:top w:val="single" w:sz="4" w:space="0" w:color="auto"/>
              <w:left w:val="single" w:sz="4" w:space="0" w:color="auto"/>
              <w:bottom w:val="single" w:sz="4" w:space="0" w:color="auto"/>
              <w:right w:val="single" w:sz="4" w:space="0" w:color="auto"/>
            </w:tcBorders>
            <w:vAlign w:val="center"/>
          </w:tcPr>
          <w:p w14:paraId="04918B6E" w14:textId="77777777" w:rsidR="00663525" w:rsidRPr="00D41179" w:rsidRDefault="00663525" w:rsidP="00663525">
            <w:pPr>
              <w:keepNext/>
              <w:keepLines/>
              <w:jc w:val="center"/>
              <w:rPr>
                <w:rFonts w:ascii="Arial Narrow" w:hAnsi="Arial Narrow"/>
                <w:color w:val="000000"/>
                <w:sz w:val="20"/>
                <w:szCs w:val="18"/>
              </w:rPr>
            </w:pPr>
            <w:r w:rsidRPr="00D41179">
              <w:rPr>
                <w:rFonts w:ascii="Arial Narrow" w:hAnsi="Arial Narrow"/>
                <w:color w:val="000000"/>
                <w:sz w:val="20"/>
                <w:szCs w:val="18"/>
              </w:rPr>
              <w:t>-0.3</w:t>
            </w:r>
          </w:p>
        </w:tc>
      </w:tr>
      <w:tr w:rsidR="00663525" w:rsidRPr="00D41179" w14:paraId="45745870" w14:textId="77777777" w:rsidTr="00E272F8">
        <w:tc>
          <w:tcPr>
            <w:tcW w:w="5000" w:type="pct"/>
            <w:gridSpan w:val="10"/>
            <w:tcBorders>
              <w:top w:val="single" w:sz="4" w:space="0" w:color="auto"/>
              <w:left w:val="single" w:sz="4" w:space="0" w:color="auto"/>
              <w:bottom w:val="single" w:sz="4" w:space="0" w:color="auto"/>
              <w:right w:val="single" w:sz="4" w:space="0" w:color="auto"/>
            </w:tcBorders>
            <w:vAlign w:val="center"/>
          </w:tcPr>
          <w:p w14:paraId="6084105B" w14:textId="77777777" w:rsidR="00663525" w:rsidRPr="00D41179" w:rsidRDefault="00663525" w:rsidP="00663525">
            <w:pPr>
              <w:keepNext/>
              <w:keepLines/>
              <w:jc w:val="left"/>
              <w:rPr>
                <w:rFonts w:ascii="Arial Narrow" w:hAnsi="Arial Narrow"/>
                <w:b/>
                <w:color w:val="000000"/>
                <w:sz w:val="20"/>
                <w:szCs w:val="18"/>
              </w:rPr>
            </w:pPr>
            <w:r w:rsidRPr="00D41179">
              <w:rPr>
                <w:rFonts w:ascii="Arial Narrow" w:hAnsi="Arial Narrow"/>
                <w:b/>
                <w:color w:val="000000"/>
                <w:sz w:val="20"/>
                <w:szCs w:val="18"/>
              </w:rPr>
              <w:t>Reduction in non-PHN complications (60-69 y)</w:t>
            </w:r>
          </w:p>
        </w:tc>
      </w:tr>
      <w:tr w:rsidR="00DB7BA2" w:rsidRPr="00D41179" w14:paraId="673C1CD6" w14:textId="77777777" w:rsidTr="008C5ED8">
        <w:tc>
          <w:tcPr>
            <w:tcW w:w="1568" w:type="pct"/>
            <w:gridSpan w:val="2"/>
            <w:tcBorders>
              <w:top w:val="single" w:sz="4" w:space="0" w:color="auto"/>
              <w:left w:val="single" w:sz="4" w:space="0" w:color="auto"/>
              <w:bottom w:val="single" w:sz="4" w:space="0" w:color="auto"/>
              <w:right w:val="single" w:sz="4" w:space="0" w:color="auto"/>
            </w:tcBorders>
            <w:vAlign w:val="center"/>
          </w:tcPr>
          <w:p w14:paraId="1B719150" w14:textId="59998781" w:rsidR="00DB7BA2" w:rsidRPr="00D41179" w:rsidRDefault="00DB7BA2" w:rsidP="00DB7BA2">
            <w:pPr>
              <w:keepNext/>
              <w:keepLines/>
              <w:jc w:val="left"/>
              <w:rPr>
                <w:rFonts w:ascii="Arial Narrow" w:hAnsi="Arial Narrow"/>
                <w:color w:val="000000"/>
                <w:sz w:val="20"/>
                <w:szCs w:val="18"/>
              </w:rPr>
            </w:pPr>
            <w:r w:rsidRPr="00D41179">
              <w:rPr>
                <w:rFonts w:ascii="Arial Narrow" w:hAnsi="Arial Narrow"/>
                <w:sz w:val="20"/>
                <w:szCs w:val="20"/>
              </w:rPr>
              <w:t>ZOSTER-049</w:t>
            </w:r>
          </w:p>
        </w:tc>
        <w:tc>
          <w:tcPr>
            <w:tcW w:w="629" w:type="pct"/>
            <w:gridSpan w:val="2"/>
            <w:tcBorders>
              <w:top w:val="nil"/>
              <w:left w:val="nil"/>
              <w:bottom w:val="single" w:sz="4" w:space="0" w:color="auto"/>
              <w:right w:val="nil"/>
            </w:tcBorders>
            <w:vAlign w:val="bottom"/>
          </w:tcPr>
          <w:p w14:paraId="6EE06E9F" w14:textId="77777777" w:rsidR="00DB7BA2" w:rsidRPr="00D41179" w:rsidRDefault="00DB7BA2" w:rsidP="00DB7BA2">
            <w:pPr>
              <w:keepNext/>
              <w:keepLines/>
              <w:jc w:val="center"/>
              <w:rPr>
                <w:rFonts w:ascii="Arial Narrow" w:hAnsi="Arial Narrow"/>
                <w:color w:val="000000"/>
                <w:sz w:val="20"/>
                <w:szCs w:val="20"/>
              </w:rPr>
            </w:pPr>
            <w:r w:rsidRPr="00D41179">
              <w:rPr>
                <w:rFonts w:ascii="Arial Narrow" w:hAnsi="Arial Narrow"/>
                <w:color w:val="000000"/>
                <w:sz w:val="20"/>
                <w:szCs w:val="20"/>
              </w:rPr>
              <w:t>2,486</w:t>
            </w:r>
          </w:p>
        </w:tc>
        <w:tc>
          <w:tcPr>
            <w:tcW w:w="1494" w:type="pct"/>
            <w:gridSpan w:val="3"/>
            <w:tcBorders>
              <w:top w:val="single" w:sz="4" w:space="0" w:color="auto"/>
              <w:left w:val="single" w:sz="4" w:space="0" w:color="auto"/>
              <w:bottom w:val="single" w:sz="4" w:space="0" w:color="auto"/>
              <w:right w:val="single" w:sz="4" w:space="0" w:color="auto"/>
            </w:tcBorders>
            <w:vAlign w:val="center"/>
          </w:tcPr>
          <w:p w14:paraId="3300AB52" w14:textId="77777777" w:rsidR="00DB7BA2" w:rsidRPr="00D41179" w:rsidRDefault="00DB7BA2" w:rsidP="00DB7BA2">
            <w:pPr>
              <w:keepNext/>
              <w:keepLines/>
              <w:jc w:val="center"/>
              <w:rPr>
                <w:rFonts w:ascii="Arial Narrow" w:hAnsi="Arial Narrow"/>
                <w:color w:val="000000"/>
                <w:sz w:val="20"/>
                <w:szCs w:val="18"/>
              </w:rPr>
            </w:pPr>
            <w:r w:rsidRPr="00D41179">
              <w:rPr>
                <w:rFonts w:ascii="Arial Narrow" w:hAnsi="Arial Narrow"/>
                <w:color w:val="000000"/>
                <w:sz w:val="20"/>
                <w:szCs w:val="18"/>
              </w:rPr>
              <w:t>100.00 (-247.21, 100.00)</w:t>
            </w:r>
          </w:p>
        </w:tc>
        <w:tc>
          <w:tcPr>
            <w:tcW w:w="316" w:type="pct"/>
            <w:tcBorders>
              <w:top w:val="single" w:sz="4" w:space="0" w:color="auto"/>
              <w:left w:val="single" w:sz="4" w:space="0" w:color="auto"/>
              <w:bottom w:val="single" w:sz="4" w:space="0" w:color="auto"/>
              <w:right w:val="single" w:sz="4" w:space="0" w:color="auto"/>
            </w:tcBorders>
            <w:vAlign w:val="center"/>
          </w:tcPr>
          <w:p w14:paraId="3BB92F72" w14:textId="77777777" w:rsidR="00DB7BA2" w:rsidRPr="00D41179" w:rsidRDefault="00DB7BA2" w:rsidP="00DB7BA2">
            <w:pPr>
              <w:keepNext/>
              <w:keepLines/>
              <w:jc w:val="center"/>
              <w:rPr>
                <w:rFonts w:ascii="Arial Narrow" w:hAnsi="Arial Narrow"/>
                <w:color w:val="000000"/>
                <w:sz w:val="20"/>
                <w:szCs w:val="18"/>
              </w:rPr>
            </w:pPr>
            <w:r w:rsidRPr="00D41179">
              <w:rPr>
                <w:rFonts w:ascii="Arial Narrow" w:hAnsi="Arial Narrow"/>
                <w:color w:val="000000"/>
                <w:sz w:val="20"/>
                <w:szCs w:val="18"/>
              </w:rPr>
              <w:t>0.0</w:t>
            </w:r>
          </w:p>
        </w:tc>
        <w:tc>
          <w:tcPr>
            <w:tcW w:w="393" w:type="pct"/>
            <w:tcBorders>
              <w:top w:val="single" w:sz="4" w:space="0" w:color="auto"/>
              <w:left w:val="single" w:sz="4" w:space="0" w:color="auto"/>
              <w:bottom w:val="single" w:sz="4" w:space="0" w:color="auto"/>
              <w:right w:val="single" w:sz="4" w:space="0" w:color="auto"/>
            </w:tcBorders>
            <w:vAlign w:val="center"/>
          </w:tcPr>
          <w:p w14:paraId="4A5E0D44" w14:textId="77777777" w:rsidR="00DB7BA2" w:rsidRPr="00D41179" w:rsidRDefault="00DB7BA2" w:rsidP="00DB7BA2">
            <w:pPr>
              <w:keepNext/>
              <w:keepLines/>
              <w:jc w:val="center"/>
              <w:rPr>
                <w:rFonts w:ascii="Arial Narrow" w:hAnsi="Arial Narrow"/>
                <w:color w:val="000000"/>
                <w:sz w:val="20"/>
                <w:szCs w:val="18"/>
              </w:rPr>
            </w:pPr>
            <w:r w:rsidRPr="00D41179">
              <w:rPr>
                <w:rFonts w:ascii="Arial Narrow" w:hAnsi="Arial Narrow"/>
                <w:color w:val="000000"/>
                <w:sz w:val="20"/>
                <w:szCs w:val="18"/>
              </w:rPr>
              <w:t>0.3</w:t>
            </w:r>
          </w:p>
        </w:tc>
        <w:tc>
          <w:tcPr>
            <w:tcW w:w="601" w:type="pct"/>
            <w:tcBorders>
              <w:top w:val="nil"/>
              <w:left w:val="nil"/>
              <w:bottom w:val="single" w:sz="4" w:space="0" w:color="auto"/>
              <w:right w:val="single" w:sz="4" w:space="0" w:color="auto"/>
            </w:tcBorders>
            <w:vAlign w:val="bottom"/>
          </w:tcPr>
          <w:p w14:paraId="152FD647" w14:textId="77777777" w:rsidR="00DB7BA2" w:rsidRPr="00D41179" w:rsidRDefault="00DB7BA2" w:rsidP="00DB7BA2">
            <w:pPr>
              <w:keepNext/>
              <w:keepLines/>
              <w:jc w:val="center"/>
              <w:rPr>
                <w:rFonts w:ascii="Arial Narrow" w:hAnsi="Arial Narrow"/>
                <w:color w:val="000000"/>
                <w:sz w:val="20"/>
                <w:szCs w:val="18"/>
              </w:rPr>
            </w:pPr>
            <w:r w:rsidRPr="00D41179">
              <w:rPr>
                <w:rFonts w:ascii="Arial Narrow" w:hAnsi="Arial Narrow"/>
                <w:color w:val="000000"/>
                <w:sz w:val="20"/>
                <w:szCs w:val="20"/>
              </w:rPr>
              <w:t>-0.3</w:t>
            </w:r>
          </w:p>
        </w:tc>
      </w:tr>
      <w:tr w:rsidR="00DB7BA2" w:rsidRPr="00D41179" w14:paraId="6BEA9E4A" w14:textId="77777777">
        <w:tc>
          <w:tcPr>
            <w:tcW w:w="5000" w:type="pct"/>
            <w:gridSpan w:val="10"/>
            <w:tcBorders>
              <w:top w:val="double" w:sz="4" w:space="0" w:color="auto"/>
              <w:left w:val="single" w:sz="4" w:space="0" w:color="auto"/>
              <w:bottom w:val="single" w:sz="4" w:space="0" w:color="auto"/>
              <w:right w:val="single" w:sz="4" w:space="0" w:color="auto"/>
            </w:tcBorders>
            <w:vAlign w:val="center"/>
          </w:tcPr>
          <w:p w14:paraId="700ADDC4" w14:textId="77777777" w:rsidR="00DB7BA2" w:rsidRPr="00D41179" w:rsidRDefault="00DB7BA2" w:rsidP="00DB7BA2">
            <w:pPr>
              <w:keepNext/>
              <w:keepLines/>
              <w:rPr>
                <w:rFonts w:ascii="Arial Narrow" w:hAnsi="Arial Narrow"/>
                <w:b/>
                <w:color w:val="000000"/>
                <w:sz w:val="20"/>
                <w:szCs w:val="18"/>
              </w:rPr>
            </w:pPr>
            <w:r w:rsidRPr="00D41179">
              <w:rPr>
                <w:rFonts w:ascii="Arial Narrow" w:hAnsi="Arial Narrow"/>
                <w:b/>
                <w:color w:val="000000"/>
                <w:sz w:val="20"/>
                <w:szCs w:val="18"/>
              </w:rPr>
              <w:t xml:space="preserve">Harms </w:t>
            </w:r>
          </w:p>
        </w:tc>
      </w:tr>
      <w:tr w:rsidR="00DB7BA2" w:rsidRPr="00D41179" w14:paraId="1FC60B77" w14:textId="77777777" w:rsidTr="008C5ED8">
        <w:trPr>
          <w:trHeight w:val="70"/>
        </w:trPr>
        <w:tc>
          <w:tcPr>
            <w:tcW w:w="1411" w:type="pct"/>
            <w:vMerge w:val="restart"/>
            <w:tcBorders>
              <w:top w:val="single" w:sz="4" w:space="0" w:color="auto"/>
              <w:left w:val="single" w:sz="4" w:space="0" w:color="auto"/>
              <w:bottom w:val="single" w:sz="4" w:space="0" w:color="auto"/>
              <w:right w:val="single" w:sz="4" w:space="0" w:color="auto"/>
            </w:tcBorders>
            <w:vAlign w:val="center"/>
          </w:tcPr>
          <w:p w14:paraId="22C760EA" w14:textId="77777777" w:rsidR="00DB7BA2" w:rsidRPr="00D41179" w:rsidRDefault="00DB7BA2" w:rsidP="00DB7BA2">
            <w:pPr>
              <w:keepNext/>
              <w:keepLines/>
              <w:rPr>
                <w:rFonts w:ascii="Arial Narrow" w:hAnsi="Arial Narrow"/>
                <w:b/>
                <w:color w:val="000000"/>
                <w:sz w:val="20"/>
                <w:szCs w:val="18"/>
              </w:rPr>
            </w:pPr>
            <w:r w:rsidRPr="00D41179">
              <w:rPr>
                <w:rFonts w:ascii="Arial Narrow" w:hAnsi="Arial Narrow"/>
                <w:b/>
                <w:color w:val="000000"/>
                <w:sz w:val="20"/>
                <w:szCs w:val="18"/>
              </w:rPr>
              <w:t xml:space="preserve">Event/trial </w:t>
            </w:r>
          </w:p>
        </w:tc>
        <w:tc>
          <w:tcPr>
            <w:tcW w:w="708" w:type="pct"/>
            <w:gridSpan w:val="2"/>
            <w:vMerge w:val="restart"/>
            <w:tcBorders>
              <w:top w:val="single" w:sz="4" w:space="0" w:color="auto"/>
              <w:left w:val="single" w:sz="4" w:space="0" w:color="auto"/>
              <w:bottom w:val="single" w:sz="4" w:space="0" w:color="auto"/>
              <w:right w:val="single" w:sz="4" w:space="0" w:color="auto"/>
            </w:tcBorders>
            <w:vAlign w:val="center"/>
          </w:tcPr>
          <w:p w14:paraId="55DDB75D" w14:textId="77777777" w:rsidR="00DB7BA2" w:rsidRPr="00D41179" w:rsidRDefault="00DB7BA2" w:rsidP="00DB7BA2">
            <w:pPr>
              <w:keepNext/>
              <w:keepLines/>
              <w:jc w:val="center"/>
              <w:rPr>
                <w:rFonts w:ascii="Arial Narrow" w:hAnsi="Arial Narrow"/>
                <w:b/>
                <w:color w:val="000000"/>
                <w:sz w:val="20"/>
                <w:szCs w:val="18"/>
              </w:rPr>
            </w:pPr>
            <w:r w:rsidRPr="00D41179">
              <w:rPr>
                <w:rFonts w:ascii="Arial Narrow" w:hAnsi="Arial Narrow"/>
                <w:b/>
                <w:color w:val="000000"/>
                <w:sz w:val="20"/>
                <w:szCs w:val="18"/>
              </w:rPr>
              <w:t xml:space="preserve">RZV, </w:t>
            </w:r>
          </w:p>
          <w:p w14:paraId="35D05A21" w14:textId="77777777" w:rsidR="00DB7BA2" w:rsidRPr="00D41179" w:rsidRDefault="00DB7BA2" w:rsidP="00DB7BA2">
            <w:pPr>
              <w:keepNext/>
              <w:keepLines/>
              <w:jc w:val="center"/>
              <w:rPr>
                <w:rFonts w:ascii="Arial Narrow" w:hAnsi="Arial Narrow"/>
                <w:b/>
                <w:color w:val="000000"/>
                <w:sz w:val="20"/>
                <w:szCs w:val="18"/>
              </w:rPr>
            </w:pPr>
            <w:r w:rsidRPr="00D41179">
              <w:rPr>
                <w:rFonts w:ascii="Arial Narrow" w:hAnsi="Arial Narrow"/>
                <w:b/>
                <w:color w:val="000000"/>
                <w:sz w:val="20"/>
                <w:szCs w:val="18"/>
              </w:rPr>
              <w:t>n/N</w:t>
            </w:r>
          </w:p>
        </w:tc>
        <w:tc>
          <w:tcPr>
            <w:tcW w:w="629" w:type="pct"/>
            <w:gridSpan w:val="2"/>
            <w:vMerge w:val="restart"/>
            <w:tcBorders>
              <w:top w:val="single" w:sz="4" w:space="0" w:color="auto"/>
              <w:left w:val="single" w:sz="4" w:space="0" w:color="auto"/>
              <w:bottom w:val="single" w:sz="4" w:space="0" w:color="auto"/>
              <w:right w:val="single" w:sz="4" w:space="0" w:color="auto"/>
            </w:tcBorders>
            <w:vAlign w:val="center"/>
          </w:tcPr>
          <w:p w14:paraId="151E7AAF" w14:textId="77777777" w:rsidR="00DB7BA2" w:rsidRPr="00D41179" w:rsidRDefault="00DB7BA2" w:rsidP="00DB7BA2">
            <w:pPr>
              <w:keepNext/>
              <w:keepLines/>
              <w:jc w:val="center"/>
              <w:rPr>
                <w:rFonts w:ascii="Arial Narrow" w:hAnsi="Arial Narrow"/>
                <w:b/>
                <w:color w:val="000000"/>
                <w:sz w:val="20"/>
                <w:szCs w:val="18"/>
              </w:rPr>
            </w:pPr>
            <w:r w:rsidRPr="00D41179">
              <w:rPr>
                <w:rFonts w:ascii="Arial Narrow" w:hAnsi="Arial Narrow"/>
                <w:b/>
                <w:color w:val="000000"/>
                <w:sz w:val="20"/>
                <w:szCs w:val="18"/>
              </w:rPr>
              <w:t>PBO,</w:t>
            </w:r>
          </w:p>
          <w:p w14:paraId="4D55451E" w14:textId="77777777" w:rsidR="00DB7BA2" w:rsidRPr="00D41179" w:rsidRDefault="00DB7BA2" w:rsidP="00DB7BA2">
            <w:pPr>
              <w:keepNext/>
              <w:keepLines/>
              <w:jc w:val="center"/>
              <w:rPr>
                <w:rFonts w:ascii="Arial Narrow" w:hAnsi="Arial Narrow"/>
                <w:b/>
                <w:color w:val="000000"/>
                <w:sz w:val="20"/>
                <w:szCs w:val="18"/>
              </w:rPr>
            </w:pPr>
            <w:r w:rsidRPr="00D41179">
              <w:rPr>
                <w:rFonts w:ascii="Arial Narrow" w:hAnsi="Arial Narrow"/>
                <w:b/>
                <w:color w:val="000000"/>
                <w:sz w:val="20"/>
                <w:szCs w:val="18"/>
              </w:rPr>
              <w:t>n/N</w:t>
            </w:r>
          </w:p>
        </w:tc>
        <w:tc>
          <w:tcPr>
            <w:tcW w:w="864" w:type="pct"/>
            <w:vMerge w:val="restart"/>
            <w:tcBorders>
              <w:top w:val="single" w:sz="4" w:space="0" w:color="auto"/>
              <w:left w:val="single" w:sz="4" w:space="0" w:color="auto"/>
              <w:bottom w:val="single" w:sz="4" w:space="0" w:color="auto"/>
              <w:right w:val="single" w:sz="4" w:space="0" w:color="auto"/>
            </w:tcBorders>
            <w:vAlign w:val="center"/>
          </w:tcPr>
          <w:p w14:paraId="5B497CEB" w14:textId="77777777" w:rsidR="00DB7BA2" w:rsidRPr="00D41179" w:rsidRDefault="00DB7BA2" w:rsidP="00DB7BA2">
            <w:pPr>
              <w:keepNext/>
              <w:keepLines/>
              <w:jc w:val="center"/>
              <w:rPr>
                <w:rFonts w:ascii="Arial Narrow" w:hAnsi="Arial Narrow"/>
                <w:b/>
                <w:color w:val="000000"/>
                <w:sz w:val="20"/>
                <w:szCs w:val="18"/>
              </w:rPr>
            </w:pPr>
            <w:r w:rsidRPr="00D41179">
              <w:rPr>
                <w:rFonts w:ascii="Arial Narrow" w:hAnsi="Arial Narrow"/>
                <w:b/>
                <w:color w:val="000000"/>
                <w:sz w:val="20"/>
                <w:szCs w:val="18"/>
              </w:rPr>
              <w:t>RR</w:t>
            </w:r>
          </w:p>
          <w:p w14:paraId="2D4A283A" w14:textId="77777777" w:rsidR="00DB7BA2" w:rsidRPr="00D41179" w:rsidRDefault="00DB7BA2" w:rsidP="00DB7BA2">
            <w:pPr>
              <w:keepNext/>
              <w:keepLines/>
              <w:jc w:val="center"/>
              <w:rPr>
                <w:rFonts w:ascii="Arial Narrow" w:hAnsi="Arial Narrow"/>
                <w:b/>
                <w:color w:val="000000"/>
                <w:sz w:val="20"/>
                <w:szCs w:val="18"/>
              </w:rPr>
            </w:pPr>
            <w:r w:rsidRPr="00D41179">
              <w:rPr>
                <w:rFonts w:ascii="Arial Narrow" w:hAnsi="Arial Narrow"/>
                <w:b/>
                <w:color w:val="000000"/>
                <w:sz w:val="20"/>
                <w:szCs w:val="18"/>
              </w:rPr>
              <w:t>(95% CI)</w:t>
            </w:r>
          </w:p>
        </w:tc>
        <w:tc>
          <w:tcPr>
            <w:tcW w:w="787" w:type="pct"/>
            <w:gridSpan w:val="3"/>
            <w:tcBorders>
              <w:top w:val="single" w:sz="4" w:space="0" w:color="auto"/>
              <w:left w:val="single" w:sz="4" w:space="0" w:color="auto"/>
              <w:bottom w:val="single" w:sz="4" w:space="0" w:color="auto"/>
              <w:right w:val="single" w:sz="4" w:space="0" w:color="auto"/>
            </w:tcBorders>
            <w:vAlign w:val="center"/>
          </w:tcPr>
          <w:p w14:paraId="10F5FF48" w14:textId="77777777" w:rsidR="00DB7BA2" w:rsidRPr="00D41179" w:rsidRDefault="00DB7BA2" w:rsidP="00DB7BA2">
            <w:pPr>
              <w:keepNext/>
              <w:keepLines/>
              <w:jc w:val="center"/>
              <w:rPr>
                <w:rFonts w:ascii="Arial Narrow" w:hAnsi="Arial Narrow"/>
                <w:b/>
                <w:color w:val="000000"/>
                <w:sz w:val="20"/>
                <w:szCs w:val="18"/>
              </w:rPr>
            </w:pPr>
            <w:r w:rsidRPr="00D41179">
              <w:rPr>
                <w:rFonts w:ascii="Arial Narrow" w:hAnsi="Arial Narrow"/>
                <w:b/>
                <w:color w:val="000000"/>
                <w:sz w:val="20"/>
                <w:szCs w:val="18"/>
              </w:rPr>
              <w:t>Event rate/1,000 individuals vaccinated</w:t>
            </w:r>
          </w:p>
        </w:tc>
        <w:tc>
          <w:tcPr>
            <w:tcW w:w="601" w:type="pct"/>
            <w:vMerge w:val="restart"/>
            <w:tcBorders>
              <w:top w:val="single" w:sz="4" w:space="0" w:color="auto"/>
              <w:left w:val="single" w:sz="4" w:space="0" w:color="auto"/>
              <w:bottom w:val="single" w:sz="4" w:space="0" w:color="auto"/>
              <w:right w:val="single" w:sz="4" w:space="0" w:color="auto"/>
            </w:tcBorders>
            <w:vAlign w:val="center"/>
          </w:tcPr>
          <w:p w14:paraId="484F2833" w14:textId="6DF96141" w:rsidR="00DB7BA2" w:rsidRPr="00D41179" w:rsidRDefault="00DB7BA2" w:rsidP="00DB7BA2">
            <w:pPr>
              <w:keepNext/>
              <w:keepLines/>
              <w:jc w:val="center"/>
              <w:rPr>
                <w:rFonts w:ascii="Arial Narrow" w:hAnsi="Arial Narrow"/>
                <w:b/>
                <w:color w:val="000000"/>
                <w:sz w:val="20"/>
                <w:szCs w:val="18"/>
              </w:rPr>
            </w:pPr>
            <w:r w:rsidRPr="00D41179">
              <w:rPr>
                <w:rFonts w:ascii="Arial Narrow" w:hAnsi="Arial Narrow"/>
                <w:b/>
                <w:color w:val="000000"/>
                <w:sz w:val="20"/>
                <w:szCs w:val="18"/>
              </w:rPr>
              <w:t>RD/1,000 individuals vaccinated</w:t>
            </w:r>
          </w:p>
        </w:tc>
      </w:tr>
      <w:tr w:rsidR="00DB7BA2" w:rsidRPr="00D41179" w14:paraId="104F1FCC" w14:textId="77777777" w:rsidTr="008C5ED8">
        <w:trPr>
          <w:trHeight w:val="193"/>
        </w:trPr>
        <w:tc>
          <w:tcPr>
            <w:tcW w:w="1411" w:type="pct"/>
            <w:vMerge/>
            <w:tcBorders>
              <w:top w:val="single" w:sz="4" w:space="0" w:color="auto"/>
              <w:left w:val="single" w:sz="4" w:space="0" w:color="auto"/>
              <w:bottom w:val="single" w:sz="4" w:space="0" w:color="auto"/>
              <w:right w:val="single" w:sz="4" w:space="0" w:color="auto"/>
            </w:tcBorders>
            <w:vAlign w:val="center"/>
          </w:tcPr>
          <w:p w14:paraId="0BB28D08" w14:textId="77777777" w:rsidR="00DB7BA2" w:rsidRPr="00D41179" w:rsidRDefault="00DB7BA2" w:rsidP="00DB7BA2">
            <w:pPr>
              <w:keepNext/>
              <w:keepLines/>
              <w:rPr>
                <w:rFonts w:ascii="Arial Narrow" w:hAnsi="Arial Narrow"/>
                <w:b/>
                <w:color w:val="000000"/>
                <w:sz w:val="20"/>
                <w:szCs w:val="18"/>
              </w:rPr>
            </w:pPr>
          </w:p>
        </w:tc>
        <w:tc>
          <w:tcPr>
            <w:tcW w:w="708" w:type="pct"/>
            <w:gridSpan w:val="2"/>
            <w:vMerge/>
            <w:tcBorders>
              <w:top w:val="single" w:sz="4" w:space="0" w:color="auto"/>
              <w:left w:val="single" w:sz="4" w:space="0" w:color="auto"/>
              <w:bottom w:val="single" w:sz="4" w:space="0" w:color="auto"/>
              <w:right w:val="single" w:sz="4" w:space="0" w:color="auto"/>
            </w:tcBorders>
            <w:vAlign w:val="center"/>
          </w:tcPr>
          <w:p w14:paraId="5BD9133E" w14:textId="77777777" w:rsidR="00DB7BA2" w:rsidRPr="00D41179" w:rsidRDefault="00DB7BA2" w:rsidP="00DB7BA2">
            <w:pPr>
              <w:keepNext/>
              <w:keepLines/>
              <w:jc w:val="center"/>
              <w:rPr>
                <w:rFonts w:ascii="Arial Narrow" w:hAnsi="Arial Narrow"/>
                <w:b/>
                <w:color w:val="000000"/>
                <w:sz w:val="20"/>
                <w:szCs w:val="18"/>
              </w:rPr>
            </w:pPr>
          </w:p>
        </w:tc>
        <w:tc>
          <w:tcPr>
            <w:tcW w:w="629" w:type="pct"/>
            <w:gridSpan w:val="2"/>
            <w:vMerge/>
            <w:tcBorders>
              <w:top w:val="single" w:sz="4" w:space="0" w:color="auto"/>
              <w:left w:val="single" w:sz="4" w:space="0" w:color="auto"/>
              <w:bottom w:val="single" w:sz="4" w:space="0" w:color="auto"/>
              <w:right w:val="single" w:sz="4" w:space="0" w:color="auto"/>
            </w:tcBorders>
            <w:vAlign w:val="center"/>
          </w:tcPr>
          <w:p w14:paraId="31C4193A" w14:textId="77777777" w:rsidR="00DB7BA2" w:rsidRPr="00D41179" w:rsidRDefault="00DB7BA2" w:rsidP="00DB7BA2">
            <w:pPr>
              <w:keepNext/>
              <w:keepLines/>
              <w:jc w:val="center"/>
              <w:rPr>
                <w:rFonts w:ascii="Arial Narrow" w:hAnsi="Arial Narrow"/>
                <w:b/>
                <w:color w:val="000000"/>
                <w:sz w:val="20"/>
                <w:szCs w:val="18"/>
              </w:rPr>
            </w:pPr>
          </w:p>
        </w:tc>
        <w:tc>
          <w:tcPr>
            <w:tcW w:w="864" w:type="pct"/>
            <w:vMerge/>
            <w:tcBorders>
              <w:top w:val="single" w:sz="4" w:space="0" w:color="auto"/>
              <w:left w:val="single" w:sz="4" w:space="0" w:color="auto"/>
              <w:bottom w:val="single" w:sz="4" w:space="0" w:color="auto"/>
              <w:right w:val="single" w:sz="4" w:space="0" w:color="auto"/>
            </w:tcBorders>
            <w:vAlign w:val="center"/>
          </w:tcPr>
          <w:p w14:paraId="4B088888" w14:textId="77777777" w:rsidR="00DB7BA2" w:rsidRPr="00D41179" w:rsidRDefault="00DB7BA2" w:rsidP="00DB7BA2">
            <w:pPr>
              <w:keepNext/>
              <w:keepLines/>
              <w:jc w:val="center"/>
              <w:rPr>
                <w:rFonts w:ascii="Arial Narrow" w:hAnsi="Arial Narrow"/>
                <w:b/>
                <w:color w:val="000000"/>
                <w:sz w:val="20"/>
                <w:szCs w:val="18"/>
              </w:rPr>
            </w:pPr>
          </w:p>
        </w:tc>
        <w:tc>
          <w:tcPr>
            <w:tcW w:w="394" w:type="pct"/>
            <w:gridSpan w:val="2"/>
            <w:tcBorders>
              <w:top w:val="single" w:sz="4" w:space="0" w:color="auto"/>
              <w:left w:val="single" w:sz="4" w:space="0" w:color="auto"/>
              <w:bottom w:val="single" w:sz="4" w:space="0" w:color="auto"/>
              <w:right w:val="single" w:sz="4" w:space="0" w:color="auto"/>
            </w:tcBorders>
            <w:vAlign w:val="center"/>
          </w:tcPr>
          <w:p w14:paraId="216AA7AB" w14:textId="77777777" w:rsidR="00DB7BA2" w:rsidRPr="00D41179" w:rsidRDefault="00DB7BA2" w:rsidP="00DB7BA2">
            <w:pPr>
              <w:keepNext/>
              <w:keepLines/>
              <w:jc w:val="center"/>
              <w:rPr>
                <w:rFonts w:ascii="Arial Narrow" w:hAnsi="Arial Narrow"/>
                <w:b/>
                <w:color w:val="000000"/>
                <w:sz w:val="20"/>
                <w:szCs w:val="18"/>
              </w:rPr>
            </w:pPr>
            <w:r w:rsidRPr="00D41179">
              <w:rPr>
                <w:rFonts w:ascii="Arial Narrow" w:hAnsi="Arial Narrow"/>
                <w:b/>
                <w:color w:val="000000"/>
                <w:sz w:val="20"/>
                <w:szCs w:val="18"/>
              </w:rPr>
              <w:t xml:space="preserve">RZV </w:t>
            </w:r>
          </w:p>
        </w:tc>
        <w:tc>
          <w:tcPr>
            <w:tcW w:w="393" w:type="pct"/>
            <w:tcBorders>
              <w:top w:val="single" w:sz="4" w:space="0" w:color="auto"/>
              <w:left w:val="single" w:sz="4" w:space="0" w:color="auto"/>
              <w:bottom w:val="single" w:sz="4" w:space="0" w:color="auto"/>
              <w:right w:val="single" w:sz="4" w:space="0" w:color="auto"/>
            </w:tcBorders>
            <w:vAlign w:val="center"/>
          </w:tcPr>
          <w:p w14:paraId="13AF11EE" w14:textId="77777777" w:rsidR="00DB7BA2" w:rsidRPr="00D41179" w:rsidRDefault="00DB7BA2" w:rsidP="00DB7BA2">
            <w:pPr>
              <w:keepNext/>
              <w:keepLines/>
              <w:jc w:val="center"/>
              <w:rPr>
                <w:rFonts w:ascii="Arial Narrow" w:hAnsi="Arial Narrow"/>
                <w:b/>
                <w:color w:val="000000"/>
                <w:sz w:val="20"/>
                <w:szCs w:val="18"/>
              </w:rPr>
            </w:pPr>
            <w:r w:rsidRPr="00D41179">
              <w:rPr>
                <w:rFonts w:ascii="Arial Narrow" w:hAnsi="Arial Narrow"/>
                <w:b/>
                <w:color w:val="000000"/>
                <w:sz w:val="20"/>
                <w:szCs w:val="18"/>
              </w:rPr>
              <w:t>PBO</w:t>
            </w:r>
          </w:p>
        </w:tc>
        <w:tc>
          <w:tcPr>
            <w:tcW w:w="601" w:type="pct"/>
            <w:vMerge/>
            <w:tcBorders>
              <w:top w:val="single" w:sz="4" w:space="0" w:color="auto"/>
              <w:left w:val="single" w:sz="4" w:space="0" w:color="auto"/>
              <w:bottom w:val="single" w:sz="4" w:space="0" w:color="auto"/>
              <w:right w:val="single" w:sz="4" w:space="0" w:color="auto"/>
            </w:tcBorders>
            <w:vAlign w:val="center"/>
          </w:tcPr>
          <w:p w14:paraId="3E4FA3E3" w14:textId="77777777" w:rsidR="00DB7BA2" w:rsidRPr="00D41179" w:rsidRDefault="00DB7BA2" w:rsidP="00DB7BA2">
            <w:pPr>
              <w:keepNext/>
              <w:keepLines/>
              <w:jc w:val="center"/>
              <w:rPr>
                <w:rFonts w:ascii="Arial Narrow" w:hAnsi="Arial Narrow"/>
                <w:b/>
                <w:color w:val="000000"/>
                <w:sz w:val="20"/>
                <w:szCs w:val="18"/>
              </w:rPr>
            </w:pPr>
          </w:p>
        </w:tc>
      </w:tr>
      <w:tr w:rsidR="00DB7BA2" w:rsidRPr="00D41179" w14:paraId="405AC5CF" w14:textId="77777777" w:rsidTr="004F4531">
        <w:trPr>
          <w:trHeight w:val="403"/>
        </w:trPr>
        <w:tc>
          <w:tcPr>
            <w:tcW w:w="5000" w:type="pct"/>
            <w:gridSpan w:val="10"/>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14:paraId="468390E7" w14:textId="77777777" w:rsidR="00DB7BA2" w:rsidRPr="00D41179" w:rsidRDefault="00DB7BA2" w:rsidP="00DB7BA2">
            <w:pPr>
              <w:keepNext/>
              <w:keepLines/>
              <w:rPr>
                <w:rFonts w:ascii="Arial Narrow" w:hAnsi="Arial Narrow"/>
                <w:b/>
                <w:color w:val="000000"/>
                <w:sz w:val="20"/>
                <w:szCs w:val="18"/>
              </w:rPr>
            </w:pPr>
            <w:r w:rsidRPr="00D41179">
              <w:rPr>
                <w:rFonts w:ascii="Arial Narrow" w:hAnsi="Arial Narrow"/>
                <w:b/>
                <w:color w:val="000000"/>
                <w:sz w:val="20"/>
                <w:szCs w:val="18"/>
              </w:rPr>
              <w:t>Pain, Grade 3</w:t>
            </w:r>
          </w:p>
        </w:tc>
      </w:tr>
      <w:tr w:rsidR="00DB7BA2" w:rsidRPr="00D41179" w14:paraId="36E7800C" w14:textId="77777777" w:rsidTr="008C5ED8">
        <w:tc>
          <w:tcPr>
            <w:tcW w:w="1411" w:type="pct"/>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14:paraId="75637282" w14:textId="77777777" w:rsidR="00DB7BA2" w:rsidRPr="00D41179" w:rsidRDefault="00DB7BA2" w:rsidP="00DB7BA2">
            <w:pPr>
              <w:keepNext/>
              <w:keepLines/>
              <w:rPr>
                <w:rFonts w:ascii="Arial Narrow" w:hAnsi="Arial Narrow"/>
                <w:color w:val="000000"/>
                <w:sz w:val="20"/>
                <w:szCs w:val="18"/>
              </w:rPr>
            </w:pPr>
            <w:r w:rsidRPr="00D41179">
              <w:rPr>
                <w:rFonts w:ascii="Arial Narrow" w:hAnsi="Arial Narrow"/>
                <w:color w:val="000000"/>
                <w:sz w:val="20"/>
                <w:szCs w:val="18"/>
              </w:rPr>
              <w:t>Pooled ZOE-50/-70</w:t>
            </w:r>
          </w:p>
        </w:tc>
        <w:tc>
          <w:tcPr>
            <w:tcW w:w="708" w:type="pct"/>
            <w:gridSpan w:val="2"/>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14:paraId="032CDD0A" w14:textId="77777777" w:rsidR="00DB7BA2" w:rsidRPr="00D41179" w:rsidRDefault="00DB7BA2" w:rsidP="00DB7BA2">
            <w:pPr>
              <w:keepNext/>
              <w:keepLines/>
              <w:jc w:val="center"/>
              <w:rPr>
                <w:rFonts w:ascii="Arial Narrow" w:hAnsi="Arial Narrow"/>
                <w:color w:val="000000"/>
                <w:sz w:val="20"/>
                <w:szCs w:val="18"/>
              </w:rPr>
            </w:pPr>
            <w:r w:rsidRPr="00D41179">
              <w:rPr>
                <w:rFonts w:ascii="Arial Narrow" w:hAnsi="Arial Narrow"/>
                <w:color w:val="000000"/>
                <w:sz w:val="20"/>
                <w:szCs w:val="18"/>
              </w:rPr>
              <w:t>557/14,645</w:t>
            </w:r>
          </w:p>
        </w:tc>
        <w:tc>
          <w:tcPr>
            <w:tcW w:w="629" w:type="pct"/>
            <w:gridSpan w:val="2"/>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14:paraId="6B288D31" w14:textId="77777777" w:rsidR="00DB7BA2" w:rsidRPr="00D41179" w:rsidRDefault="00DB7BA2" w:rsidP="00DB7BA2">
            <w:pPr>
              <w:keepNext/>
              <w:keepLines/>
              <w:jc w:val="center"/>
              <w:rPr>
                <w:rFonts w:ascii="Arial Narrow" w:hAnsi="Arial Narrow"/>
                <w:color w:val="000000"/>
                <w:sz w:val="20"/>
                <w:szCs w:val="18"/>
              </w:rPr>
            </w:pPr>
            <w:r w:rsidRPr="00D41179">
              <w:rPr>
                <w:rFonts w:ascii="Arial Narrow" w:hAnsi="Arial Narrow"/>
                <w:color w:val="000000"/>
                <w:sz w:val="20"/>
                <w:szCs w:val="18"/>
              </w:rPr>
              <w:t>29/14,660</w:t>
            </w:r>
          </w:p>
        </w:tc>
        <w:tc>
          <w:tcPr>
            <w:tcW w:w="864" w:type="pct"/>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14:paraId="0DBD725D" w14:textId="77777777" w:rsidR="00DB7BA2" w:rsidRPr="00D41179" w:rsidRDefault="00DB7BA2" w:rsidP="00DB7BA2">
            <w:pPr>
              <w:keepNext/>
              <w:keepLines/>
              <w:jc w:val="center"/>
              <w:rPr>
                <w:rFonts w:ascii="Arial Narrow" w:hAnsi="Arial Narrow"/>
                <w:color w:val="000000"/>
                <w:sz w:val="20"/>
                <w:szCs w:val="18"/>
              </w:rPr>
            </w:pPr>
            <w:r w:rsidRPr="00D41179">
              <w:rPr>
                <w:rFonts w:ascii="Arial Narrow" w:hAnsi="Arial Narrow"/>
                <w:color w:val="000000"/>
                <w:sz w:val="20"/>
                <w:szCs w:val="18"/>
              </w:rPr>
              <w:t>19.23 (NR)</w:t>
            </w:r>
          </w:p>
        </w:tc>
        <w:tc>
          <w:tcPr>
            <w:tcW w:w="394" w:type="pct"/>
            <w:gridSpan w:val="2"/>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14:paraId="37D91102" w14:textId="77777777" w:rsidR="00DB7BA2" w:rsidRPr="00D41179" w:rsidRDefault="00DB7BA2" w:rsidP="00DB7BA2">
            <w:pPr>
              <w:keepNext/>
              <w:keepLines/>
              <w:jc w:val="center"/>
              <w:rPr>
                <w:rFonts w:ascii="Arial Narrow" w:hAnsi="Arial Narrow"/>
                <w:color w:val="000000"/>
                <w:sz w:val="20"/>
                <w:szCs w:val="18"/>
              </w:rPr>
            </w:pPr>
            <w:r w:rsidRPr="00D41179">
              <w:rPr>
                <w:rFonts w:ascii="Arial Narrow" w:hAnsi="Arial Narrow"/>
                <w:color w:val="000000"/>
                <w:sz w:val="20"/>
                <w:szCs w:val="18"/>
              </w:rPr>
              <w:t>38.03</w:t>
            </w:r>
          </w:p>
        </w:tc>
        <w:tc>
          <w:tcPr>
            <w:tcW w:w="393" w:type="pct"/>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14:paraId="1D6E4E8C" w14:textId="77777777" w:rsidR="00DB7BA2" w:rsidRPr="00D41179" w:rsidRDefault="00DB7BA2" w:rsidP="00DB7BA2">
            <w:pPr>
              <w:keepNext/>
              <w:keepLines/>
              <w:jc w:val="center"/>
              <w:rPr>
                <w:rFonts w:ascii="Arial Narrow" w:hAnsi="Arial Narrow"/>
                <w:color w:val="000000"/>
                <w:sz w:val="20"/>
                <w:szCs w:val="18"/>
              </w:rPr>
            </w:pPr>
            <w:r w:rsidRPr="00D41179">
              <w:rPr>
                <w:rFonts w:ascii="Arial Narrow" w:hAnsi="Arial Narrow"/>
                <w:color w:val="000000"/>
                <w:sz w:val="20"/>
                <w:szCs w:val="18"/>
              </w:rPr>
              <w:t>1.98</w:t>
            </w:r>
          </w:p>
        </w:tc>
        <w:tc>
          <w:tcPr>
            <w:tcW w:w="601" w:type="pct"/>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14:paraId="2BC81C04" w14:textId="77777777" w:rsidR="00DB7BA2" w:rsidRPr="00D41179" w:rsidRDefault="00DB7BA2" w:rsidP="00DB7BA2">
            <w:pPr>
              <w:keepNext/>
              <w:keepLines/>
              <w:jc w:val="center"/>
              <w:rPr>
                <w:rFonts w:ascii="Arial Narrow" w:hAnsi="Arial Narrow"/>
                <w:color w:val="000000"/>
                <w:sz w:val="20"/>
                <w:szCs w:val="18"/>
              </w:rPr>
            </w:pPr>
            <w:r w:rsidRPr="00D41179">
              <w:rPr>
                <w:rFonts w:ascii="Arial Narrow" w:hAnsi="Arial Narrow"/>
                <w:color w:val="000000"/>
                <w:sz w:val="20"/>
                <w:szCs w:val="18"/>
              </w:rPr>
              <w:t>36.06</w:t>
            </w:r>
          </w:p>
        </w:tc>
      </w:tr>
      <w:tr w:rsidR="00DB7BA2" w:rsidRPr="00D41179" w14:paraId="218D815B" w14:textId="77777777">
        <w:tc>
          <w:tcPr>
            <w:tcW w:w="5000" w:type="pct"/>
            <w:gridSpan w:val="10"/>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14:paraId="6A2827D8" w14:textId="77777777" w:rsidR="00DB7BA2" w:rsidRPr="00D41179" w:rsidRDefault="00DB7BA2" w:rsidP="00DB7BA2">
            <w:pPr>
              <w:keepNext/>
              <w:keepLines/>
              <w:rPr>
                <w:rFonts w:ascii="Arial Narrow" w:hAnsi="Arial Narrow"/>
                <w:b/>
                <w:color w:val="000000"/>
                <w:sz w:val="20"/>
                <w:szCs w:val="18"/>
              </w:rPr>
            </w:pPr>
            <w:r w:rsidRPr="00D41179">
              <w:rPr>
                <w:rFonts w:ascii="Arial Narrow" w:hAnsi="Arial Narrow"/>
                <w:b/>
                <w:color w:val="000000"/>
                <w:sz w:val="20"/>
                <w:szCs w:val="18"/>
              </w:rPr>
              <w:t>Injection site erythema (any)</w:t>
            </w:r>
          </w:p>
        </w:tc>
      </w:tr>
      <w:tr w:rsidR="00DB7BA2" w:rsidRPr="00D41179" w14:paraId="1B5CAD69" w14:textId="77777777" w:rsidTr="008C5ED8">
        <w:tc>
          <w:tcPr>
            <w:tcW w:w="1411" w:type="pct"/>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14:paraId="4CA84B83" w14:textId="77777777" w:rsidR="00DB7BA2" w:rsidRPr="00D41179" w:rsidRDefault="00DB7BA2" w:rsidP="00DB7BA2">
            <w:pPr>
              <w:keepNext/>
              <w:keepLines/>
              <w:rPr>
                <w:rFonts w:ascii="Arial Narrow" w:hAnsi="Arial Narrow"/>
                <w:color w:val="000000"/>
                <w:sz w:val="20"/>
                <w:szCs w:val="18"/>
              </w:rPr>
            </w:pPr>
            <w:r w:rsidRPr="00D41179">
              <w:rPr>
                <w:rFonts w:ascii="Arial Narrow" w:hAnsi="Arial Narrow"/>
                <w:color w:val="000000"/>
                <w:sz w:val="20"/>
                <w:szCs w:val="18"/>
              </w:rPr>
              <w:t>Pooled ZOE-50/-70</w:t>
            </w:r>
          </w:p>
        </w:tc>
        <w:tc>
          <w:tcPr>
            <w:tcW w:w="708" w:type="pct"/>
            <w:gridSpan w:val="2"/>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14:paraId="6F65B70E" w14:textId="77777777" w:rsidR="00DB7BA2" w:rsidRPr="00D41179" w:rsidRDefault="00DB7BA2" w:rsidP="00DB7BA2">
            <w:pPr>
              <w:keepNext/>
              <w:keepLines/>
              <w:jc w:val="center"/>
              <w:rPr>
                <w:rFonts w:ascii="Arial Narrow" w:hAnsi="Arial Narrow"/>
                <w:color w:val="000000"/>
                <w:sz w:val="20"/>
                <w:szCs w:val="18"/>
              </w:rPr>
            </w:pPr>
            <w:r w:rsidRPr="00D41179">
              <w:rPr>
                <w:rFonts w:ascii="Arial Narrow" w:hAnsi="Arial Narrow"/>
                <w:color w:val="000000"/>
                <w:sz w:val="20"/>
                <w:szCs w:val="18"/>
              </w:rPr>
              <w:t>1,357/14,645</w:t>
            </w:r>
          </w:p>
        </w:tc>
        <w:tc>
          <w:tcPr>
            <w:tcW w:w="629" w:type="pct"/>
            <w:gridSpan w:val="2"/>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14:paraId="2C2C8574" w14:textId="77777777" w:rsidR="00DB7BA2" w:rsidRPr="00D41179" w:rsidRDefault="00DB7BA2" w:rsidP="00DB7BA2">
            <w:pPr>
              <w:keepNext/>
              <w:keepLines/>
              <w:jc w:val="center"/>
              <w:rPr>
                <w:rFonts w:ascii="Arial Narrow" w:hAnsi="Arial Narrow"/>
                <w:color w:val="000000"/>
                <w:sz w:val="20"/>
                <w:szCs w:val="18"/>
              </w:rPr>
            </w:pPr>
            <w:r w:rsidRPr="00D41179">
              <w:rPr>
                <w:rFonts w:ascii="Arial Narrow" w:hAnsi="Arial Narrow"/>
                <w:color w:val="000000"/>
                <w:sz w:val="20"/>
                <w:szCs w:val="18"/>
              </w:rPr>
              <w:t>37/14,660</w:t>
            </w:r>
          </w:p>
        </w:tc>
        <w:tc>
          <w:tcPr>
            <w:tcW w:w="864" w:type="pct"/>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14:paraId="4308863C" w14:textId="77777777" w:rsidR="00DB7BA2" w:rsidRPr="00D41179" w:rsidRDefault="00DB7BA2" w:rsidP="00DB7BA2">
            <w:pPr>
              <w:keepNext/>
              <w:keepLines/>
              <w:jc w:val="center"/>
              <w:rPr>
                <w:rFonts w:ascii="Arial Narrow" w:hAnsi="Arial Narrow"/>
                <w:color w:val="000000"/>
                <w:sz w:val="20"/>
                <w:szCs w:val="18"/>
              </w:rPr>
            </w:pPr>
            <w:r w:rsidRPr="00D41179">
              <w:rPr>
                <w:rFonts w:ascii="Arial Narrow" w:hAnsi="Arial Narrow"/>
                <w:color w:val="000000"/>
                <w:sz w:val="20"/>
                <w:szCs w:val="18"/>
              </w:rPr>
              <w:t>36.71 (26.50, 52.37)</w:t>
            </w:r>
          </w:p>
        </w:tc>
        <w:tc>
          <w:tcPr>
            <w:tcW w:w="394" w:type="pct"/>
            <w:gridSpan w:val="2"/>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14:paraId="3912967F" w14:textId="77777777" w:rsidR="00DB7BA2" w:rsidRPr="00D41179" w:rsidRDefault="00DB7BA2" w:rsidP="00DB7BA2">
            <w:pPr>
              <w:keepNext/>
              <w:keepLines/>
              <w:jc w:val="center"/>
              <w:rPr>
                <w:rFonts w:ascii="Arial Narrow" w:hAnsi="Arial Narrow"/>
                <w:color w:val="000000"/>
                <w:sz w:val="20"/>
                <w:szCs w:val="18"/>
              </w:rPr>
            </w:pPr>
            <w:r w:rsidRPr="00D41179">
              <w:rPr>
                <w:rFonts w:ascii="Arial Narrow" w:hAnsi="Arial Narrow"/>
                <w:color w:val="000000"/>
                <w:sz w:val="20"/>
                <w:szCs w:val="18"/>
              </w:rPr>
              <w:t>92.66</w:t>
            </w:r>
          </w:p>
        </w:tc>
        <w:tc>
          <w:tcPr>
            <w:tcW w:w="393" w:type="pct"/>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14:paraId="192452CB" w14:textId="77777777" w:rsidR="00DB7BA2" w:rsidRPr="00D41179" w:rsidRDefault="00DB7BA2" w:rsidP="00DB7BA2">
            <w:pPr>
              <w:keepNext/>
              <w:keepLines/>
              <w:jc w:val="center"/>
              <w:rPr>
                <w:rFonts w:ascii="Arial Narrow" w:hAnsi="Arial Narrow"/>
                <w:color w:val="000000"/>
                <w:sz w:val="20"/>
                <w:szCs w:val="18"/>
              </w:rPr>
            </w:pPr>
            <w:r w:rsidRPr="00D41179">
              <w:rPr>
                <w:rFonts w:ascii="Arial Narrow" w:hAnsi="Arial Narrow"/>
                <w:color w:val="000000"/>
                <w:sz w:val="20"/>
                <w:szCs w:val="18"/>
              </w:rPr>
              <w:t>2.52</w:t>
            </w:r>
          </w:p>
        </w:tc>
        <w:tc>
          <w:tcPr>
            <w:tcW w:w="601" w:type="pct"/>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14:paraId="2188E241" w14:textId="77777777" w:rsidR="00DB7BA2" w:rsidRPr="00D41179" w:rsidRDefault="00DB7BA2" w:rsidP="00DB7BA2">
            <w:pPr>
              <w:keepNext/>
              <w:keepLines/>
              <w:jc w:val="center"/>
              <w:rPr>
                <w:rFonts w:ascii="Arial Narrow" w:hAnsi="Arial Narrow"/>
                <w:color w:val="000000"/>
                <w:sz w:val="20"/>
                <w:szCs w:val="18"/>
              </w:rPr>
            </w:pPr>
            <w:r w:rsidRPr="00D41179">
              <w:rPr>
                <w:rFonts w:ascii="Arial Narrow" w:hAnsi="Arial Narrow"/>
                <w:color w:val="000000"/>
                <w:sz w:val="20"/>
                <w:szCs w:val="18"/>
              </w:rPr>
              <w:t>90.14</w:t>
            </w:r>
          </w:p>
        </w:tc>
      </w:tr>
      <w:tr w:rsidR="00DB7BA2" w:rsidRPr="00D41179" w14:paraId="27502EDC" w14:textId="77777777">
        <w:tc>
          <w:tcPr>
            <w:tcW w:w="5000" w:type="pct"/>
            <w:gridSpan w:val="10"/>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14:paraId="4D7547CC" w14:textId="77777777" w:rsidR="00DB7BA2" w:rsidRPr="00D41179" w:rsidRDefault="00DB7BA2" w:rsidP="00DB7BA2">
            <w:pPr>
              <w:keepNext/>
              <w:keepLines/>
              <w:rPr>
                <w:rFonts w:ascii="Arial Narrow" w:hAnsi="Arial Narrow"/>
                <w:color w:val="000000"/>
                <w:sz w:val="20"/>
                <w:szCs w:val="18"/>
              </w:rPr>
            </w:pPr>
            <w:r w:rsidRPr="00D41179">
              <w:rPr>
                <w:rFonts w:ascii="Arial Narrow" w:hAnsi="Arial Narrow"/>
                <w:b/>
                <w:color w:val="000000"/>
                <w:sz w:val="20"/>
                <w:szCs w:val="18"/>
              </w:rPr>
              <w:t>Injection site swelling (any)</w:t>
            </w:r>
          </w:p>
        </w:tc>
      </w:tr>
      <w:tr w:rsidR="00DB7BA2" w:rsidRPr="00D41179" w14:paraId="16246916" w14:textId="77777777" w:rsidTr="008C5ED8">
        <w:tc>
          <w:tcPr>
            <w:tcW w:w="1411" w:type="pct"/>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14:paraId="4A2267EB" w14:textId="77777777" w:rsidR="00DB7BA2" w:rsidRPr="00D41179" w:rsidRDefault="00DB7BA2" w:rsidP="00DB7BA2">
            <w:pPr>
              <w:keepNext/>
              <w:keepLines/>
              <w:rPr>
                <w:rFonts w:ascii="Arial Narrow" w:hAnsi="Arial Narrow"/>
                <w:color w:val="000000"/>
                <w:sz w:val="20"/>
                <w:szCs w:val="18"/>
              </w:rPr>
            </w:pPr>
            <w:r w:rsidRPr="00D41179">
              <w:rPr>
                <w:rFonts w:ascii="Arial Narrow" w:hAnsi="Arial Narrow"/>
                <w:color w:val="000000"/>
                <w:sz w:val="20"/>
                <w:szCs w:val="18"/>
              </w:rPr>
              <w:t>Pooled ZOE-50/-70</w:t>
            </w:r>
          </w:p>
        </w:tc>
        <w:tc>
          <w:tcPr>
            <w:tcW w:w="708" w:type="pct"/>
            <w:gridSpan w:val="2"/>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14:paraId="24F96C7A" w14:textId="77777777" w:rsidR="00DB7BA2" w:rsidRPr="00D41179" w:rsidRDefault="00DB7BA2" w:rsidP="00DB7BA2">
            <w:pPr>
              <w:keepNext/>
              <w:keepLines/>
              <w:jc w:val="center"/>
              <w:rPr>
                <w:rFonts w:ascii="Arial Narrow" w:hAnsi="Arial Narrow"/>
                <w:color w:val="000000"/>
                <w:sz w:val="20"/>
                <w:szCs w:val="18"/>
              </w:rPr>
            </w:pPr>
            <w:r w:rsidRPr="00D41179">
              <w:rPr>
                <w:rFonts w:ascii="Arial Narrow" w:hAnsi="Arial Narrow"/>
                <w:color w:val="000000"/>
                <w:sz w:val="20"/>
                <w:szCs w:val="18"/>
              </w:rPr>
              <w:t>1,014/14,645</w:t>
            </w:r>
          </w:p>
        </w:tc>
        <w:tc>
          <w:tcPr>
            <w:tcW w:w="629" w:type="pct"/>
            <w:gridSpan w:val="2"/>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14:paraId="0FC35073" w14:textId="77777777" w:rsidR="00DB7BA2" w:rsidRPr="00D41179" w:rsidRDefault="00DB7BA2" w:rsidP="00DB7BA2">
            <w:pPr>
              <w:keepNext/>
              <w:keepLines/>
              <w:jc w:val="center"/>
              <w:rPr>
                <w:rFonts w:ascii="Arial Narrow" w:hAnsi="Arial Narrow"/>
                <w:color w:val="000000"/>
                <w:sz w:val="20"/>
                <w:szCs w:val="18"/>
              </w:rPr>
            </w:pPr>
            <w:r w:rsidRPr="00D41179">
              <w:rPr>
                <w:rFonts w:ascii="Arial Narrow" w:hAnsi="Arial Narrow"/>
                <w:color w:val="000000"/>
                <w:sz w:val="20"/>
                <w:szCs w:val="18"/>
              </w:rPr>
              <w:t>22/14,660</w:t>
            </w:r>
          </w:p>
        </w:tc>
        <w:tc>
          <w:tcPr>
            <w:tcW w:w="864" w:type="pct"/>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14:paraId="52F2143B" w14:textId="77777777" w:rsidR="00DB7BA2" w:rsidRPr="00D41179" w:rsidRDefault="00DB7BA2" w:rsidP="00DB7BA2">
            <w:pPr>
              <w:keepNext/>
              <w:keepLines/>
              <w:jc w:val="center"/>
              <w:rPr>
                <w:rFonts w:ascii="Arial Narrow" w:hAnsi="Arial Narrow"/>
                <w:color w:val="000000"/>
                <w:sz w:val="20"/>
                <w:szCs w:val="18"/>
              </w:rPr>
            </w:pPr>
            <w:r w:rsidRPr="00D41179">
              <w:rPr>
                <w:rFonts w:ascii="Arial Narrow" w:hAnsi="Arial Narrow"/>
                <w:color w:val="000000"/>
                <w:sz w:val="20"/>
                <w:szCs w:val="18"/>
              </w:rPr>
              <w:t>46.14 (30.30, 73.96)</w:t>
            </w:r>
          </w:p>
        </w:tc>
        <w:tc>
          <w:tcPr>
            <w:tcW w:w="394" w:type="pct"/>
            <w:gridSpan w:val="2"/>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14:paraId="2BFF0E13" w14:textId="77777777" w:rsidR="00DB7BA2" w:rsidRPr="00D41179" w:rsidRDefault="00DB7BA2" w:rsidP="00DB7BA2">
            <w:pPr>
              <w:keepNext/>
              <w:keepLines/>
              <w:jc w:val="center"/>
              <w:rPr>
                <w:rFonts w:ascii="Arial Narrow" w:hAnsi="Arial Narrow"/>
                <w:color w:val="000000"/>
                <w:sz w:val="20"/>
                <w:szCs w:val="18"/>
              </w:rPr>
            </w:pPr>
            <w:r w:rsidRPr="00D41179">
              <w:rPr>
                <w:rFonts w:ascii="Arial Narrow" w:hAnsi="Arial Narrow"/>
                <w:color w:val="000000"/>
                <w:sz w:val="20"/>
              </w:rPr>
              <w:t>69.24</w:t>
            </w:r>
          </w:p>
        </w:tc>
        <w:tc>
          <w:tcPr>
            <w:tcW w:w="393" w:type="pct"/>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14:paraId="72CBC54B" w14:textId="77777777" w:rsidR="00DB7BA2" w:rsidRPr="00D41179" w:rsidRDefault="00DB7BA2" w:rsidP="00DB7BA2">
            <w:pPr>
              <w:keepNext/>
              <w:keepLines/>
              <w:jc w:val="center"/>
              <w:rPr>
                <w:rFonts w:ascii="Arial Narrow" w:hAnsi="Arial Narrow"/>
                <w:color w:val="000000"/>
                <w:sz w:val="20"/>
                <w:szCs w:val="18"/>
              </w:rPr>
            </w:pPr>
            <w:r w:rsidRPr="00D41179">
              <w:rPr>
                <w:rFonts w:ascii="Arial Narrow" w:hAnsi="Arial Narrow"/>
                <w:color w:val="000000"/>
                <w:sz w:val="20"/>
              </w:rPr>
              <w:t>1.50</w:t>
            </w:r>
          </w:p>
        </w:tc>
        <w:tc>
          <w:tcPr>
            <w:tcW w:w="601" w:type="pct"/>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14:paraId="0E5CB8A6" w14:textId="77777777" w:rsidR="00DB7BA2" w:rsidRPr="00D41179" w:rsidRDefault="00DB7BA2" w:rsidP="00DB7BA2">
            <w:pPr>
              <w:keepNext/>
              <w:keepLines/>
              <w:jc w:val="center"/>
              <w:rPr>
                <w:rFonts w:ascii="Arial Narrow" w:hAnsi="Arial Narrow"/>
                <w:color w:val="000000"/>
                <w:sz w:val="20"/>
                <w:szCs w:val="18"/>
              </w:rPr>
            </w:pPr>
            <w:r w:rsidRPr="00D41179">
              <w:rPr>
                <w:rFonts w:ascii="Arial Narrow" w:hAnsi="Arial Narrow"/>
                <w:color w:val="000000"/>
                <w:sz w:val="20"/>
              </w:rPr>
              <w:t>67.74</w:t>
            </w:r>
          </w:p>
        </w:tc>
      </w:tr>
      <w:tr w:rsidR="00DB7BA2" w:rsidRPr="00D41179" w14:paraId="6C50F0D7" w14:textId="77777777">
        <w:tc>
          <w:tcPr>
            <w:tcW w:w="5000" w:type="pct"/>
            <w:gridSpan w:val="10"/>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14:paraId="0DE02DFD" w14:textId="77777777" w:rsidR="00DB7BA2" w:rsidRPr="00D41179" w:rsidRDefault="00DB7BA2" w:rsidP="00DB7BA2">
            <w:pPr>
              <w:keepNext/>
              <w:keepLines/>
              <w:rPr>
                <w:rFonts w:ascii="Arial Narrow" w:hAnsi="Arial Narrow"/>
                <w:color w:val="000000"/>
                <w:sz w:val="20"/>
                <w:szCs w:val="18"/>
              </w:rPr>
            </w:pPr>
            <w:r w:rsidRPr="00D41179">
              <w:rPr>
                <w:rFonts w:ascii="Arial Narrow" w:hAnsi="Arial Narrow"/>
                <w:b/>
                <w:color w:val="000000"/>
                <w:sz w:val="20"/>
                <w:szCs w:val="18"/>
              </w:rPr>
              <w:t>Serious adverse events, at least one symptom</w:t>
            </w:r>
          </w:p>
        </w:tc>
      </w:tr>
      <w:tr w:rsidR="00DB7BA2" w:rsidRPr="00D41179" w14:paraId="34AF20DA" w14:textId="77777777" w:rsidTr="008C5ED8">
        <w:tc>
          <w:tcPr>
            <w:tcW w:w="1411" w:type="pct"/>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14:paraId="78344F34" w14:textId="77777777" w:rsidR="00DB7BA2" w:rsidRPr="00D41179" w:rsidRDefault="00DB7BA2" w:rsidP="00DB7BA2">
            <w:pPr>
              <w:keepNext/>
              <w:keepLines/>
              <w:rPr>
                <w:rFonts w:ascii="Arial Narrow" w:hAnsi="Arial Narrow"/>
                <w:color w:val="000000"/>
                <w:sz w:val="20"/>
                <w:szCs w:val="18"/>
              </w:rPr>
            </w:pPr>
            <w:r w:rsidRPr="00D41179">
              <w:rPr>
                <w:rFonts w:ascii="Arial Narrow" w:hAnsi="Arial Narrow"/>
                <w:color w:val="000000"/>
                <w:sz w:val="20"/>
                <w:szCs w:val="18"/>
              </w:rPr>
              <w:t>Pooled ZOE-50/70</w:t>
            </w:r>
          </w:p>
        </w:tc>
        <w:tc>
          <w:tcPr>
            <w:tcW w:w="708" w:type="pct"/>
            <w:gridSpan w:val="2"/>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14:paraId="09CF7BB3" w14:textId="77777777" w:rsidR="00DB7BA2" w:rsidRPr="00D41179" w:rsidRDefault="00DB7BA2" w:rsidP="00DB7BA2">
            <w:pPr>
              <w:keepNext/>
              <w:keepLines/>
              <w:jc w:val="center"/>
              <w:rPr>
                <w:rFonts w:ascii="Arial Narrow" w:hAnsi="Arial Narrow"/>
                <w:color w:val="000000"/>
                <w:sz w:val="20"/>
                <w:szCs w:val="18"/>
              </w:rPr>
            </w:pPr>
            <w:r w:rsidRPr="00D41179">
              <w:rPr>
                <w:rFonts w:ascii="Arial Narrow" w:hAnsi="Arial Narrow"/>
                <w:color w:val="000000"/>
                <w:sz w:val="20"/>
                <w:szCs w:val="18"/>
              </w:rPr>
              <w:t>1,482/14,645</w:t>
            </w:r>
          </w:p>
        </w:tc>
        <w:tc>
          <w:tcPr>
            <w:tcW w:w="629" w:type="pct"/>
            <w:gridSpan w:val="2"/>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14:paraId="77C9349A" w14:textId="77777777" w:rsidR="00DB7BA2" w:rsidRPr="00D41179" w:rsidRDefault="00DB7BA2" w:rsidP="00DB7BA2">
            <w:pPr>
              <w:keepNext/>
              <w:keepLines/>
              <w:jc w:val="center"/>
              <w:rPr>
                <w:rFonts w:ascii="Arial Narrow" w:hAnsi="Arial Narrow"/>
                <w:color w:val="000000"/>
                <w:sz w:val="20"/>
                <w:szCs w:val="18"/>
              </w:rPr>
            </w:pPr>
            <w:r w:rsidRPr="00D41179">
              <w:rPr>
                <w:rFonts w:ascii="Arial Narrow" w:hAnsi="Arial Narrow"/>
                <w:color w:val="000000"/>
                <w:sz w:val="20"/>
                <w:szCs w:val="18"/>
              </w:rPr>
              <w:t>1,525/14,660</w:t>
            </w:r>
          </w:p>
        </w:tc>
        <w:tc>
          <w:tcPr>
            <w:tcW w:w="864" w:type="pct"/>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14:paraId="7CF3E915" w14:textId="77777777" w:rsidR="00DB7BA2" w:rsidRPr="00D41179" w:rsidRDefault="00DB7BA2" w:rsidP="00DB7BA2">
            <w:pPr>
              <w:pStyle w:val="Tabletext"/>
              <w:keepNext/>
              <w:keepLines/>
              <w:jc w:val="center"/>
              <w:rPr>
                <w:rFonts w:cs="Arial"/>
                <w:color w:val="000000"/>
                <w:szCs w:val="18"/>
              </w:rPr>
            </w:pPr>
            <w:r w:rsidRPr="00D41179">
              <w:rPr>
                <w:rFonts w:cs="Arial"/>
                <w:color w:val="000000"/>
                <w:szCs w:val="18"/>
              </w:rPr>
              <w:t>0.97 (0.91, 1.05)</w:t>
            </w:r>
          </w:p>
        </w:tc>
        <w:tc>
          <w:tcPr>
            <w:tcW w:w="394" w:type="pct"/>
            <w:gridSpan w:val="2"/>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14:paraId="3441D59F" w14:textId="77777777" w:rsidR="00DB7BA2" w:rsidRPr="00D41179" w:rsidRDefault="00DB7BA2" w:rsidP="00DB7BA2">
            <w:pPr>
              <w:keepNext/>
              <w:keepLines/>
              <w:jc w:val="center"/>
              <w:rPr>
                <w:rFonts w:ascii="Arial Narrow" w:hAnsi="Arial Narrow"/>
                <w:color w:val="000000"/>
                <w:sz w:val="20"/>
                <w:szCs w:val="18"/>
              </w:rPr>
            </w:pPr>
            <w:r w:rsidRPr="00D41179">
              <w:rPr>
                <w:rFonts w:ascii="Arial Narrow" w:hAnsi="Arial Narrow"/>
                <w:color w:val="000000"/>
                <w:sz w:val="20"/>
              </w:rPr>
              <w:t>101.19</w:t>
            </w:r>
          </w:p>
        </w:tc>
        <w:tc>
          <w:tcPr>
            <w:tcW w:w="393" w:type="pct"/>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14:paraId="5CAD0C80" w14:textId="77777777" w:rsidR="00DB7BA2" w:rsidRPr="00D41179" w:rsidRDefault="00DB7BA2" w:rsidP="00DB7BA2">
            <w:pPr>
              <w:keepNext/>
              <w:keepLines/>
              <w:jc w:val="center"/>
              <w:rPr>
                <w:rFonts w:ascii="Arial Narrow" w:hAnsi="Arial Narrow"/>
                <w:color w:val="000000"/>
                <w:sz w:val="20"/>
                <w:szCs w:val="18"/>
              </w:rPr>
            </w:pPr>
            <w:r w:rsidRPr="00D41179">
              <w:rPr>
                <w:rFonts w:ascii="Arial Narrow" w:hAnsi="Arial Narrow"/>
                <w:color w:val="000000"/>
                <w:sz w:val="20"/>
              </w:rPr>
              <w:t>104.02</w:t>
            </w:r>
          </w:p>
        </w:tc>
        <w:tc>
          <w:tcPr>
            <w:tcW w:w="601" w:type="pct"/>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14:paraId="75C57F3C" w14:textId="77777777" w:rsidR="00DB7BA2" w:rsidRPr="00D41179" w:rsidRDefault="00DB7BA2" w:rsidP="00DB7BA2">
            <w:pPr>
              <w:keepNext/>
              <w:keepLines/>
              <w:jc w:val="center"/>
              <w:rPr>
                <w:rFonts w:ascii="Arial Narrow" w:hAnsi="Arial Narrow"/>
                <w:color w:val="000000"/>
                <w:sz w:val="20"/>
                <w:szCs w:val="18"/>
              </w:rPr>
            </w:pPr>
            <w:r w:rsidRPr="00D41179">
              <w:rPr>
                <w:rFonts w:ascii="Arial Narrow" w:hAnsi="Arial Narrow"/>
                <w:color w:val="000000"/>
                <w:sz w:val="20"/>
              </w:rPr>
              <w:t>-2.83</w:t>
            </w:r>
          </w:p>
        </w:tc>
      </w:tr>
    </w:tbl>
    <w:p w14:paraId="3D8C0F02" w14:textId="411CF125" w:rsidR="00F714D1" w:rsidRPr="00D41179" w:rsidRDefault="00F714D1" w:rsidP="0005173E">
      <w:pPr>
        <w:pStyle w:val="TableFooter"/>
        <w:keepNext/>
        <w:keepLines/>
      </w:pPr>
      <w:r w:rsidRPr="00D41179">
        <w:t>Source: Compiled from:</w:t>
      </w:r>
    </w:p>
    <w:p w14:paraId="412881F7" w14:textId="77777777" w:rsidR="00F714D1" w:rsidRPr="00D41179" w:rsidRDefault="00F714D1" w:rsidP="0005173E">
      <w:pPr>
        <w:pStyle w:val="TableFooter"/>
        <w:keepNext/>
        <w:keepLines/>
      </w:pPr>
      <w:r w:rsidRPr="00D41179">
        <w:t xml:space="preserve">Table 9: Summary of comparative benefits and harms for RZV and no vaccine, PSD, RZV, March 2023 PBAC. </w:t>
      </w:r>
    </w:p>
    <w:p w14:paraId="4A0EAA16" w14:textId="77777777" w:rsidR="00F714D1" w:rsidRPr="00D41179" w:rsidRDefault="00F714D1" w:rsidP="0005173E">
      <w:pPr>
        <w:pStyle w:val="TableFooter"/>
        <w:keepNext/>
        <w:keepLines/>
      </w:pPr>
      <w:r w:rsidRPr="00D41179">
        <w:t xml:space="preserve">Submission tables (Table 2-23, p112; Table 2-25, p117; Table 2-26, p117; Table 2 27, p119). </w:t>
      </w:r>
    </w:p>
    <w:p w14:paraId="2F9FE12A" w14:textId="7D966AF6" w:rsidR="00F714D1" w:rsidRPr="00D41179" w:rsidRDefault="00F714D1" w:rsidP="0005173E">
      <w:pPr>
        <w:pStyle w:val="TableFooter"/>
        <w:keepNext/>
        <w:keepLines/>
      </w:pPr>
      <w:r w:rsidRPr="00D41179">
        <w:rPr>
          <w:rFonts w:eastAsia="Calibri"/>
        </w:rPr>
        <w:t>CI = confidence interval; HZ = herpes zoster; n = number of participants reporting data; N = total participants in group; NR = not reported; PBO = placebo; PHN = post-herpetic neuralgia; RD = risk difference; RR = relative risk</w:t>
      </w:r>
      <w:r w:rsidRPr="00D41179">
        <w:t xml:space="preserve">; </w:t>
      </w:r>
      <w:r w:rsidRPr="00D41179">
        <w:rPr>
          <w:rFonts w:eastAsia="Calibri"/>
        </w:rPr>
        <w:t>RZV = recombinant zoster vaccine</w:t>
      </w:r>
      <w:r w:rsidRPr="00D41179">
        <w:t xml:space="preserve"> SAE = serious adverse event; VE = vaccine efficacy.</w:t>
      </w:r>
    </w:p>
    <w:p w14:paraId="238DD390" w14:textId="4D826A1E" w:rsidR="00F714D1" w:rsidRPr="00D41179" w:rsidRDefault="00F714D1" w:rsidP="0005173E">
      <w:pPr>
        <w:pStyle w:val="FooterTableFigure"/>
        <w:keepNext/>
        <w:keepLines/>
        <w:widowControl w:val="0"/>
      </w:pPr>
      <w:r w:rsidRPr="00D41179">
        <w:t xml:space="preserve">a Follow-up for ZOSTER-049 participants was a total median duration since vaccination of 11.4 years. </w:t>
      </w:r>
    </w:p>
    <w:p w14:paraId="12FA03D9" w14:textId="77777777" w:rsidR="00F714D1" w:rsidRPr="00D41179" w:rsidRDefault="00F714D1" w:rsidP="0005173E">
      <w:pPr>
        <w:pStyle w:val="FooterTableFigure"/>
        <w:keepNext/>
        <w:keepLines/>
        <w:widowControl w:val="0"/>
      </w:pPr>
      <w:r w:rsidRPr="00D41179">
        <w:rPr>
          <w:shd w:val="clear" w:color="auto" w:fill="DAEEF3" w:themeFill="accent5" w:themeFillTint="33"/>
        </w:rPr>
        <w:t>Text in blue indicates information previously presented to PBAC</w:t>
      </w:r>
      <w:r w:rsidRPr="00D41179">
        <w:t>.</w:t>
      </w:r>
    </w:p>
    <w:p w14:paraId="0A12E12B" w14:textId="77777777" w:rsidR="00A948F1" w:rsidRPr="00D41179" w:rsidRDefault="00A948F1" w:rsidP="00F714D1">
      <w:pPr>
        <w:pStyle w:val="FooterTableFigure"/>
        <w:widowControl w:val="0"/>
      </w:pPr>
    </w:p>
    <w:p w14:paraId="7C5A3EE9" w14:textId="451F5477" w:rsidR="00F714D1" w:rsidRPr="00D41179" w:rsidRDefault="00F714D1" w:rsidP="00A64F5D">
      <w:pPr>
        <w:keepNext/>
        <w:numPr>
          <w:ilvl w:val="1"/>
          <w:numId w:val="8"/>
        </w:numPr>
        <w:spacing w:before="60" w:after="60"/>
        <w:ind w:left="709"/>
        <w:rPr>
          <w:rFonts w:asciiTheme="minorHAnsi" w:eastAsiaTheme="minorHAnsi" w:hAnsiTheme="minorHAnsi" w:cstheme="minorBidi"/>
          <w:szCs w:val="22"/>
        </w:rPr>
      </w:pPr>
      <w:proofErr w:type="gramStart"/>
      <w:r w:rsidRPr="00D41179">
        <w:rPr>
          <w:rFonts w:asciiTheme="minorHAnsi" w:eastAsiaTheme="minorHAnsi" w:hAnsiTheme="minorHAnsi" w:cstheme="minorBidi"/>
          <w:szCs w:val="22"/>
        </w:rPr>
        <w:t>On the basis of</w:t>
      </w:r>
      <w:proofErr w:type="gramEnd"/>
      <w:r w:rsidRPr="00D41179">
        <w:rPr>
          <w:rFonts w:asciiTheme="minorHAnsi" w:eastAsiaTheme="minorHAnsi" w:hAnsiTheme="minorHAnsi" w:cstheme="minorBidi"/>
          <w:szCs w:val="22"/>
        </w:rPr>
        <w:t xml:space="preserve"> evidence presented in the submission, for every 1,000 individuals aged </w:t>
      </w:r>
      <w:r w:rsidRPr="00D41179">
        <w:rPr>
          <w:rFonts w:asciiTheme="minorHAnsi" w:eastAsiaTheme="minorHAnsi" w:hAnsiTheme="minorHAnsi" w:cstheme="minorHAnsi"/>
          <w:szCs w:val="22"/>
        </w:rPr>
        <w:t>≥</w:t>
      </w:r>
      <w:r w:rsidRPr="00D41179">
        <w:rPr>
          <w:rFonts w:asciiTheme="minorHAnsi" w:eastAsiaTheme="minorHAnsi" w:hAnsiTheme="minorHAnsi" w:cstheme="minorBidi"/>
          <w:szCs w:val="22"/>
        </w:rPr>
        <w:t>50 years vaccinated with RZV versus placebo over a median post-vaccination duration of 11.4 years:</w:t>
      </w:r>
    </w:p>
    <w:p w14:paraId="2D2C7E56" w14:textId="7E29EBD7" w:rsidR="00F714D1" w:rsidRPr="00D41179" w:rsidRDefault="00F714D1" w:rsidP="00A64F5D">
      <w:pPr>
        <w:numPr>
          <w:ilvl w:val="0"/>
          <w:numId w:val="7"/>
        </w:numPr>
        <w:spacing w:after="120"/>
        <w:ind w:left="709"/>
        <w:jc w:val="left"/>
        <w:rPr>
          <w:rFonts w:asciiTheme="minorHAnsi" w:hAnsiTheme="minorHAnsi"/>
          <w:snapToGrid w:val="0"/>
        </w:rPr>
      </w:pPr>
      <w:r w:rsidRPr="00D41179">
        <w:rPr>
          <w:rFonts w:asciiTheme="minorHAnsi" w:hAnsiTheme="minorHAnsi"/>
          <w:snapToGrid w:val="0"/>
        </w:rPr>
        <w:t>The number of cases of HZ would reduce by approximately 7 per year.</w:t>
      </w:r>
    </w:p>
    <w:p w14:paraId="1EF76F4D" w14:textId="1F277208" w:rsidR="00F714D1" w:rsidRPr="00D41179" w:rsidRDefault="00F714D1" w:rsidP="00A64F5D">
      <w:pPr>
        <w:numPr>
          <w:ilvl w:val="0"/>
          <w:numId w:val="7"/>
        </w:numPr>
        <w:spacing w:after="120"/>
        <w:ind w:left="709"/>
        <w:jc w:val="left"/>
        <w:rPr>
          <w:rFonts w:asciiTheme="minorHAnsi" w:hAnsiTheme="minorHAnsi"/>
          <w:snapToGrid w:val="0"/>
        </w:rPr>
      </w:pPr>
      <w:r w:rsidRPr="00D41179">
        <w:rPr>
          <w:rFonts w:asciiTheme="minorHAnsi" w:hAnsiTheme="minorHAnsi"/>
          <w:snapToGrid w:val="0"/>
        </w:rPr>
        <w:t>The number of cases of PHN would reduce by approximately 1 case per year</w:t>
      </w:r>
    </w:p>
    <w:p w14:paraId="1575B072" w14:textId="47745571" w:rsidR="00F714D1" w:rsidRPr="00D41179" w:rsidRDefault="00F714D1" w:rsidP="00A64F5D">
      <w:pPr>
        <w:numPr>
          <w:ilvl w:val="0"/>
          <w:numId w:val="7"/>
        </w:numPr>
        <w:spacing w:after="120"/>
        <w:ind w:left="709"/>
        <w:jc w:val="left"/>
        <w:rPr>
          <w:rFonts w:asciiTheme="minorHAnsi" w:hAnsiTheme="minorHAnsi"/>
          <w:snapToGrid w:val="0"/>
        </w:rPr>
      </w:pPr>
      <w:r w:rsidRPr="00D41179">
        <w:rPr>
          <w:rFonts w:asciiTheme="minorHAnsi" w:hAnsiTheme="minorHAnsi"/>
          <w:snapToGrid w:val="0"/>
        </w:rPr>
        <w:t>The number of cases of complications other than PHN would reduce by approximately 1 case per year</w:t>
      </w:r>
      <w:r w:rsidR="00A21447" w:rsidRPr="00D41179">
        <w:rPr>
          <w:rFonts w:asciiTheme="minorHAnsi" w:hAnsiTheme="minorHAnsi"/>
          <w:snapToGrid w:val="0"/>
        </w:rPr>
        <w:t>.</w:t>
      </w:r>
    </w:p>
    <w:p w14:paraId="08FAEDC7" w14:textId="60B76D02" w:rsidR="00A21447" w:rsidRPr="00D41179" w:rsidRDefault="00A21447" w:rsidP="00A21447">
      <w:pPr>
        <w:pStyle w:val="3-BodyText"/>
        <w:rPr>
          <w:snapToGrid w:val="0"/>
        </w:rPr>
      </w:pPr>
      <w:r w:rsidRPr="00D41179">
        <w:rPr>
          <w:snapToGrid w:val="0"/>
        </w:rPr>
        <w:lastRenderedPageBreak/>
        <w:t xml:space="preserve">The ESC noted a similar reduction in cases for individuals aged 60 to </w:t>
      </w:r>
      <w:r w:rsidR="00123059" w:rsidRPr="00D41179">
        <w:rPr>
          <w:snapToGrid w:val="0"/>
        </w:rPr>
        <w:t xml:space="preserve">69 </w:t>
      </w:r>
      <w:r w:rsidRPr="00D41179">
        <w:rPr>
          <w:snapToGrid w:val="0"/>
        </w:rPr>
        <w:t>years.</w:t>
      </w:r>
      <w:r w:rsidR="00D41179" w:rsidRPr="00D41179">
        <w:rPr>
          <w:snapToGrid w:val="0"/>
        </w:rPr>
        <w:t xml:space="preserve"> </w:t>
      </w:r>
    </w:p>
    <w:p w14:paraId="35059C64" w14:textId="11B64154" w:rsidR="00F714D1" w:rsidRPr="00D41179" w:rsidRDefault="00F714D1" w:rsidP="00A64F5D">
      <w:pPr>
        <w:numPr>
          <w:ilvl w:val="1"/>
          <w:numId w:val="8"/>
        </w:numPr>
        <w:spacing w:before="60" w:after="60"/>
        <w:ind w:left="709"/>
        <w:rPr>
          <w:rFonts w:asciiTheme="minorHAnsi" w:eastAsiaTheme="minorHAnsi" w:hAnsiTheme="minorHAnsi" w:cstheme="minorBidi"/>
          <w:szCs w:val="22"/>
        </w:rPr>
      </w:pPr>
      <w:r w:rsidRPr="00D41179">
        <w:rPr>
          <w:rFonts w:asciiTheme="minorHAnsi" w:eastAsiaTheme="minorHAnsi" w:hAnsiTheme="minorHAnsi" w:cstheme="minorBidi"/>
          <w:szCs w:val="22"/>
        </w:rPr>
        <w:t xml:space="preserve">Based on evidence considered by the PBAC at the March 2023 meeting, for every 1,000 individuals vaccinated with RZV versus placebo over a </w:t>
      </w:r>
      <w:r w:rsidR="00EE75F6" w:rsidRPr="00D41179">
        <w:rPr>
          <w:rFonts w:asciiTheme="minorHAnsi" w:eastAsiaTheme="minorHAnsi" w:hAnsiTheme="minorHAnsi" w:cstheme="minorBidi"/>
          <w:szCs w:val="22"/>
        </w:rPr>
        <w:t>median</w:t>
      </w:r>
      <w:r w:rsidR="006D1148" w:rsidRPr="00D41179">
        <w:rPr>
          <w:rFonts w:asciiTheme="minorHAnsi" w:eastAsiaTheme="minorHAnsi" w:hAnsiTheme="minorHAnsi" w:cstheme="minorBidi"/>
          <w:szCs w:val="22"/>
        </w:rPr>
        <w:t xml:space="preserve"> duration follow-up</w:t>
      </w:r>
      <w:r w:rsidRPr="00D41179">
        <w:rPr>
          <w:rFonts w:asciiTheme="minorHAnsi" w:eastAsiaTheme="minorHAnsi" w:hAnsiTheme="minorHAnsi" w:cstheme="minorBidi"/>
          <w:szCs w:val="22"/>
        </w:rPr>
        <w:t xml:space="preserve"> of 4.4 years:</w:t>
      </w:r>
    </w:p>
    <w:p w14:paraId="334D7F52" w14:textId="77777777" w:rsidR="00F714D1" w:rsidRPr="00D41179" w:rsidRDefault="00F714D1" w:rsidP="00A64F5D">
      <w:pPr>
        <w:numPr>
          <w:ilvl w:val="0"/>
          <w:numId w:val="7"/>
        </w:numPr>
        <w:spacing w:after="120"/>
        <w:ind w:left="709"/>
        <w:rPr>
          <w:rFonts w:asciiTheme="minorHAnsi" w:hAnsiTheme="minorHAnsi"/>
          <w:snapToGrid w:val="0"/>
        </w:rPr>
      </w:pPr>
      <w:r w:rsidRPr="00D41179">
        <w:rPr>
          <w:rFonts w:asciiTheme="minorHAnsi" w:hAnsiTheme="minorHAnsi"/>
          <w:snapToGrid w:val="0"/>
        </w:rPr>
        <w:t>Approximately 36 additional individuals would experience Grade 3 pain.</w:t>
      </w:r>
    </w:p>
    <w:p w14:paraId="3F1A4235" w14:textId="77777777" w:rsidR="00F714D1" w:rsidRPr="00D41179" w:rsidRDefault="00F714D1" w:rsidP="00A64F5D">
      <w:pPr>
        <w:numPr>
          <w:ilvl w:val="0"/>
          <w:numId w:val="7"/>
        </w:numPr>
        <w:spacing w:after="120"/>
        <w:ind w:left="709"/>
        <w:rPr>
          <w:rFonts w:asciiTheme="minorHAnsi" w:hAnsiTheme="minorHAnsi"/>
          <w:snapToGrid w:val="0"/>
        </w:rPr>
      </w:pPr>
      <w:r w:rsidRPr="00D41179">
        <w:rPr>
          <w:rFonts w:asciiTheme="minorHAnsi" w:hAnsiTheme="minorHAnsi"/>
          <w:snapToGrid w:val="0"/>
        </w:rPr>
        <w:t>Approximately 90 additional individuals would experience any injection site erythema.</w:t>
      </w:r>
    </w:p>
    <w:p w14:paraId="6D6AC7CA" w14:textId="77777777" w:rsidR="00F714D1" w:rsidRPr="00D41179" w:rsidRDefault="00F714D1" w:rsidP="00A64F5D">
      <w:pPr>
        <w:numPr>
          <w:ilvl w:val="0"/>
          <w:numId w:val="7"/>
        </w:numPr>
        <w:spacing w:after="120"/>
        <w:ind w:left="709"/>
        <w:rPr>
          <w:rFonts w:asciiTheme="minorHAnsi" w:hAnsiTheme="minorHAnsi"/>
          <w:snapToGrid w:val="0"/>
        </w:rPr>
      </w:pPr>
      <w:r w:rsidRPr="00D41179">
        <w:rPr>
          <w:rFonts w:asciiTheme="minorHAnsi" w:hAnsiTheme="minorHAnsi"/>
          <w:snapToGrid w:val="0"/>
        </w:rPr>
        <w:t>Approximately 68 additional individuals would experience any injection site swelling.</w:t>
      </w:r>
    </w:p>
    <w:p w14:paraId="7A1772B6" w14:textId="23BB3145" w:rsidR="00B60939" w:rsidRPr="00D41179" w:rsidRDefault="00B60939" w:rsidP="000F1D34">
      <w:pPr>
        <w:pStyle w:val="Actual4Subsection"/>
      </w:pPr>
      <w:bookmarkStart w:id="41" w:name="_Toc22897644"/>
      <w:bookmarkStart w:id="42" w:name="_Toc209001306"/>
      <w:r w:rsidRPr="00D41179">
        <w:t>Clinical claim</w:t>
      </w:r>
      <w:bookmarkEnd w:id="41"/>
      <w:bookmarkEnd w:id="42"/>
    </w:p>
    <w:p w14:paraId="4EFC7069" w14:textId="10EB50C6" w:rsidR="00F714D1" w:rsidRPr="00D41179" w:rsidRDefault="00F714D1" w:rsidP="00A64F5D">
      <w:pPr>
        <w:numPr>
          <w:ilvl w:val="1"/>
          <w:numId w:val="8"/>
        </w:numPr>
        <w:tabs>
          <w:tab w:val="left" w:pos="709"/>
        </w:tabs>
        <w:spacing w:before="60" w:after="60"/>
        <w:ind w:left="709" w:hanging="709"/>
        <w:rPr>
          <w:rFonts w:asciiTheme="minorHAnsi" w:eastAsia="Calibri" w:hAnsiTheme="minorHAnsi" w:cstheme="minorBidi"/>
          <w:iCs/>
          <w:szCs w:val="22"/>
        </w:rPr>
      </w:pPr>
      <w:r w:rsidRPr="00D41179">
        <w:rPr>
          <w:rFonts w:asciiTheme="minorHAnsi" w:eastAsia="Calibri" w:hAnsiTheme="minorHAnsi" w:cstheme="minorBidi"/>
          <w:szCs w:val="22"/>
        </w:rPr>
        <w:t xml:space="preserve">The submission </w:t>
      </w:r>
      <w:r w:rsidR="00F3175B" w:rsidRPr="00D41179">
        <w:rPr>
          <w:rFonts w:asciiTheme="minorHAnsi" w:eastAsia="Calibri" w:hAnsiTheme="minorHAnsi" w:cstheme="minorBidi"/>
          <w:szCs w:val="22"/>
        </w:rPr>
        <w:t>claimed vaccination at 60 – 64 years of age w</w:t>
      </w:r>
      <w:r w:rsidRPr="00D41179">
        <w:rPr>
          <w:rFonts w:asciiTheme="minorHAnsi" w:eastAsia="Calibri" w:hAnsiTheme="minorHAnsi" w:cstheme="minorBidi"/>
          <w:szCs w:val="22"/>
        </w:rPr>
        <w:t xml:space="preserve">as superior in terms of effectiveness compared to </w:t>
      </w:r>
      <w:r w:rsidR="00F3175B" w:rsidRPr="00D41179">
        <w:rPr>
          <w:rFonts w:asciiTheme="minorHAnsi" w:eastAsia="Calibri" w:hAnsiTheme="minorHAnsi" w:cstheme="minorBidi"/>
          <w:szCs w:val="22"/>
        </w:rPr>
        <w:t xml:space="preserve">no </w:t>
      </w:r>
      <w:r w:rsidRPr="00D41179">
        <w:rPr>
          <w:rFonts w:asciiTheme="minorHAnsi" w:eastAsia="Calibri" w:hAnsiTheme="minorHAnsi" w:cstheme="minorBidi"/>
          <w:szCs w:val="22"/>
        </w:rPr>
        <w:t>vaccination</w:t>
      </w:r>
      <w:r w:rsidR="006614F3" w:rsidRPr="00D41179">
        <w:rPr>
          <w:rFonts w:asciiTheme="minorHAnsi" w:eastAsia="Calibri" w:hAnsiTheme="minorHAnsi" w:cstheme="minorBidi"/>
          <w:szCs w:val="22"/>
        </w:rPr>
        <w:t xml:space="preserve"> at 60 – 64 years of age</w:t>
      </w:r>
      <w:r w:rsidRPr="00D41179">
        <w:rPr>
          <w:rFonts w:asciiTheme="minorHAnsi" w:eastAsia="Calibri" w:hAnsiTheme="minorHAnsi" w:cstheme="minorBidi"/>
          <w:szCs w:val="22"/>
        </w:rPr>
        <w:t xml:space="preserve">. </w:t>
      </w:r>
      <w:r w:rsidRPr="00D41179">
        <w:rPr>
          <w:rFonts w:asciiTheme="minorHAnsi" w:eastAsia="Calibri" w:hAnsiTheme="minorHAnsi" w:cstheme="minorBidi"/>
          <w:iCs/>
          <w:szCs w:val="22"/>
        </w:rPr>
        <w:t>This claim was likely adequately supported but the magnitude of the effect was likely over-estimated, and the long-term durability of VE remains uncertain. The key concerns include the</w:t>
      </w:r>
      <w:r w:rsidR="004D23C1" w:rsidRPr="00D41179">
        <w:rPr>
          <w:rFonts w:asciiTheme="minorHAnsi" w:eastAsia="Calibri" w:hAnsiTheme="minorHAnsi" w:cstheme="minorBidi"/>
          <w:iCs/>
          <w:szCs w:val="22"/>
        </w:rPr>
        <w:t xml:space="preserve"> serious</w:t>
      </w:r>
      <w:r w:rsidRPr="00D41179">
        <w:rPr>
          <w:rFonts w:asciiTheme="minorHAnsi" w:eastAsiaTheme="minorHAnsi" w:hAnsiTheme="minorHAnsi" w:cstheme="minorBidi"/>
          <w:iCs/>
          <w:szCs w:val="22"/>
        </w:rPr>
        <w:t xml:space="preserve"> risk of bias in the key ZOSTER-049 trial providing long-term VE follow up due to multiple factors including use of historical controls in place of a placebo arm.</w:t>
      </w:r>
      <w:r w:rsidRPr="00D41179">
        <w:rPr>
          <w:rFonts w:asciiTheme="minorHAnsi" w:eastAsia="Calibri" w:hAnsiTheme="minorHAnsi" w:cstheme="minorBidi"/>
          <w:iCs/>
          <w:szCs w:val="22"/>
        </w:rPr>
        <w:t xml:space="preserve"> </w:t>
      </w:r>
      <w:r w:rsidR="002E4E01" w:rsidRPr="00D41179">
        <w:rPr>
          <w:rFonts w:asciiTheme="minorHAnsi" w:eastAsia="Calibri" w:hAnsiTheme="minorHAnsi" w:cstheme="minorBidi"/>
          <w:iCs/>
          <w:szCs w:val="22"/>
        </w:rPr>
        <w:t>The ESC noted the clinical claim does not explicitly capture the downstream effect of bringing vaccination forward to a younger population i.e., more cases in the older, more vulnerable population.</w:t>
      </w:r>
      <w:r w:rsidR="00D41179" w:rsidRPr="00D41179">
        <w:rPr>
          <w:rFonts w:asciiTheme="minorHAnsi" w:eastAsia="Calibri" w:hAnsiTheme="minorHAnsi" w:cstheme="minorBidi"/>
          <w:iCs/>
          <w:szCs w:val="22"/>
        </w:rPr>
        <w:t xml:space="preserve"> </w:t>
      </w:r>
    </w:p>
    <w:p w14:paraId="45714516" w14:textId="64A72B63" w:rsidR="00F714D1" w:rsidRPr="00D41179" w:rsidRDefault="006614F3" w:rsidP="00A64F5D">
      <w:pPr>
        <w:numPr>
          <w:ilvl w:val="1"/>
          <w:numId w:val="8"/>
        </w:numPr>
        <w:tabs>
          <w:tab w:val="left" w:pos="709"/>
        </w:tabs>
        <w:spacing w:before="60" w:after="60"/>
        <w:ind w:left="709" w:hanging="709"/>
        <w:rPr>
          <w:rFonts w:asciiTheme="minorHAnsi" w:eastAsia="Calibri" w:hAnsiTheme="minorHAnsi" w:cstheme="minorBidi"/>
          <w:iCs/>
          <w:szCs w:val="22"/>
        </w:rPr>
      </w:pPr>
      <w:r w:rsidRPr="00D41179">
        <w:rPr>
          <w:rFonts w:asciiTheme="minorHAnsi" w:eastAsia="Calibri" w:hAnsiTheme="minorHAnsi" w:cstheme="minorBidi"/>
          <w:szCs w:val="22"/>
        </w:rPr>
        <w:t xml:space="preserve">The submission claimed vaccination at 60 – 64 years of age was ‘slightly’ inferior in terms of safety compared to no vaccination at 60 – 64 years of age. </w:t>
      </w:r>
    </w:p>
    <w:p w14:paraId="3D33D6DB" w14:textId="098D7E2D" w:rsidR="00763C2D" w:rsidRPr="00D41179" w:rsidRDefault="00763C2D" w:rsidP="00763C2D">
      <w:pPr>
        <w:pStyle w:val="3-BodyText"/>
        <w:rPr>
          <w:snapToGrid w:val="0"/>
        </w:rPr>
      </w:pPr>
      <w:bookmarkStart w:id="43" w:name="_Hlk76376200"/>
      <w:r w:rsidRPr="00D41179">
        <w:rPr>
          <w:iCs/>
          <w:snapToGrid w:val="0"/>
        </w:rPr>
        <w:t>The</w:t>
      </w:r>
      <w:r w:rsidRPr="00D41179">
        <w:rPr>
          <w:snapToGrid w:val="0"/>
        </w:rPr>
        <w:t xml:space="preserve"> PBAC considered that the claim </w:t>
      </w:r>
      <w:r w:rsidR="00841319" w:rsidRPr="00D41179">
        <w:rPr>
          <w:snapToGrid w:val="0"/>
        </w:rPr>
        <w:t>of s</w:t>
      </w:r>
      <w:r w:rsidRPr="00D41179">
        <w:rPr>
          <w:snapToGrid w:val="0"/>
        </w:rPr>
        <w:t>uperior comparative effectiveness was reasonable.</w:t>
      </w:r>
    </w:p>
    <w:p w14:paraId="08C67371" w14:textId="1CC4ACE4" w:rsidR="00763C2D" w:rsidRPr="00D41179" w:rsidRDefault="00763C2D" w:rsidP="00763C2D">
      <w:pPr>
        <w:pStyle w:val="3-BodyText"/>
        <w:rPr>
          <w:snapToGrid w:val="0"/>
        </w:rPr>
      </w:pPr>
      <w:r w:rsidRPr="00D41179">
        <w:rPr>
          <w:snapToGrid w:val="0"/>
        </w:rPr>
        <w:t>The PBAC considered that the claim of inferior comparative safety was reasonable.</w:t>
      </w:r>
    </w:p>
    <w:p w14:paraId="74A1172E" w14:textId="128C170E" w:rsidR="00B60939" w:rsidRPr="00D41179" w:rsidRDefault="00B60939" w:rsidP="000F1D34">
      <w:pPr>
        <w:pStyle w:val="Actual4Subsection"/>
      </w:pPr>
      <w:bookmarkStart w:id="44" w:name="_Toc22897645"/>
      <w:bookmarkStart w:id="45" w:name="_Toc209001307"/>
      <w:bookmarkEnd w:id="43"/>
      <w:r w:rsidRPr="00D41179">
        <w:t>Economic analysis</w:t>
      </w:r>
      <w:bookmarkEnd w:id="44"/>
      <w:bookmarkEnd w:id="45"/>
      <w:r w:rsidR="00491B3A" w:rsidRPr="00D41179">
        <w:t xml:space="preserve"> </w:t>
      </w:r>
    </w:p>
    <w:p w14:paraId="4181B88A" w14:textId="673556C5" w:rsidR="00F714D1" w:rsidRPr="00D41179" w:rsidRDefault="00F714D1" w:rsidP="00F714D1">
      <w:pPr>
        <w:pStyle w:val="3-BodyText"/>
        <w:rPr>
          <w:b/>
          <w:bCs/>
          <w:color w:val="0066FF"/>
        </w:rPr>
      </w:pPr>
      <w:r w:rsidRPr="00D41179">
        <w:t xml:space="preserve">The submission presented a cost-utility analysis comparing </w:t>
      </w:r>
      <w:r w:rsidR="00076469" w:rsidRPr="00D41179">
        <w:t xml:space="preserve">vaccination with RZV </w:t>
      </w:r>
      <w:r w:rsidRPr="00D41179">
        <w:t xml:space="preserve">starting at age 60 compared </w:t>
      </w:r>
      <w:r w:rsidR="00076469" w:rsidRPr="00D41179">
        <w:t xml:space="preserve">with vaccination </w:t>
      </w:r>
      <w:r w:rsidRPr="00D41179">
        <w:t>starting at age 65. The model structure is unchanged from the March 2023 submission. Compared to the March 2023 PBAC consideration, the key changes to the economic model include values applied for HZ incidence, 2-dose VE waning, baseline utility and differential HZ QALY losses</w:t>
      </w:r>
      <w:r w:rsidR="00BC5F32" w:rsidRPr="00D41179">
        <w:t xml:space="preserve"> </w:t>
      </w:r>
      <w:r w:rsidRPr="00D41179">
        <w:t>The key components of the economic model are presented in</w:t>
      </w:r>
      <w:r w:rsidR="003848CC" w:rsidRPr="00D41179">
        <w:t xml:space="preserve"> </w:t>
      </w:r>
      <w:r w:rsidR="003848CC" w:rsidRPr="00D41179">
        <w:fldChar w:fldCharType="begin"/>
      </w:r>
      <w:r w:rsidR="003848CC" w:rsidRPr="00D41179">
        <w:instrText xml:space="preserve"> REF _Ref207878725 \h </w:instrText>
      </w:r>
      <w:r w:rsidR="00D41179">
        <w:instrText xml:space="preserve"> \* MERGEFORMAT </w:instrText>
      </w:r>
      <w:r w:rsidR="003848CC" w:rsidRPr="00D41179">
        <w:fldChar w:fldCharType="separate"/>
      </w:r>
      <w:r w:rsidR="00E7345C" w:rsidRPr="00D41179">
        <w:t xml:space="preserve">Table </w:t>
      </w:r>
      <w:r w:rsidR="00E7345C" w:rsidRPr="00D41179">
        <w:rPr>
          <w:noProof/>
        </w:rPr>
        <w:t>9</w:t>
      </w:r>
      <w:r w:rsidR="003848CC" w:rsidRPr="00D41179">
        <w:fldChar w:fldCharType="end"/>
      </w:r>
      <w:r w:rsidRPr="00D41179">
        <w:t>.</w:t>
      </w:r>
    </w:p>
    <w:p w14:paraId="5D53F810" w14:textId="3586ABAC" w:rsidR="00F714D1" w:rsidRPr="00D41179" w:rsidRDefault="00F714D1" w:rsidP="003C1905">
      <w:pPr>
        <w:pStyle w:val="Caption"/>
        <w:rPr>
          <w:rStyle w:val="CommentReference"/>
          <w:b/>
          <w:szCs w:val="24"/>
        </w:rPr>
      </w:pPr>
      <w:bookmarkStart w:id="46" w:name="_Ref207722683"/>
      <w:bookmarkStart w:id="47" w:name="_Ref207878725"/>
      <w:r w:rsidRPr="00D41179">
        <w:lastRenderedPageBreak/>
        <w:t>Table</w:t>
      </w:r>
      <w:bookmarkEnd w:id="46"/>
      <w:r w:rsidR="00AA5457" w:rsidRPr="00D41179">
        <w:t xml:space="preserve"> </w:t>
      </w:r>
      <w:r w:rsidRPr="00D41179">
        <w:fldChar w:fldCharType="begin"/>
      </w:r>
      <w:r w:rsidRPr="00D41179">
        <w:instrText>SEQ Table \* ARABIC</w:instrText>
      </w:r>
      <w:r w:rsidRPr="00D41179">
        <w:fldChar w:fldCharType="separate"/>
      </w:r>
      <w:r w:rsidR="00E7345C" w:rsidRPr="00D41179">
        <w:rPr>
          <w:noProof/>
        </w:rPr>
        <w:t>9</w:t>
      </w:r>
      <w:r w:rsidRPr="00D41179">
        <w:fldChar w:fldCharType="end"/>
      </w:r>
      <w:bookmarkEnd w:id="47"/>
      <w:r w:rsidRPr="00D41179">
        <w:t>:</w:t>
      </w:r>
      <w:r w:rsidRPr="00D41179">
        <w:rPr>
          <w:rStyle w:val="CommentReference"/>
          <w:b/>
          <w:szCs w:val="24"/>
        </w:rPr>
        <w:t xml:space="preserve"> Summary of model structure, key inputs and rationale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Caption w:val="Table 9: Summary of model structure, key inputs and rationale"/>
      </w:tblPr>
      <w:tblGrid>
        <w:gridCol w:w="2518"/>
        <w:gridCol w:w="6499"/>
      </w:tblGrid>
      <w:tr w:rsidR="00F714D1" w:rsidRPr="00D41179" w14:paraId="795720A7" w14:textId="77777777">
        <w:trPr>
          <w:tblHeader/>
        </w:trPr>
        <w:tc>
          <w:tcPr>
            <w:tcW w:w="1396" w:type="pct"/>
            <w:vAlign w:val="center"/>
          </w:tcPr>
          <w:p w14:paraId="796060CA" w14:textId="77777777" w:rsidR="00F714D1" w:rsidRPr="00D41179" w:rsidRDefault="00F714D1" w:rsidP="003C1905">
            <w:pPr>
              <w:pStyle w:val="In-tableHeading"/>
              <w:keepNext/>
              <w:keepLines/>
            </w:pPr>
            <w:r w:rsidRPr="00D41179">
              <w:t>Component</w:t>
            </w:r>
          </w:p>
        </w:tc>
        <w:tc>
          <w:tcPr>
            <w:tcW w:w="3604" w:type="pct"/>
            <w:vAlign w:val="center"/>
          </w:tcPr>
          <w:p w14:paraId="016E2391" w14:textId="77777777" w:rsidR="00F714D1" w:rsidRPr="00D41179" w:rsidRDefault="00F714D1" w:rsidP="003C1905">
            <w:pPr>
              <w:pStyle w:val="In-tableHeading"/>
              <w:keepNext/>
              <w:keepLines/>
            </w:pPr>
            <w:r w:rsidRPr="00D41179">
              <w:t>Summary</w:t>
            </w:r>
          </w:p>
        </w:tc>
      </w:tr>
      <w:tr w:rsidR="00F714D1" w:rsidRPr="00D41179" w14:paraId="78E44D47" w14:textId="77777777">
        <w:tc>
          <w:tcPr>
            <w:tcW w:w="1396" w:type="pct"/>
            <w:vAlign w:val="center"/>
          </w:tcPr>
          <w:p w14:paraId="1E8CA29A" w14:textId="77777777" w:rsidR="00F714D1" w:rsidRPr="00D41179" w:rsidRDefault="00F714D1" w:rsidP="003C1905">
            <w:pPr>
              <w:pStyle w:val="TableText0"/>
              <w:keepNext/>
              <w:keepLines/>
            </w:pPr>
            <w:r w:rsidRPr="00D41179">
              <w:t>Treatments</w:t>
            </w:r>
          </w:p>
        </w:tc>
        <w:tc>
          <w:tcPr>
            <w:tcW w:w="3604" w:type="pct"/>
            <w:vAlign w:val="center"/>
          </w:tcPr>
          <w:p w14:paraId="1446BD99" w14:textId="34E09734" w:rsidR="00F714D1" w:rsidRPr="00D41179" w:rsidRDefault="00F714D1" w:rsidP="003C1905">
            <w:pPr>
              <w:pStyle w:val="TableText0"/>
              <w:keepNext/>
              <w:keepLines/>
            </w:pPr>
            <w:r w:rsidRPr="00D41179">
              <w:t>RZV for non-Indigenous adults at age 60 vs RZV for non-Indigenous adults at age 65.</w:t>
            </w:r>
          </w:p>
        </w:tc>
      </w:tr>
      <w:tr w:rsidR="00F714D1" w:rsidRPr="00D41179" w14:paraId="58AFBE7B" w14:textId="77777777">
        <w:tc>
          <w:tcPr>
            <w:tcW w:w="1396" w:type="pct"/>
            <w:vAlign w:val="center"/>
          </w:tcPr>
          <w:p w14:paraId="69758D8F" w14:textId="77777777" w:rsidR="00F714D1" w:rsidRPr="00D41179" w:rsidRDefault="00F714D1" w:rsidP="003C1905">
            <w:pPr>
              <w:pStyle w:val="TableText0"/>
              <w:keepNext/>
              <w:keepLines/>
            </w:pPr>
            <w:r w:rsidRPr="00D41179">
              <w:t>Time horizon</w:t>
            </w:r>
          </w:p>
        </w:tc>
        <w:tc>
          <w:tcPr>
            <w:tcW w:w="3604" w:type="pct"/>
            <w:vAlign w:val="center"/>
          </w:tcPr>
          <w:p w14:paraId="5DC48F06" w14:textId="77777777" w:rsidR="00F714D1" w:rsidRPr="00D41179" w:rsidRDefault="00F714D1" w:rsidP="003C1905">
            <w:pPr>
              <w:pStyle w:val="TableText0"/>
              <w:keepNext/>
              <w:keepLines/>
            </w:pPr>
            <w:r w:rsidRPr="00D41179">
              <w:t xml:space="preserve">Lifetime with a maximum age of 100 years. </w:t>
            </w:r>
          </w:p>
        </w:tc>
      </w:tr>
      <w:tr w:rsidR="00F714D1" w:rsidRPr="00D41179" w14:paraId="37005952" w14:textId="77777777">
        <w:tc>
          <w:tcPr>
            <w:tcW w:w="1396" w:type="pct"/>
            <w:vAlign w:val="center"/>
          </w:tcPr>
          <w:p w14:paraId="692B64B3" w14:textId="77777777" w:rsidR="00F714D1" w:rsidRPr="00D41179" w:rsidRDefault="00F714D1" w:rsidP="003C1905">
            <w:pPr>
              <w:pStyle w:val="TableText0"/>
              <w:keepNext/>
              <w:keepLines/>
            </w:pPr>
            <w:r w:rsidRPr="00D41179">
              <w:t>Outcomes</w:t>
            </w:r>
          </w:p>
        </w:tc>
        <w:tc>
          <w:tcPr>
            <w:tcW w:w="3604" w:type="pct"/>
            <w:vAlign w:val="center"/>
          </w:tcPr>
          <w:p w14:paraId="40C31612" w14:textId="54DC444D" w:rsidR="00F714D1" w:rsidRPr="00D41179" w:rsidRDefault="00F714D1" w:rsidP="003C1905">
            <w:pPr>
              <w:pStyle w:val="TableLeft"/>
              <w:keepNext/>
              <w:keepLines/>
            </w:pPr>
            <w:r w:rsidRPr="00D41179">
              <w:t xml:space="preserve">Primary: QALYs, direct healthcare costs </w:t>
            </w:r>
          </w:p>
          <w:p w14:paraId="173291B9" w14:textId="77777777" w:rsidR="00F714D1" w:rsidRPr="00D41179" w:rsidRDefault="00F714D1" w:rsidP="003C1905">
            <w:pPr>
              <w:pStyle w:val="TableLeft"/>
              <w:keepNext/>
              <w:keepLines/>
            </w:pPr>
            <w:r w:rsidRPr="00D41179">
              <w:t>Secondary: LYs, HZ cases, PHN cases, non-PHN HZ-related complications, HZ-related deaths</w:t>
            </w:r>
          </w:p>
          <w:p w14:paraId="0A0D303D" w14:textId="77777777" w:rsidR="00F714D1" w:rsidRPr="00D41179" w:rsidRDefault="00F714D1" w:rsidP="003C1905">
            <w:pPr>
              <w:pStyle w:val="TableText0"/>
              <w:keepNext/>
              <w:keepLines/>
            </w:pPr>
            <w:r w:rsidRPr="00D41179">
              <w:t>Societal (supplementary): HZ-related productivity losses, indirect productivity costs</w:t>
            </w:r>
          </w:p>
        </w:tc>
      </w:tr>
      <w:tr w:rsidR="00F714D1" w:rsidRPr="00D41179" w14:paraId="5AD8E9A3" w14:textId="77777777">
        <w:tc>
          <w:tcPr>
            <w:tcW w:w="1396" w:type="pct"/>
            <w:vAlign w:val="center"/>
          </w:tcPr>
          <w:p w14:paraId="236F6B5E" w14:textId="77777777" w:rsidR="00F714D1" w:rsidRPr="00D41179" w:rsidRDefault="00F714D1" w:rsidP="003C1905">
            <w:pPr>
              <w:pStyle w:val="TableText0"/>
              <w:keepNext/>
              <w:keepLines/>
            </w:pPr>
            <w:r w:rsidRPr="00D41179">
              <w:t>Methods used to generate results</w:t>
            </w:r>
          </w:p>
        </w:tc>
        <w:tc>
          <w:tcPr>
            <w:tcW w:w="3604" w:type="pct"/>
          </w:tcPr>
          <w:p w14:paraId="0476C10E" w14:textId="77777777" w:rsidR="00F714D1" w:rsidRPr="00D41179" w:rsidRDefault="00F714D1" w:rsidP="003C1905">
            <w:pPr>
              <w:pStyle w:val="TableText0"/>
              <w:keepNext/>
              <w:keepLines/>
            </w:pPr>
            <w:r w:rsidRPr="00D41179">
              <w:t>Static multi-cohort Markov model using cohort expected values</w:t>
            </w:r>
          </w:p>
        </w:tc>
      </w:tr>
      <w:tr w:rsidR="00F714D1" w:rsidRPr="00D41179" w14:paraId="50F40DC9" w14:textId="77777777">
        <w:tc>
          <w:tcPr>
            <w:tcW w:w="1396" w:type="pct"/>
            <w:vAlign w:val="center"/>
          </w:tcPr>
          <w:p w14:paraId="4E87EADB" w14:textId="77777777" w:rsidR="00F714D1" w:rsidRPr="00D41179" w:rsidRDefault="00F714D1" w:rsidP="003C1905">
            <w:pPr>
              <w:pStyle w:val="TableText0"/>
              <w:keepNext/>
              <w:keepLines/>
            </w:pPr>
            <w:r w:rsidRPr="00D41179">
              <w:t>Health states</w:t>
            </w:r>
          </w:p>
        </w:tc>
        <w:tc>
          <w:tcPr>
            <w:tcW w:w="3604" w:type="pct"/>
            <w:vAlign w:val="center"/>
          </w:tcPr>
          <w:p w14:paraId="4F49A8D4" w14:textId="77777777" w:rsidR="00F714D1" w:rsidRPr="00D41179" w:rsidRDefault="00F714D1" w:rsidP="003C1905">
            <w:pPr>
              <w:pStyle w:val="TableLeft"/>
              <w:keepNext/>
              <w:keepLines/>
            </w:pPr>
            <w:r w:rsidRPr="00D41179">
              <w:t>No HZ or complications</w:t>
            </w:r>
          </w:p>
          <w:p w14:paraId="57DE9B9D" w14:textId="77777777" w:rsidR="00F714D1" w:rsidRPr="00D41179" w:rsidRDefault="00F714D1" w:rsidP="003C1905">
            <w:pPr>
              <w:pStyle w:val="TableLeft"/>
              <w:keepNext/>
              <w:keepLines/>
            </w:pPr>
            <w:r w:rsidRPr="00D41179">
              <w:t>HZ</w:t>
            </w:r>
          </w:p>
          <w:p w14:paraId="1204C4A2" w14:textId="77777777" w:rsidR="00F714D1" w:rsidRPr="00D41179" w:rsidRDefault="00F714D1" w:rsidP="003C1905">
            <w:pPr>
              <w:pStyle w:val="TableLeft"/>
              <w:keepNext/>
              <w:keepLines/>
            </w:pPr>
            <w:r w:rsidRPr="00D41179">
              <w:t>Recurrent HZ</w:t>
            </w:r>
          </w:p>
          <w:p w14:paraId="5BF83239" w14:textId="77777777" w:rsidR="00F714D1" w:rsidRPr="00D41179" w:rsidRDefault="00F714D1" w:rsidP="003C1905">
            <w:pPr>
              <w:pStyle w:val="TableLeft"/>
              <w:keepNext/>
              <w:keepLines/>
            </w:pPr>
            <w:r w:rsidRPr="00D41179">
              <w:t>PHN</w:t>
            </w:r>
          </w:p>
          <w:p w14:paraId="5BAB9776" w14:textId="77777777" w:rsidR="00F714D1" w:rsidRPr="00D41179" w:rsidRDefault="00F714D1" w:rsidP="003C1905">
            <w:pPr>
              <w:pStyle w:val="TableLeft"/>
              <w:keepNext/>
              <w:keepLines/>
            </w:pPr>
            <w:r w:rsidRPr="00D41179">
              <w:t>Non-PHN HZ-related complications (ocular, neurological, disseminated, cutaneous)</w:t>
            </w:r>
          </w:p>
          <w:p w14:paraId="60DE7324" w14:textId="77777777" w:rsidR="00F714D1" w:rsidRPr="00D41179" w:rsidRDefault="00F714D1" w:rsidP="003C1905">
            <w:pPr>
              <w:pStyle w:val="TableText0"/>
              <w:keepNext/>
              <w:keepLines/>
            </w:pPr>
            <w:r w:rsidRPr="00D41179">
              <w:t>Death (absorbing) – HZ-related or all-cause</w:t>
            </w:r>
          </w:p>
        </w:tc>
      </w:tr>
      <w:tr w:rsidR="00F714D1" w:rsidRPr="00D41179" w14:paraId="4E8ED67B" w14:textId="77777777">
        <w:tc>
          <w:tcPr>
            <w:tcW w:w="1396" w:type="pct"/>
            <w:vAlign w:val="center"/>
          </w:tcPr>
          <w:p w14:paraId="3DC1AC77" w14:textId="77777777" w:rsidR="00F714D1" w:rsidRPr="00D41179" w:rsidRDefault="00F714D1" w:rsidP="003C1905">
            <w:pPr>
              <w:pStyle w:val="TableText0"/>
              <w:keepNext/>
              <w:keepLines/>
            </w:pPr>
            <w:r w:rsidRPr="00D41179">
              <w:t>Cycle length</w:t>
            </w:r>
          </w:p>
        </w:tc>
        <w:tc>
          <w:tcPr>
            <w:tcW w:w="3604" w:type="pct"/>
            <w:vAlign w:val="center"/>
          </w:tcPr>
          <w:p w14:paraId="4A021FE8" w14:textId="77777777" w:rsidR="00F714D1" w:rsidRPr="00D41179" w:rsidRDefault="00F714D1" w:rsidP="003C1905">
            <w:pPr>
              <w:pStyle w:val="TableText0"/>
              <w:keepNext/>
              <w:keepLines/>
            </w:pPr>
            <w:r w:rsidRPr="00D41179">
              <w:t>One-year</w:t>
            </w:r>
          </w:p>
        </w:tc>
      </w:tr>
      <w:tr w:rsidR="00F714D1" w:rsidRPr="00D41179" w14:paraId="66363D4D" w14:textId="77777777">
        <w:tc>
          <w:tcPr>
            <w:tcW w:w="1396" w:type="pct"/>
            <w:vAlign w:val="center"/>
          </w:tcPr>
          <w:p w14:paraId="664974BD" w14:textId="1654845A" w:rsidR="00F714D1" w:rsidRPr="00D41179" w:rsidRDefault="00F714D1" w:rsidP="003C1905">
            <w:pPr>
              <w:pStyle w:val="TableText0"/>
              <w:keepNext/>
              <w:keepLines/>
            </w:pPr>
            <w:r w:rsidRPr="00D41179">
              <w:t xml:space="preserve">Transition probabilities </w:t>
            </w:r>
          </w:p>
        </w:tc>
        <w:tc>
          <w:tcPr>
            <w:tcW w:w="3604" w:type="pct"/>
            <w:vAlign w:val="center"/>
          </w:tcPr>
          <w:p w14:paraId="2B105C6A" w14:textId="77777777" w:rsidR="00F714D1" w:rsidRPr="00D41179" w:rsidRDefault="00F714D1" w:rsidP="003C1905">
            <w:pPr>
              <w:pStyle w:val="TableLeft"/>
              <w:keepNext/>
              <w:keepLines/>
            </w:pPr>
            <w:r w:rsidRPr="00D41179">
              <w:t>Age-specific annual incidence of HZ – pooled BEACH (2006-13) [risk adjustment 60-69 YOA] and Qian (2021)</w:t>
            </w:r>
          </w:p>
          <w:p w14:paraId="2DB61B9C" w14:textId="77777777" w:rsidR="00F714D1" w:rsidRPr="00D41179" w:rsidRDefault="00F714D1" w:rsidP="003C1905">
            <w:pPr>
              <w:pStyle w:val="TableLeft"/>
              <w:keepNext/>
              <w:keepLines/>
            </w:pPr>
            <w:r w:rsidRPr="00D41179">
              <w:t>Age-specific risk of developing PHN given a case of HZ – BEACH (2006-13)</w:t>
            </w:r>
          </w:p>
          <w:p w14:paraId="3E4E05FD" w14:textId="77777777" w:rsidR="00F714D1" w:rsidRPr="00D41179" w:rsidRDefault="00F714D1" w:rsidP="003C1905">
            <w:pPr>
              <w:pStyle w:val="TableLeft"/>
              <w:keepNext/>
              <w:keepLines/>
            </w:pPr>
            <w:r w:rsidRPr="00D41179">
              <w:t>Age-specific risk of non-PHN HZ-related complications – Yawn (2007)</w:t>
            </w:r>
          </w:p>
          <w:p w14:paraId="52489E57" w14:textId="77777777" w:rsidR="00F714D1" w:rsidRPr="00D41179" w:rsidRDefault="00F714D1" w:rsidP="003C1905">
            <w:pPr>
              <w:pStyle w:val="TableLeft"/>
              <w:keepNext/>
              <w:keepLines/>
            </w:pPr>
            <w:r w:rsidRPr="00D41179">
              <w:t>Age-specific HZ-related mortality – Le and Rothberg (2015)</w:t>
            </w:r>
          </w:p>
          <w:p w14:paraId="46EF4ADE" w14:textId="77777777" w:rsidR="00F714D1" w:rsidRPr="00D41179" w:rsidRDefault="00F714D1" w:rsidP="003C1905">
            <w:pPr>
              <w:pStyle w:val="TableLeft"/>
              <w:keepNext/>
              <w:keepLines/>
            </w:pPr>
            <w:r w:rsidRPr="00D41179">
              <w:t>Age-specific all-cause mortality – ABS (2024)</w:t>
            </w:r>
          </w:p>
          <w:p w14:paraId="651809A0" w14:textId="77777777" w:rsidR="00F714D1" w:rsidRPr="00D41179" w:rsidRDefault="00F714D1" w:rsidP="003C1905">
            <w:pPr>
              <w:pStyle w:val="TableText0"/>
              <w:keepNext/>
              <w:keepLines/>
            </w:pPr>
            <w:r w:rsidRPr="00D41179">
              <w:t>RZV VE</w:t>
            </w:r>
            <w:r w:rsidRPr="00D41179">
              <w:rPr>
                <w:vertAlign w:val="subscript"/>
              </w:rPr>
              <w:t xml:space="preserve">HZ </w:t>
            </w:r>
            <w:r w:rsidRPr="00D41179">
              <w:t>and VE</w:t>
            </w:r>
            <w:r w:rsidRPr="00D41179">
              <w:rPr>
                <w:vertAlign w:val="subscript"/>
              </w:rPr>
              <w:t>PHN</w:t>
            </w:r>
            <w:r w:rsidRPr="00D41179">
              <w:t>: ZOE-50/-70 trials and ZOSTER-049 LTFU study (Final Analysis)</w:t>
            </w:r>
          </w:p>
        </w:tc>
      </w:tr>
      <w:tr w:rsidR="00F714D1" w:rsidRPr="00D41179" w14:paraId="1065374D" w14:textId="77777777">
        <w:trPr>
          <w:trHeight w:val="2196"/>
        </w:trPr>
        <w:tc>
          <w:tcPr>
            <w:tcW w:w="1396" w:type="pct"/>
            <w:vAlign w:val="center"/>
          </w:tcPr>
          <w:p w14:paraId="49DAAEAE" w14:textId="77777777" w:rsidR="00F714D1" w:rsidRPr="00D41179" w:rsidRDefault="00F714D1" w:rsidP="003C1905">
            <w:pPr>
              <w:pStyle w:val="TableText0"/>
              <w:keepNext/>
              <w:keepLines/>
            </w:pPr>
            <w:r w:rsidRPr="00D41179">
              <w:t>Extrapolation method</w:t>
            </w:r>
          </w:p>
        </w:tc>
        <w:tc>
          <w:tcPr>
            <w:tcW w:w="3604" w:type="pct"/>
            <w:vAlign w:val="center"/>
          </w:tcPr>
          <w:p w14:paraId="656C1EC7" w14:textId="2B9E4559" w:rsidR="00F714D1" w:rsidRPr="00D41179" w:rsidRDefault="00F714D1" w:rsidP="003C1905">
            <w:pPr>
              <w:pStyle w:val="TableText0"/>
              <w:keepNext/>
              <w:keepLines/>
            </w:pPr>
            <w:r w:rsidRPr="00D41179">
              <w:t>2-dose VE waning:</w:t>
            </w:r>
            <w:r w:rsidR="00D41179" w:rsidRPr="00D41179">
              <w:t xml:space="preserve"> </w:t>
            </w:r>
            <w:r w:rsidRPr="00D41179">
              <w:t xml:space="preserve">annual </w:t>
            </w:r>
            <w:proofErr w:type="spellStart"/>
            <w:r w:rsidRPr="00D41179">
              <w:t>VE</w:t>
            </w:r>
            <w:r w:rsidRPr="00D41179">
              <w:rPr>
                <w:vertAlign w:val="subscript"/>
              </w:rPr>
              <w:t>hz</w:t>
            </w:r>
            <w:proofErr w:type="spellEnd"/>
            <w:r w:rsidRPr="00D41179">
              <w:t xml:space="preserve"> from the ZOE-049 trial was used to</w:t>
            </w:r>
            <w:r w:rsidR="00EA29BD">
              <w:t xml:space="preserve"> establish</w:t>
            </w:r>
            <w:r w:rsidRPr="00D41179">
              <w:t xml:space="preserve"> the 11.4-year median follow up period. Linear extrapolation was then applied beyond the follow up period.</w:t>
            </w:r>
          </w:p>
          <w:p w14:paraId="7FE5A2C3" w14:textId="77777777" w:rsidR="00F714D1" w:rsidRPr="00D41179" w:rsidRDefault="00F714D1" w:rsidP="003C1905">
            <w:pPr>
              <w:pStyle w:val="TableText0"/>
              <w:keepNext/>
              <w:keepLines/>
            </w:pPr>
          </w:p>
          <w:p w14:paraId="27A21751" w14:textId="77777777" w:rsidR="00F714D1" w:rsidRPr="00D41179" w:rsidRDefault="00F714D1" w:rsidP="003C1905">
            <w:pPr>
              <w:pStyle w:val="TableText0"/>
              <w:keepNext/>
              <w:keepLines/>
            </w:pPr>
            <w:r w:rsidRPr="00D41179">
              <w:t xml:space="preserve">1-dose VE waning: 5.4% annually in years 1-4 and 5.1% annually from years 5 onwards. Based on consistency with the March 2023 submission, in which waning was equated with ZVL waning rate. </w:t>
            </w:r>
          </w:p>
        </w:tc>
      </w:tr>
      <w:tr w:rsidR="00F714D1" w:rsidRPr="00D41179" w14:paraId="62BFFD2D" w14:textId="77777777">
        <w:tc>
          <w:tcPr>
            <w:tcW w:w="1396" w:type="pct"/>
            <w:vAlign w:val="center"/>
          </w:tcPr>
          <w:p w14:paraId="16073348" w14:textId="77777777" w:rsidR="00F714D1" w:rsidRPr="00D41179" w:rsidRDefault="00F714D1" w:rsidP="003C1905">
            <w:pPr>
              <w:pStyle w:val="TableText0"/>
              <w:keepNext/>
              <w:keepLines/>
            </w:pPr>
            <w:r w:rsidRPr="00D41179">
              <w:t>Health related quality of life</w:t>
            </w:r>
          </w:p>
        </w:tc>
        <w:tc>
          <w:tcPr>
            <w:tcW w:w="3604" w:type="pct"/>
            <w:vAlign w:val="center"/>
          </w:tcPr>
          <w:p w14:paraId="2D470E60" w14:textId="77777777" w:rsidR="00F714D1" w:rsidRPr="00D41179" w:rsidRDefault="00F714D1" w:rsidP="003C1905">
            <w:pPr>
              <w:pStyle w:val="TableText0"/>
              <w:keepNext/>
              <w:keepLines/>
            </w:pPr>
            <w:r w:rsidRPr="00D41179">
              <w:t>Baseline utilities: Redwood (2024)</w:t>
            </w:r>
          </w:p>
          <w:p w14:paraId="19FF3BB7" w14:textId="77777777" w:rsidR="00F714D1" w:rsidRPr="00D41179" w:rsidRDefault="00F714D1" w:rsidP="003C1905">
            <w:pPr>
              <w:pStyle w:val="TableText0"/>
              <w:keepNext/>
              <w:keepLines/>
            </w:pPr>
          </w:p>
          <w:p w14:paraId="6FA28FDA" w14:textId="77777777" w:rsidR="00F714D1" w:rsidRPr="00D41179" w:rsidRDefault="00F714D1" w:rsidP="003C1905">
            <w:pPr>
              <w:pStyle w:val="TableLeft"/>
              <w:keepNext/>
              <w:keepLines/>
            </w:pPr>
            <w:r w:rsidRPr="00D41179">
              <w:t>HZ related disease: Curran (2017a), Gater (2014), Serpell (2014)</w:t>
            </w:r>
          </w:p>
          <w:p w14:paraId="4A759D20" w14:textId="0F54FC46" w:rsidR="00F714D1" w:rsidRPr="00D41179" w:rsidRDefault="00F714D1" w:rsidP="003C1905">
            <w:pPr>
              <w:pStyle w:val="TableLeft"/>
              <w:keepNext/>
              <w:keepLines/>
            </w:pPr>
            <w:r w:rsidRPr="00D41179">
              <w:t xml:space="preserve">Differential QALY loss per breakthrough HZ case: </w:t>
            </w:r>
            <w:proofErr w:type="spellStart"/>
            <w:r w:rsidRPr="00D41179">
              <w:t>Gianelos</w:t>
            </w:r>
            <w:proofErr w:type="spellEnd"/>
            <w:r w:rsidRPr="00D41179">
              <w:t xml:space="preserve"> (2024)</w:t>
            </w:r>
            <w:r w:rsidR="007E5193" w:rsidRPr="00D41179">
              <w:t xml:space="preserve">. The ESC noted the previous economic model did not assume different QALY loss for vaccinated and unvaccinated cases. </w:t>
            </w:r>
          </w:p>
          <w:p w14:paraId="1D19A314" w14:textId="77777777" w:rsidR="00F714D1" w:rsidRPr="00D41179" w:rsidRDefault="00F714D1" w:rsidP="003C1905">
            <w:pPr>
              <w:pStyle w:val="TableLeft"/>
              <w:keepNext/>
              <w:keepLines/>
            </w:pPr>
          </w:p>
          <w:p w14:paraId="7B91F08E" w14:textId="77777777" w:rsidR="00F714D1" w:rsidRPr="00D41179" w:rsidRDefault="00F714D1" w:rsidP="003C1905">
            <w:pPr>
              <w:pStyle w:val="TableLeft"/>
              <w:keepNext/>
              <w:keepLines/>
            </w:pPr>
            <w:r w:rsidRPr="00D41179">
              <w:t>Vaccine related AEs: Schmader (2019)</w:t>
            </w:r>
          </w:p>
          <w:p w14:paraId="28C683EE" w14:textId="77777777" w:rsidR="00F714D1" w:rsidRPr="00D41179" w:rsidRDefault="00F714D1" w:rsidP="003C1905">
            <w:pPr>
              <w:pStyle w:val="TableText0"/>
              <w:keepNext/>
              <w:keepLines/>
            </w:pPr>
          </w:p>
        </w:tc>
      </w:tr>
    </w:tbl>
    <w:p w14:paraId="7A609EA1" w14:textId="77777777" w:rsidR="00F714D1" w:rsidRPr="00D41179" w:rsidRDefault="00F714D1" w:rsidP="003C1905">
      <w:pPr>
        <w:pStyle w:val="FooterTableFigure"/>
        <w:keepNext/>
        <w:keepLines/>
      </w:pPr>
      <w:r w:rsidRPr="00D41179">
        <w:t xml:space="preserve">Source: Table 3-3, p161 of the submission, </w:t>
      </w:r>
    </w:p>
    <w:p w14:paraId="3F7033E5" w14:textId="7AF79686" w:rsidR="00FA36B3" w:rsidRPr="00D41179" w:rsidRDefault="00F714D1" w:rsidP="003C1905">
      <w:pPr>
        <w:pStyle w:val="FooterTableFigure"/>
        <w:keepNext/>
        <w:keepLines/>
      </w:pPr>
      <w:r w:rsidRPr="00D41179">
        <w:t>ABS</w:t>
      </w:r>
      <w:r w:rsidR="003B5DA1" w:rsidRPr="00D41179">
        <w:t xml:space="preserve"> = </w:t>
      </w:r>
      <w:r w:rsidRPr="00D41179">
        <w:t>Australian Bureau of Statistics; AE</w:t>
      </w:r>
      <w:r w:rsidR="003B5DA1" w:rsidRPr="00D41179">
        <w:t xml:space="preserve"> = </w:t>
      </w:r>
      <w:r w:rsidRPr="00D41179">
        <w:t>adverse event; HZ</w:t>
      </w:r>
      <w:r w:rsidR="003B5DA1" w:rsidRPr="00D41179">
        <w:t xml:space="preserve"> = </w:t>
      </w:r>
      <w:r w:rsidRPr="00D41179">
        <w:t>herpes zoster; ICER</w:t>
      </w:r>
      <w:r w:rsidR="003B5DA1" w:rsidRPr="00D41179">
        <w:t xml:space="preserve"> = </w:t>
      </w:r>
      <w:r w:rsidRPr="00D41179">
        <w:t>incremental cost-effectiveness ratio; LTFU</w:t>
      </w:r>
      <w:r w:rsidR="003B5DA1" w:rsidRPr="00D41179">
        <w:t xml:space="preserve"> = </w:t>
      </w:r>
      <w:r w:rsidRPr="00D41179">
        <w:t>long-term follow-up PHN</w:t>
      </w:r>
      <w:r w:rsidR="003B5DA1" w:rsidRPr="00D41179">
        <w:t xml:space="preserve"> = </w:t>
      </w:r>
      <w:r w:rsidRPr="00D41179">
        <w:t>post-herpetic neuralgia; QALY</w:t>
      </w:r>
      <w:r w:rsidR="003B5DA1" w:rsidRPr="00D41179">
        <w:t xml:space="preserve"> = </w:t>
      </w:r>
      <w:r w:rsidRPr="00D41179">
        <w:t>quality-adjusted life year; RZV</w:t>
      </w:r>
      <w:r w:rsidR="003B5DA1" w:rsidRPr="00D41179">
        <w:t xml:space="preserve"> = </w:t>
      </w:r>
      <w:r w:rsidRPr="00D41179">
        <w:t>recombinant zoster vaccine; VE vaccine efficacy</w:t>
      </w:r>
      <w:r w:rsidR="00F351D7" w:rsidRPr="00D41179">
        <w:t>; ZVL = zo</w:t>
      </w:r>
      <w:r w:rsidR="006B751D" w:rsidRPr="00D41179">
        <w:t>ster vaccine live</w:t>
      </w:r>
      <w:r w:rsidRPr="00D41179">
        <w:t>.</w:t>
      </w:r>
    </w:p>
    <w:p w14:paraId="7C3A37B2" w14:textId="57BFF32F" w:rsidR="00F714D1" w:rsidRPr="00D41179" w:rsidRDefault="00F714D1" w:rsidP="00F714D1">
      <w:pPr>
        <w:pStyle w:val="3-BodyText"/>
        <w:rPr>
          <w:i/>
          <w:iCs/>
          <w:u w:val="single"/>
        </w:rPr>
      </w:pPr>
      <w:r w:rsidRPr="00D41179">
        <w:t xml:space="preserve">The submission presented a base-case </w:t>
      </w:r>
      <w:r w:rsidR="00FD1DDC" w:rsidRPr="00D41179">
        <w:t xml:space="preserve">model applying a </w:t>
      </w:r>
      <w:r w:rsidRPr="00D41179">
        <w:t>discount rate of 3.5% for costs and outcomes. The reduced discount rate was favourable to the intervention. When a discount rate of 5% was applied the ICER increased from $</w:t>
      </w:r>
      <w:r w:rsidR="00FA3EF3" w:rsidRPr="00D41179">
        <w:t>15,000 to &lt; $25,000</w:t>
      </w:r>
      <w:r w:rsidR="00B16E83">
        <w:t xml:space="preserve"> </w:t>
      </w:r>
      <w:r w:rsidRPr="00D41179">
        <w:t>per QALY gained to $</w:t>
      </w:r>
      <w:r w:rsidR="00FA3EF3" w:rsidRPr="00D41179">
        <w:t>15,000 to &lt; $25,000</w:t>
      </w:r>
      <w:r w:rsidRPr="00D41179">
        <w:t xml:space="preserve"> (+</w:t>
      </w:r>
      <w:r w:rsidR="000E1EB2" w:rsidRPr="000E1EB2">
        <w:rPr>
          <w:sz w:val="2"/>
          <w:highlight w:val="black"/>
        </w:rPr>
        <w:t>redacted content</w:t>
      </w:r>
      <w:r w:rsidRPr="00D41179">
        <w:t xml:space="preserve">%). A revised base-case using a discount rate of 5% for costs and outcomes </w:t>
      </w:r>
      <w:r w:rsidR="00D82793" w:rsidRPr="00D41179">
        <w:t xml:space="preserve">(consistent with PBAC Guidelines) </w:t>
      </w:r>
      <w:r w:rsidRPr="00D41179">
        <w:t xml:space="preserve">is presented </w:t>
      </w:r>
      <w:r w:rsidR="002F6440" w:rsidRPr="00D41179">
        <w:t>herein</w:t>
      </w:r>
      <w:r w:rsidRPr="00D41179">
        <w:t xml:space="preserve">. </w:t>
      </w:r>
      <w:r w:rsidR="00F73A23" w:rsidRPr="00D41179">
        <w:lastRenderedPageBreak/>
        <w:t xml:space="preserve">The PSCR reiterated the importance of using a lower discount rate for </w:t>
      </w:r>
      <w:r w:rsidR="0084338E" w:rsidRPr="00D41179">
        <w:t>health technologies that have upfront costs and benefits that accrue over a long period.</w:t>
      </w:r>
      <w:r w:rsidR="00D41179" w:rsidRPr="00D41179">
        <w:rPr>
          <w:u w:val="single"/>
        </w:rPr>
        <w:t xml:space="preserve"> </w:t>
      </w:r>
    </w:p>
    <w:p w14:paraId="30B2A41C" w14:textId="77777777" w:rsidR="007020F6" w:rsidRPr="00D41179" w:rsidRDefault="007020F6" w:rsidP="00934406">
      <w:pPr>
        <w:rPr>
          <w:b/>
          <w:bCs/>
        </w:rPr>
      </w:pPr>
    </w:p>
    <w:p w14:paraId="70131C1C" w14:textId="07D90EC4" w:rsidR="005D6871" w:rsidRPr="00D41179" w:rsidRDefault="00C72FBC" w:rsidP="00934406">
      <w:pPr>
        <w:rPr>
          <w:i/>
          <w:iCs/>
          <w:u w:val="single"/>
        </w:rPr>
      </w:pPr>
      <w:r w:rsidRPr="00D41179">
        <w:rPr>
          <w:b/>
          <w:bCs/>
        </w:rPr>
        <w:t>Model Inputs</w:t>
      </w:r>
      <w:r w:rsidR="001A153B" w:rsidRPr="00D41179">
        <w:rPr>
          <w:b/>
          <w:bCs/>
        </w:rPr>
        <w:t>: Incidence</w:t>
      </w:r>
      <w:r w:rsidR="00C93F5D" w:rsidRPr="00D41179">
        <w:rPr>
          <w:b/>
          <w:bCs/>
        </w:rPr>
        <w:t xml:space="preserve"> </w:t>
      </w:r>
    </w:p>
    <w:p w14:paraId="6077A6BE" w14:textId="7579A338" w:rsidR="00F714D1" w:rsidRPr="00D41179" w:rsidRDefault="00F714D1" w:rsidP="00F714D1">
      <w:pPr>
        <w:pStyle w:val="3-BodyText"/>
      </w:pPr>
      <w:r w:rsidRPr="00D41179">
        <w:t xml:space="preserve">HZ incidence in the economic model was based on a pooled estimate from MacIntyre (2015) and Qian (2021). </w:t>
      </w:r>
      <w:r w:rsidR="00A96BE0" w:rsidRPr="00D41179">
        <w:t>This was revised from</w:t>
      </w:r>
      <w:r w:rsidRPr="00D41179">
        <w:t xml:space="preserve"> previous submissions, </w:t>
      </w:r>
      <w:r w:rsidR="00A96BE0" w:rsidRPr="00D41179">
        <w:t xml:space="preserve">in which </w:t>
      </w:r>
      <w:r w:rsidRPr="00D41179">
        <w:t>HZ incidence was based on Macintyre (2015) alone. ATAGI previously noted that “</w:t>
      </w:r>
      <w:r w:rsidRPr="00D41179">
        <w:rPr>
          <w:lang w:val="en-GB"/>
        </w:rPr>
        <w:t>the magnitude of difference in the critical Australian HZ incidence data of MacIntyre (2015), Qian (2021), and Lin (2022), suggested that</w:t>
      </w:r>
      <w:r w:rsidRPr="00D41179">
        <w:t xml:space="preserve"> </w:t>
      </w:r>
      <w:r w:rsidRPr="00D41179">
        <w:rPr>
          <w:lang w:val="en-GB"/>
        </w:rPr>
        <w:t xml:space="preserve">BEACH </w:t>
      </w:r>
      <w:r w:rsidR="002F6440" w:rsidRPr="00D41179">
        <w:rPr>
          <w:lang w:val="en-GB"/>
        </w:rPr>
        <w:t xml:space="preserve">[MacIntyre] </w:t>
      </w:r>
      <w:r w:rsidRPr="00D41179">
        <w:rPr>
          <w:lang w:val="en-GB"/>
        </w:rPr>
        <w:t xml:space="preserve">data may overestimate HZ incidence” (ATAGI pre-PBAC advice, 2022) and further suggested that incidence rates from </w:t>
      </w:r>
      <w:proofErr w:type="spellStart"/>
      <w:r w:rsidRPr="00D41179">
        <w:rPr>
          <w:lang w:val="en-GB"/>
        </w:rPr>
        <w:t>MacItnyre</w:t>
      </w:r>
      <w:proofErr w:type="spellEnd"/>
      <w:r w:rsidRPr="00D41179">
        <w:rPr>
          <w:lang w:val="en-GB"/>
        </w:rPr>
        <w:t xml:space="preserve"> (2015), Qian (2021), and Lin (2022) be combined to create a single pooled estimate. </w:t>
      </w:r>
      <w:r w:rsidR="00AE562C" w:rsidRPr="00D41179">
        <w:rPr>
          <w:lang w:val="en-GB"/>
        </w:rPr>
        <w:t>However</w:t>
      </w:r>
      <w:r w:rsidR="0061286E" w:rsidRPr="00D41179">
        <w:rPr>
          <w:lang w:val="en-GB"/>
        </w:rPr>
        <w:t>,</w:t>
      </w:r>
      <w:r w:rsidR="00AE562C" w:rsidRPr="00D41179">
        <w:rPr>
          <w:lang w:val="en-GB"/>
        </w:rPr>
        <w:t xml:space="preserve"> ATAGI acknowledged limitations </w:t>
      </w:r>
      <w:r w:rsidR="008D001D" w:rsidRPr="00D41179">
        <w:rPr>
          <w:lang w:val="en-GB"/>
        </w:rPr>
        <w:t xml:space="preserve">of the </w:t>
      </w:r>
      <w:r w:rsidR="0061286E" w:rsidRPr="00D41179">
        <w:rPr>
          <w:lang w:val="en-GB"/>
        </w:rPr>
        <w:t>Lin (2022) (</w:t>
      </w:r>
      <w:proofErr w:type="spellStart"/>
      <w:r w:rsidR="0061286E" w:rsidRPr="00D41179">
        <w:rPr>
          <w:lang w:val="en-GB"/>
        </w:rPr>
        <w:t>MedicineInsight</w:t>
      </w:r>
      <w:proofErr w:type="spellEnd"/>
      <w:r w:rsidR="0061286E" w:rsidRPr="00D41179">
        <w:rPr>
          <w:lang w:val="en-GB"/>
        </w:rPr>
        <w:t>) data raised by the submission and</w:t>
      </w:r>
      <w:r w:rsidR="00A96BE0" w:rsidRPr="00D41179">
        <w:rPr>
          <w:lang w:val="en-GB"/>
        </w:rPr>
        <w:t xml:space="preserve"> noted that </w:t>
      </w:r>
      <w:r w:rsidR="00AE562C" w:rsidRPr="00D41179">
        <w:rPr>
          <w:color w:val="000000" w:themeColor="text1"/>
          <w:lang w:val="en-GB"/>
        </w:rPr>
        <w:t>“</w:t>
      </w:r>
      <w:r w:rsidRPr="00D41179">
        <w:rPr>
          <w:color w:val="000000" w:themeColor="text1"/>
          <w:lang w:val="en-GB"/>
        </w:rPr>
        <w:t xml:space="preserve">due to the sponsor's concerns about the </w:t>
      </w:r>
      <w:proofErr w:type="spellStart"/>
      <w:r w:rsidRPr="00D41179">
        <w:rPr>
          <w:color w:val="000000" w:themeColor="text1"/>
          <w:lang w:val="en-GB"/>
        </w:rPr>
        <w:t>MedicineInsight</w:t>
      </w:r>
      <w:proofErr w:type="spellEnd"/>
      <w:r w:rsidRPr="00D41179">
        <w:rPr>
          <w:color w:val="000000" w:themeColor="text1"/>
          <w:lang w:val="en-GB"/>
        </w:rPr>
        <w:t xml:space="preserve"> data pooling the BEACH and Qian 2021 would be acceptable” (ATAGI pre-PBAC advice, April 2025).</w:t>
      </w:r>
      <w:r w:rsidRPr="00D41179">
        <w:rPr>
          <w:i/>
          <w:iCs/>
          <w:color w:val="000000" w:themeColor="text1"/>
          <w:lang w:val="en-GB"/>
        </w:rPr>
        <w:t xml:space="preserve"> </w:t>
      </w:r>
    </w:p>
    <w:p w14:paraId="6944A342" w14:textId="4260D91A" w:rsidR="00F714D1" w:rsidRPr="00D41179" w:rsidRDefault="00F714D1" w:rsidP="00F714D1">
      <w:pPr>
        <w:pStyle w:val="3-BodyText"/>
      </w:pPr>
      <w:r w:rsidRPr="00D41179">
        <w:t xml:space="preserve">The </w:t>
      </w:r>
      <w:r w:rsidR="00455B75" w:rsidRPr="00D41179">
        <w:t xml:space="preserve">evaluation noted the </w:t>
      </w:r>
      <w:r w:rsidRPr="00D41179">
        <w:t>pooled estimate</w:t>
      </w:r>
      <w:r w:rsidR="00455B75" w:rsidRPr="00D41179">
        <w:t xml:space="preserve"> (MacIntyre (2015) and Qian (2021)</w:t>
      </w:r>
      <w:r w:rsidRPr="00D41179">
        <w:t xml:space="preserve"> </w:t>
      </w:r>
      <w:r w:rsidR="0025190E" w:rsidRPr="00D41179">
        <w:t>results in a lower incidence than the previous submission.</w:t>
      </w:r>
      <w:r w:rsidR="0025190E" w:rsidRPr="00D41179">
        <w:rPr>
          <w:i/>
          <w:iCs/>
        </w:rPr>
        <w:t xml:space="preserve"> </w:t>
      </w:r>
      <w:r w:rsidRPr="00D41179">
        <w:t xml:space="preserve">However, </w:t>
      </w:r>
      <w:r w:rsidR="001A650C" w:rsidRPr="00D41179">
        <w:t xml:space="preserve">HZ incidence remains uncertain and </w:t>
      </w:r>
      <w:r w:rsidRPr="00D41179">
        <w:t>the variation in incidence estimates</w:t>
      </w:r>
      <w:r w:rsidR="0008070D" w:rsidRPr="00D41179">
        <w:t xml:space="preserve"> is a source of</w:t>
      </w:r>
      <w:r w:rsidRPr="00D41179">
        <w:t xml:space="preserve"> </w:t>
      </w:r>
      <w:proofErr w:type="gramStart"/>
      <w:r w:rsidRPr="00D41179">
        <w:t>uncertainty</w:t>
      </w:r>
      <w:proofErr w:type="gramEnd"/>
      <w:r w:rsidR="00D94B23" w:rsidRPr="00D41179">
        <w:t xml:space="preserve"> and the </w:t>
      </w:r>
      <w:r w:rsidRPr="00D41179">
        <w:t>economic model was highly sensitive to this parameter</w:t>
      </w:r>
      <w:r w:rsidR="00D94B23" w:rsidRPr="00D41179">
        <w:t>.</w:t>
      </w:r>
      <w:r w:rsidRPr="00D41179">
        <w:t xml:space="preserve"> </w:t>
      </w:r>
    </w:p>
    <w:p w14:paraId="09380BD2" w14:textId="11D51220" w:rsidR="00F714D1" w:rsidRPr="00D41179" w:rsidRDefault="00F714D1" w:rsidP="00F714D1">
      <w:pPr>
        <w:pStyle w:val="3-BodyText"/>
        <w:rPr>
          <w:lang w:val="en-GB"/>
        </w:rPr>
      </w:pPr>
      <w:r w:rsidRPr="00D41179">
        <w:rPr>
          <w:color w:val="000000" w:themeColor="text1"/>
        </w:rPr>
        <w:t>The incidence of PHN per case of HZ was based on MacIntyre (2015)</w:t>
      </w:r>
      <w:r w:rsidRPr="00D41179">
        <w:rPr>
          <w:lang w:val="en-GB"/>
        </w:rPr>
        <w:t xml:space="preserve">. </w:t>
      </w:r>
      <w:r w:rsidR="00E62195" w:rsidRPr="00D41179">
        <w:rPr>
          <w:lang w:val="en-GB"/>
        </w:rPr>
        <w:t xml:space="preserve">The approach for estimating </w:t>
      </w:r>
      <w:r w:rsidR="006C7AF2" w:rsidRPr="00D41179">
        <w:rPr>
          <w:lang w:val="en-GB"/>
        </w:rPr>
        <w:t xml:space="preserve">PHN incidence is unchanged from previous submission. </w:t>
      </w:r>
      <w:r w:rsidRPr="00D41179">
        <w:rPr>
          <w:lang w:val="en-GB"/>
        </w:rPr>
        <w:t xml:space="preserve">The rates from MacIntyre (2015) were higher than international estimates identified in the literature review. ATAGI considered that “MacIntyre (2015) is the most recent Australian data. It seems reasonable to use this data. PHN incidence could be derived as a % of the HZ incidence (rather than the absolute PHN incidence)” (ATAGI pre-PBAC advice, October 2022). However, due to methodological issues associated with BEACH data, the incidence of PHN is likely to be an overestimate. </w:t>
      </w:r>
      <w:r w:rsidR="000831AE" w:rsidRPr="00D41179">
        <w:rPr>
          <w:lang w:val="en-GB"/>
        </w:rPr>
        <w:t xml:space="preserve">PHN incidence was estimated per case of </w:t>
      </w:r>
      <w:r w:rsidR="0025190E" w:rsidRPr="00D41179">
        <w:rPr>
          <w:lang w:val="en-GB"/>
        </w:rPr>
        <w:t>HZ</w:t>
      </w:r>
      <w:r w:rsidR="006A1E66" w:rsidRPr="00D41179">
        <w:rPr>
          <w:lang w:val="en-GB"/>
        </w:rPr>
        <w:t>.</w:t>
      </w:r>
      <w:r w:rsidR="000831AE" w:rsidRPr="00D41179">
        <w:rPr>
          <w:lang w:val="en-GB"/>
        </w:rPr>
        <w:t xml:space="preserve"> </w:t>
      </w:r>
      <w:r w:rsidR="006A1E66" w:rsidRPr="00D41179">
        <w:rPr>
          <w:lang w:val="en-GB"/>
        </w:rPr>
        <w:t>A</w:t>
      </w:r>
      <w:r w:rsidRPr="00D41179">
        <w:rPr>
          <w:lang w:val="en-GB"/>
        </w:rPr>
        <w:t xml:space="preserve">s the submission has applied a pooled estimate for HZ incidence, the absolute number of PHN cases in the economic model is lower than in previous submissions. Despite this, PHN incidence estimates remain overestimated in the economic model, which is favourable to the intervention. </w:t>
      </w:r>
    </w:p>
    <w:p w14:paraId="6AA3B0D8" w14:textId="77777777" w:rsidR="00C9011E" w:rsidRPr="00D41179" w:rsidRDefault="00C9011E" w:rsidP="00C9011E">
      <w:pPr>
        <w:rPr>
          <w:b/>
          <w:bCs/>
        </w:rPr>
      </w:pPr>
      <w:r w:rsidRPr="00D41179">
        <w:rPr>
          <w:b/>
          <w:bCs/>
        </w:rPr>
        <w:t>Model inputs: compliance</w:t>
      </w:r>
    </w:p>
    <w:p w14:paraId="5695B562" w14:textId="0BEBA96F" w:rsidR="00C9011E" w:rsidRPr="00D41179" w:rsidRDefault="00C9011E" w:rsidP="00C9011E">
      <w:pPr>
        <w:pStyle w:val="3-BodyText"/>
        <w:rPr>
          <w:lang w:val="en-GB"/>
        </w:rPr>
      </w:pPr>
      <w:r w:rsidRPr="00D41179">
        <w:rPr>
          <w:lang w:val="en-GB"/>
        </w:rPr>
        <w:t xml:space="preserve">The economic model applied a two-dose compliance estimate of 82% for both cohorts derived from </w:t>
      </w:r>
      <w:r w:rsidRPr="00D41179">
        <w:t>data from the 3 post-marketing studies. The ATAGI AIR data reported that crude 2-dose completion was 79.7%. The submission noted that this calculation will underestimate series completion rates as it does not account for individuals who have received RZV within the previous 1-5 months and thus have not had an opportunity to receive the 2</w:t>
      </w:r>
      <w:r w:rsidRPr="00D41179">
        <w:rPr>
          <w:vertAlign w:val="superscript"/>
        </w:rPr>
        <w:t>nd</w:t>
      </w:r>
      <w:r w:rsidRPr="00D41179">
        <w:t xml:space="preserve"> dose of RZV.</w:t>
      </w:r>
      <w:r w:rsidR="00D41179" w:rsidRPr="00D41179">
        <w:t xml:space="preserve"> </w:t>
      </w:r>
      <w:r w:rsidRPr="00D41179">
        <w:t xml:space="preserve">The AIR data likely remain the most appropriate source of compliance data. The PSCR provided a revised economic model that assumed 2 dose compliance in individuals aged 60 to 64 years was 80.3% (compared to 82.0% in individuals aged </w:t>
      </w:r>
      <w:r w:rsidRPr="00D41179">
        <w:rPr>
          <w:rFonts w:cstheme="minorHAnsi"/>
        </w:rPr>
        <w:t>≥</w:t>
      </w:r>
      <w:r w:rsidRPr="00D41179">
        <w:t xml:space="preserve"> 65 years) (see paragraph </w:t>
      </w:r>
      <w:r w:rsidR="003F79FF" w:rsidRPr="00D41179">
        <w:fldChar w:fldCharType="begin"/>
      </w:r>
      <w:r w:rsidR="003F79FF" w:rsidRPr="00D41179">
        <w:instrText xml:space="preserve"> REF _Ref222927566 \r \h </w:instrText>
      </w:r>
      <w:r w:rsidR="00D41179">
        <w:instrText xml:space="preserve"> \* MERGEFORMAT </w:instrText>
      </w:r>
      <w:r w:rsidR="003F79FF" w:rsidRPr="00D41179">
        <w:fldChar w:fldCharType="separate"/>
      </w:r>
      <w:r w:rsidR="00DE18E1">
        <w:t>6.63</w:t>
      </w:r>
      <w:r w:rsidR="003F79FF" w:rsidRPr="00D41179">
        <w:fldChar w:fldCharType="end"/>
      </w:r>
      <w:r w:rsidRPr="00D41179">
        <w:t>).</w:t>
      </w:r>
    </w:p>
    <w:p w14:paraId="3AF9E91C" w14:textId="2C0CC1E3" w:rsidR="00223DDB" w:rsidRPr="00D41179" w:rsidRDefault="00223DDB" w:rsidP="00406AC1">
      <w:pPr>
        <w:spacing w:after="120"/>
        <w:rPr>
          <w:b/>
          <w:bCs/>
        </w:rPr>
      </w:pPr>
      <w:r w:rsidRPr="00D41179">
        <w:rPr>
          <w:b/>
          <w:bCs/>
        </w:rPr>
        <w:lastRenderedPageBreak/>
        <w:t>Model inputs: VE and Waning</w:t>
      </w:r>
    </w:p>
    <w:p w14:paraId="162D1160" w14:textId="35F902C4" w:rsidR="009664FC" w:rsidRPr="00D41179" w:rsidRDefault="00BE6A61" w:rsidP="009664FC">
      <w:pPr>
        <w:pStyle w:val="3-BodyText"/>
        <w:rPr>
          <w:lang w:val="en-GB"/>
        </w:rPr>
      </w:pPr>
      <w:r w:rsidRPr="00D41179">
        <w:rPr>
          <w:lang w:val="en-GB"/>
        </w:rPr>
        <w:t xml:space="preserve">A comparison of model inputs for one dose and two dose VE and waning is provided in </w:t>
      </w:r>
      <w:r w:rsidRPr="00D41179">
        <w:rPr>
          <w:lang w:val="en-GB"/>
        </w:rPr>
        <w:fldChar w:fldCharType="begin"/>
      </w:r>
      <w:r w:rsidRPr="00D41179">
        <w:rPr>
          <w:lang w:val="en-GB"/>
        </w:rPr>
        <w:instrText xml:space="preserve"> REF _Ref211240336 \h  \* MERGEFORMAT </w:instrText>
      </w:r>
      <w:r w:rsidRPr="00D41179">
        <w:rPr>
          <w:lang w:val="en-GB"/>
        </w:rPr>
      </w:r>
      <w:r w:rsidRPr="00D41179">
        <w:rPr>
          <w:lang w:val="en-GB"/>
        </w:rPr>
        <w:fldChar w:fldCharType="separate"/>
      </w:r>
      <w:r w:rsidR="00E7345C" w:rsidRPr="00D41179">
        <w:rPr>
          <w:lang w:val="en-GB"/>
        </w:rPr>
        <w:t>Table 10</w:t>
      </w:r>
      <w:r w:rsidRPr="00D41179">
        <w:rPr>
          <w:lang w:val="en-GB"/>
        </w:rPr>
        <w:fldChar w:fldCharType="end"/>
      </w:r>
      <w:r w:rsidRPr="00D41179">
        <w:rPr>
          <w:lang w:val="en-GB"/>
        </w:rPr>
        <w:t>.</w:t>
      </w:r>
    </w:p>
    <w:p w14:paraId="34B4030C" w14:textId="51A855B3" w:rsidR="009664FC" w:rsidRPr="00D41179" w:rsidRDefault="009664FC" w:rsidP="009664FC">
      <w:pPr>
        <w:spacing w:after="40"/>
        <w:jc w:val="left"/>
        <w:rPr>
          <w:rFonts w:ascii="Arial Narrow" w:eastAsiaTheme="minorHAnsi" w:hAnsi="Arial Narrow" w:cstheme="minorBidi"/>
          <w:b/>
          <w:sz w:val="20"/>
          <w:szCs w:val="22"/>
          <w:lang w:eastAsia="en-US"/>
        </w:rPr>
      </w:pPr>
      <w:bookmarkStart w:id="48" w:name="_Ref211240336"/>
      <w:r w:rsidRPr="00D41179">
        <w:rPr>
          <w:rFonts w:ascii="Arial Narrow" w:eastAsiaTheme="minorHAnsi" w:hAnsi="Arial Narrow" w:cstheme="minorBidi"/>
          <w:b/>
          <w:sz w:val="20"/>
          <w:szCs w:val="22"/>
          <w:lang w:eastAsia="en-US"/>
        </w:rPr>
        <w:t xml:space="preserve">Table </w:t>
      </w:r>
      <w:r w:rsidRPr="00D41179">
        <w:rPr>
          <w:rFonts w:ascii="Arial Narrow" w:eastAsiaTheme="minorHAnsi" w:hAnsi="Arial Narrow" w:cstheme="minorBidi"/>
          <w:b/>
          <w:sz w:val="20"/>
          <w:szCs w:val="22"/>
          <w:lang w:eastAsia="en-US"/>
        </w:rPr>
        <w:fldChar w:fldCharType="begin"/>
      </w:r>
      <w:r w:rsidRPr="00D41179">
        <w:rPr>
          <w:rFonts w:ascii="Arial Narrow" w:eastAsiaTheme="minorHAnsi" w:hAnsi="Arial Narrow" w:cstheme="minorBidi"/>
          <w:b/>
          <w:sz w:val="20"/>
          <w:szCs w:val="22"/>
          <w:lang w:eastAsia="en-US"/>
        </w:rPr>
        <w:instrText xml:space="preserve"> SEQ Table \* ARABIC </w:instrText>
      </w:r>
      <w:r w:rsidRPr="00D41179">
        <w:rPr>
          <w:rFonts w:ascii="Arial Narrow" w:eastAsiaTheme="minorHAnsi" w:hAnsi="Arial Narrow" w:cstheme="minorBidi"/>
          <w:b/>
          <w:sz w:val="20"/>
          <w:szCs w:val="22"/>
          <w:lang w:eastAsia="en-US"/>
        </w:rPr>
        <w:fldChar w:fldCharType="separate"/>
      </w:r>
      <w:r w:rsidR="00E7345C" w:rsidRPr="00D41179">
        <w:rPr>
          <w:rFonts w:ascii="Arial Narrow" w:eastAsiaTheme="minorHAnsi" w:hAnsi="Arial Narrow" w:cstheme="minorBidi"/>
          <w:b/>
          <w:noProof/>
          <w:sz w:val="20"/>
          <w:szCs w:val="22"/>
          <w:lang w:eastAsia="en-US"/>
        </w:rPr>
        <w:t>10</w:t>
      </w:r>
      <w:r w:rsidRPr="00D41179">
        <w:rPr>
          <w:rFonts w:ascii="Arial Narrow" w:eastAsiaTheme="minorHAnsi" w:hAnsi="Arial Narrow" w:cstheme="minorBidi"/>
          <w:b/>
          <w:sz w:val="20"/>
          <w:szCs w:val="22"/>
          <w:lang w:eastAsia="en-US"/>
        </w:rPr>
        <w:fldChar w:fldCharType="end"/>
      </w:r>
      <w:bookmarkEnd w:id="48"/>
      <w:r w:rsidRPr="00D41179">
        <w:rPr>
          <w:rFonts w:ascii="Arial Narrow" w:eastAsiaTheme="minorHAnsi" w:hAnsi="Arial Narrow" w:cstheme="minorBidi"/>
          <w:b/>
          <w:sz w:val="20"/>
          <w:szCs w:val="22"/>
          <w:lang w:eastAsia="en-US"/>
        </w:rPr>
        <w:t>:</w:t>
      </w:r>
      <w:r w:rsidRPr="00D41179">
        <w:rPr>
          <w:rStyle w:val="CommentReference"/>
          <w:szCs w:val="24"/>
        </w:rPr>
        <w:t xml:space="preserve"> </w:t>
      </w:r>
      <w:r w:rsidRPr="00D41179">
        <w:rPr>
          <w:rFonts w:ascii="Arial Narrow" w:eastAsiaTheme="minorHAnsi" w:hAnsi="Arial Narrow" w:cstheme="minorBidi"/>
          <w:b/>
          <w:sz w:val="20"/>
          <w:szCs w:val="22"/>
          <w:lang w:eastAsia="en-US"/>
        </w:rPr>
        <w:t>Summary of model inputs for 1-dose and 2-dose RZV previous vs current submission</w:t>
      </w:r>
    </w:p>
    <w:tbl>
      <w:tblPr>
        <w:tblStyle w:val="GridTable1Light"/>
        <w:tblW w:w="5000" w:type="pct"/>
        <w:tblLook w:val="04A0" w:firstRow="1" w:lastRow="0" w:firstColumn="1" w:lastColumn="0" w:noHBand="0" w:noVBand="1"/>
        <w:tblCaption w:val="Table 10: Summary of model inputs for 1-dose and 2-dose RZV previous vs current submission"/>
      </w:tblPr>
      <w:tblGrid>
        <w:gridCol w:w="3005"/>
        <w:gridCol w:w="3004"/>
        <w:gridCol w:w="3008"/>
      </w:tblGrid>
      <w:tr w:rsidR="009664FC" w:rsidRPr="00D41179" w14:paraId="06FD2E56" w14:textId="77777777" w:rsidTr="005D3D93">
        <w:trPr>
          <w:cnfStyle w:val="100000000000" w:firstRow="1" w:lastRow="0" w:firstColumn="0" w:lastColumn="0" w:oddVBand="0" w:evenVBand="0" w:oddHBand="0" w:evenHBand="0" w:firstRowFirstColumn="0" w:firstRowLastColumn="0" w:lastRowFirstColumn="0" w:lastRowLastColumn="0"/>
          <w:trHeight w:val="317"/>
        </w:trPr>
        <w:tc>
          <w:tcPr>
            <w:cnfStyle w:val="001000000000" w:firstRow="0" w:lastRow="0" w:firstColumn="1" w:lastColumn="0" w:oddVBand="0" w:evenVBand="0" w:oddHBand="0" w:evenHBand="0" w:firstRowFirstColumn="0" w:firstRowLastColumn="0" w:lastRowFirstColumn="0" w:lastRowLastColumn="0"/>
            <w:tcW w:w="1666" w:type="pct"/>
            <w:tcBorders>
              <w:top w:val="single" w:sz="4" w:space="0" w:color="auto"/>
              <w:left w:val="single" w:sz="4" w:space="0" w:color="auto"/>
              <w:right w:val="single" w:sz="4" w:space="0" w:color="auto"/>
            </w:tcBorders>
          </w:tcPr>
          <w:p w14:paraId="78E5AEBC" w14:textId="77777777" w:rsidR="009664FC" w:rsidRPr="00D41179" w:rsidRDefault="009664FC" w:rsidP="00F662A5">
            <w:pPr>
              <w:jc w:val="left"/>
              <w:rPr>
                <w:rFonts w:ascii="Arial Narrow" w:eastAsiaTheme="majorEastAsia" w:hAnsi="Arial Narrow" w:cstheme="majorBidi"/>
                <w:b w:val="0"/>
                <w:bCs w:val="0"/>
                <w:sz w:val="20"/>
                <w:szCs w:val="22"/>
                <w:lang w:eastAsia="en-US"/>
              </w:rPr>
            </w:pPr>
            <w:r w:rsidRPr="00D41179">
              <w:rPr>
                <w:rFonts w:ascii="Arial Narrow" w:eastAsiaTheme="majorEastAsia" w:hAnsi="Arial Narrow" w:cstheme="majorBidi"/>
                <w:sz w:val="20"/>
                <w:szCs w:val="22"/>
                <w:lang w:eastAsia="en-US"/>
              </w:rPr>
              <w:t>Age group</w:t>
            </w:r>
          </w:p>
        </w:tc>
        <w:tc>
          <w:tcPr>
            <w:tcW w:w="1666" w:type="pct"/>
            <w:tcBorders>
              <w:top w:val="single" w:sz="4" w:space="0" w:color="auto"/>
              <w:left w:val="single" w:sz="4" w:space="0" w:color="auto"/>
              <w:right w:val="single" w:sz="4" w:space="0" w:color="auto"/>
            </w:tcBorders>
          </w:tcPr>
          <w:p w14:paraId="1E6D5829" w14:textId="77777777" w:rsidR="009664FC" w:rsidRPr="00D41179" w:rsidRDefault="009664FC" w:rsidP="00F662A5">
            <w:pPr>
              <w:jc w:val="left"/>
              <w:cnfStyle w:val="100000000000" w:firstRow="1" w:lastRow="0" w:firstColumn="0" w:lastColumn="0" w:oddVBand="0" w:evenVBand="0" w:oddHBand="0" w:evenHBand="0" w:firstRowFirstColumn="0" w:firstRowLastColumn="0" w:lastRowFirstColumn="0" w:lastRowLastColumn="0"/>
              <w:rPr>
                <w:rFonts w:ascii="Arial Narrow" w:eastAsiaTheme="majorEastAsia" w:hAnsi="Arial Narrow" w:cstheme="majorBidi"/>
                <w:b w:val="0"/>
                <w:bCs w:val="0"/>
                <w:sz w:val="20"/>
                <w:szCs w:val="22"/>
                <w:lang w:eastAsia="en-US"/>
              </w:rPr>
            </w:pPr>
            <w:r w:rsidRPr="00D41179">
              <w:rPr>
                <w:rFonts w:ascii="Arial Narrow" w:eastAsiaTheme="majorEastAsia" w:hAnsi="Arial Narrow" w:cstheme="majorBidi"/>
                <w:sz w:val="20"/>
                <w:szCs w:val="22"/>
                <w:lang w:eastAsia="en-US"/>
              </w:rPr>
              <w:t>Initial VE, % (95% CI)</w:t>
            </w:r>
          </w:p>
        </w:tc>
        <w:tc>
          <w:tcPr>
            <w:tcW w:w="1668" w:type="pct"/>
            <w:tcBorders>
              <w:top w:val="single" w:sz="4" w:space="0" w:color="auto"/>
              <w:left w:val="single" w:sz="4" w:space="0" w:color="auto"/>
              <w:right w:val="single" w:sz="4" w:space="0" w:color="auto"/>
            </w:tcBorders>
          </w:tcPr>
          <w:p w14:paraId="63DBEC18" w14:textId="77777777" w:rsidR="009664FC" w:rsidRPr="00D41179" w:rsidRDefault="009664FC" w:rsidP="00F662A5">
            <w:pPr>
              <w:jc w:val="left"/>
              <w:cnfStyle w:val="100000000000" w:firstRow="1" w:lastRow="0" w:firstColumn="0" w:lastColumn="0" w:oddVBand="0" w:evenVBand="0" w:oddHBand="0" w:evenHBand="0" w:firstRowFirstColumn="0" w:firstRowLastColumn="0" w:lastRowFirstColumn="0" w:lastRowLastColumn="0"/>
              <w:rPr>
                <w:rFonts w:ascii="Arial Narrow" w:eastAsiaTheme="majorEastAsia" w:hAnsi="Arial Narrow" w:cstheme="majorBidi"/>
                <w:b w:val="0"/>
                <w:bCs w:val="0"/>
                <w:sz w:val="20"/>
                <w:szCs w:val="22"/>
                <w:lang w:eastAsia="en-US"/>
              </w:rPr>
            </w:pPr>
            <w:r w:rsidRPr="00D41179">
              <w:rPr>
                <w:rFonts w:ascii="Arial Narrow" w:eastAsiaTheme="majorEastAsia" w:hAnsi="Arial Narrow" w:cstheme="majorBidi"/>
                <w:sz w:val="20"/>
                <w:szCs w:val="22"/>
                <w:lang w:eastAsia="en-US"/>
              </w:rPr>
              <w:t>Annual VE waning, % (95% CI)</w:t>
            </w:r>
          </w:p>
        </w:tc>
      </w:tr>
      <w:tr w:rsidR="009664FC" w:rsidRPr="00D41179" w14:paraId="7ADB707A" w14:textId="77777777" w:rsidTr="005D3D93">
        <w:trPr>
          <w:trHeight w:val="317"/>
        </w:trPr>
        <w:tc>
          <w:tcPr>
            <w:cnfStyle w:val="001000000000" w:firstRow="0" w:lastRow="0" w:firstColumn="1" w:lastColumn="0" w:oddVBand="0" w:evenVBand="0" w:oddHBand="0" w:evenHBand="0" w:firstRowFirstColumn="0" w:firstRowLastColumn="0" w:lastRowFirstColumn="0" w:lastRowLastColumn="0"/>
            <w:tcW w:w="5000" w:type="pct"/>
            <w:gridSpan w:val="3"/>
            <w:tcBorders>
              <w:left w:val="single" w:sz="4" w:space="0" w:color="auto"/>
              <w:bottom w:val="single" w:sz="4" w:space="0" w:color="auto"/>
              <w:right w:val="single" w:sz="4" w:space="0" w:color="auto"/>
            </w:tcBorders>
          </w:tcPr>
          <w:p w14:paraId="39E75602" w14:textId="77777777" w:rsidR="009664FC" w:rsidRPr="00D41179" w:rsidRDefault="009664FC" w:rsidP="00F662A5">
            <w:pPr>
              <w:jc w:val="left"/>
              <w:rPr>
                <w:rFonts w:ascii="Arial Narrow" w:eastAsiaTheme="majorEastAsia" w:hAnsi="Arial Narrow" w:cstheme="majorBidi"/>
                <w:b w:val="0"/>
                <w:bCs w:val="0"/>
                <w:sz w:val="20"/>
                <w:szCs w:val="22"/>
                <w:lang w:eastAsia="en-US"/>
              </w:rPr>
            </w:pPr>
            <w:r w:rsidRPr="00D41179">
              <w:rPr>
                <w:rFonts w:ascii="Arial Narrow" w:eastAsiaTheme="majorEastAsia" w:hAnsi="Arial Narrow" w:cstheme="majorBidi"/>
                <w:sz w:val="20"/>
                <w:szCs w:val="22"/>
                <w:lang w:eastAsia="en-US"/>
              </w:rPr>
              <w:t xml:space="preserve">1 dose of RZV (no change from previous submission) </w:t>
            </w:r>
          </w:p>
        </w:tc>
      </w:tr>
      <w:tr w:rsidR="009664FC" w:rsidRPr="00D41179" w14:paraId="5EB06991" w14:textId="77777777" w:rsidTr="005D3D93">
        <w:trPr>
          <w:trHeight w:val="317"/>
        </w:trPr>
        <w:tc>
          <w:tcPr>
            <w:cnfStyle w:val="001000000000" w:firstRow="0" w:lastRow="0" w:firstColumn="1" w:lastColumn="0" w:oddVBand="0" w:evenVBand="0" w:oddHBand="0" w:evenHBand="0" w:firstRowFirstColumn="0" w:firstRowLastColumn="0" w:lastRowFirstColumn="0" w:lastRowLastColumn="0"/>
            <w:tcW w:w="1666" w:type="pct"/>
            <w:tcBorders>
              <w:top w:val="single" w:sz="4" w:space="0" w:color="auto"/>
              <w:left w:val="single" w:sz="4" w:space="0" w:color="auto"/>
              <w:bottom w:val="single" w:sz="4" w:space="0" w:color="auto"/>
              <w:right w:val="single" w:sz="4" w:space="0" w:color="auto"/>
            </w:tcBorders>
          </w:tcPr>
          <w:p w14:paraId="4F76EBC9" w14:textId="77777777" w:rsidR="009664FC" w:rsidRPr="00D41179" w:rsidRDefault="009664FC" w:rsidP="00F662A5">
            <w:pPr>
              <w:pStyle w:val="TableLeft"/>
              <w:spacing w:after="0"/>
              <w:contextualSpacing w:val="0"/>
              <w:rPr>
                <w:b w:val="0"/>
                <w:bCs w:val="0"/>
              </w:rPr>
            </w:pPr>
            <w:r w:rsidRPr="00D41179">
              <w:rPr>
                <w:b w:val="0"/>
                <w:bCs w:val="0"/>
              </w:rPr>
              <w:t>50-69 YOA</w:t>
            </w:r>
          </w:p>
        </w:tc>
        <w:tc>
          <w:tcPr>
            <w:tcW w:w="1666" w:type="pct"/>
            <w:tcBorders>
              <w:top w:val="single" w:sz="4" w:space="0" w:color="auto"/>
              <w:left w:val="single" w:sz="4" w:space="0" w:color="auto"/>
              <w:bottom w:val="single" w:sz="4" w:space="0" w:color="auto"/>
              <w:right w:val="single" w:sz="4" w:space="0" w:color="auto"/>
            </w:tcBorders>
          </w:tcPr>
          <w:p w14:paraId="2040546A" w14:textId="77777777" w:rsidR="009664FC" w:rsidRPr="00D41179" w:rsidRDefault="009664FC" w:rsidP="00F662A5">
            <w:pPr>
              <w:pStyle w:val="TableLeft"/>
              <w:spacing w:after="0"/>
              <w:contextualSpacing w:val="0"/>
              <w:cnfStyle w:val="000000000000" w:firstRow="0" w:lastRow="0" w:firstColumn="0" w:lastColumn="0" w:oddVBand="0" w:evenVBand="0" w:oddHBand="0" w:evenHBand="0" w:firstRowFirstColumn="0" w:firstRowLastColumn="0" w:lastRowFirstColumn="0" w:lastRowLastColumn="0"/>
            </w:pPr>
            <w:r w:rsidRPr="00D41179">
              <w:t>90.1 (58.9 – 98.9)</w:t>
            </w:r>
          </w:p>
        </w:tc>
        <w:tc>
          <w:tcPr>
            <w:tcW w:w="1668" w:type="pct"/>
            <w:vMerge w:val="restart"/>
            <w:tcBorders>
              <w:top w:val="single" w:sz="4" w:space="0" w:color="auto"/>
              <w:left w:val="single" w:sz="4" w:space="0" w:color="auto"/>
              <w:right w:val="single" w:sz="4" w:space="0" w:color="auto"/>
            </w:tcBorders>
          </w:tcPr>
          <w:p w14:paraId="5EF32A8B" w14:textId="77777777" w:rsidR="009664FC" w:rsidRPr="00D41179" w:rsidRDefault="009664FC" w:rsidP="00F662A5">
            <w:pPr>
              <w:pStyle w:val="TableLeft"/>
              <w:spacing w:after="0"/>
              <w:contextualSpacing w:val="0"/>
              <w:cnfStyle w:val="000000000000" w:firstRow="0" w:lastRow="0" w:firstColumn="0" w:lastColumn="0" w:oddVBand="0" w:evenVBand="0" w:oddHBand="0" w:evenHBand="0" w:firstRowFirstColumn="0" w:firstRowLastColumn="0" w:lastRowFirstColumn="0" w:lastRowLastColumn="0"/>
            </w:pPr>
            <w:r w:rsidRPr="00D41179">
              <w:t>Year 1-4: 5.4 (4.6 – 6.6)</w:t>
            </w:r>
          </w:p>
          <w:p w14:paraId="31B3EDA4" w14:textId="77777777" w:rsidR="009664FC" w:rsidRPr="00D41179" w:rsidRDefault="009664FC" w:rsidP="00F662A5">
            <w:pPr>
              <w:pStyle w:val="TableLeft"/>
              <w:spacing w:after="0"/>
              <w:contextualSpacing w:val="0"/>
              <w:cnfStyle w:val="000000000000" w:firstRow="0" w:lastRow="0" w:firstColumn="0" w:lastColumn="0" w:oddVBand="0" w:evenVBand="0" w:oddHBand="0" w:evenHBand="0" w:firstRowFirstColumn="0" w:firstRowLastColumn="0" w:lastRowFirstColumn="0" w:lastRowLastColumn="0"/>
            </w:pPr>
            <w:r w:rsidRPr="00D41179">
              <w:t>Year 5+: 5.1 (4.1 – 6.0)</w:t>
            </w:r>
          </w:p>
        </w:tc>
      </w:tr>
      <w:tr w:rsidR="009664FC" w:rsidRPr="00D41179" w14:paraId="078333FE" w14:textId="77777777" w:rsidTr="005D3D93">
        <w:trPr>
          <w:trHeight w:val="317"/>
        </w:trPr>
        <w:tc>
          <w:tcPr>
            <w:cnfStyle w:val="001000000000" w:firstRow="0" w:lastRow="0" w:firstColumn="1" w:lastColumn="0" w:oddVBand="0" w:evenVBand="0" w:oddHBand="0" w:evenHBand="0" w:firstRowFirstColumn="0" w:firstRowLastColumn="0" w:lastRowFirstColumn="0" w:lastRowLastColumn="0"/>
            <w:tcW w:w="1666" w:type="pct"/>
            <w:tcBorders>
              <w:top w:val="single" w:sz="4" w:space="0" w:color="auto"/>
              <w:left w:val="single" w:sz="4" w:space="0" w:color="auto"/>
              <w:right w:val="single" w:sz="4" w:space="0" w:color="auto"/>
            </w:tcBorders>
          </w:tcPr>
          <w:p w14:paraId="30CEDA56" w14:textId="77777777" w:rsidR="009664FC" w:rsidRPr="00D41179" w:rsidRDefault="009664FC" w:rsidP="00F662A5">
            <w:pPr>
              <w:pStyle w:val="TableLeft"/>
              <w:spacing w:after="0"/>
              <w:contextualSpacing w:val="0"/>
              <w:rPr>
                <w:b w:val="0"/>
                <w:bCs w:val="0"/>
              </w:rPr>
            </w:pPr>
            <w:r w:rsidRPr="00D41179">
              <w:rPr>
                <w:b w:val="0"/>
                <w:bCs w:val="0"/>
              </w:rPr>
              <w:t>≥70 YOA</w:t>
            </w:r>
          </w:p>
        </w:tc>
        <w:tc>
          <w:tcPr>
            <w:tcW w:w="1666" w:type="pct"/>
            <w:tcBorders>
              <w:top w:val="single" w:sz="4" w:space="0" w:color="auto"/>
              <w:left w:val="single" w:sz="4" w:space="0" w:color="auto"/>
              <w:right w:val="single" w:sz="4" w:space="0" w:color="auto"/>
            </w:tcBorders>
          </w:tcPr>
          <w:p w14:paraId="0A9AD5FC" w14:textId="77777777" w:rsidR="009664FC" w:rsidRPr="00D41179" w:rsidRDefault="009664FC" w:rsidP="00F662A5">
            <w:pPr>
              <w:pStyle w:val="TableLeft"/>
              <w:spacing w:after="0"/>
              <w:contextualSpacing w:val="0"/>
              <w:cnfStyle w:val="000000000000" w:firstRow="0" w:lastRow="0" w:firstColumn="0" w:lastColumn="0" w:oddVBand="0" w:evenVBand="0" w:oddHBand="0" w:evenHBand="0" w:firstRowFirstColumn="0" w:firstRowLastColumn="0" w:lastRowFirstColumn="0" w:lastRowLastColumn="0"/>
            </w:pPr>
            <w:r w:rsidRPr="00D41179">
              <w:t>69.5 (24.9 – 89.1)</w:t>
            </w:r>
          </w:p>
        </w:tc>
        <w:tc>
          <w:tcPr>
            <w:tcW w:w="1668" w:type="pct"/>
            <w:vMerge/>
            <w:tcBorders>
              <w:left w:val="single" w:sz="4" w:space="0" w:color="auto"/>
              <w:right w:val="single" w:sz="4" w:space="0" w:color="auto"/>
            </w:tcBorders>
          </w:tcPr>
          <w:p w14:paraId="710FD59F" w14:textId="77777777" w:rsidR="009664FC" w:rsidRPr="00D41179" w:rsidRDefault="009664FC" w:rsidP="00F662A5">
            <w:pPr>
              <w:pStyle w:val="TableLeft"/>
              <w:spacing w:after="0"/>
              <w:contextualSpacing w:val="0"/>
              <w:cnfStyle w:val="000000000000" w:firstRow="0" w:lastRow="0" w:firstColumn="0" w:lastColumn="0" w:oddVBand="0" w:evenVBand="0" w:oddHBand="0" w:evenHBand="0" w:firstRowFirstColumn="0" w:firstRowLastColumn="0" w:lastRowFirstColumn="0" w:lastRowLastColumn="0"/>
            </w:pPr>
          </w:p>
        </w:tc>
      </w:tr>
      <w:tr w:rsidR="009664FC" w:rsidRPr="00D41179" w14:paraId="57AEDCF8" w14:textId="77777777" w:rsidTr="005D3D93">
        <w:trPr>
          <w:trHeight w:val="317"/>
        </w:trPr>
        <w:tc>
          <w:tcPr>
            <w:cnfStyle w:val="001000000000" w:firstRow="0" w:lastRow="0" w:firstColumn="1" w:lastColumn="0" w:oddVBand="0" w:evenVBand="0" w:oddHBand="0" w:evenHBand="0" w:firstRowFirstColumn="0" w:firstRowLastColumn="0" w:lastRowFirstColumn="0" w:lastRowLastColumn="0"/>
            <w:tcW w:w="5000" w:type="pct"/>
            <w:gridSpan w:val="3"/>
            <w:tcBorders>
              <w:left w:val="single" w:sz="4" w:space="0" w:color="auto"/>
              <w:bottom w:val="single" w:sz="4" w:space="0" w:color="auto"/>
              <w:right w:val="single" w:sz="4" w:space="0" w:color="auto"/>
            </w:tcBorders>
          </w:tcPr>
          <w:p w14:paraId="4F6E5B3C" w14:textId="77777777" w:rsidR="009664FC" w:rsidRPr="00D41179" w:rsidRDefault="009664FC" w:rsidP="00F662A5">
            <w:pPr>
              <w:jc w:val="left"/>
              <w:rPr>
                <w:rFonts w:ascii="Arial Narrow" w:eastAsiaTheme="majorEastAsia" w:hAnsi="Arial Narrow" w:cstheme="majorBidi"/>
                <w:b w:val="0"/>
                <w:bCs w:val="0"/>
                <w:sz w:val="20"/>
                <w:szCs w:val="22"/>
                <w:lang w:eastAsia="en-US"/>
              </w:rPr>
            </w:pPr>
            <w:r w:rsidRPr="00D41179">
              <w:rPr>
                <w:rFonts w:ascii="Arial Narrow" w:eastAsiaTheme="majorEastAsia" w:hAnsi="Arial Narrow" w:cstheme="majorBidi"/>
                <w:sz w:val="20"/>
                <w:szCs w:val="22"/>
                <w:lang w:eastAsia="en-US"/>
              </w:rPr>
              <w:t xml:space="preserve">2 doses of RZV </w:t>
            </w:r>
          </w:p>
        </w:tc>
      </w:tr>
      <w:tr w:rsidR="009664FC" w:rsidRPr="00D41179" w14:paraId="7F8F9DF5" w14:textId="77777777" w:rsidTr="005D3D93">
        <w:trPr>
          <w:trHeight w:val="317"/>
        </w:trPr>
        <w:tc>
          <w:tcPr>
            <w:cnfStyle w:val="001000000000" w:firstRow="0" w:lastRow="0" w:firstColumn="1" w:lastColumn="0" w:oddVBand="0" w:evenVBand="0" w:oddHBand="0" w:evenHBand="0" w:firstRowFirstColumn="0" w:firstRowLastColumn="0" w:lastRowFirstColumn="0" w:lastRowLastColumn="0"/>
            <w:tcW w:w="5000" w:type="pct"/>
            <w:gridSpan w:val="3"/>
            <w:tcBorders>
              <w:top w:val="single" w:sz="4" w:space="0" w:color="auto"/>
              <w:left w:val="single" w:sz="4" w:space="0" w:color="auto"/>
              <w:right w:val="single" w:sz="4" w:space="0" w:color="auto"/>
            </w:tcBorders>
          </w:tcPr>
          <w:p w14:paraId="6A5FFD91" w14:textId="77777777" w:rsidR="009664FC" w:rsidRPr="00D41179" w:rsidRDefault="009664FC" w:rsidP="00F662A5">
            <w:pPr>
              <w:jc w:val="left"/>
              <w:rPr>
                <w:rFonts w:ascii="Arial Narrow" w:eastAsiaTheme="majorEastAsia" w:hAnsi="Arial Narrow" w:cstheme="majorBidi"/>
                <w:b w:val="0"/>
                <w:bCs w:val="0"/>
                <w:sz w:val="20"/>
                <w:szCs w:val="22"/>
                <w:lang w:eastAsia="en-US"/>
              </w:rPr>
            </w:pPr>
            <w:r w:rsidRPr="00D41179">
              <w:rPr>
                <w:rFonts w:ascii="Arial Narrow" w:eastAsiaTheme="majorEastAsia" w:hAnsi="Arial Narrow" w:cstheme="majorBidi"/>
                <w:sz w:val="20"/>
                <w:szCs w:val="22"/>
                <w:lang w:eastAsia="en-US"/>
              </w:rPr>
              <w:t>ZOSTER-049 Final Analysis (approx. 11 years of follow-up) – revised base-case</w:t>
            </w:r>
          </w:p>
        </w:tc>
      </w:tr>
      <w:tr w:rsidR="009664FC" w:rsidRPr="00D41179" w14:paraId="76CC9420" w14:textId="77777777" w:rsidTr="005D3D93">
        <w:trPr>
          <w:trHeight w:val="317"/>
        </w:trPr>
        <w:tc>
          <w:tcPr>
            <w:cnfStyle w:val="001000000000" w:firstRow="0" w:lastRow="0" w:firstColumn="1" w:lastColumn="0" w:oddVBand="0" w:evenVBand="0" w:oddHBand="0" w:evenHBand="0" w:firstRowFirstColumn="0" w:firstRowLastColumn="0" w:lastRowFirstColumn="0" w:lastRowLastColumn="0"/>
            <w:tcW w:w="1666" w:type="pct"/>
            <w:tcBorders>
              <w:top w:val="single" w:sz="4" w:space="0" w:color="auto"/>
              <w:left w:val="single" w:sz="4" w:space="0" w:color="auto"/>
              <w:bottom w:val="single" w:sz="4" w:space="0" w:color="auto"/>
              <w:right w:val="single" w:sz="4" w:space="0" w:color="auto"/>
            </w:tcBorders>
          </w:tcPr>
          <w:p w14:paraId="43ABAAA1" w14:textId="77777777" w:rsidR="009664FC" w:rsidRPr="00D41179" w:rsidRDefault="009664FC" w:rsidP="00F662A5">
            <w:pPr>
              <w:jc w:val="left"/>
              <w:rPr>
                <w:rFonts w:ascii="Arial Narrow" w:eastAsiaTheme="majorEastAsia" w:hAnsi="Arial Narrow" w:cstheme="majorBidi"/>
                <w:b w:val="0"/>
                <w:bCs w:val="0"/>
                <w:sz w:val="20"/>
                <w:szCs w:val="22"/>
                <w:lang w:eastAsia="en-US"/>
              </w:rPr>
            </w:pPr>
            <w:r w:rsidRPr="00D41179">
              <w:rPr>
                <w:rFonts w:ascii="Arial Narrow" w:eastAsiaTheme="majorEastAsia" w:hAnsi="Arial Narrow" w:cstheme="majorBidi"/>
                <w:b w:val="0"/>
                <w:bCs w:val="0"/>
                <w:sz w:val="20"/>
                <w:szCs w:val="22"/>
                <w:lang w:eastAsia="en-US"/>
              </w:rPr>
              <w:t>50-69 YOA</w:t>
            </w:r>
          </w:p>
        </w:tc>
        <w:tc>
          <w:tcPr>
            <w:tcW w:w="1666" w:type="pct"/>
            <w:tcBorders>
              <w:left w:val="single" w:sz="4" w:space="0" w:color="auto"/>
              <w:bottom w:val="single" w:sz="4" w:space="0" w:color="auto"/>
              <w:right w:val="single" w:sz="4" w:space="0" w:color="auto"/>
            </w:tcBorders>
          </w:tcPr>
          <w:p w14:paraId="2BBDA840" w14:textId="77777777" w:rsidR="009664FC" w:rsidRPr="00D41179" w:rsidRDefault="009664FC" w:rsidP="00F662A5">
            <w:pPr>
              <w:jc w:val="left"/>
              <w:cnfStyle w:val="000000000000" w:firstRow="0" w:lastRow="0" w:firstColumn="0" w:lastColumn="0" w:oddVBand="0" w:evenVBand="0" w:oddHBand="0" w:evenHBand="0" w:firstRowFirstColumn="0" w:firstRowLastColumn="0" w:lastRowFirstColumn="0" w:lastRowLastColumn="0"/>
              <w:rPr>
                <w:rFonts w:ascii="Arial Narrow" w:eastAsiaTheme="majorEastAsia" w:hAnsi="Arial Narrow" w:cstheme="majorBidi"/>
                <w:sz w:val="20"/>
                <w:szCs w:val="22"/>
                <w:lang w:eastAsia="en-US"/>
              </w:rPr>
            </w:pPr>
            <w:r w:rsidRPr="00D41179">
              <w:rPr>
                <w:rFonts w:ascii="Arial Narrow" w:eastAsiaTheme="majorEastAsia" w:hAnsi="Arial Narrow" w:cstheme="majorBidi"/>
                <w:sz w:val="20"/>
                <w:szCs w:val="22"/>
                <w:lang w:eastAsia="en-US"/>
              </w:rPr>
              <w:t>97.8 (93.0 – 100.0)</w:t>
            </w:r>
          </w:p>
        </w:tc>
        <w:tc>
          <w:tcPr>
            <w:tcW w:w="1668" w:type="pct"/>
            <w:tcBorders>
              <w:left w:val="single" w:sz="4" w:space="0" w:color="auto"/>
              <w:bottom w:val="single" w:sz="4" w:space="0" w:color="auto"/>
              <w:right w:val="single" w:sz="4" w:space="0" w:color="auto"/>
            </w:tcBorders>
          </w:tcPr>
          <w:p w14:paraId="25EC56D9" w14:textId="77777777" w:rsidR="009664FC" w:rsidRPr="00D41179" w:rsidRDefault="009664FC" w:rsidP="00F662A5">
            <w:pPr>
              <w:jc w:val="left"/>
              <w:cnfStyle w:val="000000000000" w:firstRow="0" w:lastRow="0" w:firstColumn="0" w:lastColumn="0" w:oddVBand="0" w:evenVBand="0" w:oddHBand="0" w:evenHBand="0" w:firstRowFirstColumn="0" w:firstRowLastColumn="0" w:lastRowFirstColumn="0" w:lastRowLastColumn="0"/>
              <w:rPr>
                <w:rFonts w:ascii="Arial Narrow" w:eastAsiaTheme="majorEastAsia" w:hAnsi="Arial Narrow" w:cstheme="majorBidi"/>
                <w:sz w:val="20"/>
                <w:szCs w:val="22"/>
                <w:lang w:eastAsia="en-US"/>
              </w:rPr>
            </w:pPr>
            <w:r w:rsidRPr="00D41179">
              <w:rPr>
                <w:rFonts w:ascii="Arial Narrow" w:eastAsiaTheme="majorEastAsia" w:hAnsi="Arial Narrow" w:cstheme="majorBidi"/>
                <w:sz w:val="20"/>
                <w:szCs w:val="22"/>
                <w:lang w:eastAsia="en-US"/>
              </w:rPr>
              <w:t>1.2 (0.3 – 2.3)</w:t>
            </w:r>
          </w:p>
        </w:tc>
      </w:tr>
      <w:tr w:rsidR="009664FC" w:rsidRPr="00D41179" w14:paraId="0849830F" w14:textId="77777777" w:rsidTr="005D3D93">
        <w:trPr>
          <w:trHeight w:val="317"/>
        </w:trPr>
        <w:tc>
          <w:tcPr>
            <w:cnfStyle w:val="001000000000" w:firstRow="0" w:lastRow="0" w:firstColumn="1" w:lastColumn="0" w:oddVBand="0" w:evenVBand="0" w:oddHBand="0" w:evenHBand="0" w:firstRowFirstColumn="0" w:firstRowLastColumn="0" w:lastRowFirstColumn="0" w:lastRowLastColumn="0"/>
            <w:tcW w:w="1666" w:type="pct"/>
            <w:tcBorders>
              <w:top w:val="single" w:sz="4" w:space="0" w:color="auto"/>
              <w:left w:val="single" w:sz="4" w:space="0" w:color="auto"/>
              <w:bottom w:val="single" w:sz="4" w:space="0" w:color="auto"/>
              <w:right w:val="single" w:sz="4" w:space="0" w:color="auto"/>
            </w:tcBorders>
          </w:tcPr>
          <w:p w14:paraId="215B92E7" w14:textId="77777777" w:rsidR="009664FC" w:rsidRPr="00D41179" w:rsidRDefault="009664FC" w:rsidP="00F662A5">
            <w:pPr>
              <w:jc w:val="left"/>
              <w:rPr>
                <w:rFonts w:ascii="Arial Narrow" w:eastAsiaTheme="majorEastAsia" w:hAnsi="Arial Narrow" w:cstheme="majorBidi"/>
                <w:b w:val="0"/>
                <w:bCs w:val="0"/>
                <w:sz w:val="20"/>
                <w:szCs w:val="22"/>
                <w:lang w:eastAsia="en-US"/>
              </w:rPr>
            </w:pPr>
            <w:r w:rsidRPr="00D41179">
              <w:rPr>
                <w:rFonts w:ascii="Arial Narrow" w:eastAsiaTheme="majorEastAsia" w:hAnsi="Arial Narrow" w:cstheme="majorBidi"/>
                <w:b w:val="0"/>
                <w:bCs w:val="0"/>
                <w:sz w:val="20"/>
                <w:szCs w:val="22"/>
                <w:lang w:eastAsia="en-US"/>
              </w:rPr>
              <w:t>≥70 YOA</w:t>
            </w:r>
          </w:p>
        </w:tc>
        <w:tc>
          <w:tcPr>
            <w:tcW w:w="1666" w:type="pct"/>
            <w:tcBorders>
              <w:top w:val="single" w:sz="4" w:space="0" w:color="auto"/>
              <w:left w:val="single" w:sz="4" w:space="0" w:color="auto"/>
              <w:bottom w:val="single" w:sz="4" w:space="0" w:color="auto"/>
              <w:right w:val="single" w:sz="4" w:space="0" w:color="auto"/>
            </w:tcBorders>
          </w:tcPr>
          <w:p w14:paraId="511F6462" w14:textId="77777777" w:rsidR="009664FC" w:rsidRPr="00D41179" w:rsidRDefault="009664FC" w:rsidP="00F662A5">
            <w:pPr>
              <w:jc w:val="left"/>
              <w:cnfStyle w:val="000000000000" w:firstRow="0" w:lastRow="0" w:firstColumn="0" w:lastColumn="0" w:oddVBand="0" w:evenVBand="0" w:oddHBand="0" w:evenHBand="0" w:firstRowFirstColumn="0" w:firstRowLastColumn="0" w:lastRowFirstColumn="0" w:lastRowLastColumn="0"/>
              <w:rPr>
                <w:rFonts w:ascii="Arial Narrow" w:eastAsiaTheme="majorEastAsia" w:hAnsi="Arial Narrow" w:cstheme="majorBidi"/>
                <w:sz w:val="20"/>
                <w:szCs w:val="22"/>
                <w:lang w:eastAsia="en-US"/>
              </w:rPr>
            </w:pPr>
            <w:r w:rsidRPr="00D41179">
              <w:rPr>
                <w:rFonts w:ascii="Arial Narrow" w:eastAsiaTheme="majorEastAsia" w:hAnsi="Arial Narrow" w:cstheme="majorBidi"/>
                <w:sz w:val="20"/>
                <w:szCs w:val="22"/>
                <w:lang w:eastAsia="en-US"/>
              </w:rPr>
              <w:t>99.4 (92.6 – 100.0)</w:t>
            </w:r>
          </w:p>
        </w:tc>
        <w:tc>
          <w:tcPr>
            <w:tcW w:w="1668" w:type="pct"/>
            <w:tcBorders>
              <w:top w:val="single" w:sz="4" w:space="0" w:color="auto"/>
              <w:left w:val="single" w:sz="4" w:space="0" w:color="auto"/>
              <w:right w:val="single" w:sz="4" w:space="0" w:color="auto"/>
            </w:tcBorders>
          </w:tcPr>
          <w:p w14:paraId="3C5AF3D8" w14:textId="77777777" w:rsidR="009664FC" w:rsidRPr="00D41179" w:rsidRDefault="009664FC" w:rsidP="00F662A5">
            <w:pPr>
              <w:jc w:val="left"/>
              <w:cnfStyle w:val="000000000000" w:firstRow="0" w:lastRow="0" w:firstColumn="0" w:lastColumn="0" w:oddVBand="0" w:evenVBand="0" w:oddHBand="0" w:evenHBand="0" w:firstRowFirstColumn="0" w:firstRowLastColumn="0" w:lastRowFirstColumn="0" w:lastRowLastColumn="0"/>
              <w:rPr>
                <w:rFonts w:ascii="Arial Narrow" w:eastAsiaTheme="majorEastAsia" w:hAnsi="Arial Narrow" w:cstheme="majorBidi"/>
                <w:sz w:val="20"/>
                <w:szCs w:val="22"/>
                <w:lang w:eastAsia="en-US"/>
              </w:rPr>
            </w:pPr>
            <w:r w:rsidRPr="00D41179">
              <w:rPr>
                <w:rFonts w:ascii="Arial Narrow" w:eastAsiaTheme="majorEastAsia" w:hAnsi="Arial Narrow" w:cstheme="majorBidi"/>
                <w:sz w:val="20"/>
                <w:szCs w:val="22"/>
                <w:lang w:eastAsia="en-US"/>
              </w:rPr>
              <w:t>3.1 (1.5 – 5.0)</w:t>
            </w:r>
          </w:p>
        </w:tc>
      </w:tr>
      <w:tr w:rsidR="009664FC" w:rsidRPr="00D41179" w14:paraId="2B388370" w14:textId="77777777" w:rsidTr="005D3D93">
        <w:trPr>
          <w:trHeight w:val="317"/>
        </w:trPr>
        <w:tc>
          <w:tcPr>
            <w:cnfStyle w:val="001000000000" w:firstRow="0" w:lastRow="0" w:firstColumn="1" w:lastColumn="0" w:oddVBand="0" w:evenVBand="0" w:oddHBand="0" w:evenHBand="0" w:firstRowFirstColumn="0" w:firstRowLastColumn="0" w:lastRowFirstColumn="0" w:lastRowLastColumn="0"/>
            <w:tcW w:w="5000" w:type="pct"/>
            <w:gridSpan w:val="3"/>
            <w:tcBorders>
              <w:top w:val="single" w:sz="4" w:space="0" w:color="auto"/>
              <w:left w:val="single" w:sz="4" w:space="0" w:color="auto"/>
              <w:bottom w:val="single" w:sz="4" w:space="0" w:color="auto"/>
              <w:right w:val="single" w:sz="4" w:space="0" w:color="auto"/>
            </w:tcBorders>
          </w:tcPr>
          <w:p w14:paraId="073584E9" w14:textId="77777777" w:rsidR="009664FC" w:rsidRPr="00D41179" w:rsidRDefault="009664FC" w:rsidP="00F662A5">
            <w:pPr>
              <w:jc w:val="left"/>
              <w:rPr>
                <w:rFonts w:ascii="Arial Narrow" w:eastAsiaTheme="majorEastAsia" w:hAnsi="Arial Narrow" w:cstheme="majorBidi"/>
                <w:b w:val="0"/>
                <w:bCs w:val="0"/>
                <w:sz w:val="20"/>
                <w:szCs w:val="22"/>
                <w:lang w:eastAsia="en-US"/>
              </w:rPr>
            </w:pPr>
            <w:r w:rsidRPr="00D41179">
              <w:rPr>
                <w:rFonts w:ascii="Arial Narrow" w:eastAsiaTheme="majorEastAsia" w:hAnsi="Arial Narrow" w:cstheme="majorBidi"/>
                <w:sz w:val="20"/>
                <w:szCs w:val="22"/>
                <w:lang w:eastAsia="en-US"/>
              </w:rPr>
              <w:t>ZOSTER-049 1</w:t>
            </w:r>
            <w:r w:rsidRPr="00D41179">
              <w:rPr>
                <w:rFonts w:ascii="Arial Narrow" w:eastAsiaTheme="majorEastAsia" w:hAnsi="Arial Narrow" w:cstheme="majorBidi"/>
                <w:sz w:val="20"/>
                <w:szCs w:val="22"/>
                <w:vertAlign w:val="superscript"/>
                <w:lang w:eastAsia="en-US"/>
              </w:rPr>
              <w:t>st</w:t>
            </w:r>
            <w:r w:rsidRPr="00D41179">
              <w:rPr>
                <w:rFonts w:ascii="Arial Narrow" w:eastAsiaTheme="majorEastAsia" w:hAnsi="Arial Narrow" w:cstheme="majorBidi"/>
                <w:sz w:val="20"/>
                <w:szCs w:val="22"/>
                <w:lang w:eastAsia="en-US"/>
              </w:rPr>
              <w:t xml:space="preserve"> Interim Analysis (approx. 7 years of follow-up) – previous inputs</w:t>
            </w:r>
          </w:p>
        </w:tc>
      </w:tr>
      <w:tr w:rsidR="009664FC" w:rsidRPr="00D41179" w14:paraId="54892EAF" w14:textId="77777777" w:rsidTr="005D3D93">
        <w:trPr>
          <w:trHeight w:val="317"/>
        </w:trPr>
        <w:tc>
          <w:tcPr>
            <w:cnfStyle w:val="001000000000" w:firstRow="0" w:lastRow="0" w:firstColumn="1" w:lastColumn="0" w:oddVBand="0" w:evenVBand="0" w:oddHBand="0" w:evenHBand="0" w:firstRowFirstColumn="0" w:firstRowLastColumn="0" w:lastRowFirstColumn="0" w:lastRowLastColumn="0"/>
            <w:tcW w:w="1666" w:type="pct"/>
            <w:tcBorders>
              <w:top w:val="single" w:sz="4" w:space="0" w:color="auto"/>
              <w:left w:val="single" w:sz="4" w:space="0" w:color="auto"/>
              <w:bottom w:val="single" w:sz="4" w:space="0" w:color="auto"/>
              <w:right w:val="single" w:sz="4" w:space="0" w:color="auto"/>
            </w:tcBorders>
          </w:tcPr>
          <w:p w14:paraId="32171A48" w14:textId="77777777" w:rsidR="009664FC" w:rsidRPr="00D41179" w:rsidRDefault="009664FC" w:rsidP="00F662A5">
            <w:pPr>
              <w:jc w:val="left"/>
              <w:rPr>
                <w:rFonts w:ascii="Arial Narrow" w:eastAsiaTheme="majorEastAsia" w:hAnsi="Arial Narrow" w:cstheme="majorBidi"/>
                <w:b w:val="0"/>
                <w:bCs w:val="0"/>
                <w:sz w:val="20"/>
                <w:szCs w:val="22"/>
                <w:lang w:eastAsia="en-US"/>
              </w:rPr>
            </w:pPr>
            <w:r w:rsidRPr="00D41179">
              <w:rPr>
                <w:rFonts w:ascii="Arial Narrow" w:eastAsiaTheme="majorEastAsia" w:hAnsi="Arial Narrow" w:cstheme="majorBidi"/>
                <w:b w:val="0"/>
                <w:bCs w:val="0"/>
                <w:sz w:val="20"/>
                <w:szCs w:val="22"/>
                <w:lang w:eastAsia="en-US"/>
              </w:rPr>
              <w:t>50-69 YOA</w:t>
            </w:r>
          </w:p>
        </w:tc>
        <w:tc>
          <w:tcPr>
            <w:tcW w:w="1666" w:type="pct"/>
            <w:tcBorders>
              <w:top w:val="single" w:sz="4" w:space="0" w:color="auto"/>
              <w:left w:val="single" w:sz="4" w:space="0" w:color="auto"/>
              <w:bottom w:val="single" w:sz="4" w:space="0" w:color="auto"/>
              <w:right w:val="single" w:sz="4" w:space="0" w:color="auto"/>
            </w:tcBorders>
          </w:tcPr>
          <w:p w14:paraId="3B5817A5" w14:textId="77777777" w:rsidR="009664FC" w:rsidRPr="00D41179" w:rsidRDefault="009664FC" w:rsidP="00F662A5">
            <w:pPr>
              <w:jc w:val="left"/>
              <w:cnfStyle w:val="000000000000" w:firstRow="0" w:lastRow="0" w:firstColumn="0" w:lastColumn="0" w:oddVBand="0" w:evenVBand="0" w:oddHBand="0" w:evenHBand="0" w:firstRowFirstColumn="0" w:firstRowLastColumn="0" w:lastRowFirstColumn="0" w:lastRowLastColumn="0"/>
              <w:rPr>
                <w:rFonts w:ascii="Arial Narrow" w:eastAsiaTheme="majorEastAsia" w:hAnsi="Arial Narrow" w:cstheme="majorBidi"/>
                <w:sz w:val="20"/>
                <w:szCs w:val="22"/>
                <w:lang w:eastAsia="en-US"/>
              </w:rPr>
            </w:pPr>
            <w:r w:rsidRPr="00D41179">
              <w:rPr>
                <w:rFonts w:ascii="Arial Narrow" w:eastAsiaTheme="majorEastAsia" w:hAnsi="Arial Narrow" w:cstheme="majorBidi"/>
                <w:sz w:val="20"/>
                <w:szCs w:val="22"/>
                <w:lang w:eastAsia="en-US"/>
              </w:rPr>
              <w:t>98.9 (94.0 – 100.0)</w:t>
            </w:r>
          </w:p>
        </w:tc>
        <w:tc>
          <w:tcPr>
            <w:tcW w:w="1668" w:type="pct"/>
            <w:tcBorders>
              <w:top w:val="single" w:sz="4" w:space="0" w:color="auto"/>
              <w:left w:val="single" w:sz="4" w:space="0" w:color="auto"/>
              <w:bottom w:val="single" w:sz="4" w:space="0" w:color="auto"/>
              <w:right w:val="single" w:sz="4" w:space="0" w:color="auto"/>
            </w:tcBorders>
          </w:tcPr>
          <w:p w14:paraId="3D8FE677" w14:textId="77777777" w:rsidR="009664FC" w:rsidRPr="00D41179" w:rsidRDefault="009664FC" w:rsidP="00F662A5">
            <w:pPr>
              <w:jc w:val="left"/>
              <w:cnfStyle w:val="000000000000" w:firstRow="0" w:lastRow="0" w:firstColumn="0" w:lastColumn="0" w:oddVBand="0" w:evenVBand="0" w:oddHBand="0" w:evenHBand="0" w:firstRowFirstColumn="0" w:firstRowLastColumn="0" w:lastRowFirstColumn="0" w:lastRowLastColumn="0"/>
              <w:rPr>
                <w:rFonts w:ascii="Arial Narrow" w:eastAsiaTheme="majorEastAsia" w:hAnsi="Arial Narrow" w:cstheme="majorBidi"/>
                <w:sz w:val="20"/>
                <w:szCs w:val="22"/>
                <w:lang w:eastAsia="en-US"/>
              </w:rPr>
            </w:pPr>
            <w:r w:rsidRPr="00D41179">
              <w:rPr>
                <w:rFonts w:ascii="Arial Narrow" w:eastAsiaTheme="majorEastAsia" w:hAnsi="Arial Narrow" w:cstheme="majorBidi"/>
                <w:sz w:val="20"/>
                <w:szCs w:val="22"/>
                <w:lang w:eastAsia="en-US"/>
              </w:rPr>
              <w:t>1.5 (0.0 – 3.4)</w:t>
            </w:r>
          </w:p>
        </w:tc>
      </w:tr>
      <w:tr w:rsidR="009664FC" w:rsidRPr="00D41179" w14:paraId="3E8FE18C" w14:textId="77777777" w:rsidTr="005D3D93">
        <w:trPr>
          <w:trHeight w:val="90"/>
        </w:trPr>
        <w:tc>
          <w:tcPr>
            <w:cnfStyle w:val="001000000000" w:firstRow="0" w:lastRow="0" w:firstColumn="1" w:lastColumn="0" w:oddVBand="0" w:evenVBand="0" w:oddHBand="0" w:evenHBand="0" w:firstRowFirstColumn="0" w:firstRowLastColumn="0" w:lastRowFirstColumn="0" w:lastRowLastColumn="0"/>
            <w:tcW w:w="1666" w:type="pct"/>
            <w:tcBorders>
              <w:top w:val="single" w:sz="4" w:space="0" w:color="auto"/>
              <w:left w:val="single" w:sz="4" w:space="0" w:color="auto"/>
              <w:bottom w:val="single" w:sz="4" w:space="0" w:color="auto"/>
            </w:tcBorders>
          </w:tcPr>
          <w:p w14:paraId="2DD0C60B" w14:textId="77777777" w:rsidR="009664FC" w:rsidRPr="00D41179" w:rsidRDefault="009664FC" w:rsidP="00F662A5">
            <w:pPr>
              <w:jc w:val="left"/>
              <w:rPr>
                <w:rFonts w:ascii="Arial Narrow" w:eastAsiaTheme="majorEastAsia" w:hAnsi="Arial Narrow" w:cstheme="majorBidi"/>
                <w:b w:val="0"/>
                <w:bCs w:val="0"/>
                <w:sz w:val="20"/>
                <w:szCs w:val="22"/>
                <w:lang w:eastAsia="en-US"/>
              </w:rPr>
            </w:pPr>
            <w:r w:rsidRPr="00D41179">
              <w:rPr>
                <w:rFonts w:ascii="Arial Narrow" w:eastAsiaTheme="majorEastAsia" w:hAnsi="Arial Narrow" w:cstheme="majorBidi"/>
                <w:b w:val="0"/>
                <w:bCs w:val="0"/>
                <w:sz w:val="20"/>
                <w:szCs w:val="22"/>
                <w:lang w:eastAsia="en-US"/>
              </w:rPr>
              <w:t>≥70 YOA</w:t>
            </w:r>
          </w:p>
        </w:tc>
        <w:tc>
          <w:tcPr>
            <w:tcW w:w="1666" w:type="pct"/>
            <w:tcBorders>
              <w:top w:val="single" w:sz="4" w:space="0" w:color="auto"/>
              <w:bottom w:val="single" w:sz="4" w:space="0" w:color="auto"/>
              <w:right w:val="single" w:sz="4" w:space="0" w:color="auto"/>
            </w:tcBorders>
          </w:tcPr>
          <w:p w14:paraId="3D4A5F00" w14:textId="77777777" w:rsidR="009664FC" w:rsidRPr="00D41179" w:rsidRDefault="009664FC" w:rsidP="00F662A5">
            <w:pPr>
              <w:jc w:val="left"/>
              <w:cnfStyle w:val="000000000000" w:firstRow="0" w:lastRow="0" w:firstColumn="0" w:lastColumn="0" w:oddVBand="0" w:evenVBand="0" w:oddHBand="0" w:evenHBand="0" w:firstRowFirstColumn="0" w:firstRowLastColumn="0" w:lastRowFirstColumn="0" w:lastRowLastColumn="0"/>
              <w:rPr>
                <w:rFonts w:ascii="Arial Narrow" w:eastAsiaTheme="majorEastAsia" w:hAnsi="Arial Narrow" w:cstheme="majorBidi"/>
                <w:sz w:val="20"/>
                <w:szCs w:val="22"/>
                <w:lang w:eastAsia="en-US"/>
              </w:rPr>
            </w:pPr>
            <w:r w:rsidRPr="00D41179">
              <w:rPr>
                <w:rFonts w:ascii="Arial Narrow" w:eastAsiaTheme="majorEastAsia" w:hAnsi="Arial Narrow" w:cstheme="majorBidi"/>
                <w:sz w:val="20"/>
                <w:szCs w:val="20"/>
                <w:lang w:eastAsia="en-US"/>
              </w:rPr>
              <w:t>95.4 (89.7 – 100.0)</w:t>
            </w:r>
          </w:p>
        </w:tc>
        <w:tc>
          <w:tcPr>
            <w:tcW w:w="1668" w:type="pct"/>
            <w:tcBorders>
              <w:top w:val="single" w:sz="4" w:space="0" w:color="auto"/>
              <w:left w:val="single" w:sz="4" w:space="0" w:color="auto"/>
              <w:bottom w:val="single" w:sz="4" w:space="0" w:color="auto"/>
              <w:right w:val="single" w:sz="4" w:space="0" w:color="auto"/>
            </w:tcBorders>
          </w:tcPr>
          <w:p w14:paraId="692B5605" w14:textId="77777777" w:rsidR="009664FC" w:rsidRPr="00D41179" w:rsidRDefault="009664FC" w:rsidP="00F662A5">
            <w:pPr>
              <w:jc w:val="left"/>
              <w:cnfStyle w:val="000000000000" w:firstRow="0" w:lastRow="0" w:firstColumn="0" w:lastColumn="0" w:oddVBand="0" w:evenVBand="0" w:oddHBand="0" w:evenHBand="0" w:firstRowFirstColumn="0" w:firstRowLastColumn="0" w:lastRowFirstColumn="0" w:lastRowLastColumn="0"/>
              <w:rPr>
                <w:rFonts w:ascii="Arial Narrow" w:eastAsiaTheme="majorEastAsia" w:hAnsi="Arial Narrow" w:cstheme="majorBidi"/>
                <w:sz w:val="20"/>
                <w:szCs w:val="22"/>
                <w:lang w:eastAsia="en-US"/>
              </w:rPr>
            </w:pPr>
            <w:r w:rsidRPr="00D41179">
              <w:rPr>
                <w:rFonts w:ascii="Arial Narrow" w:eastAsiaTheme="majorEastAsia" w:hAnsi="Arial Narrow" w:cstheme="majorBidi"/>
                <w:sz w:val="20"/>
                <w:szCs w:val="20"/>
                <w:lang w:eastAsia="en-US"/>
              </w:rPr>
              <w:t>2.3 (0.3 – 4.4)</w:t>
            </w:r>
          </w:p>
        </w:tc>
      </w:tr>
    </w:tbl>
    <w:p w14:paraId="30CC88A2" w14:textId="77777777" w:rsidR="009664FC" w:rsidRPr="00D41179" w:rsidRDefault="009664FC" w:rsidP="009664FC">
      <w:pPr>
        <w:keepLines/>
        <w:spacing w:after="120"/>
        <w:contextualSpacing/>
        <w:jc w:val="left"/>
        <w:rPr>
          <w:rFonts w:ascii="Arial Narrow" w:hAnsi="Arial Narrow"/>
          <w:snapToGrid w:val="0"/>
          <w:sz w:val="18"/>
          <w:szCs w:val="22"/>
        </w:rPr>
      </w:pPr>
      <w:r w:rsidRPr="00D41179">
        <w:rPr>
          <w:rFonts w:ascii="Arial Narrow" w:hAnsi="Arial Narrow"/>
          <w:snapToGrid w:val="0"/>
          <w:sz w:val="18"/>
          <w:szCs w:val="22"/>
        </w:rPr>
        <w:t>Source: Table 3-22, p212 of the submission.</w:t>
      </w:r>
    </w:p>
    <w:p w14:paraId="31A28159" w14:textId="1FABD08C" w:rsidR="009664FC" w:rsidRPr="00D41179" w:rsidRDefault="009664FC" w:rsidP="009664FC">
      <w:pPr>
        <w:keepLines/>
        <w:spacing w:after="120"/>
        <w:contextualSpacing/>
        <w:jc w:val="left"/>
        <w:rPr>
          <w:rFonts w:ascii="Arial Narrow" w:hAnsi="Arial Narrow"/>
          <w:snapToGrid w:val="0"/>
          <w:sz w:val="18"/>
          <w:szCs w:val="22"/>
        </w:rPr>
      </w:pPr>
      <w:r w:rsidRPr="00D41179">
        <w:rPr>
          <w:rFonts w:ascii="Arial Narrow" w:hAnsi="Arial Narrow"/>
          <w:snapToGrid w:val="0"/>
          <w:sz w:val="18"/>
          <w:szCs w:val="22"/>
        </w:rPr>
        <w:t>CI, confidence interval; RZV, recombinant zoster vaccine; YOA, years of age.</w:t>
      </w:r>
    </w:p>
    <w:p w14:paraId="462A3FE5" w14:textId="5CACB15B" w:rsidR="00F714D1" w:rsidRPr="00D41179" w:rsidRDefault="00F714D1" w:rsidP="00F714D1">
      <w:pPr>
        <w:pStyle w:val="3-BodyText"/>
        <w:rPr>
          <w:i/>
          <w:iCs/>
          <w:lang w:val="en-GB"/>
        </w:rPr>
      </w:pPr>
      <w:r w:rsidRPr="00D41179">
        <w:t xml:space="preserve">Base-case model inputs for single-dose VE, including initial VE and VE waning were unchanged from previous submissions. </w:t>
      </w:r>
      <w:r w:rsidR="00406AC1" w:rsidRPr="00D41179">
        <w:t xml:space="preserve">The model was not sensitive to single dose assumptions given the </w:t>
      </w:r>
      <w:r w:rsidR="00CF075E" w:rsidRPr="00D41179">
        <w:t xml:space="preserve">assumed </w:t>
      </w:r>
      <w:r w:rsidR="00406AC1" w:rsidRPr="00D41179">
        <w:t xml:space="preserve">high 2-dose completion. </w:t>
      </w:r>
    </w:p>
    <w:p w14:paraId="0A42FD39" w14:textId="575CB18A" w:rsidR="00261C67" w:rsidRPr="00D41179" w:rsidRDefault="00F714D1" w:rsidP="00F714D1">
      <w:pPr>
        <w:pStyle w:val="3-BodyText"/>
        <w:rPr>
          <w:i/>
          <w:iCs/>
          <w:lang w:val="en-GB"/>
        </w:rPr>
      </w:pPr>
      <w:r w:rsidRPr="00D41179">
        <w:rPr>
          <w:lang w:val="en-GB"/>
        </w:rPr>
        <w:t>The submission incorporated updated data from ZOSTER-049 (median follow up 11.4 years)</w:t>
      </w:r>
      <w:r w:rsidR="00936D14" w:rsidRPr="00D41179">
        <w:rPr>
          <w:lang w:val="en-GB"/>
        </w:rPr>
        <w:t xml:space="preserve"> to determine </w:t>
      </w:r>
      <w:r w:rsidR="00786255" w:rsidRPr="00D41179">
        <w:rPr>
          <w:lang w:val="en-GB"/>
        </w:rPr>
        <w:t xml:space="preserve">initial 2 dose </w:t>
      </w:r>
      <w:r w:rsidR="00936D14" w:rsidRPr="00D41179">
        <w:rPr>
          <w:lang w:val="en-GB"/>
        </w:rPr>
        <w:t>VE</w:t>
      </w:r>
      <w:r w:rsidR="00BE6A61" w:rsidRPr="00D41179">
        <w:rPr>
          <w:vertAlign w:val="subscript"/>
          <w:lang w:val="en-GB"/>
        </w:rPr>
        <w:t>HZ</w:t>
      </w:r>
      <w:r w:rsidR="00936D14" w:rsidRPr="00D41179">
        <w:rPr>
          <w:lang w:val="en-GB"/>
        </w:rPr>
        <w:t xml:space="preserve"> </w:t>
      </w:r>
      <w:r w:rsidR="00786255" w:rsidRPr="00D41179">
        <w:rPr>
          <w:lang w:val="en-GB"/>
        </w:rPr>
        <w:t xml:space="preserve">and </w:t>
      </w:r>
      <w:r w:rsidR="00936D14" w:rsidRPr="00D41179">
        <w:rPr>
          <w:lang w:val="en-GB"/>
        </w:rPr>
        <w:t>waning</w:t>
      </w:r>
      <w:r w:rsidRPr="00D41179">
        <w:rPr>
          <w:lang w:val="en-GB"/>
        </w:rPr>
        <w:t xml:space="preserve">. </w:t>
      </w:r>
      <w:r w:rsidR="00B04035" w:rsidRPr="00D41179">
        <w:rPr>
          <w:lang w:val="en-GB"/>
        </w:rPr>
        <w:t xml:space="preserve">Initial </w:t>
      </w:r>
      <w:r w:rsidR="00045FC2" w:rsidRPr="00D41179">
        <w:rPr>
          <w:lang w:val="en-GB"/>
        </w:rPr>
        <w:t xml:space="preserve">2 dose </w:t>
      </w:r>
      <w:r w:rsidR="00B04035" w:rsidRPr="00D41179">
        <w:rPr>
          <w:lang w:val="en-GB"/>
        </w:rPr>
        <w:t>VE</w:t>
      </w:r>
      <w:r w:rsidR="00B04035" w:rsidRPr="00D41179">
        <w:rPr>
          <w:vertAlign w:val="subscript"/>
          <w:lang w:val="en-GB"/>
        </w:rPr>
        <w:t>HZ</w:t>
      </w:r>
      <w:r w:rsidR="00B04035" w:rsidRPr="00D41179">
        <w:rPr>
          <w:lang w:val="en-GB"/>
        </w:rPr>
        <w:t xml:space="preserve"> was assumed to be equal to the Y intercept of the regression line of best fit for VE</w:t>
      </w:r>
      <w:r w:rsidR="00B04035" w:rsidRPr="00D41179">
        <w:rPr>
          <w:vertAlign w:val="subscript"/>
          <w:lang w:val="en-GB"/>
        </w:rPr>
        <w:t>HZ</w:t>
      </w:r>
      <w:r w:rsidR="00B04035" w:rsidRPr="00D41179">
        <w:rPr>
          <w:lang w:val="en-GB"/>
        </w:rPr>
        <w:t xml:space="preserve"> waning.</w:t>
      </w:r>
      <w:r w:rsidR="00D41179" w:rsidRPr="00D41179">
        <w:rPr>
          <w:lang w:val="en-GB"/>
        </w:rPr>
        <w:t xml:space="preserve"> </w:t>
      </w:r>
      <w:r w:rsidRPr="00D41179">
        <w:rPr>
          <w:lang w:val="en-GB"/>
        </w:rPr>
        <w:t>The initial two dose VE</w:t>
      </w:r>
      <w:r w:rsidRPr="00D41179">
        <w:rPr>
          <w:vertAlign w:val="subscript"/>
          <w:lang w:val="en-GB"/>
        </w:rPr>
        <w:t>HZ</w:t>
      </w:r>
      <w:r w:rsidRPr="00D41179">
        <w:rPr>
          <w:lang w:val="en-GB"/>
        </w:rPr>
        <w:t xml:space="preserve"> was 97.8% for adults aged 50-69</w:t>
      </w:r>
      <w:r w:rsidR="002034CD" w:rsidRPr="00D41179">
        <w:rPr>
          <w:lang w:val="en-GB"/>
        </w:rPr>
        <w:t xml:space="preserve"> </w:t>
      </w:r>
      <w:r w:rsidRPr="00D41179">
        <w:rPr>
          <w:lang w:val="en-GB"/>
        </w:rPr>
        <w:t xml:space="preserve">and 99.4% for adults aged 70 years or older. </w:t>
      </w:r>
    </w:p>
    <w:p w14:paraId="5A3B97D7" w14:textId="45F2E0AC" w:rsidR="00F714D1" w:rsidRPr="00D41179" w:rsidRDefault="00F714D1" w:rsidP="00A64F5D">
      <w:pPr>
        <w:numPr>
          <w:ilvl w:val="1"/>
          <w:numId w:val="8"/>
        </w:numPr>
        <w:spacing w:before="60" w:after="60"/>
        <w:ind w:left="709"/>
        <w:rPr>
          <w:rFonts w:asciiTheme="minorHAnsi" w:eastAsiaTheme="minorHAnsi" w:hAnsiTheme="minorHAnsi" w:cstheme="minorBidi"/>
          <w:i/>
          <w:iCs/>
          <w:color w:val="000000" w:themeColor="text1"/>
          <w:szCs w:val="22"/>
        </w:rPr>
      </w:pPr>
      <w:r w:rsidRPr="00D41179">
        <w:rPr>
          <w:rFonts w:asciiTheme="minorHAnsi" w:eastAsiaTheme="minorHAnsi" w:hAnsiTheme="minorHAnsi" w:cstheme="minorBidi"/>
          <w:color w:val="000000" w:themeColor="text1"/>
          <w:szCs w:val="22"/>
        </w:rPr>
        <w:t xml:space="preserve">The economic model assumed a linear waning function for 2-dose VE. The approach to waning was unchanged from the March 2023 PBAC submission, however the </w:t>
      </w:r>
      <w:r w:rsidRPr="00D41179">
        <w:rPr>
          <w:rFonts w:asciiTheme="minorHAnsi" w:eastAsiaTheme="minorHAnsi" w:hAnsiTheme="minorHAnsi" w:cstheme="minorBidi"/>
          <w:szCs w:val="22"/>
          <w:lang w:val="en-GB"/>
        </w:rPr>
        <w:t>submission presented updated data from the Final Analysis of the ZOSTER-049 study</w:t>
      </w:r>
      <w:r w:rsidR="00DA2E0C" w:rsidRPr="00D41179">
        <w:rPr>
          <w:rFonts w:asciiTheme="minorHAnsi" w:eastAsiaTheme="minorHAnsi" w:hAnsiTheme="minorHAnsi" w:cstheme="minorBidi"/>
          <w:szCs w:val="22"/>
          <w:lang w:val="en-GB"/>
        </w:rPr>
        <w:t xml:space="preserve"> (Figure </w:t>
      </w:r>
      <w:r w:rsidR="00FD22D4" w:rsidRPr="00D41179">
        <w:rPr>
          <w:rFonts w:asciiTheme="minorHAnsi" w:eastAsiaTheme="minorHAnsi" w:hAnsiTheme="minorHAnsi" w:cstheme="minorBidi"/>
          <w:szCs w:val="22"/>
          <w:lang w:val="en-GB"/>
        </w:rPr>
        <w:t>1</w:t>
      </w:r>
      <w:r w:rsidR="00DA2E0C" w:rsidRPr="00D41179">
        <w:rPr>
          <w:rFonts w:asciiTheme="minorHAnsi" w:eastAsiaTheme="minorHAnsi" w:hAnsiTheme="minorHAnsi" w:cstheme="minorBidi"/>
          <w:szCs w:val="22"/>
          <w:lang w:val="en-GB"/>
        </w:rPr>
        <w:t>)</w:t>
      </w:r>
      <w:r w:rsidRPr="00D41179">
        <w:rPr>
          <w:rFonts w:asciiTheme="minorHAnsi" w:eastAsiaTheme="minorHAnsi" w:hAnsiTheme="minorHAnsi" w:cstheme="minorBidi"/>
          <w:szCs w:val="22"/>
          <w:lang w:val="en-GB"/>
        </w:rPr>
        <w:t>, which has a longer follow-up than evidence presented in the previous submissions (median follow up approximately 11 years compared to approximately 8 years). The waning rates were revised based on these data. For adults 50-69 annual waning was decreased from 1.5% to 1.2%</w:t>
      </w:r>
      <w:r w:rsidR="006D48CD" w:rsidRPr="00D41179">
        <w:rPr>
          <w:rFonts w:asciiTheme="minorHAnsi" w:eastAsiaTheme="minorHAnsi" w:hAnsiTheme="minorHAnsi" w:cstheme="minorBidi"/>
          <w:szCs w:val="22"/>
          <w:lang w:val="en-GB"/>
        </w:rPr>
        <w:t>.</w:t>
      </w:r>
      <w:r w:rsidR="00670F80" w:rsidRPr="00D41179">
        <w:rPr>
          <w:rFonts w:asciiTheme="minorHAnsi" w:eastAsiaTheme="minorHAnsi" w:hAnsiTheme="minorHAnsi" w:cstheme="minorBidi"/>
          <w:szCs w:val="22"/>
          <w:lang w:val="en-GB"/>
        </w:rPr>
        <w:t xml:space="preserve"> </w:t>
      </w:r>
      <w:r w:rsidRPr="00D41179">
        <w:rPr>
          <w:rFonts w:asciiTheme="minorHAnsi" w:eastAsiaTheme="minorHAnsi" w:hAnsiTheme="minorHAnsi" w:cstheme="minorBidi"/>
          <w:szCs w:val="22"/>
          <w:lang w:val="en-GB"/>
        </w:rPr>
        <w:t>For adults aged ≥70 the rate was increased from 2.3</w:t>
      </w:r>
      <w:r w:rsidR="00670F80" w:rsidRPr="00D41179">
        <w:rPr>
          <w:rFonts w:asciiTheme="minorHAnsi" w:eastAsiaTheme="minorHAnsi" w:hAnsiTheme="minorHAnsi" w:cstheme="minorBidi"/>
          <w:szCs w:val="22"/>
          <w:lang w:val="en-GB"/>
        </w:rPr>
        <w:t>%</w:t>
      </w:r>
      <w:r w:rsidRPr="00D41179">
        <w:rPr>
          <w:rFonts w:asciiTheme="minorHAnsi" w:eastAsiaTheme="minorHAnsi" w:hAnsiTheme="minorHAnsi" w:cstheme="minorBidi"/>
          <w:szCs w:val="22"/>
          <w:lang w:val="en-GB"/>
        </w:rPr>
        <w:t xml:space="preserve"> to 3.1% </w:t>
      </w:r>
      <w:r w:rsidR="00DF014C" w:rsidRPr="00D41179">
        <w:rPr>
          <w:rFonts w:asciiTheme="minorHAnsi" w:eastAsiaTheme="minorHAnsi" w:hAnsiTheme="minorHAnsi" w:cstheme="minorBidi"/>
          <w:szCs w:val="22"/>
          <w:lang w:val="en-GB"/>
        </w:rPr>
        <w:t xml:space="preserve">(see </w:t>
      </w:r>
      <w:r w:rsidR="00DF014C" w:rsidRPr="00D41179">
        <w:rPr>
          <w:rFonts w:asciiTheme="minorHAnsi" w:eastAsiaTheme="minorHAnsi" w:hAnsiTheme="minorHAnsi" w:cstheme="minorBidi"/>
          <w:szCs w:val="22"/>
          <w:lang w:val="en-GB"/>
        </w:rPr>
        <w:fldChar w:fldCharType="begin"/>
      </w:r>
      <w:r w:rsidR="00DF014C" w:rsidRPr="00D41179">
        <w:rPr>
          <w:rFonts w:asciiTheme="minorHAnsi" w:eastAsiaTheme="minorHAnsi" w:hAnsiTheme="minorHAnsi" w:cstheme="minorBidi"/>
          <w:szCs w:val="22"/>
          <w:lang w:val="en-GB"/>
        </w:rPr>
        <w:instrText xml:space="preserve"> REF _Ref211240336 \h  \* MERGEFORMAT </w:instrText>
      </w:r>
      <w:r w:rsidR="00DF014C" w:rsidRPr="00D41179">
        <w:rPr>
          <w:rFonts w:asciiTheme="minorHAnsi" w:eastAsiaTheme="minorHAnsi" w:hAnsiTheme="minorHAnsi" w:cstheme="minorBidi"/>
          <w:szCs w:val="22"/>
          <w:lang w:val="en-GB"/>
        </w:rPr>
      </w:r>
      <w:r w:rsidR="00DF014C" w:rsidRPr="00D41179">
        <w:rPr>
          <w:rFonts w:asciiTheme="minorHAnsi" w:eastAsiaTheme="minorHAnsi" w:hAnsiTheme="minorHAnsi" w:cstheme="minorBidi"/>
          <w:szCs w:val="22"/>
          <w:lang w:val="en-GB"/>
        </w:rPr>
        <w:fldChar w:fldCharType="separate"/>
      </w:r>
      <w:r w:rsidR="00E7345C" w:rsidRPr="00D41179">
        <w:rPr>
          <w:rFonts w:asciiTheme="minorHAnsi" w:eastAsiaTheme="minorHAnsi" w:hAnsiTheme="minorHAnsi" w:cstheme="minorBidi"/>
          <w:szCs w:val="22"/>
          <w:lang w:val="en-GB"/>
        </w:rPr>
        <w:t>Table 10</w:t>
      </w:r>
      <w:r w:rsidR="00DF014C" w:rsidRPr="00D41179">
        <w:rPr>
          <w:rFonts w:asciiTheme="minorHAnsi" w:eastAsiaTheme="minorHAnsi" w:hAnsiTheme="minorHAnsi" w:cstheme="minorBidi"/>
          <w:szCs w:val="22"/>
          <w:lang w:val="en-GB"/>
        </w:rPr>
        <w:fldChar w:fldCharType="end"/>
      </w:r>
      <w:r w:rsidR="00DF014C" w:rsidRPr="00D41179">
        <w:rPr>
          <w:rFonts w:asciiTheme="minorHAnsi" w:eastAsiaTheme="minorHAnsi" w:hAnsiTheme="minorHAnsi" w:cstheme="minorBidi"/>
          <w:szCs w:val="22"/>
          <w:lang w:val="en-GB"/>
        </w:rPr>
        <w:t>)</w:t>
      </w:r>
      <w:r w:rsidRPr="00D41179">
        <w:rPr>
          <w:rFonts w:asciiTheme="minorHAnsi" w:eastAsiaTheme="minorHAnsi" w:hAnsiTheme="minorHAnsi" w:cstheme="minorBidi"/>
          <w:szCs w:val="22"/>
          <w:lang w:val="en-GB"/>
        </w:rPr>
        <w:t>.</w:t>
      </w:r>
      <w:r w:rsidR="00322DD9">
        <w:rPr>
          <w:rFonts w:asciiTheme="minorHAnsi" w:eastAsiaTheme="minorHAnsi" w:hAnsiTheme="minorHAnsi" w:cstheme="minorBidi"/>
          <w:szCs w:val="22"/>
          <w:lang w:val="en-GB"/>
        </w:rPr>
        <w:t xml:space="preserve"> </w:t>
      </w:r>
      <w:r w:rsidR="00EF65A7" w:rsidRPr="00D41179">
        <w:rPr>
          <w:iCs/>
        </w:rPr>
        <w:t>When the previous initial VE rates were combined with the previous VE</w:t>
      </w:r>
      <w:r w:rsidR="00EF65A7" w:rsidRPr="00D41179">
        <w:rPr>
          <w:iCs/>
          <w:vertAlign w:val="subscript"/>
        </w:rPr>
        <w:t>HZ</w:t>
      </w:r>
      <w:r w:rsidR="00EF65A7" w:rsidRPr="00D41179">
        <w:rPr>
          <w:iCs/>
        </w:rPr>
        <w:t xml:space="preserve"> waning (see </w:t>
      </w:r>
      <w:r w:rsidR="00EF65A7" w:rsidRPr="00D41179">
        <w:rPr>
          <w:iCs/>
        </w:rPr>
        <w:fldChar w:fldCharType="begin"/>
      </w:r>
      <w:r w:rsidR="00EF65A7" w:rsidRPr="00D41179">
        <w:rPr>
          <w:iCs/>
        </w:rPr>
        <w:instrText xml:space="preserve"> REF _Ref211240336 \h  \* MERGEFORMAT </w:instrText>
      </w:r>
      <w:r w:rsidR="00EF65A7" w:rsidRPr="00D41179">
        <w:rPr>
          <w:iCs/>
        </w:rPr>
      </w:r>
      <w:r w:rsidR="00EF65A7" w:rsidRPr="00D41179">
        <w:rPr>
          <w:iCs/>
        </w:rPr>
        <w:fldChar w:fldCharType="separate"/>
      </w:r>
      <w:r w:rsidR="00E7345C" w:rsidRPr="00D41179">
        <w:rPr>
          <w:iCs/>
        </w:rPr>
        <w:t>Table 10</w:t>
      </w:r>
      <w:r w:rsidR="00EF65A7" w:rsidRPr="00D41179">
        <w:rPr>
          <w:iCs/>
        </w:rPr>
        <w:fldChar w:fldCharType="end"/>
      </w:r>
      <w:r w:rsidR="00EF65A7" w:rsidRPr="00D41179">
        <w:rPr>
          <w:iCs/>
        </w:rPr>
        <w:t>) the ICER increased to $</w:t>
      </w:r>
      <w:r w:rsidR="00FA3EF3" w:rsidRPr="00D41179">
        <w:rPr>
          <w:iCs/>
        </w:rPr>
        <w:t>25,000 to &lt; $35,000</w:t>
      </w:r>
      <w:r w:rsidR="00EF65A7" w:rsidRPr="00D41179">
        <w:rPr>
          <w:iCs/>
        </w:rPr>
        <w:t xml:space="preserve"> (+</w:t>
      </w:r>
      <w:r w:rsidR="000E1EB2" w:rsidRPr="000E1EB2">
        <w:rPr>
          <w:iCs/>
          <w:sz w:val="2"/>
          <w:highlight w:val="black"/>
        </w:rPr>
        <w:t>redacted content</w:t>
      </w:r>
      <w:r w:rsidR="00EF65A7" w:rsidRPr="00D41179">
        <w:rPr>
          <w:iCs/>
        </w:rPr>
        <w:t>%).</w:t>
      </w:r>
    </w:p>
    <w:p w14:paraId="761CBBEF" w14:textId="467D1678" w:rsidR="00320C83" w:rsidRPr="00D41179" w:rsidRDefault="00693783" w:rsidP="00693783">
      <w:pPr>
        <w:pStyle w:val="Caption"/>
        <w:jc w:val="left"/>
      </w:pPr>
      <w:bookmarkStart w:id="49" w:name="_Ref208991197"/>
      <w:r w:rsidRPr="00D41179">
        <w:lastRenderedPageBreak/>
        <w:t xml:space="preserve">Figure </w:t>
      </w:r>
      <w:r w:rsidRPr="00D41179">
        <w:fldChar w:fldCharType="begin"/>
      </w:r>
      <w:r w:rsidRPr="00D41179">
        <w:instrText>SEQ Figure \* ARABIC</w:instrText>
      </w:r>
      <w:r w:rsidRPr="00D41179">
        <w:fldChar w:fldCharType="separate"/>
      </w:r>
      <w:r w:rsidR="00E7345C" w:rsidRPr="00D41179">
        <w:rPr>
          <w:noProof/>
        </w:rPr>
        <w:t>2</w:t>
      </w:r>
      <w:r w:rsidRPr="00D41179">
        <w:fldChar w:fldCharType="end"/>
      </w:r>
      <w:bookmarkEnd w:id="49"/>
      <w:r w:rsidR="00320C83" w:rsidRPr="00D41179">
        <w:t>: Vaccine waning in the November 2025 and March 2023 economic models</w:t>
      </w:r>
    </w:p>
    <w:p w14:paraId="462D7E35" w14:textId="559AAD34" w:rsidR="00881315" w:rsidRPr="00D41179" w:rsidRDefault="00881315" w:rsidP="00881315">
      <w:r w:rsidRPr="00D41179">
        <w:rPr>
          <w:rFonts w:eastAsiaTheme="minorHAnsi"/>
          <w:noProof/>
        </w:rPr>
        <w:drawing>
          <wp:inline distT="0" distB="0" distL="0" distR="0" wp14:anchorId="5D52AFB3" wp14:editId="191517B4">
            <wp:extent cx="5732145" cy="2573655"/>
            <wp:effectExtent l="0" t="0" r="1905" b="0"/>
            <wp:docPr id="931267879" name="Picture 2" descr="Figure 2: Vaccine waning in the November 2025 and March 2023 economic mode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1267879" name="Picture 2" descr="Figure 2: Vaccine waning in the November 2025 and March 2023 economic models"/>
                    <pic:cNvPicPr>
                      <a:picLocks noChangeAspect="1" noChangeArrowheads="1"/>
                    </pic:cNvPicPr>
                  </pic:nvPicPr>
                  <pic:blipFill>
                    <a:blip r:embed="rId12" r:link="rId13">
                      <a:extLst>
                        <a:ext uri="{28A0092B-C50C-407E-A947-70E740481C1C}">
                          <a14:useLocalDpi xmlns:a14="http://schemas.microsoft.com/office/drawing/2010/main" val="0"/>
                        </a:ext>
                      </a:extLst>
                    </a:blip>
                    <a:srcRect/>
                    <a:stretch>
                      <a:fillRect/>
                    </a:stretch>
                  </pic:blipFill>
                  <pic:spPr bwMode="auto">
                    <a:xfrm>
                      <a:off x="0" y="0"/>
                      <a:ext cx="5732145" cy="2573655"/>
                    </a:xfrm>
                    <a:prstGeom prst="rect">
                      <a:avLst/>
                    </a:prstGeom>
                    <a:noFill/>
                    <a:ln>
                      <a:noFill/>
                    </a:ln>
                  </pic:spPr>
                </pic:pic>
              </a:graphicData>
            </a:graphic>
          </wp:inline>
        </w:drawing>
      </w:r>
    </w:p>
    <w:p w14:paraId="140E93A9" w14:textId="6C01556D" w:rsidR="00881315" w:rsidRPr="00D41179" w:rsidRDefault="00320C83" w:rsidP="004626F2">
      <w:pPr>
        <w:pStyle w:val="TableFooter"/>
        <w:rPr>
          <w:rFonts w:eastAsiaTheme="minorHAnsi"/>
        </w:rPr>
      </w:pPr>
      <w:r w:rsidRPr="00D41179">
        <w:rPr>
          <w:rFonts w:eastAsiaTheme="minorHAnsi"/>
        </w:rPr>
        <w:t xml:space="preserve">Source: Compiled during evaluation from </w:t>
      </w:r>
      <w:r w:rsidR="004626F2" w:rsidRPr="00D41179">
        <w:rPr>
          <w:rFonts w:eastAsiaTheme="minorHAnsi"/>
        </w:rPr>
        <w:t>Attachment 10a ‘Shingrix 60-64 YOA – ZONA CEA</w:t>
      </w:r>
    </w:p>
    <w:p w14:paraId="5C4D2061" w14:textId="77777777" w:rsidR="00881315" w:rsidRPr="00D41179" w:rsidRDefault="00881315" w:rsidP="004626F2">
      <w:pPr>
        <w:pStyle w:val="TableFooter"/>
        <w:rPr>
          <w:rFonts w:eastAsiaTheme="minorHAnsi"/>
          <w:i/>
          <w:iCs/>
        </w:rPr>
      </w:pPr>
    </w:p>
    <w:bookmarkStart w:id="50" w:name="_Ref211849750"/>
    <w:p w14:paraId="19DBEA07" w14:textId="01FF96D3" w:rsidR="00F714D1" w:rsidRPr="00D41179" w:rsidRDefault="00693783">
      <w:pPr>
        <w:numPr>
          <w:ilvl w:val="1"/>
          <w:numId w:val="8"/>
        </w:numPr>
        <w:spacing w:before="60" w:after="60"/>
        <w:ind w:left="709"/>
        <w:rPr>
          <w:rFonts w:asciiTheme="minorHAnsi" w:eastAsiaTheme="minorHAnsi" w:hAnsiTheme="minorHAnsi" w:cstheme="minorBidi"/>
          <w:color w:val="000000" w:themeColor="text1"/>
          <w:szCs w:val="22"/>
        </w:rPr>
      </w:pPr>
      <w:r w:rsidRPr="00D41179">
        <w:rPr>
          <w:rFonts w:asciiTheme="minorHAnsi" w:eastAsiaTheme="minorHAnsi" w:hAnsiTheme="minorHAnsi" w:cstheme="minorBidi"/>
          <w:color w:val="000000" w:themeColor="text1"/>
          <w:szCs w:val="22"/>
        </w:rPr>
        <w:fldChar w:fldCharType="begin"/>
      </w:r>
      <w:r w:rsidRPr="00D41179">
        <w:rPr>
          <w:rFonts w:asciiTheme="minorHAnsi" w:eastAsiaTheme="minorHAnsi" w:hAnsiTheme="minorHAnsi" w:cstheme="minorBidi"/>
          <w:color w:val="000000" w:themeColor="text1"/>
          <w:szCs w:val="22"/>
        </w:rPr>
        <w:instrText xml:space="preserve"> REF _Ref208991197 \h </w:instrText>
      </w:r>
      <w:r w:rsidR="00D41179">
        <w:rPr>
          <w:rFonts w:asciiTheme="minorHAnsi" w:eastAsiaTheme="minorHAnsi" w:hAnsiTheme="minorHAnsi" w:cstheme="minorBidi"/>
          <w:color w:val="000000" w:themeColor="text1"/>
          <w:szCs w:val="22"/>
        </w:rPr>
        <w:instrText xml:space="preserve"> \* MERGEFORMAT </w:instrText>
      </w:r>
      <w:r w:rsidRPr="00D41179">
        <w:rPr>
          <w:rFonts w:asciiTheme="minorHAnsi" w:eastAsiaTheme="minorHAnsi" w:hAnsiTheme="minorHAnsi" w:cstheme="minorBidi"/>
          <w:color w:val="000000" w:themeColor="text1"/>
          <w:szCs w:val="22"/>
        </w:rPr>
      </w:r>
      <w:r w:rsidRPr="00D41179">
        <w:rPr>
          <w:rFonts w:asciiTheme="minorHAnsi" w:eastAsiaTheme="minorHAnsi" w:hAnsiTheme="minorHAnsi" w:cstheme="minorBidi"/>
          <w:color w:val="000000" w:themeColor="text1"/>
          <w:szCs w:val="22"/>
        </w:rPr>
        <w:fldChar w:fldCharType="separate"/>
      </w:r>
      <w:r w:rsidR="00E7345C" w:rsidRPr="00D41179">
        <w:t xml:space="preserve">Figure </w:t>
      </w:r>
      <w:r w:rsidR="00E7345C" w:rsidRPr="00D41179">
        <w:rPr>
          <w:noProof/>
        </w:rPr>
        <w:t>2</w:t>
      </w:r>
      <w:r w:rsidRPr="00D41179">
        <w:rPr>
          <w:rFonts w:asciiTheme="minorHAnsi" w:eastAsiaTheme="minorHAnsi" w:hAnsiTheme="minorHAnsi" w:cstheme="minorBidi"/>
          <w:color w:val="000000" w:themeColor="text1"/>
          <w:szCs w:val="22"/>
        </w:rPr>
        <w:fldChar w:fldCharType="end"/>
      </w:r>
      <w:r w:rsidRPr="00D41179">
        <w:rPr>
          <w:rFonts w:asciiTheme="minorHAnsi" w:eastAsiaTheme="minorHAnsi" w:hAnsiTheme="minorHAnsi" w:cstheme="minorBidi"/>
          <w:color w:val="000000" w:themeColor="text1"/>
          <w:szCs w:val="22"/>
        </w:rPr>
        <w:t xml:space="preserve"> </w:t>
      </w:r>
      <w:r w:rsidR="00F714D1" w:rsidRPr="00D41179">
        <w:rPr>
          <w:rFonts w:asciiTheme="minorHAnsi" w:eastAsiaTheme="minorHAnsi" w:hAnsiTheme="minorHAnsi" w:cstheme="minorBidi"/>
          <w:color w:val="000000" w:themeColor="text1"/>
          <w:szCs w:val="22"/>
        </w:rPr>
        <w:t xml:space="preserve">shows the waning function applied in the </w:t>
      </w:r>
      <w:r w:rsidR="00061BC3" w:rsidRPr="00D41179">
        <w:rPr>
          <w:rFonts w:asciiTheme="minorHAnsi" w:eastAsiaTheme="minorHAnsi" w:hAnsiTheme="minorHAnsi" w:cstheme="minorBidi"/>
          <w:color w:val="000000" w:themeColor="text1"/>
          <w:szCs w:val="22"/>
        </w:rPr>
        <w:t xml:space="preserve">current </w:t>
      </w:r>
      <w:r w:rsidR="00F714D1" w:rsidRPr="00D41179">
        <w:rPr>
          <w:rFonts w:asciiTheme="minorHAnsi" w:eastAsiaTheme="minorHAnsi" w:hAnsiTheme="minorHAnsi" w:cstheme="minorBidi"/>
          <w:color w:val="000000" w:themeColor="text1"/>
          <w:szCs w:val="22"/>
        </w:rPr>
        <w:t>economic model (</w:t>
      </w:r>
      <w:r w:rsidR="00367C48" w:rsidRPr="00D41179">
        <w:rPr>
          <w:rFonts w:asciiTheme="minorHAnsi" w:eastAsiaTheme="minorHAnsi" w:hAnsiTheme="minorHAnsi" w:cstheme="minorBidi"/>
          <w:color w:val="000000" w:themeColor="text1"/>
          <w:szCs w:val="22"/>
        </w:rPr>
        <w:t xml:space="preserve">green line </w:t>
      </w:r>
      <w:r w:rsidR="00671401" w:rsidRPr="00D41179">
        <w:rPr>
          <w:rFonts w:asciiTheme="minorHAnsi" w:eastAsiaTheme="minorHAnsi" w:hAnsiTheme="minorHAnsi" w:cstheme="minorBidi"/>
          <w:color w:val="000000" w:themeColor="text1"/>
          <w:szCs w:val="22"/>
        </w:rPr>
        <w:t xml:space="preserve">vaccinated </w:t>
      </w:r>
      <w:r w:rsidR="00367C48" w:rsidRPr="00D41179">
        <w:rPr>
          <w:rFonts w:asciiTheme="minorHAnsi" w:eastAsiaTheme="minorHAnsi" w:hAnsiTheme="minorHAnsi" w:cstheme="minorBidi"/>
          <w:color w:val="000000" w:themeColor="text1"/>
          <w:szCs w:val="22"/>
        </w:rPr>
        <w:t xml:space="preserve">at 65 YOA, orange line at </w:t>
      </w:r>
      <w:r w:rsidR="00671401" w:rsidRPr="00D41179">
        <w:rPr>
          <w:rFonts w:asciiTheme="minorHAnsi" w:eastAsiaTheme="minorHAnsi" w:hAnsiTheme="minorHAnsi" w:cstheme="minorBidi"/>
          <w:color w:val="000000" w:themeColor="text1"/>
          <w:szCs w:val="22"/>
        </w:rPr>
        <w:t xml:space="preserve">vaccinated </w:t>
      </w:r>
      <w:r w:rsidR="00367C48" w:rsidRPr="00D41179">
        <w:rPr>
          <w:rFonts w:asciiTheme="minorHAnsi" w:eastAsiaTheme="minorHAnsi" w:hAnsiTheme="minorHAnsi" w:cstheme="minorBidi"/>
          <w:color w:val="000000" w:themeColor="text1"/>
          <w:szCs w:val="22"/>
        </w:rPr>
        <w:t>60 YOA</w:t>
      </w:r>
      <w:r w:rsidR="00F714D1" w:rsidRPr="00D41179">
        <w:rPr>
          <w:rFonts w:asciiTheme="minorHAnsi" w:eastAsiaTheme="minorHAnsi" w:hAnsiTheme="minorHAnsi" w:cstheme="minorBidi"/>
          <w:color w:val="000000" w:themeColor="text1"/>
          <w:szCs w:val="22"/>
        </w:rPr>
        <w:t>) and the function applied in the March 2023 PBAC submission (</w:t>
      </w:r>
      <w:r w:rsidR="00367C48" w:rsidRPr="00D41179">
        <w:rPr>
          <w:rFonts w:asciiTheme="minorHAnsi" w:eastAsiaTheme="minorHAnsi" w:hAnsiTheme="minorHAnsi" w:cstheme="minorBidi"/>
          <w:color w:val="000000" w:themeColor="text1"/>
          <w:szCs w:val="22"/>
        </w:rPr>
        <w:t>blue line</w:t>
      </w:r>
      <w:r w:rsidR="00F714D1" w:rsidRPr="00D41179">
        <w:rPr>
          <w:rFonts w:asciiTheme="minorHAnsi" w:eastAsiaTheme="minorHAnsi" w:hAnsiTheme="minorHAnsi" w:cstheme="minorBidi"/>
          <w:color w:val="000000" w:themeColor="text1"/>
          <w:szCs w:val="22"/>
        </w:rPr>
        <w:t xml:space="preserve">). </w:t>
      </w:r>
      <w:r w:rsidR="00351858" w:rsidRPr="00D41179">
        <w:t>The ESC noted the higher waning rate applied 5 years after vaccination for individuals vaccinated at 65 YOA and 10 years after vaccination for individuals vaccinated at 60 YOA.</w:t>
      </w:r>
      <w:r w:rsidR="00881315" w:rsidRPr="00D41179">
        <w:rPr>
          <w:rFonts w:asciiTheme="minorHAnsi" w:eastAsiaTheme="minorHAnsi" w:hAnsiTheme="minorHAnsi" w:cstheme="minorBidi"/>
          <w:i/>
          <w:iCs/>
          <w:szCs w:val="22"/>
        </w:rPr>
        <w:t xml:space="preserve"> </w:t>
      </w:r>
      <w:r w:rsidR="00F714D1" w:rsidRPr="00D41179">
        <w:rPr>
          <w:rFonts w:asciiTheme="minorHAnsi" w:eastAsiaTheme="minorHAnsi" w:hAnsiTheme="minorHAnsi" w:cstheme="minorBidi"/>
          <w:color w:val="000000" w:themeColor="text1"/>
          <w:szCs w:val="22"/>
        </w:rPr>
        <w:t xml:space="preserve">The submission claimed that </w:t>
      </w:r>
      <w:r w:rsidR="00F714D1" w:rsidRPr="00D41179">
        <w:rPr>
          <w:rFonts w:asciiTheme="minorHAnsi" w:eastAsiaTheme="minorHAnsi" w:hAnsiTheme="minorHAnsi" w:cstheme="minorBidi"/>
          <w:szCs w:val="22"/>
          <w:lang w:val="en-GB"/>
        </w:rPr>
        <w:t>the linear VE models remain a good fit to the observed data</w:t>
      </w:r>
      <w:r w:rsidR="00881315" w:rsidRPr="00D41179">
        <w:rPr>
          <w:rFonts w:asciiTheme="minorHAnsi" w:eastAsiaTheme="minorHAnsi" w:hAnsiTheme="minorHAnsi" w:cstheme="minorBidi"/>
          <w:szCs w:val="22"/>
          <w:lang w:val="en-GB"/>
        </w:rPr>
        <w:t>.</w:t>
      </w:r>
      <w:r w:rsidR="00F714D1" w:rsidRPr="00D41179">
        <w:rPr>
          <w:rFonts w:asciiTheme="minorHAnsi" w:eastAsiaTheme="minorHAnsi" w:hAnsiTheme="minorHAnsi" w:cstheme="minorBidi"/>
          <w:szCs w:val="22"/>
          <w:lang w:val="en-GB"/>
        </w:rPr>
        <w:t xml:space="preserve"> Although the linear curve appears to approximate the data,</w:t>
      </w:r>
      <w:r w:rsidR="00E965E4" w:rsidRPr="00D41179">
        <w:rPr>
          <w:rFonts w:asciiTheme="minorHAnsi" w:eastAsiaTheme="minorHAnsi" w:hAnsiTheme="minorHAnsi" w:cstheme="minorBidi"/>
          <w:szCs w:val="22"/>
          <w:lang w:val="en-GB"/>
        </w:rPr>
        <w:t xml:space="preserve"> </w:t>
      </w:r>
      <w:r w:rsidRPr="00D41179">
        <w:rPr>
          <w:rFonts w:asciiTheme="minorHAnsi" w:eastAsiaTheme="minorHAnsi" w:hAnsiTheme="minorHAnsi" w:cstheme="minorBidi"/>
          <w:szCs w:val="22"/>
          <w:lang w:val="en-GB"/>
        </w:rPr>
        <w:fldChar w:fldCharType="begin"/>
      </w:r>
      <w:r w:rsidRPr="00D41179">
        <w:rPr>
          <w:rFonts w:asciiTheme="minorHAnsi" w:eastAsiaTheme="minorHAnsi" w:hAnsiTheme="minorHAnsi" w:cstheme="minorBidi"/>
          <w:szCs w:val="22"/>
          <w:lang w:val="en-GB"/>
        </w:rPr>
        <w:instrText xml:space="preserve"> REF _Ref207726004 \h  \* MERGEFORMAT </w:instrText>
      </w:r>
      <w:r w:rsidRPr="00D41179">
        <w:rPr>
          <w:rFonts w:asciiTheme="minorHAnsi" w:eastAsiaTheme="minorHAnsi" w:hAnsiTheme="minorHAnsi" w:cstheme="minorBidi"/>
          <w:szCs w:val="22"/>
          <w:lang w:val="en-GB"/>
        </w:rPr>
      </w:r>
      <w:r w:rsidRPr="00D41179">
        <w:rPr>
          <w:rFonts w:asciiTheme="minorHAnsi" w:eastAsiaTheme="minorHAnsi" w:hAnsiTheme="minorHAnsi" w:cstheme="minorBidi"/>
          <w:szCs w:val="22"/>
          <w:lang w:val="en-GB"/>
        </w:rPr>
        <w:fldChar w:fldCharType="separate"/>
      </w:r>
      <w:r w:rsidR="00E7345C" w:rsidRPr="00D41179">
        <w:t xml:space="preserve">Figure </w:t>
      </w:r>
      <w:r w:rsidR="00E7345C" w:rsidRPr="00D41179">
        <w:rPr>
          <w:noProof/>
        </w:rPr>
        <w:t>3</w:t>
      </w:r>
      <w:r w:rsidRPr="00D41179">
        <w:rPr>
          <w:rFonts w:asciiTheme="minorHAnsi" w:eastAsiaTheme="minorHAnsi" w:hAnsiTheme="minorHAnsi" w:cstheme="minorBidi"/>
          <w:szCs w:val="22"/>
          <w:lang w:val="en-GB"/>
        </w:rPr>
        <w:fldChar w:fldCharType="end"/>
      </w:r>
      <w:r w:rsidR="00F714D1" w:rsidRPr="00D41179">
        <w:rPr>
          <w:rFonts w:asciiTheme="minorHAnsi" w:eastAsiaTheme="minorHAnsi" w:hAnsiTheme="minorHAnsi" w:cstheme="minorBidi"/>
          <w:szCs w:val="22"/>
          <w:lang w:val="en-GB"/>
        </w:rPr>
        <w:t xml:space="preserve"> highlights the width of the confidence intervals as the data follow up moves beyond 5-6 years but particularly beyond 8 years.</w:t>
      </w:r>
      <w:r w:rsidR="00F714D1" w:rsidRPr="00D41179">
        <w:rPr>
          <w:rFonts w:asciiTheme="minorHAnsi" w:eastAsiaTheme="minorHAnsi" w:hAnsiTheme="minorHAnsi" w:cstheme="minorBidi"/>
          <w:i/>
          <w:iCs/>
          <w:szCs w:val="22"/>
          <w:lang w:val="en-GB"/>
        </w:rPr>
        <w:t xml:space="preserve"> </w:t>
      </w:r>
      <w:r w:rsidR="00327601" w:rsidRPr="00D41179">
        <w:rPr>
          <w:rFonts w:asciiTheme="minorHAnsi" w:eastAsiaTheme="minorHAnsi" w:hAnsiTheme="minorHAnsi" w:cstheme="minorBidi"/>
          <w:szCs w:val="22"/>
          <w:lang w:val="en-GB"/>
        </w:rPr>
        <w:t xml:space="preserve">The ESC noted </w:t>
      </w:r>
      <w:r w:rsidR="007E5193" w:rsidRPr="00D41179">
        <w:rPr>
          <w:rFonts w:asciiTheme="minorHAnsi" w:eastAsiaTheme="minorHAnsi" w:hAnsiTheme="minorHAnsi" w:cstheme="minorBidi"/>
          <w:szCs w:val="22"/>
          <w:lang w:val="en-GB"/>
        </w:rPr>
        <w:fldChar w:fldCharType="begin"/>
      </w:r>
      <w:r w:rsidR="007E5193" w:rsidRPr="00D41179">
        <w:rPr>
          <w:rFonts w:asciiTheme="minorHAnsi" w:eastAsiaTheme="minorHAnsi" w:hAnsiTheme="minorHAnsi" w:cstheme="minorBidi"/>
          <w:szCs w:val="22"/>
          <w:lang w:val="en-GB"/>
        </w:rPr>
        <w:instrText xml:space="preserve"> REF _Ref207726004 \h  \* MERGEFORMAT </w:instrText>
      </w:r>
      <w:r w:rsidR="007E5193" w:rsidRPr="00D41179">
        <w:rPr>
          <w:rFonts w:asciiTheme="minorHAnsi" w:eastAsiaTheme="minorHAnsi" w:hAnsiTheme="minorHAnsi" w:cstheme="minorBidi"/>
          <w:szCs w:val="22"/>
          <w:lang w:val="en-GB"/>
        </w:rPr>
      </w:r>
      <w:r w:rsidR="007E5193" w:rsidRPr="00D41179">
        <w:rPr>
          <w:rFonts w:asciiTheme="minorHAnsi" w:eastAsiaTheme="minorHAnsi" w:hAnsiTheme="minorHAnsi" w:cstheme="minorBidi"/>
          <w:szCs w:val="22"/>
          <w:lang w:val="en-GB"/>
        </w:rPr>
        <w:fldChar w:fldCharType="separate"/>
      </w:r>
      <w:r w:rsidR="007E5193" w:rsidRPr="00D41179">
        <w:t xml:space="preserve">Figure </w:t>
      </w:r>
      <w:r w:rsidR="007E5193" w:rsidRPr="00D41179">
        <w:rPr>
          <w:noProof/>
        </w:rPr>
        <w:t>3</w:t>
      </w:r>
      <w:r w:rsidR="007E5193" w:rsidRPr="00D41179">
        <w:rPr>
          <w:rFonts w:asciiTheme="minorHAnsi" w:eastAsiaTheme="minorHAnsi" w:hAnsiTheme="minorHAnsi" w:cstheme="minorBidi"/>
          <w:szCs w:val="22"/>
          <w:lang w:val="en-GB"/>
        </w:rPr>
        <w:fldChar w:fldCharType="end"/>
      </w:r>
      <w:r w:rsidR="007E5193" w:rsidRPr="00D41179">
        <w:rPr>
          <w:rFonts w:asciiTheme="minorHAnsi" w:eastAsiaTheme="minorHAnsi" w:hAnsiTheme="minorHAnsi" w:cstheme="minorBidi"/>
          <w:szCs w:val="22"/>
          <w:lang w:val="en-GB"/>
        </w:rPr>
        <w:t xml:space="preserve"> was for individuals </w:t>
      </w:r>
      <w:r w:rsidR="00881315" w:rsidRPr="00D41179">
        <w:rPr>
          <w:rFonts w:asciiTheme="minorHAnsi" w:eastAsiaTheme="minorHAnsi" w:hAnsiTheme="minorHAnsi" w:cstheme="minorHAnsi"/>
          <w:szCs w:val="22"/>
          <w:lang w:val="en-GB"/>
        </w:rPr>
        <w:t>≥</w:t>
      </w:r>
      <w:r w:rsidR="00881315" w:rsidRPr="00D41179">
        <w:rPr>
          <w:rFonts w:asciiTheme="minorHAnsi" w:eastAsiaTheme="minorHAnsi" w:hAnsiTheme="minorHAnsi" w:cstheme="minorBidi"/>
          <w:szCs w:val="22"/>
          <w:lang w:val="en-GB"/>
        </w:rPr>
        <w:t xml:space="preserve"> </w:t>
      </w:r>
      <w:r w:rsidR="007E5193" w:rsidRPr="00D41179">
        <w:rPr>
          <w:rFonts w:asciiTheme="minorHAnsi" w:eastAsiaTheme="minorHAnsi" w:hAnsiTheme="minorHAnsi" w:cstheme="minorBidi"/>
          <w:szCs w:val="22"/>
          <w:lang w:val="en-GB"/>
        </w:rPr>
        <w:t xml:space="preserve">70 YOA and </w:t>
      </w:r>
      <w:r w:rsidR="00327601" w:rsidRPr="00D41179">
        <w:rPr>
          <w:rFonts w:asciiTheme="minorHAnsi" w:eastAsiaTheme="minorHAnsi" w:hAnsiTheme="minorHAnsi" w:cstheme="minorBidi"/>
          <w:szCs w:val="22"/>
          <w:lang w:val="en-GB"/>
        </w:rPr>
        <w:t xml:space="preserve">the associated figure for </w:t>
      </w:r>
      <w:r w:rsidR="00961E69" w:rsidRPr="00D41179">
        <w:rPr>
          <w:rFonts w:asciiTheme="minorHAnsi" w:eastAsiaTheme="minorHAnsi" w:hAnsiTheme="minorHAnsi" w:cstheme="minorBidi"/>
          <w:szCs w:val="22"/>
          <w:lang w:val="en-GB"/>
        </w:rPr>
        <w:t xml:space="preserve">individuals </w:t>
      </w:r>
      <w:r w:rsidR="00143157" w:rsidRPr="00D41179">
        <w:rPr>
          <w:rFonts w:asciiTheme="minorHAnsi" w:eastAsiaTheme="minorHAnsi" w:hAnsiTheme="minorHAnsi" w:cstheme="minorBidi"/>
          <w:szCs w:val="22"/>
          <w:lang w:val="en-GB"/>
        </w:rPr>
        <w:t xml:space="preserve">aged 60 to 69 years </w:t>
      </w:r>
      <w:r w:rsidR="00961E69" w:rsidRPr="00D41179">
        <w:rPr>
          <w:rFonts w:asciiTheme="minorHAnsi" w:eastAsiaTheme="minorHAnsi" w:hAnsiTheme="minorHAnsi" w:cstheme="minorBidi"/>
          <w:szCs w:val="22"/>
          <w:lang w:val="en-GB"/>
        </w:rPr>
        <w:t>was not provided with the submission.</w:t>
      </w:r>
      <w:bookmarkEnd w:id="50"/>
      <w:r w:rsidR="00A62216">
        <w:rPr>
          <w:rFonts w:asciiTheme="minorHAnsi" w:eastAsiaTheme="minorHAnsi" w:hAnsiTheme="minorHAnsi" w:cstheme="minorBidi"/>
          <w:i/>
          <w:iCs/>
          <w:szCs w:val="22"/>
          <w:lang w:val="en-GB"/>
        </w:rPr>
        <w:t xml:space="preserve"> </w:t>
      </w:r>
      <w:r w:rsidR="00A05118" w:rsidRPr="00D41179">
        <w:rPr>
          <w:rFonts w:asciiTheme="minorHAnsi" w:eastAsiaTheme="minorHAnsi" w:hAnsiTheme="minorHAnsi" w:cstheme="minorBidi"/>
          <w:szCs w:val="22"/>
          <w:lang w:val="en-GB"/>
        </w:rPr>
        <w:t xml:space="preserve">The pre-PBAC response provided </w:t>
      </w:r>
      <w:r w:rsidR="00240ADE" w:rsidRPr="00D41179">
        <w:rPr>
          <w:rFonts w:asciiTheme="minorHAnsi" w:eastAsiaTheme="minorHAnsi" w:hAnsiTheme="minorHAnsi" w:cstheme="minorBidi"/>
          <w:szCs w:val="22"/>
          <w:lang w:val="en-GB"/>
        </w:rPr>
        <w:t xml:space="preserve">exemplary linear </w:t>
      </w:r>
      <w:r w:rsidR="00901450" w:rsidRPr="00D41179">
        <w:rPr>
          <w:rFonts w:asciiTheme="minorHAnsi" w:eastAsiaTheme="minorHAnsi" w:hAnsiTheme="minorHAnsi" w:cstheme="minorBidi"/>
          <w:szCs w:val="22"/>
          <w:lang w:val="en-GB"/>
        </w:rPr>
        <w:t>and</w:t>
      </w:r>
      <w:r w:rsidR="00240ADE" w:rsidRPr="00D41179">
        <w:rPr>
          <w:rFonts w:asciiTheme="minorHAnsi" w:eastAsiaTheme="minorHAnsi" w:hAnsiTheme="minorHAnsi" w:cstheme="minorBidi"/>
          <w:szCs w:val="22"/>
          <w:lang w:val="en-GB"/>
        </w:rPr>
        <w:t xml:space="preserve"> non-linear regression functions fitted to annual VE for those vaccinated at 60</w:t>
      </w:r>
      <w:r w:rsidR="00413AD5" w:rsidRPr="00D41179">
        <w:rPr>
          <w:rFonts w:asciiTheme="minorHAnsi" w:eastAsiaTheme="minorHAnsi" w:hAnsiTheme="minorHAnsi" w:cstheme="minorBidi"/>
          <w:szCs w:val="22"/>
          <w:lang w:val="en-GB"/>
        </w:rPr>
        <w:t xml:space="preserve"> to </w:t>
      </w:r>
      <w:r w:rsidR="00240ADE" w:rsidRPr="00D41179">
        <w:rPr>
          <w:rFonts w:asciiTheme="minorHAnsi" w:eastAsiaTheme="minorHAnsi" w:hAnsiTheme="minorHAnsi" w:cstheme="minorBidi"/>
          <w:szCs w:val="22"/>
          <w:lang w:val="en-GB"/>
        </w:rPr>
        <w:t xml:space="preserve">69 YOA </w:t>
      </w:r>
      <w:r w:rsidR="006B2D82" w:rsidRPr="00D41179">
        <w:rPr>
          <w:rFonts w:asciiTheme="minorHAnsi" w:eastAsiaTheme="minorHAnsi" w:hAnsiTheme="minorHAnsi" w:cstheme="minorBidi"/>
          <w:szCs w:val="22"/>
          <w:lang w:val="en-GB"/>
        </w:rPr>
        <w:t>and noted linear VE waning remained a re</w:t>
      </w:r>
      <w:r w:rsidR="00413AD5" w:rsidRPr="00D41179">
        <w:rPr>
          <w:rFonts w:asciiTheme="minorHAnsi" w:eastAsiaTheme="minorHAnsi" w:hAnsiTheme="minorHAnsi" w:cstheme="minorBidi"/>
          <w:szCs w:val="22"/>
          <w:lang w:val="en-GB"/>
        </w:rPr>
        <w:t>asonable but likely conservative assumption for individuals 60 to 69 YOA.</w:t>
      </w:r>
      <w:r w:rsidR="00D41179" w:rsidRPr="00D41179">
        <w:rPr>
          <w:rFonts w:asciiTheme="minorHAnsi" w:eastAsiaTheme="minorHAnsi" w:hAnsiTheme="minorHAnsi" w:cstheme="minorBidi"/>
          <w:szCs w:val="22"/>
          <w:lang w:val="en-GB"/>
        </w:rPr>
        <w:t xml:space="preserve"> </w:t>
      </w:r>
    </w:p>
    <w:p w14:paraId="06885A5B" w14:textId="76E3EE68" w:rsidR="00F714D1" w:rsidRPr="00D41179" w:rsidRDefault="00693783">
      <w:pPr>
        <w:pStyle w:val="Caption"/>
      </w:pPr>
      <w:bookmarkStart w:id="51" w:name="_Ref207726004"/>
      <w:bookmarkStart w:id="52" w:name="_Ref207878791"/>
      <w:r w:rsidRPr="00D41179">
        <w:lastRenderedPageBreak/>
        <w:t xml:space="preserve">Figure </w:t>
      </w:r>
      <w:r w:rsidRPr="00D41179">
        <w:fldChar w:fldCharType="begin"/>
      </w:r>
      <w:r w:rsidRPr="00D41179">
        <w:instrText>SEQ Figure \* ARABIC</w:instrText>
      </w:r>
      <w:r w:rsidRPr="00D41179">
        <w:fldChar w:fldCharType="separate"/>
      </w:r>
      <w:r w:rsidR="007E147F" w:rsidRPr="00D41179">
        <w:rPr>
          <w:noProof/>
        </w:rPr>
        <w:t>3</w:t>
      </w:r>
      <w:r w:rsidRPr="00D41179">
        <w:fldChar w:fldCharType="end"/>
      </w:r>
      <w:bookmarkEnd w:id="51"/>
      <w:bookmarkEnd w:id="52"/>
      <w:r w:rsidR="00F714D1" w:rsidRPr="00D41179">
        <w:t xml:space="preserve">: Comparison </w:t>
      </w:r>
      <w:r w:rsidR="00703E3A" w:rsidRPr="00D41179">
        <w:t>o</w:t>
      </w:r>
      <w:r w:rsidR="00F714D1" w:rsidRPr="00D41179">
        <w:t xml:space="preserve">f observed yearly VE and linear models </w:t>
      </w:r>
      <w:r w:rsidR="007038DC" w:rsidRPr="00D41179">
        <w:t xml:space="preserve">for adults ≥ 70 years of age at initial vaccination with RZV </w:t>
      </w:r>
    </w:p>
    <w:p w14:paraId="37FF01B7" w14:textId="77777777" w:rsidR="00F714D1" w:rsidRPr="00D41179" w:rsidRDefault="00F714D1" w:rsidP="00F714D1">
      <w:pPr>
        <w:pStyle w:val="3-BodyText"/>
        <w:numPr>
          <w:ilvl w:val="0"/>
          <w:numId w:val="0"/>
        </w:numPr>
        <w:ind w:left="720" w:hanging="720"/>
      </w:pPr>
      <w:r w:rsidRPr="00D41179">
        <w:rPr>
          <w:noProof/>
        </w:rPr>
        <w:drawing>
          <wp:inline distT="0" distB="0" distL="0" distR="0" wp14:anchorId="759DEBD2" wp14:editId="0130D3A8">
            <wp:extent cx="5657355" cy="3398676"/>
            <wp:effectExtent l="19050" t="19050" r="19685" b="11430"/>
            <wp:docPr id="248428599" name="Picture 1" descr="Figure 3: Comparison of observed yearly VE and linear models for adults ≥ 70 years of age at initial vaccination with RZV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8428599" name="Picture 1" descr="Figure 3: Comparison of observed yearly VE and linear models for adults ≥ 70 years of age at initial vaccination with RZV "/>
                    <pic:cNvPicPr/>
                  </pic:nvPicPr>
                  <pic:blipFill>
                    <a:blip r:embed="rId14"/>
                    <a:stretch>
                      <a:fillRect/>
                    </a:stretch>
                  </pic:blipFill>
                  <pic:spPr>
                    <a:xfrm>
                      <a:off x="0" y="0"/>
                      <a:ext cx="5669394" cy="3405908"/>
                    </a:xfrm>
                    <a:prstGeom prst="rect">
                      <a:avLst/>
                    </a:prstGeom>
                    <a:ln w="6350">
                      <a:solidFill>
                        <a:schemeClr val="tx1"/>
                      </a:solidFill>
                    </a:ln>
                  </pic:spPr>
                </pic:pic>
              </a:graphicData>
            </a:graphic>
          </wp:inline>
        </w:drawing>
      </w:r>
    </w:p>
    <w:p w14:paraId="0E4FEA87" w14:textId="08B1485B" w:rsidR="00F714D1" w:rsidRPr="00D41179" w:rsidRDefault="00F714D1" w:rsidP="000A113F">
      <w:pPr>
        <w:pStyle w:val="TableFigureFooter"/>
        <w:rPr>
          <w:i/>
          <w:iCs/>
        </w:rPr>
      </w:pPr>
      <w:r w:rsidRPr="00D41179">
        <w:t xml:space="preserve">Source: Figure 3-9, p220 of the submission. </w:t>
      </w:r>
      <w:r w:rsidRPr="00D41179">
        <w:br/>
        <w:t>VE</w:t>
      </w:r>
      <w:r w:rsidR="003B5DA1" w:rsidRPr="00D41179">
        <w:t xml:space="preserve"> = </w:t>
      </w:r>
      <w:r w:rsidRPr="00D41179">
        <w:t>vaccine efficacy</w:t>
      </w:r>
    </w:p>
    <w:p w14:paraId="5817C66F" w14:textId="77777777" w:rsidR="00240ADE" w:rsidRPr="00D41179" w:rsidRDefault="00240ADE" w:rsidP="00240ADE">
      <w:pPr>
        <w:spacing w:before="60" w:after="60"/>
        <w:rPr>
          <w:rFonts w:asciiTheme="minorHAnsi" w:eastAsiaTheme="minorHAnsi" w:hAnsiTheme="minorHAnsi" w:cstheme="minorBidi"/>
          <w:szCs w:val="22"/>
        </w:rPr>
      </w:pPr>
    </w:p>
    <w:p w14:paraId="41F4C634" w14:textId="0A58DB94" w:rsidR="00F714D1" w:rsidRPr="00D41179" w:rsidRDefault="00F714D1" w:rsidP="00A64F5D">
      <w:pPr>
        <w:numPr>
          <w:ilvl w:val="1"/>
          <w:numId w:val="8"/>
        </w:numPr>
        <w:spacing w:before="60" w:after="60"/>
        <w:ind w:left="709"/>
        <w:rPr>
          <w:rFonts w:asciiTheme="minorHAnsi" w:eastAsiaTheme="minorHAnsi" w:hAnsiTheme="minorHAnsi" w:cstheme="minorBidi"/>
          <w:szCs w:val="22"/>
        </w:rPr>
      </w:pPr>
      <w:r w:rsidRPr="00D41179">
        <w:rPr>
          <w:rFonts w:asciiTheme="minorHAnsi" w:eastAsiaTheme="minorHAnsi" w:hAnsiTheme="minorHAnsi" w:cstheme="minorBidi"/>
          <w:szCs w:val="22"/>
        </w:rPr>
        <w:t>The submission claimed that the approach used to generate the base case extrapolation was conservative based on two key assumptions: (i)</w:t>
      </w:r>
      <w:r w:rsidR="00F405EE" w:rsidRPr="00D41179">
        <w:rPr>
          <w:rFonts w:asciiTheme="minorHAnsi" w:eastAsiaTheme="minorHAnsi" w:hAnsiTheme="minorHAnsi" w:cstheme="minorBidi"/>
          <w:szCs w:val="22"/>
        </w:rPr>
        <w:t xml:space="preserve"> </w:t>
      </w:r>
      <w:r w:rsidRPr="00D41179">
        <w:rPr>
          <w:rFonts w:asciiTheme="minorHAnsi" w:eastAsiaTheme="minorHAnsi" w:hAnsiTheme="minorHAnsi" w:cstheme="minorBidi"/>
          <w:szCs w:val="22"/>
        </w:rPr>
        <w:t xml:space="preserve">VE waning plateauing, and (ii) lack of adjustment in the historical cohort arm of the </w:t>
      </w:r>
      <w:r w:rsidRPr="00D41179">
        <w:rPr>
          <w:rFonts w:asciiTheme="minorHAnsi" w:eastAsiaTheme="minorHAnsi" w:hAnsiTheme="minorHAnsi" w:cstheme="minorHAnsi"/>
          <w:bCs/>
          <w:szCs w:val="22"/>
          <w:lang w:val="en-GB"/>
        </w:rPr>
        <w:t>ZOSTER</w:t>
      </w:r>
      <w:r w:rsidRPr="00D41179" w:rsidDel="00201468">
        <w:rPr>
          <w:rFonts w:asciiTheme="minorHAnsi" w:eastAsiaTheme="minorHAnsi" w:hAnsiTheme="minorHAnsi" w:cstheme="minorBidi"/>
          <w:szCs w:val="22"/>
        </w:rPr>
        <w:t xml:space="preserve"> </w:t>
      </w:r>
      <w:r w:rsidRPr="00D41179">
        <w:rPr>
          <w:rFonts w:asciiTheme="minorHAnsi" w:eastAsiaTheme="minorHAnsi" w:hAnsiTheme="minorHAnsi" w:cstheme="minorBidi"/>
          <w:szCs w:val="22"/>
        </w:rPr>
        <w:t>-049 trial.</w:t>
      </w:r>
      <w:r w:rsidR="00535CD1" w:rsidRPr="00D41179">
        <w:rPr>
          <w:rFonts w:asciiTheme="minorHAnsi" w:eastAsiaTheme="minorHAnsi" w:hAnsiTheme="minorHAnsi" w:cstheme="minorBidi"/>
          <w:szCs w:val="22"/>
        </w:rPr>
        <w:t xml:space="preserve"> </w:t>
      </w:r>
    </w:p>
    <w:p w14:paraId="710A211E" w14:textId="7F8014A5" w:rsidR="00AB6C2B" w:rsidRPr="00D41179" w:rsidRDefault="00F714D1" w:rsidP="00AB6C2B">
      <w:pPr>
        <w:numPr>
          <w:ilvl w:val="1"/>
          <w:numId w:val="8"/>
        </w:numPr>
        <w:spacing w:before="60" w:after="60"/>
        <w:ind w:left="709"/>
        <w:rPr>
          <w:rFonts w:asciiTheme="minorHAnsi" w:eastAsiaTheme="minorHAnsi" w:hAnsiTheme="minorHAnsi" w:cstheme="minorBidi"/>
          <w:color w:val="000000" w:themeColor="text1"/>
          <w:szCs w:val="22"/>
        </w:rPr>
      </w:pPr>
      <w:r w:rsidRPr="00D41179">
        <w:rPr>
          <w:rFonts w:asciiTheme="minorHAnsi" w:eastAsiaTheme="minorHAnsi" w:hAnsiTheme="minorHAnsi" w:cstheme="minorBidi"/>
          <w:szCs w:val="22"/>
        </w:rPr>
        <w:t>The submission</w:t>
      </w:r>
      <w:r w:rsidRPr="00D41179" w:rsidDel="008216BB">
        <w:rPr>
          <w:rFonts w:asciiTheme="minorHAnsi" w:eastAsiaTheme="minorHAnsi" w:hAnsiTheme="minorHAnsi" w:cstheme="minorBidi"/>
          <w:szCs w:val="22"/>
        </w:rPr>
        <w:t xml:space="preserve"> </w:t>
      </w:r>
      <w:r w:rsidRPr="00D41179">
        <w:rPr>
          <w:rFonts w:asciiTheme="minorHAnsi" w:eastAsiaTheme="minorHAnsi" w:hAnsiTheme="minorHAnsi" w:cstheme="minorBidi"/>
          <w:szCs w:val="22"/>
        </w:rPr>
        <w:t xml:space="preserve">claimed that the data demonstrated a plateauing of VE waning in years 10-11, which would mean that a linear function would overestimate VE waning. As discussed in paragraph </w:t>
      </w:r>
      <w:r w:rsidR="007E5193" w:rsidRPr="00D41179">
        <w:rPr>
          <w:rFonts w:asciiTheme="minorHAnsi" w:eastAsiaTheme="minorHAnsi" w:hAnsiTheme="minorHAnsi" w:cstheme="minorBidi"/>
          <w:szCs w:val="22"/>
        </w:rPr>
        <w:fldChar w:fldCharType="begin"/>
      </w:r>
      <w:r w:rsidR="007E5193" w:rsidRPr="00D41179">
        <w:rPr>
          <w:rFonts w:asciiTheme="minorHAnsi" w:eastAsiaTheme="minorHAnsi" w:hAnsiTheme="minorHAnsi" w:cstheme="minorBidi"/>
          <w:szCs w:val="22"/>
        </w:rPr>
        <w:instrText xml:space="preserve"> REF _Ref211842054 \r \h </w:instrText>
      </w:r>
      <w:r w:rsidR="00D41179">
        <w:rPr>
          <w:rFonts w:asciiTheme="minorHAnsi" w:eastAsiaTheme="minorHAnsi" w:hAnsiTheme="minorHAnsi" w:cstheme="minorBidi"/>
          <w:szCs w:val="22"/>
        </w:rPr>
        <w:instrText xml:space="preserve"> \* MERGEFORMAT </w:instrText>
      </w:r>
      <w:r w:rsidR="007E5193" w:rsidRPr="00D41179">
        <w:rPr>
          <w:rFonts w:asciiTheme="minorHAnsi" w:eastAsiaTheme="minorHAnsi" w:hAnsiTheme="minorHAnsi" w:cstheme="minorBidi"/>
          <w:szCs w:val="22"/>
        </w:rPr>
      </w:r>
      <w:r w:rsidR="007E5193" w:rsidRPr="00D41179">
        <w:rPr>
          <w:rFonts w:asciiTheme="minorHAnsi" w:eastAsiaTheme="minorHAnsi" w:hAnsiTheme="minorHAnsi" w:cstheme="minorBidi"/>
          <w:szCs w:val="22"/>
        </w:rPr>
        <w:fldChar w:fldCharType="separate"/>
      </w:r>
      <w:r w:rsidR="00DE3DAE">
        <w:rPr>
          <w:rFonts w:asciiTheme="minorHAnsi" w:eastAsiaTheme="minorHAnsi" w:hAnsiTheme="minorHAnsi" w:cstheme="minorBidi"/>
          <w:szCs w:val="22"/>
        </w:rPr>
        <w:t>6.17</w:t>
      </w:r>
      <w:r w:rsidR="007E5193" w:rsidRPr="00D41179">
        <w:rPr>
          <w:rFonts w:asciiTheme="minorHAnsi" w:eastAsiaTheme="minorHAnsi" w:hAnsiTheme="minorHAnsi" w:cstheme="minorBidi"/>
          <w:szCs w:val="22"/>
        </w:rPr>
        <w:fldChar w:fldCharType="end"/>
      </w:r>
      <w:r w:rsidRPr="00D41179">
        <w:rPr>
          <w:rFonts w:asciiTheme="minorHAnsi" w:eastAsiaTheme="minorHAnsi" w:hAnsiTheme="minorHAnsi" w:cstheme="minorBidi"/>
          <w:szCs w:val="22"/>
        </w:rPr>
        <w:t xml:space="preserve">, the ATAGI considered there was clear declining trend in VE, with variability in VE at the later time points. </w:t>
      </w:r>
      <w:r w:rsidRPr="00D41179">
        <w:rPr>
          <w:rFonts w:asciiTheme="minorHAnsi" w:eastAsiaTheme="minorHAnsi" w:hAnsiTheme="minorHAnsi" w:cstheme="minorBidi"/>
          <w:szCs w:val="22"/>
          <w:lang w:val="en-GB"/>
        </w:rPr>
        <w:t>Furthermore,</w:t>
      </w:r>
      <w:r w:rsidRPr="00D41179" w:rsidDel="008D143D">
        <w:rPr>
          <w:rFonts w:asciiTheme="minorHAnsi" w:eastAsiaTheme="minorHAnsi" w:hAnsiTheme="minorHAnsi" w:cstheme="minorBidi"/>
          <w:szCs w:val="22"/>
          <w:lang w:val="en-GB"/>
        </w:rPr>
        <w:t xml:space="preserve"> </w:t>
      </w:r>
      <w:r w:rsidRPr="00D41179">
        <w:rPr>
          <w:rFonts w:asciiTheme="minorHAnsi" w:eastAsiaTheme="minorHAnsi" w:hAnsiTheme="minorHAnsi" w:cstheme="minorBidi"/>
          <w:szCs w:val="22"/>
          <w:lang w:val="en-GB"/>
        </w:rPr>
        <w:t xml:space="preserve">data pooling in years 11 and 12 adds further uncertainty to the assumption of linearity for the waning </w:t>
      </w:r>
      <w:r w:rsidRPr="00D41179" w:rsidDel="00A702AA">
        <w:rPr>
          <w:rFonts w:asciiTheme="minorHAnsi" w:eastAsiaTheme="minorHAnsi" w:hAnsiTheme="minorHAnsi" w:cstheme="minorBidi"/>
          <w:szCs w:val="22"/>
          <w:lang w:val="en-GB"/>
        </w:rPr>
        <w:t>function</w:t>
      </w:r>
      <w:r w:rsidRPr="00D41179">
        <w:rPr>
          <w:rFonts w:asciiTheme="minorHAnsi" w:eastAsiaTheme="minorHAnsi" w:hAnsiTheme="minorHAnsi" w:cstheme="minorBidi"/>
          <w:szCs w:val="22"/>
          <w:lang w:val="en-GB"/>
        </w:rPr>
        <w:t xml:space="preserve"> and could imply that other non-linear waning functions may plausibly fit the data. </w:t>
      </w:r>
      <w:r w:rsidR="00AB6C2B" w:rsidRPr="00D41179">
        <w:rPr>
          <w:rFonts w:asciiTheme="minorHAnsi" w:eastAsiaTheme="minorHAnsi" w:hAnsiTheme="minorHAnsi" w:cstheme="minorBidi"/>
          <w:szCs w:val="22"/>
          <w:lang w:val="en-GB"/>
        </w:rPr>
        <w:t xml:space="preserve">The PSCR provided example regression functions fitted to ZOSTER-049 data and noted nearly all models predicted more optimistic long-term VE than using a simple linear model. </w:t>
      </w:r>
      <w:r w:rsidR="00601812" w:rsidRPr="00D41179">
        <w:rPr>
          <w:rFonts w:asciiTheme="minorHAnsi" w:eastAsiaTheme="minorHAnsi" w:hAnsiTheme="minorHAnsi" w:cstheme="minorBidi"/>
          <w:szCs w:val="22"/>
          <w:lang w:val="en-GB"/>
        </w:rPr>
        <w:t xml:space="preserve">The ESC noted VE from the ZOSTER-049 trial demonstrated a </w:t>
      </w:r>
      <w:r w:rsidR="0019198D" w:rsidRPr="00D41179">
        <w:rPr>
          <w:rFonts w:asciiTheme="minorHAnsi" w:eastAsiaTheme="minorHAnsi" w:hAnsiTheme="minorHAnsi" w:cstheme="minorBidi"/>
          <w:szCs w:val="22"/>
          <w:lang w:val="en-GB"/>
        </w:rPr>
        <w:t xml:space="preserve">higher </w:t>
      </w:r>
      <w:r w:rsidR="00601812" w:rsidRPr="00D41179">
        <w:rPr>
          <w:rFonts w:asciiTheme="minorHAnsi" w:eastAsiaTheme="minorHAnsi" w:hAnsiTheme="minorHAnsi" w:cstheme="minorBidi"/>
          <w:szCs w:val="22"/>
          <w:lang w:val="en-GB"/>
        </w:rPr>
        <w:t xml:space="preserve">VE </w:t>
      </w:r>
      <w:r w:rsidR="0019198D" w:rsidRPr="00D41179">
        <w:rPr>
          <w:rFonts w:asciiTheme="minorHAnsi" w:eastAsiaTheme="minorHAnsi" w:hAnsiTheme="minorHAnsi" w:cstheme="minorBidi"/>
          <w:szCs w:val="22"/>
          <w:lang w:val="en-GB"/>
        </w:rPr>
        <w:t xml:space="preserve">in </w:t>
      </w:r>
      <w:r w:rsidR="00601812" w:rsidRPr="00D41179">
        <w:rPr>
          <w:rFonts w:asciiTheme="minorHAnsi" w:eastAsiaTheme="minorHAnsi" w:hAnsiTheme="minorHAnsi" w:cstheme="minorBidi"/>
          <w:szCs w:val="22"/>
          <w:lang w:val="en-GB"/>
        </w:rPr>
        <w:t xml:space="preserve">year 11, which was inconsistent with the preceding trend, which showed a clear downward trajectory and considered this may impact </w:t>
      </w:r>
      <w:r w:rsidR="00CC01E3" w:rsidRPr="00D41179">
        <w:rPr>
          <w:rFonts w:asciiTheme="minorHAnsi" w:eastAsiaTheme="minorHAnsi" w:hAnsiTheme="minorHAnsi" w:cstheme="minorBidi"/>
          <w:szCs w:val="22"/>
          <w:lang w:val="en-GB"/>
        </w:rPr>
        <w:t xml:space="preserve">on determining </w:t>
      </w:r>
      <w:r w:rsidR="00CD5AE5" w:rsidRPr="00D41179">
        <w:rPr>
          <w:rFonts w:asciiTheme="minorHAnsi" w:eastAsiaTheme="minorHAnsi" w:hAnsiTheme="minorHAnsi" w:cstheme="minorBidi"/>
          <w:szCs w:val="22"/>
          <w:lang w:val="en-GB"/>
        </w:rPr>
        <w:t xml:space="preserve">the best fit </w:t>
      </w:r>
      <w:r w:rsidR="00CC01E3" w:rsidRPr="00D41179">
        <w:rPr>
          <w:rFonts w:asciiTheme="minorHAnsi" w:eastAsiaTheme="minorHAnsi" w:hAnsiTheme="minorHAnsi" w:cstheme="minorBidi"/>
          <w:szCs w:val="22"/>
          <w:lang w:val="en-GB"/>
        </w:rPr>
        <w:t xml:space="preserve">function. </w:t>
      </w:r>
      <w:r w:rsidR="007E5193" w:rsidRPr="00D41179">
        <w:rPr>
          <w:rFonts w:asciiTheme="minorHAnsi" w:eastAsiaTheme="minorHAnsi" w:hAnsiTheme="minorHAnsi" w:cstheme="minorBidi"/>
          <w:szCs w:val="22"/>
          <w:lang w:val="en-GB"/>
        </w:rPr>
        <w:t>The ESC further noted the analysis</w:t>
      </w:r>
      <w:r w:rsidR="00881315" w:rsidRPr="00D41179">
        <w:rPr>
          <w:rFonts w:asciiTheme="minorHAnsi" w:eastAsiaTheme="minorHAnsi" w:hAnsiTheme="minorHAnsi" w:cstheme="minorBidi"/>
          <w:szCs w:val="22"/>
          <w:lang w:val="en-GB"/>
        </w:rPr>
        <w:t xml:space="preserve"> in the PSCR</w:t>
      </w:r>
      <w:r w:rsidR="007E5193" w:rsidRPr="00D41179">
        <w:rPr>
          <w:rFonts w:asciiTheme="minorHAnsi" w:eastAsiaTheme="minorHAnsi" w:hAnsiTheme="minorHAnsi" w:cstheme="minorBidi"/>
          <w:szCs w:val="22"/>
          <w:lang w:val="en-GB"/>
        </w:rPr>
        <w:t xml:space="preserve"> was presented for individuals </w:t>
      </w:r>
      <w:r w:rsidR="007E5193" w:rsidRPr="00D41179">
        <w:rPr>
          <w:rFonts w:asciiTheme="minorHAnsi" w:eastAsiaTheme="minorHAnsi" w:hAnsiTheme="minorHAnsi" w:cstheme="minorHAnsi"/>
          <w:szCs w:val="22"/>
          <w:lang w:val="en-GB"/>
        </w:rPr>
        <w:t>≥</w:t>
      </w:r>
      <w:r w:rsidR="007E5193" w:rsidRPr="00D41179">
        <w:rPr>
          <w:rFonts w:asciiTheme="minorHAnsi" w:eastAsiaTheme="minorHAnsi" w:hAnsiTheme="minorHAnsi" w:cstheme="minorBidi"/>
          <w:szCs w:val="22"/>
          <w:lang w:val="en-GB"/>
        </w:rPr>
        <w:t xml:space="preserve"> 50 YOA rather than individuals 60 to 69 YOA. The ESC noted the figures presented in the ATAGI </w:t>
      </w:r>
      <w:proofErr w:type="spellStart"/>
      <w:r w:rsidR="007E5193" w:rsidRPr="00D41179">
        <w:rPr>
          <w:rFonts w:asciiTheme="minorHAnsi" w:eastAsiaTheme="minorHAnsi" w:hAnsiTheme="minorHAnsi" w:cstheme="minorBidi"/>
          <w:szCs w:val="22"/>
          <w:lang w:val="en-GB"/>
        </w:rPr>
        <w:t>pre-submission</w:t>
      </w:r>
      <w:proofErr w:type="spellEnd"/>
      <w:r w:rsidR="007E5193" w:rsidRPr="00D41179">
        <w:rPr>
          <w:rFonts w:asciiTheme="minorHAnsi" w:eastAsiaTheme="minorHAnsi" w:hAnsiTheme="minorHAnsi" w:cstheme="minorBidi"/>
          <w:szCs w:val="22"/>
          <w:lang w:val="en-GB"/>
        </w:rPr>
        <w:t xml:space="preserve"> advice and considered it</w:t>
      </w:r>
      <w:r w:rsidR="007E5193" w:rsidRPr="00D41179">
        <w:rPr>
          <w:rFonts w:asciiTheme="minorHAnsi" w:eastAsiaTheme="minorHAnsi" w:hAnsiTheme="minorHAnsi" w:cstheme="minorBidi"/>
          <w:i/>
          <w:iCs/>
          <w:szCs w:val="22"/>
          <w:lang w:val="en-GB"/>
        </w:rPr>
        <w:t xml:space="preserve"> </w:t>
      </w:r>
      <w:r w:rsidR="007E5193" w:rsidRPr="00D41179">
        <w:rPr>
          <w:rFonts w:asciiTheme="minorHAnsi" w:eastAsiaTheme="minorHAnsi" w:hAnsiTheme="minorHAnsi" w:cstheme="minorBidi"/>
          <w:szCs w:val="22"/>
          <w:lang w:val="en-GB"/>
        </w:rPr>
        <w:t xml:space="preserve">was unclear if a linear model would </w:t>
      </w:r>
      <w:r w:rsidR="007E5193" w:rsidRPr="00D41179">
        <w:rPr>
          <w:rFonts w:asciiTheme="minorHAnsi" w:eastAsiaTheme="minorHAnsi" w:hAnsiTheme="minorHAnsi" w:cstheme="minorBidi"/>
          <w:szCs w:val="22"/>
          <w:lang w:val="en-GB"/>
        </w:rPr>
        <w:lastRenderedPageBreak/>
        <w:t>be the best fit</w:t>
      </w:r>
      <w:r w:rsidR="00120C56" w:rsidRPr="00D41179">
        <w:rPr>
          <w:rFonts w:asciiTheme="minorHAnsi" w:eastAsiaTheme="minorHAnsi" w:hAnsiTheme="minorHAnsi" w:cstheme="minorBidi"/>
          <w:szCs w:val="22"/>
          <w:lang w:val="en-GB"/>
        </w:rPr>
        <w:t xml:space="preserve"> and what impact </w:t>
      </w:r>
      <w:r w:rsidR="00D57138" w:rsidRPr="00D41179">
        <w:rPr>
          <w:rFonts w:asciiTheme="minorHAnsi" w:eastAsiaTheme="minorHAnsi" w:hAnsiTheme="minorHAnsi" w:cstheme="minorBidi"/>
          <w:szCs w:val="22"/>
          <w:lang w:val="en-GB"/>
        </w:rPr>
        <w:t xml:space="preserve">incorporating a different </w:t>
      </w:r>
      <w:r w:rsidR="00DA4DD2" w:rsidRPr="00D41179">
        <w:rPr>
          <w:rFonts w:asciiTheme="minorHAnsi" w:eastAsiaTheme="minorHAnsi" w:hAnsiTheme="minorHAnsi" w:cstheme="minorBidi"/>
          <w:szCs w:val="22"/>
          <w:lang w:val="en-GB"/>
        </w:rPr>
        <w:t>(non-linear) regression function may have on modelled results</w:t>
      </w:r>
      <w:r w:rsidR="007E5193" w:rsidRPr="00D41179">
        <w:rPr>
          <w:rFonts w:asciiTheme="minorHAnsi" w:eastAsiaTheme="minorHAnsi" w:hAnsiTheme="minorHAnsi" w:cstheme="minorBidi"/>
          <w:szCs w:val="22"/>
          <w:lang w:val="en-GB"/>
        </w:rPr>
        <w:t>.</w:t>
      </w:r>
      <w:r w:rsidR="007E5193" w:rsidRPr="00D41179">
        <w:rPr>
          <w:rFonts w:asciiTheme="minorHAnsi" w:eastAsiaTheme="minorHAnsi" w:hAnsiTheme="minorHAnsi" w:cstheme="minorBidi"/>
          <w:i/>
          <w:iCs/>
          <w:szCs w:val="22"/>
          <w:lang w:val="en-GB"/>
        </w:rPr>
        <w:t xml:space="preserve"> </w:t>
      </w:r>
    </w:p>
    <w:p w14:paraId="1C0F3DB3" w14:textId="1BF00F13" w:rsidR="008111F8" w:rsidRPr="00D41179" w:rsidRDefault="008111F8" w:rsidP="004F0BA9">
      <w:pPr>
        <w:numPr>
          <w:ilvl w:val="1"/>
          <w:numId w:val="8"/>
        </w:numPr>
        <w:spacing w:before="60" w:after="60"/>
        <w:ind w:left="709"/>
        <w:rPr>
          <w:i/>
          <w:iCs/>
          <w:color w:val="000000" w:themeColor="text1"/>
        </w:rPr>
      </w:pPr>
      <w:r w:rsidRPr="00D41179">
        <w:t xml:space="preserve">The economic model assumed that RZV does not offer additional protection against PHN in breakthrough cases, which implies breakthrough HZ cases in vaccinated person have the same probability of developing PHN as unvaccinated persons. The </w:t>
      </w:r>
      <w:r w:rsidR="0099410D" w:rsidRPr="00D41179">
        <w:t>evaluation</w:t>
      </w:r>
      <w:r w:rsidRPr="00D41179">
        <w:t xml:space="preserve"> considered this assumption is reasonable and likely conservative. The PSCR provided a pooled analysis of currently available RWE that indicated RZV may provide direct protection against PHN, further supporting the conservative nature of the assumption.</w:t>
      </w:r>
      <w:r w:rsidRPr="00D41179">
        <w:rPr>
          <w:i/>
          <w:iCs/>
        </w:rPr>
        <w:t xml:space="preserve"> </w:t>
      </w:r>
    </w:p>
    <w:p w14:paraId="2362F94D" w14:textId="533183A6" w:rsidR="002C2F83" w:rsidRPr="00D41179" w:rsidRDefault="00494B33" w:rsidP="00A64F5D">
      <w:pPr>
        <w:numPr>
          <w:ilvl w:val="1"/>
          <w:numId w:val="8"/>
        </w:numPr>
        <w:spacing w:before="60" w:after="60"/>
        <w:ind w:left="709"/>
        <w:rPr>
          <w:rFonts w:asciiTheme="minorHAnsi" w:eastAsiaTheme="minorHAnsi" w:hAnsiTheme="minorHAnsi" w:cstheme="minorBidi"/>
          <w:szCs w:val="22"/>
        </w:rPr>
      </w:pPr>
      <w:r w:rsidRPr="00D41179">
        <w:rPr>
          <w:rFonts w:asciiTheme="minorHAnsi" w:eastAsiaTheme="minorHAnsi" w:hAnsiTheme="minorHAnsi" w:cstheme="minorBidi"/>
          <w:szCs w:val="22"/>
        </w:rPr>
        <w:t>The h</w:t>
      </w:r>
      <w:r w:rsidR="00F714D1" w:rsidRPr="00D41179">
        <w:rPr>
          <w:rFonts w:asciiTheme="minorHAnsi" w:eastAsiaTheme="minorHAnsi" w:hAnsiTheme="minorHAnsi" w:cstheme="minorBidi"/>
          <w:szCs w:val="22"/>
        </w:rPr>
        <w:t xml:space="preserve">istorical cohort in </w:t>
      </w:r>
      <w:r w:rsidR="00F714D1" w:rsidRPr="00D41179">
        <w:rPr>
          <w:rFonts w:asciiTheme="minorHAnsi" w:eastAsiaTheme="minorHAnsi" w:hAnsiTheme="minorHAnsi" w:cstheme="minorHAnsi"/>
          <w:bCs/>
          <w:szCs w:val="22"/>
          <w:lang w:val="en-GB"/>
        </w:rPr>
        <w:t>ZOSTER</w:t>
      </w:r>
      <w:r w:rsidR="00F714D1" w:rsidRPr="00D41179">
        <w:rPr>
          <w:rFonts w:asciiTheme="minorHAnsi" w:eastAsiaTheme="minorHAnsi" w:hAnsiTheme="minorHAnsi" w:cstheme="minorBidi"/>
          <w:szCs w:val="22"/>
        </w:rPr>
        <w:t xml:space="preserve">-049 did not account for ageing or presence of comorbidities. The submission assumed therefore, that </w:t>
      </w:r>
      <w:r w:rsidR="00F9134F" w:rsidRPr="00D41179">
        <w:rPr>
          <w:rFonts w:asciiTheme="minorHAnsi" w:eastAsiaTheme="minorHAnsi" w:hAnsiTheme="minorHAnsi" w:cstheme="minorBidi"/>
          <w:szCs w:val="22"/>
        </w:rPr>
        <w:t xml:space="preserve">the number of HZ cases </w:t>
      </w:r>
      <w:r w:rsidR="00F714D1" w:rsidRPr="00D41179">
        <w:rPr>
          <w:rFonts w:asciiTheme="minorHAnsi" w:eastAsiaTheme="minorHAnsi" w:hAnsiTheme="minorHAnsi" w:cstheme="minorBidi"/>
          <w:szCs w:val="22"/>
        </w:rPr>
        <w:t xml:space="preserve">in the control arm may have been underestimated, which would lead to underestimated VE in the intervention arm of the </w:t>
      </w:r>
      <w:r w:rsidR="00F714D1" w:rsidRPr="00D41179">
        <w:rPr>
          <w:rFonts w:asciiTheme="minorHAnsi" w:eastAsiaTheme="minorHAnsi" w:hAnsiTheme="minorHAnsi" w:cstheme="minorHAnsi"/>
          <w:bCs/>
          <w:szCs w:val="22"/>
          <w:lang w:val="en-GB"/>
        </w:rPr>
        <w:t>ZOSTER</w:t>
      </w:r>
      <w:r w:rsidR="00F714D1" w:rsidRPr="00D41179">
        <w:rPr>
          <w:rFonts w:asciiTheme="minorHAnsi" w:eastAsiaTheme="minorHAnsi" w:hAnsiTheme="minorHAnsi" w:cstheme="minorBidi"/>
          <w:szCs w:val="22"/>
        </w:rPr>
        <w:t>-049 trial. This assumption does not appear reasonable. ATAGI noted that it did “</w:t>
      </w:r>
      <w:r w:rsidR="00F714D1" w:rsidRPr="00D41179">
        <w:rPr>
          <w:rFonts w:asciiTheme="minorHAnsi" w:eastAsiaTheme="minorHAnsi" w:hAnsiTheme="minorHAnsi" w:cstheme="minorBidi"/>
          <w:szCs w:val="22"/>
          <w:lang w:val="en-GB"/>
        </w:rPr>
        <w:t>not consider the base-case VE projection proposed by the sponsor to be conservative… The sensitivity analysis for overall VE with age adjustment in historical control construction had similar results compared with primary VE analyses’” (ATAGI pre-PBAC advice, April 2025).</w:t>
      </w:r>
      <w:r w:rsidR="00063DC5" w:rsidRPr="00D41179">
        <w:rPr>
          <w:rFonts w:asciiTheme="minorHAnsi" w:eastAsiaTheme="minorHAnsi" w:hAnsiTheme="minorHAnsi" w:cstheme="minorBidi"/>
          <w:szCs w:val="22"/>
          <w:lang w:val="en-GB"/>
        </w:rPr>
        <w:t xml:space="preserve"> As an alternative to using historical controls in the ZOSTER-049 study, the PSCR presented a naïve comparison of the ZOSTER-049 vaccinated cohort versus an age-matched HZ incidence gradient from a natural history study undertaken by Curran (2022).</w:t>
      </w:r>
      <w:r w:rsidR="00B20CDC" w:rsidRPr="00D41179">
        <w:rPr>
          <w:rFonts w:asciiTheme="minorHAnsi" w:eastAsiaTheme="minorHAnsi" w:hAnsiTheme="minorHAnsi" w:cstheme="minorBidi"/>
          <w:szCs w:val="22"/>
          <w:lang w:val="en-GB"/>
        </w:rPr>
        <w:t xml:space="preserve"> The PSCR stated </w:t>
      </w:r>
      <w:r w:rsidR="00A924EB" w:rsidRPr="00D41179">
        <w:rPr>
          <w:rFonts w:asciiTheme="minorHAnsi" w:eastAsiaTheme="minorHAnsi" w:hAnsiTheme="minorHAnsi" w:cstheme="minorBidi"/>
          <w:szCs w:val="22"/>
          <w:lang w:val="en-GB"/>
        </w:rPr>
        <w:t xml:space="preserve">this analysis demonstrated </w:t>
      </w:r>
      <w:r w:rsidR="00B20CDC" w:rsidRPr="00D41179">
        <w:rPr>
          <w:rFonts w:asciiTheme="minorHAnsi" w:eastAsiaTheme="minorHAnsi" w:hAnsiTheme="minorHAnsi" w:cstheme="minorBidi"/>
          <w:szCs w:val="22"/>
          <w:lang w:val="en-GB"/>
        </w:rPr>
        <w:t>that</w:t>
      </w:r>
      <w:r w:rsidR="00A924EB" w:rsidRPr="00D41179">
        <w:rPr>
          <w:rFonts w:asciiTheme="minorHAnsi" w:eastAsiaTheme="minorHAnsi" w:hAnsiTheme="minorHAnsi" w:cstheme="minorBidi"/>
          <w:szCs w:val="22"/>
          <w:lang w:val="en-GB"/>
        </w:rPr>
        <w:t>,</w:t>
      </w:r>
      <w:r w:rsidR="00B20CDC" w:rsidRPr="00D41179">
        <w:rPr>
          <w:rFonts w:asciiTheme="minorHAnsi" w:eastAsiaTheme="minorHAnsi" w:hAnsiTheme="minorHAnsi" w:cstheme="minorBidi"/>
          <w:szCs w:val="22"/>
          <w:lang w:val="en-GB"/>
        </w:rPr>
        <w:t xml:space="preserve"> in the absence of adjustment for prognostic factors associated with age and accumulating comorbidities, the incidence rate (IR) of HZ in the HC arm decreased over time, while the IR</w:t>
      </w:r>
      <w:r w:rsidR="00B20CDC" w:rsidRPr="00D41179">
        <w:rPr>
          <w:rFonts w:asciiTheme="minorHAnsi" w:eastAsiaTheme="minorHAnsi" w:hAnsiTheme="minorHAnsi" w:cstheme="minorBidi"/>
          <w:szCs w:val="22"/>
          <w:vertAlign w:val="subscript"/>
          <w:lang w:val="en-GB"/>
        </w:rPr>
        <w:t>HZ</w:t>
      </w:r>
      <w:r w:rsidR="00B20CDC" w:rsidRPr="00D41179">
        <w:rPr>
          <w:rFonts w:asciiTheme="minorHAnsi" w:eastAsiaTheme="minorHAnsi" w:hAnsiTheme="minorHAnsi" w:cstheme="minorBidi"/>
          <w:szCs w:val="22"/>
          <w:lang w:val="en-GB"/>
        </w:rPr>
        <w:t xml:space="preserve"> in the natural history arm increased with age as expected. Th</w:t>
      </w:r>
      <w:r w:rsidR="00453998" w:rsidRPr="00D41179">
        <w:rPr>
          <w:rFonts w:asciiTheme="minorHAnsi" w:eastAsiaTheme="minorHAnsi" w:hAnsiTheme="minorHAnsi" w:cstheme="minorBidi"/>
          <w:szCs w:val="22"/>
          <w:lang w:val="en-GB"/>
        </w:rPr>
        <w:t>e PSCR stated this</w:t>
      </w:r>
      <w:r w:rsidR="00B20CDC" w:rsidRPr="00D41179">
        <w:rPr>
          <w:rFonts w:asciiTheme="minorHAnsi" w:eastAsiaTheme="minorHAnsi" w:hAnsiTheme="minorHAnsi" w:cstheme="minorBidi"/>
          <w:szCs w:val="22"/>
          <w:lang w:val="en-GB"/>
        </w:rPr>
        <w:t xml:space="preserve"> demonstrates that the HC arm likely underestimated HZ incidence</w:t>
      </w:r>
      <w:r w:rsidR="00453998" w:rsidRPr="00D41179">
        <w:rPr>
          <w:rFonts w:asciiTheme="minorHAnsi" w:eastAsiaTheme="minorHAnsi" w:hAnsiTheme="minorHAnsi" w:cstheme="minorBidi"/>
          <w:szCs w:val="22"/>
          <w:lang w:val="en-GB"/>
        </w:rPr>
        <w:t xml:space="preserve"> and</w:t>
      </w:r>
      <w:r w:rsidR="003154A8" w:rsidRPr="00D41179">
        <w:rPr>
          <w:rFonts w:asciiTheme="minorHAnsi" w:eastAsiaTheme="minorHAnsi" w:hAnsiTheme="minorHAnsi" w:cstheme="minorBidi"/>
          <w:szCs w:val="22"/>
          <w:lang w:val="en-GB"/>
        </w:rPr>
        <w:t xml:space="preserve"> </w:t>
      </w:r>
      <w:r w:rsidR="00B20CDC" w:rsidRPr="00D41179">
        <w:rPr>
          <w:rFonts w:asciiTheme="minorHAnsi" w:eastAsiaTheme="minorHAnsi" w:hAnsiTheme="minorHAnsi" w:cstheme="minorBidi"/>
          <w:szCs w:val="22"/>
          <w:lang w:val="en-GB"/>
        </w:rPr>
        <w:t>the lack of adjustment for ageing in the HC arm likely led to significant underestimation of long-term VE and overestimation of associated VE waning.</w:t>
      </w:r>
      <w:r w:rsidR="00D36572" w:rsidRPr="00D41179">
        <w:t xml:space="preserve"> </w:t>
      </w:r>
      <w:r w:rsidR="003154A8" w:rsidRPr="00D41179">
        <w:t>The ESC noted that the incidence of HZ over time was not the only characteristic of the historical control group considered likely to contribute to uncertainty in the overall VE</w:t>
      </w:r>
      <w:r w:rsidR="005C298F" w:rsidRPr="00D41179">
        <w:t xml:space="preserve"> and considered the uncertainty regarding VE</w:t>
      </w:r>
      <w:r w:rsidR="005C298F" w:rsidRPr="00D41179">
        <w:rPr>
          <w:vertAlign w:val="subscript"/>
        </w:rPr>
        <w:t>HZ</w:t>
      </w:r>
      <w:r w:rsidR="005C298F" w:rsidRPr="00D41179">
        <w:t xml:space="preserve"> remained</w:t>
      </w:r>
      <w:r w:rsidR="003154A8" w:rsidRPr="00D41179">
        <w:t xml:space="preserve">. </w:t>
      </w:r>
    </w:p>
    <w:p w14:paraId="3886A253" w14:textId="3873D91B" w:rsidR="00F714D1" w:rsidRPr="00D41179" w:rsidRDefault="00F714D1" w:rsidP="00A64F5D">
      <w:pPr>
        <w:numPr>
          <w:ilvl w:val="1"/>
          <w:numId w:val="8"/>
        </w:numPr>
        <w:spacing w:before="60" w:after="60"/>
        <w:ind w:left="709"/>
        <w:rPr>
          <w:rFonts w:asciiTheme="minorHAnsi" w:eastAsiaTheme="minorHAnsi" w:hAnsiTheme="minorHAnsi" w:cstheme="minorBidi"/>
          <w:szCs w:val="22"/>
        </w:rPr>
      </w:pPr>
      <w:r w:rsidRPr="00D41179">
        <w:rPr>
          <w:rFonts w:asciiTheme="minorHAnsi" w:eastAsiaTheme="minorHAnsi" w:hAnsiTheme="minorHAnsi" w:cstheme="minorBidi"/>
          <w:szCs w:val="22"/>
          <w:lang w:val="en-GB"/>
        </w:rPr>
        <w:t>Despite the</w:t>
      </w:r>
      <w:r w:rsidRPr="00D41179">
        <w:rPr>
          <w:rFonts w:asciiTheme="minorHAnsi" w:eastAsiaTheme="minorHAnsi" w:hAnsiTheme="minorHAnsi" w:cstheme="minorBidi"/>
          <w:i/>
          <w:iCs/>
          <w:szCs w:val="22"/>
          <w:lang w:val="en-GB"/>
        </w:rPr>
        <w:t xml:space="preserve"> </w:t>
      </w:r>
      <w:r w:rsidRPr="00D41179">
        <w:rPr>
          <w:rFonts w:asciiTheme="minorHAnsi" w:eastAsiaTheme="minorHAnsi" w:hAnsiTheme="minorHAnsi" w:cstheme="minorBidi"/>
          <w:szCs w:val="22"/>
          <w:lang w:val="en-GB"/>
        </w:rPr>
        <w:t xml:space="preserve">availability of long-term follow up data from the ZOSTER -049 trial, vaccinated individuals in the model maintain coverage for long periods of time i.e. approximately 50% at 20 years. </w:t>
      </w:r>
      <w:r w:rsidR="0092642B" w:rsidRPr="00D41179">
        <w:t xml:space="preserve">The ESC noted </w:t>
      </w:r>
      <w:r w:rsidR="005407A5" w:rsidRPr="00D41179">
        <w:t xml:space="preserve">that, </w:t>
      </w:r>
      <w:r w:rsidR="0092642B" w:rsidRPr="00D41179">
        <w:rPr>
          <w:rFonts w:asciiTheme="minorHAnsi" w:eastAsiaTheme="minorHAnsi" w:hAnsiTheme="minorHAnsi" w:cstheme="minorBidi"/>
          <w:szCs w:val="22"/>
          <w:lang w:val="en-GB"/>
        </w:rPr>
        <w:t>as the proposed population are younger than</w:t>
      </w:r>
      <w:r w:rsidR="005407A5" w:rsidRPr="00D41179">
        <w:rPr>
          <w:rFonts w:asciiTheme="minorHAnsi" w:eastAsiaTheme="minorHAnsi" w:hAnsiTheme="minorHAnsi" w:cstheme="minorBidi"/>
          <w:szCs w:val="22"/>
          <w:lang w:val="en-GB"/>
        </w:rPr>
        <w:t xml:space="preserve"> the current population</w:t>
      </w:r>
      <w:r w:rsidR="0092642B" w:rsidRPr="00D41179">
        <w:rPr>
          <w:rFonts w:asciiTheme="minorHAnsi" w:eastAsiaTheme="minorHAnsi" w:hAnsiTheme="minorHAnsi" w:cstheme="minorBidi"/>
          <w:szCs w:val="22"/>
          <w:lang w:val="en-GB"/>
        </w:rPr>
        <w:t xml:space="preserve">, </w:t>
      </w:r>
      <w:r w:rsidR="005407A5" w:rsidRPr="00D41179">
        <w:rPr>
          <w:rFonts w:asciiTheme="minorHAnsi" w:eastAsiaTheme="minorHAnsi" w:hAnsiTheme="minorHAnsi" w:cstheme="minorBidi"/>
          <w:szCs w:val="22"/>
          <w:lang w:val="en-GB"/>
        </w:rPr>
        <w:t>they</w:t>
      </w:r>
      <w:r w:rsidR="0092642B" w:rsidRPr="00D41179">
        <w:rPr>
          <w:rFonts w:asciiTheme="minorHAnsi" w:eastAsiaTheme="minorHAnsi" w:hAnsiTheme="minorHAnsi" w:cstheme="minorBidi"/>
          <w:szCs w:val="22"/>
          <w:lang w:val="en-GB"/>
        </w:rPr>
        <w:t xml:space="preserve"> are more likely to survive longer periods with lower vaccine coverage. </w:t>
      </w:r>
      <w:r w:rsidR="00FD76D5" w:rsidRPr="00D41179">
        <w:rPr>
          <w:rFonts w:asciiTheme="minorHAnsi" w:eastAsiaTheme="minorHAnsi" w:hAnsiTheme="minorHAnsi" w:cstheme="minorBidi"/>
          <w:szCs w:val="22"/>
          <w:lang w:val="en-GB"/>
        </w:rPr>
        <w:t xml:space="preserve">The ESC noted </w:t>
      </w:r>
      <w:r w:rsidR="0092642B" w:rsidRPr="00D41179">
        <w:rPr>
          <w:rFonts w:asciiTheme="minorHAnsi" w:eastAsiaTheme="minorHAnsi" w:hAnsiTheme="minorHAnsi" w:cstheme="minorBidi"/>
          <w:szCs w:val="22"/>
          <w:lang w:val="en-GB"/>
        </w:rPr>
        <w:t>ATAGI</w:t>
      </w:r>
      <w:r w:rsidR="00C2229E" w:rsidRPr="00D41179">
        <w:rPr>
          <w:rFonts w:asciiTheme="minorHAnsi" w:eastAsiaTheme="minorHAnsi" w:hAnsiTheme="minorHAnsi" w:cstheme="minorBidi"/>
          <w:szCs w:val="22"/>
          <w:lang w:val="en-GB"/>
        </w:rPr>
        <w:t xml:space="preserve"> considered</w:t>
      </w:r>
      <w:r w:rsidR="00033C12" w:rsidRPr="00D41179">
        <w:rPr>
          <w:rFonts w:asciiTheme="minorHAnsi" w:eastAsiaTheme="minorHAnsi" w:hAnsiTheme="minorHAnsi" w:cstheme="minorBidi"/>
          <w:szCs w:val="22"/>
          <w:lang w:val="en-GB"/>
        </w:rPr>
        <w:t xml:space="preserve"> predicting waning effects over 40 years based on 11 year</w:t>
      </w:r>
      <w:r w:rsidR="005500AC" w:rsidRPr="00D41179">
        <w:rPr>
          <w:rFonts w:asciiTheme="minorHAnsi" w:eastAsiaTheme="minorHAnsi" w:hAnsiTheme="minorHAnsi" w:cstheme="minorBidi"/>
          <w:szCs w:val="22"/>
          <w:lang w:val="en-GB"/>
        </w:rPr>
        <w:t>s</w:t>
      </w:r>
      <w:r w:rsidR="00033C12" w:rsidRPr="00D41179">
        <w:rPr>
          <w:rFonts w:asciiTheme="minorHAnsi" w:eastAsiaTheme="minorHAnsi" w:hAnsiTheme="minorHAnsi" w:cstheme="minorBidi"/>
          <w:szCs w:val="22"/>
          <w:lang w:val="en-GB"/>
        </w:rPr>
        <w:t xml:space="preserve"> of </w:t>
      </w:r>
      <w:r w:rsidR="005500AC" w:rsidRPr="00D41179">
        <w:rPr>
          <w:rFonts w:asciiTheme="minorHAnsi" w:eastAsiaTheme="minorHAnsi" w:hAnsiTheme="minorHAnsi" w:cstheme="minorBidi"/>
          <w:szCs w:val="22"/>
          <w:lang w:val="en-GB"/>
        </w:rPr>
        <w:t xml:space="preserve">ZOSTER-049 </w:t>
      </w:r>
      <w:r w:rsidR="00033C12" w:rsidRPr="00D41179">
        <w:rPr>
          <w:rFonts w:asciiTheme="minorHAnsi" w:eastAsiaTheme="minorHAnsi" w:hAnsiTheme="minorHAnsi" w:cstheme="minorBidi"/>
          <w:szCs w:val="22"/>
          <w:lang w:val="en-GB"/>
        </w:rPr>
        <w:t>data introduces significant uncertainty (</w:t>
      </w:r>
      <w:r w:rsidR="005C4DF2" w:rsidRPr="00D41179">
        <w:rPr>
          <w:rFonts w:asciiTheme="minorHAnsi" w:eastAsiaTheme="minorHAnsi" w:hAnsiTheme="minorHAnsi" w:cstheme="minorBidi"/>
          <w:szCs w:val="22"/>
          <w:lang w:val="en-GB"/>
        </w:rPr>
        <w:t xml:space="preserve">ATAGI </w:t>
      </w:r>
      <w:proofErr w:type="spellStart"/>
      <w:r w:rsidR="005C4DF2" w:rsidRPr="00D41179">
        <w:rPr>
          <w:rFonts w:asciiTheme="minorHAnsi" w:eastAsiaTheme="minorHAnsi" w:hAnsiTheme="minorHAnsi" w:cstheme="minorBidi"/>
          <w:szCs w:val="22"/>
          <w:lang w:val="en-GB"/>
        </w:rPr>
        <w:t>pre-submission</w:t>
      </w:r>
      <w:proofErr w:type="spellEnd"/>
      <w:r w:rsidR="005C4DF2" w:rsidRPr="00D41179">
        <w:rPr>
          <w:rFonts w:asciiTheme="minorHAnsi" w:eastAsiaTheme="minorHAnsi" w:hAnsiTheme="minorHAnsi" w:cstheme="minorBidi"/>
          <w:szCs w:val="22"/>
          <w:lang w:val="en-GB"/>
        </w:rPr>
        <w:t xml:space="preserve"> advice, April 2025)</w:t>
      </w:r>
      <w:r w:rsidR="005407A5" w:rsidRPr="00D41179">
        <w:rPr>
          <w:rFonts w:asciiTheme="minorHAnsi" w:eastAsiaTheme="minorHAnsi" w:hAnsiTheme="minorHAnsi" w:cstheme="minorBidi"/>
          <w:szCs w:val="22"/>
          <w:lang w:val="en-GB"/>
        </w:rPr>
        <w:t xml:space="preserve">. </w:t>
      </w:r>
    </w:p>
    <w:p w14:paraId="5A7BEDF4" w14:textId="79E1288A" w:rsidR="00F714D1" w:rsidRPr="00D41179" w:rsidRDefault="007E5193" w:rsidP="00A64F5D">
      <w:pPr>
        <w:numPr>
          <w:ilvl w:val="1"/>
          <w:numId w:val="8"/>
        </w:numPr>
        <w:spacing w:before="60" w:after="60"/>
        <w:ind w:left="709"/>
        <w:rPr>
          <w:rFonts w:asciiTheme="minorHAnsi" w:eastAsiaTheme="minorHAnsi" w:hAnsiTheme="minorHAnsi" w:cstheme="minorBidi"/>
          <w:szCs w:val="22"/>
        </w:rPr>
      </w:pPr>
      <w:r w:rsidRPr="00D41179">
        <w:rPr>
          <w:rFonts w:asciiTheme="minorHAnsi" w:eastAsiaTheme="minorHAnsi" w:hAnsiTheme="minorHAnsi" w:cstheme="minorBidi"/>
          <w:szCs w:val="22"/>
          <w:lang w:val="en-GB"/>
        </w:rPr>
        <w:t>T</w:t>
      </w:r>
      <w:r w:rsidR="00F714D1" w:rsidRPr="00D41179">
        <w:rPr>
          <w:rFonts w:asciiTheme="minorHAnsi" w:eastAsiaTheme="minorHAnsi" w:hAnsiTheme="minorHAnsi" w:cstheme="minorBidi"/>
          <w:szCs w:val="22"/>
        </w:rPr>
        <w:t xml:space="preserve">he economic model assumed </w:t>
      </w:r>
      <w:r w:rsidR="00604AE0" w:rsidRPr="00D41179">
        <w:rPr>
          <w:rFonts w:asciiTheme="minorHAnsi" w:eastAsiaTheme="minorHAnsi" w:hAnsiTheme="minorHAnsi" w:cstheme="minorBidi"/>
          <w:szCs w:val="22"/>
        </w:rPr>
        <w:t>a higher rate of waning</w:t>
      </w:r>
      <w:r w:rsidR="00F714D1" w:rsidRPr="00D41179">
        <w:rPr>
          <w:rFonts w:asciiTheme="minorHAnsi" w:eastAsiaTheme="minorHAnsi" w:hAnsiTheme="minorHAnsi" w:cstheme="minorBidi"/>
          <w:szCs w:val="22"/>
        </w:rPr>
        <w:t xml:space="preserve"> starting at age 70 </w:t>
      </w:r>
      <w:r w:rsidR="00F714D1" w:rsidRPr="00D41179">
        <w:rPr>
          <w:rFonts w:asciiTheme="minorHAnsi" w:eastAsiaTheme="minorHAnsi" w:hAnsiTheme="minorHAnsi" w:cstheme="minorBidi"/>
          <w:szCs w:val="22"/>
          <w:lang w:val="en-GB"/>
        </w:rPr>
        <w:t>based on the observation that VE</w:t>
      </w:r>
      <w:r w:rsidR="00F714D1" w:rsidRPr="00D41179">
        <w:rPr>
          <w:rFonts w:asciiTheme="minorHAnsi" w:eastAsiaTheme="minorHAnsi" w:hAnsiTheme="minorHAnsi" w:cstheme="minorBidi"/>
          <w:szCs w:val="22"/>
          <w:vertAlign w:val="subscript"/>
          <w:lang w:val="en-GB"/>
        </w:rPr>
        <w:t xml:space="preserve">HZ </w:t>
      </w:r>
      <w:r w:rsidR="00F714D1" w:rsidRPr="00D41179">
        <w:rPr>
          <w:rFonts w:asciiTheme="minorHAnsi" w:eastAsiaTheme="minorHAnsi" w:hAnsiTheme="minorHAnsi" w:cstheme="minorBidi"/>
          <w:szCs w:val="22"/>
          <w:lang w:val="en-GB"/>
        </w:rPr>
        <w:t>waned at a faster rate in those vaccinated at ≥70 YOA when compared to those vaccinated at 50-69 YOA</w:t>
      </w:r>
      <w:r w:rsidR="00CD15E1" w:rsidRPr="00D41179">
        <w:rPr>
          <w:rFonts w:asciiTheme="minorHAnsi" w:eastAsiaTheme="minorHAnsi" w:hAnsiTheme="minorHAnsi" w:cstheme="minorBidi"/>
          <w:szCs w:val="22"/>
          <w:lang w:val="en-GB"/>
        </w:rPr>
        <w:t xml:space="preserve">. However, the submission </w:t>
      </w:r>
      <w:r w:rsidR="004A6599" w:rsidRPr="00D41179">
        <w:rPr>
          <w:rFonts w:asciiTheme="minorHAnsi" w:eastAsiaTheme="minorHAnsi" w:hAnsiTheme="minorHAnsi" w:cstheme="minorBidi"/>
          <w:szCs w:val="22"/>
          <w:lang w:val="en-GB"/>
        </w:rPr>
        <w:t xml:space="preserve">further </w:t>
      </w:r>
      <w:r w:rsidR="00CD15E1" w:rsidRPr="00D41179">
        <w:rPr>
          <w:rFonts w:asciiTheme="minorHAnsi" w:eastAsiaTheme="minorHAnsi" w:hAnsiTheme="minorHAnsi" w:cstheme="minorBidi"/>
          <w:szCs w:val="22"/>
          <w:lang w:val="en-GB"/>
        </w:rPr>
        <w:t xml:space="preserve">noted </w:t>
      </w:r>
      <w:r w:rsidR="00F714D1" w:rsidRPr="00D41179">
        <w:rPr>
          <w:rFonts w:asciiTheme="minorHAnsi" w:eastAsiaTheme="minorHAnsi" w:hAnsiTheme="minorHAnsi" w:cstheme="minorBidi"/>
          <w:szCs w:val="22"/>
          <w:lang w:val="en-GB"/>
        </w:rPr>
        <w:t>that there was no evidence from ZOSTER-049 that an individual vaccinated at a younger age would experience faster waning when they reach the age of 70 YOA.</w:t>
      </w:r>
      <w:r w:rsidR="00D41179" w:rsidRPr="00D41179">
        <w:rPr>
          <w:rFonts w:asciiTheme="minorHAnsi" w:eastAsiaTheme="minorHAnsi" w:hAnsiTheme="minorHAnsi" w:cstheme="minorBidi"/>
          <w:szCs w:val="22"/>
          <w:lang w:val="en-GB"/>
        </w:rPr>
        <w:t xml:space="preserve"> </w:t>
      </w:r>
      <w:r w:rsidR="0040147A" w:rsidRPr="00D41179">
        <w:rPr>
          <w:rFonts w:asciiTheme="minorHAnsi" w:eastAsiaTheme="minorHAnsi" w:hAnsiTheme="minorHAnsi" w:cstheme="minorBidi"/>
          <w:szCs w:val="22"/>
          <w:lang w:val="en-GB"/>
        </w:rPr>
        <w:t>W</w:t>
      </w:r>
      <w:r w:rsidR="00F714D1" w:rsidRPr="00D41179">
        <w:rPr>
          <w:rFonts w:asciiTheme="minorHAnsi" w:eastAsiaTheme="minorHAnsi" w:hAnsiTheme="minorHAnsi" w:cstheme="minorBidi"/>
          <w:szCs w:val="22"/>
          <w:lang w:val="en-GB"/>
        </w:rPr>
        <w:t xml:space="preserve">hen the waning rate from the 60–69-year-old cohort was applied for the whole </w:t>
      </w:r>
      <w:r w:rsidR="00F714D1" w:rsidRPr="00D41179">
        <w:rPr>
          <w:rFonts w:asciiTheme="minorHAnsi" w:eastAsiaTheme="minorHAnsi" w:hAnsiTheme="minorHAnsi" w:cstheme="minorBidi"/>
          <w:szCs w:val="22"/>
          <w:lang w:val="en-GB"/>
        </w:rPr>
        <w:lastRenderedPageBreak/>
        <w:t>population the ICER decreased from $</w:t>
      </w:r>
      <w:r w:rsidR="00644EFD" w:rsidRPr="00D41179">
        <w:rPr>
          <w:rFonts w:asciiTheme="minorHAnsi" w:eastAsiaTheme="minorHAnsi" w:hAnsiTheme="minorHAnsi" w:cstheme="minorBidi"/>
          <w:szCs w:val="22"/>
          <w:lang w:val="en-GB"/>
        </w:rPr>
        <w:t>15,000 to &lt; $25,000</w:t>
      </w:r>
      <w:r w:rsidR="00B16E83">
        <w:rPr>
          <w:rFonts w:asciiTheme="minorHAnsi" w:eastAsiaTheme="minorHAnsi" w:hAnsiTheme="minorHAnsi" w:cstheme="minorBidi"/>
          <w:szCs w:val="22"/>
          <w:lang w:val="en-GB"/>
        </w:rPr>
        <w:t xml:space="preserve"> </w:t>
      </w:r>
      <w:r w:rsidR="00F714D1" w:rsidRPr="00D41179">
        <w:rPr>
          <w:rFonts w:asciiTheme="minorHAnsi" w:eastAsiaTheme="minorHAnsi" w:hAnsiTheme="minorHAnsi" w:cstheme="minorBidi"/>
          <w:szCs w:val="22"/>
          <w:lang w:val="en-GB"/>
        </w:rPr>
        <w:t>per QALY gained to $</w:t>
      </w:r>
      <w:r w:rsidR="00644EFD" w:rsidRPr="00D41179">
        <w:rPr>
          <w:rFonts w:asciiTheme="minorHAnsi" w:eastAsiaTheme="minorHAnsi" w:hAnsiTheme="minorHAnsi" w:cstheme="minorBidi"/>
          <w:szCs w:val="22"/>
          <w:lang w:val="en-GB"/>
        </w:rPr>
        <w:t>15,000 to &lt; $25,000</w:t>
      </w:r>
      <w:r w:rsidR="00F714D1" w:rsidRPr="00D41179">
        <w:rPr>
          <w:rFonts w:asciiTheme="minorHAnsi" w:eastAsiaTheme="minorHAnsi" w:hAnsiTheme="minorHAnsi" w:cstheme="minorBidi"/>
          <w:szCs w:val="22"/>
          <w:lang w:val="en-GB"/>
        </w:rPr>
        <w:t xml:space="preserve"> (-</w:t>
      </w:r>
      <w:r w:rsidR="000E1EB2" w:rsidRPr="000E1EB2">
        <w:rPr>
          <w:rFonts w:asciiTheme="minorHAnsi" w:eastAsiaTheme="minorHAnsi" w:hAnsiTheme="minorHAnsi" w:cstheme="minorBidi"/>
          <w:sz w:val="2"/>
          <w:szCs w:val="22"/>
          <w:highlight w:val="black"/>
          <w:lang w:val="en-GB"/>
        </w:rPr>
        <w:t>redacted content</w:t>
      </w:r>
      <w:r w:rsidR="00F714D1" w:rsidRPr="00D41179">
        <w:rPr>
          <w:rFonts w:asciiTheme="minorHAnsi" w:eastAsiaTheme="minorHAnsi" w:hAnsiTheme="minorHAnsi" w:cstheme="minorBidi"/>
          <w:szCs w:val="22"/>
          <w:lang w:val="en-GB"/>
        </w:rPr>
        <w:t>%). When a midpoint estimate (2.15%) was applied the ICER increased to $</w:t>
      </w:r>
      <w:r w:rsidR="00644EFD" w:rsidRPr="00D41179">
        <w:rPr>
          <w:rFonts w:asciiTheme="minorHAnsi" w:eastAsiaTheme="minorHAnsi" w:hAnsiTheme="minorHAnsi" w:cstheme="minorBidi"/>
          <w:szCs w:val="22"/>
          <w:lang w:val="en-GB"/>
        </w:rPr>
        <w:t>35,000 to &lt; $45,000</w:t>
      </w:r>
      <w:r w:rsidR="00F714D1" w:rsidRPr="00D41179">
        <w:rPr>
          <w:rFonts w:asciiTheme="minorHAnsi" w:eastAsiaTheme="minorHAnsi" w:hAnsiTheme="minorHAnsi" w:cstheme="minorBidi"/>
          <w:szCs w:val="22"/>
          <w:lang w:val="en-GB"/>
        </w:rPr>
        <w:t xml:space="preserve"> (+</w:t>
      </w:r>
      <w:r w:rsidR="000E1EB2" w:rsidRPr="000E1EB2">
        <w:rPr>
          <w:rFonts w:asciiTheme="minorHAnsi" w:eastAsiaTheme="minorHAnsi" w:hAnsiTheme="minorHAnsi" w:cstheme="minorBidi"/>
          <w:sz w:val="2"/>
          <w:szCs w:val="22"/>
          <w:highlight w:val="black"/>
          <w:lang w:val="en-GB"/>
        </w:rPr>
        <w:t>redacted content</w:t>
      </w:r>
      <w:r w:rsidR="00F714D1" w:rsidRPr="00D41179">
        <w:rPr>
          <w:rFonts w:asciiTheme="minorHAnsi" w:eastAsiaTheme="minorHAnsi" w:hAnsiTheme="minorHAnsi" w:cstheme="minorBidi"/>
          <w:szCs w:val="22"/>
          <w:lang w:val="en-GB"/>
        </w:rPr>
        <w:t xml:space="preserve">%). </w:t>
      </w:r>
    </w:p>
    <w:p w14:paraId="782432A2" w14:textId="77C01E63" w:rsidR="007E5193" w:rsidRPr="00D41179" w:rsidRDefault="007E5193" w:rsidP="004F0BA9">
      <w:pPr>
        <w:numPr>
          <w:ilvl w:val="1"/>
          <w:numId w:val="8"/>
        </w:numPr>
        <w:spacing w:before="60" w:after="60"/>
        <w:ind w:left="709"/>
        <w:rPr>
          <w:rFonts w:asciiTheme="minorHAnsi" w:eastAsiaTheme="minorHAnsi" w:hAnsiTheme="minorHAnsi" w:cstheme="minorBidi"/>
          <w:szCs w:val="22"/>
        </w:rPr>
      </w:pPr>
      <w:bookmarkStart w:id="53" w:name="_Ref215926525"/>
      <w:r w:rsidRPr="00D41179">
        <w:rPr>
          <w:rFonts w:asciiTheme="minorHAnsi" w:eastAsiaTheme="minorHAnsi" w:hAnsiTheme="minorHAnsi" w:cstheme="minorBidi"/>
          <w:szCs w:val="22"/>
          <w:lang w:val="en-GB"/>
        </w:rPr>
        <w:t xml:space="preserve">The base case VE waning estimates applied in the model are highly uncertain and are a key driver of the economic model. The ESC considered it was uncertain if applying different waning rates to individuals &lt; 70 YOA and </w:t>
      </w:r>
      <w:r w:rsidRPr="00D41179">
        <w:rPr>
          <w:rFonts w:asciiTheme="minorHAnsi" w:eastAsiaTheme="minorHAnsi" w:hAnsiTheme="minorHAnsi" w:cstheme="minorHAnsi"/>
          <w:szCs w:val="22"/>
          <w:lang w:val="en-GB"/>
        </w:rPr>
        <w:t>≥</w:t>
      </w:r>
      <w:r w:rsidRPr="00D41179">
        <w:rPr>
          <w:rFonts w:asciiTheme="minorHAnsi" w:eastAsiaTheme="minorHAnsi" w:hAnsiTheme="minorHAnsi" w:cstheme="minorBidi"/>
          <w:szCs w:val="22"/>
          <w:lang w:val="en-GB"/>
        </w:rPr>
        <w:t xml:space="preserve"> 70 YOA was reasonable, noting this resulted in a shorter </w:t>
      </w:r>
      <w:proofErr w:type="gramStart"/>
      <w:r w:rsidR="00351858" w:rsidRPr="00D41179">
        <w:rPr>
          <w:rFonts w:asciiTheme="minorHAnsi" w:eastAsiaTheme="minorHAnsi" w:hAnsiTheme="minorHAnsi" w:cstheme="minorBidi"/>
          <w:szCs w:val="22"/>
          <w:lang w:val="en-GB"/>
        </w:rPr>
        <w:t>period of time</w:t>
      </w:r>
      <w:proofErr w:type="gramEnd"/>
      <w:r w:rsidR="00351858" w:rsidRPr="00D41179">
        <w:rPr>
          <w:rFonts w:asciiTheme="minorHAnsi" w:eastAsiaTheme="minorHAnsi" w:hAnsiTheme="minorHAnsi" w:cstheme="minorBidi"/>
          <w:szCs w:val="22"/>
          <w:lang w:val="en-GB"/>
        </w:rPr>
        <w:t xml:space="preserve"> before the higher waning rate was applied</w:t>
      </w:r>
      <w:r w:rsidRPr="00D41179">
        <w:rPr>
          <w:rFonts w:asciiTheme="minorHAnsi" w:eastAsiaTheme="minorHAnsi" w:hAnsiTheme="minorHAnsi" w:cstheme="minorBidi"/>
          <w:szCs w:val="22"/>
          <w:lang w:val="en-GB"/>
        </w:rPr>
        <w:t xml:space="preserve"> for individuals vaccinated at 65 YOA compared to those vaccinated at 60 YOA. Additionally, the ESC considered it remained uncertain if a linear waning model was reasonable for individuals vaccinated 60 to 69 YOA. The ESC noted that the proposed population are younger than previously </w:t>
      </w:r>
      <w:proofErr w:type="gramStart"/>
      <w:r w:rsidRPr="00D41179">
        <w:rPr>
          <w:rFonts w:asciiTheme="minorHAnsi" w:eastAsiaTheme="minorHAnsi" w:hAnsiTheme="minorHAnsi" w:cstheme="minorBidi"/>
          <w:szCs w:val="22"/>
          <w:lang w:val="en-GB"/>
        </w:rPr>
        <w:t>listed, and</w:t>
      </w:r>
      <w:proofErr w:type="gramEnd"/>
      <w:r w:rsidRPr="00D41179">
        <w:rPr>
          <w:rFonts w:asciiTheme="minorHAnsi" w:eastAsiaTheme="minorHAnsi" w:hAnsiTheme="minorHAnsi" w:cstheme="minorBidi"/>
          <w:szCs w:val="22"/>
          <w:lang w:val="en-GB"/>
        </w:rPr>
        <w:t xml:space="preserve"> are more likely to survive longer periods with lower vaccine coverage</w:t>
      </w:r>
      <w:r w:rsidR="00E34372" w:rsidRPr="00D41179">
        <w:rPr>
          <w:rFonts w:asciiTheme="minorHAnsi" w:eastAsiaTheme="minorHAnsi" w:hAnsiTheme="minorHAnsi" w:cstheme="minorBidi"/>
          <w:szCs w:val="22"/>
          <w:lang w:val="en-GB"/>
        </w:rPr>
        <w:t>.</w:t>
      </w:r>
      <w:bookmarkEnd w:id="53"/>
    </w:p>
    <w:p w14:paraId="0424EB4D" w14:textId="77777777" w:rsidR="00F714D1" w:rsidRPr="00D41179" w:rsidRDefault="00F714D1" w:rsidP="00C067B5">
      <w:pPr>
        <w:spacing w:before="60" w:after="60"/>
        <w:ind w:left="-11"/>
        <w:rPr>
          <w:b/>
          <w:bCs/>
        </w:rPr>
      </w:pPr>
      <w:r w:rsidRPr="00D41179">
        <w:rPr>
          <w:b/>
          <w:bCs/>
          <w:lang w:val="en-GB"/>
        </w:rPr>
        <w:t>Health Outcomes</w:t>
      </w:r>
    </w:p>
    <w:p w14:paraId="63521D52" w14:textId="3460E392" w:rsidR="00F714D1" w:rsidRPr="00D41179" w:rsidRDefault="00F714D1" w:rsidP="00A64F5D">
      <w:pPr>
        <w:numPr>
          <w:ilvl w:val="1"/>
          <w:numId w:val="8"/>
        </w:numPr>
        <w:spacing w:before="60" w:after="60"/>
        <w:ind w:left="709"/>
        <w:rPr>
          <w:rFonts w:asciiTheme="minorHAnsi" w:eastAsiaTheme="minorHAnsi" w:hAnsiTheme="minorHAnsi" w:cstheme="minorBidi"/>
          <w:szCs w:val="22"/>
        </w:rPr>
      </w:pPr>
      <w:r w:rsidRPr="00D41179">
        <w:rPr>
          <w:rFonts w:asciiTheme="minorHAnsi" w:eastAsiaTheme="minorHAnsi" w:hAnsiTheme="minorHAnsi" w:cstheme="minorBidi"/>
          <w:szCs w:val="22"/>
        </w:rPr>
        <w:t xml:space="preserve">Baseline utilities in the economic model were revised based on a recent study by Redwood (2024) and valued using Norman (2023). </w:t>
      </w:r>
    </w:p>
    <w:p w14:paraId="6E9C342A" w14:textId="54DD8C70" w:rsidR="00F714D1" w:rsidRPr="00D41179" w:rsidRDefault="00F714D1" w:rsidP="00371AEB">
      <w:pPr>
        <w:numPr>
          <w:ilvl w:val="1"/>
          <w:numId w:val="8"/>
        </w:numPr>
        <w:spacing w:before="60" w:after="60"/>
        <w:ind w:left="709"/>
        <w:rPr>
          <w:rFonts w:asciiTheme="minorHAnsi" w:hAnsiTheme="minorHAnsi"/>
          <w:i/>
          <w:iCs/>
          <w:snapToGrid w:val="0"/>
        </w:rPr>
      </w:pPr>
      <w:bookmarkStart w:id="54" w:name="_Ref216188590"/>
      <w:r w:rsidRPr="00D41179">
        <w:rPr>
          <w:rFonts w:asciiTheme="minorHAnsi" w:eastAsiaTheme="minorHAnsi" w:hAnsiTheme="minorHAnsi" w:cstheme="minorBidi"/>
          <w:szCs w:val="22"/>
          <w:lang w:val="en-GB"/>
        </w:rPr>
        <w:t xml:space="preserve">QALY losses per </w:t>
      </w:r>
      <w:r w:rsidR="00D25842" w:rsidRPr="00D41179">
        <w:rPr>
          <w:rFonts w:asciiTheme="minorHAnsi" w:eastAsiaTheme="minorHAnsi" w:hAnsiTheme="minorHAnsi" w:cstheme="minorBidi"/>
          <w:szCs w:val="22"/>
          <w:lang w:val="en-GB"/>
        </w:rPr>
        <w:t xml:space="preserve">(unvaccinated) </w:t>
      </w:r>
      <w:r w:rsidRPr="00D41179">
        <w:rPr>
          <w:rFonts w:asciiTheme="minorHAnsi" w:eastAsiaTheme="minorHAnsi" w:hAnsiTheme="minorHAnsi" w:cstheme="minorBidi"/>
          <w:szCs w:val="22"/>
          <w:lang w:val="en-GB"/>
        </w:rPr>
        <w:t>case of HZ and PHN were unchanged from previous submissions.</w:t>
      </w:r>
      <w:r w:rsidR="00371AEB" w:rsidRPr="00D41179">
        <w:rPr>
          <w:rFonts w:asciiTheme="minorHAnsi" w:hAnsiTheme="minorHAnsi"/>
          <w:snapToGrid w:val="0"/>
          <w:lang w:val="en-GB"/>
        </w:rPr>
        <w:t xml:space="preserve"> </w:t>
      </w:r>
      <w:r w:rsidRPr="00D41179">
        <w:rPr>
          <w:rFonts w:asciiTheme="minorHAnsi" w:hAnsiTheme="minorHAnsi"/>
          <w:snapToGrid w:val="0"/>
          <w:lang w:val="en-GB"/>
        </w:rPr>
        <w:t xml:space="preserve">The ESC </w:t>
      </w:r>
      <w:r w:rsidR="00371AEB" w:rsidRPr="00D41179">
        <w:rPr>
          <w:rFonts w:asciiTheme="minorHAnsi" w:hAnsiTheme="minorHAnsi"/>
          <w:snapToGrid w:val="0"/>
          <w:lang w:val="en-GB"/>
        </w:rPr>
        <w:t>previously</w:t>
      </w:r>
      <w:r w:rsidR="002E6E7E" w:rsidRPr="00D41179">
        <w:rPr>
          <w:rFonts w:asciiTheme="minorHAnsi" w:hAnsiTheme="minorHAnsi"/>
          <w:snapToGrid w:val="0"/>
          <w:lang w:val="en-GB"/>
        </w:rPr>
        <w:t xml:space="preserve"> </w:t>
      </w:r>
      <w:r w:rsidR="009E6FD2" w:rsidRPr="00D41179">
        <w:rPr>
          <w:rFonts w:asciiTheme="minorHAnsi" w:hAnsiTheme="minorHAnsi"/>
          <w:snapToGrid w:val="0"/>
          <w:lang w:val="en-GB"/>
        </w:rPr>
        <w:t>considered the QALY loss per case of HZ and PHN were overestimated (paragraph 6.56 R</w:t>
      </w:r>
      <w:r w:rsidR="00E67DFF" w:rsidRPr="00D41179">
        <w:rPr>
          <w:rFonts w:asciiTheme="minorHAnsi" w:hAnsiTheme="minorHAnsi"/>
          <w:snapToGrid w:val="0"/>
          <w:lang w:val="en-GB"/>
        </w:rPr>
        <w:t>Z</w:t>
      </w:r>
      <w:r w:rsidR="009E6FD2" w:rsidRPr="00D41179">
        <w:rPr>
          <w:rFonts w:asciiTheme="minorHAnsi" w:hAnsiTheme="minorHAnsi"/>
          <w:snapToGrid w:val="0"/>
          <w:lang w:val="en-GB"/>
        </w:rPr>
        <w:t>V PSD, March 2023 PBAC meeting</w:t>
      </w:r>
      <w:r w:rsidR="00DC10C3" w:rsidRPr="00D41179">
        <w:rPr>
          <w:rFonts w:asciiTheme="minorHAnsi" w:hAnsiTheme="minorHAnsi"/>
          <w:snapToGrid w:val="0"/>
          <w:lang w:val="en-GB"/>
        </w:rPr>
        <w:t>)</w:t>
      </w:r>
      <w:r w:rsidR="009E6FD2" w:rsidRPr="00D41179">
        <w:rPr>
          <w:rFonts w:asciiTheme="minorHAnsi" w:hAnsiTheme="minorHAnsi"/>
          <w:snapToGrid w:val="0"/>
          <w:lang w:val="en-GB"/>
        </w:rPr>
        <w:t>.</w:t>
      </w:r>
      <w:r w:rsidR="00D41179" w:rsidRPr="00D41179">
        <w:rPr>
          <w:rFonts w:asciiTheme="minorHAnsi" w:hAnsiTheme="minorHAnsi"/>
          <w:snapToGrid w:val="0"/>
          <w:lang w:val="en-GB"/>
        </w:rPr>
        <w:t xml:space="preserve"> </w:t>
      </w:r>
      <w:r w:rsidR="007E5193" w:rsidRPr="00D41179">
        <w:rPr>
          <w:rFonts w:asciiTheme="minorHAnsi" w:hAnsiTheme="minorHAnsi"/>
          <w:snapToGrid w:val="0"/>
          <w:lang w:val="en-GB"/>
        </w:rPr>
        <w:t xml:space="preserve">The ESC noted the model was sensitive to QALY loss per HZ and PHN case. </w:t>
      </w:r>
      <w:r w:rsidR="00881315" w:rsidRPr="00D41179">
        <w:rPr>
          <w:rFonts w:asciiTheme="minorHAnsi" w:hAnsiTheme="minorHAnsi"/>
          <w:snapToGrid w:val="0"/>
          <w:lang w:val="en-GB"/>
        </w:rPr>
        <w:t>The ESC noted that higher utility decrements for older people experiencing HZ and PHN were included in the model; however, it is unclear if the difference adequately captures the more serious sequelae that can be experienced by older cohorts. The ESC considered shifting the vaccination age lower could result in more serious cases of HZ and PHN in the older cohorts and not adjusting for this appropriately in the model could overestimate QALY gains and underestimate the ICER.</w:t>
      </w:r>
      <w:bookmarkEnd w:id="54"/>
    </w:p>
    <w:p w14:paraId="4162E3CF" w14:textId="69DCBBE7" w:rsidR="00C067B5" w:rsidRPr="00D41179" w:rsidRDefault="00C067B5" w:rsidP="00FB2E14">
      <w:pPr>
        <w:pStyle w:val="Caption"/>
        <w:rPr>
          <w:rFonts w:eastAsiaTheme="minorHAnsi"/>
        </w:rPr>
      </w:pPr>
      <w:r w:rsidRPr="00D41179">
        <w:rPr>
          <w:rFonts w:eastAsiaTheme="minorHAnsi"/>
          <w:lang w:eastAsia="en-US"/>
        </w:rPr>
        <w:t xml:space="preserve">Table </w:t>
      </w:r>
      <w:r w:rsidRPr="00D41179">
        <w:rPr>
          <w:rFonts w:eastAsiaTheme="minorHAnsi"/>
          <w:lang w:eastAsia="en-US"/>
        </w:rPr>
        <w:fldChar w:fldCharType="begin"/>
      </w:r>
      <w:r w:rsidRPr="00D41179">
        <w:rPr>
          <w:rFonts w:eastAsiaTheme="minorHAnsi"/>
          <w:lang w:eastAsia="en-US"/>
        </w:rPr>
        <w:instrText xml:space="preserve"> SEQ Table \* ARABIC </w:instrText>
      </w:r>
      <w:r w:rsidRPr="00D41179">
        <w:rPr>
          <w:rFonts w:eastAsiaTheme="minorHAnsi"/>
          <w:lang w:eastAsia="en-US"/>
        </w:rPr>
        <w:fldChar w:fldCharType="separate"/>
      </w:r>
      <w:r w:rsidR="00E7345C" w:rsidRPr="00D41179">
        <w:rPr>
          <w:rFonts w:eastAsiaTheme="minorHAnsi"/>
          <w:noProof/>
          <w:lang w:eastAsia="en-US"/>
        </w:rPr>
        <w:t>11</w:t>
      </w:r>
      <w:r w:rsidRPr="00D41179">
        <w:rPr>
          <w:rFonts w:eastAsiaTheme="minorHAnsi"/>
          <w:lang w:eastAsia="en-US"/>
        </w:rPr>
        <w:fldChar w:fldCharType="end"/>
      </w:r>
      <w:r w:rsidRPr="00D41179">
        <w:rPr>
          <w:rFonts w:eastAsiaTheme="minorHAnsi"/>
          <w:lang w:eastAsia="en-US"/>
        </w:rPr>
        <w:t>:</w:t>
      </w:r>
      <w:r w:rsidRPr="00D41179">
        <w:rPr>
          <w:rStyle w:val="CommentReference"/>
          <w:szCs w:val="24"/>
        </w:rPr>
        <w:t xml:space="preserve"> </w:t>
      </w:r>
      <w:r w:rsidRPr="00D41179">
        <w:rPr>
          <w:rFonts w:eastAsiaTheme="minorHAnsi"/>
        </w:rPr>
        <w:t>Estimated QALY loss per HZ and PHN case applied in the model for unvaccinated individuals</w:t>
      </w:r>
    </w:p>
    <w:tbl>
      <w:tblPr>
        <w:tblStyle w:val="GridTable1Light"/>
        <w:tblW w:w="5000" w:type="pct"/>
        <w:tblLook w:val="04A0" w:firstRow="1" w:lastRow="0" w:firstColumn="1" w:lastColumn="0" w:noHBand="0" w:noVBand="1"/>
        <w:tblCaption w:val="Table 11: Estimated QALY loss per HZ and PHN case applied in the model for unvaccinated individuals"/>
      </w:tblPr>
      <w:tblGrid>
        <w:gridCol w:w="2424"/>
        <w:gridCol w:w="2198"/>
        <w:gridCol w:w="2198"/>
        <w:gridCol w:w="2197"/>
      </w:tblGrid>
      <w:tr w:rsidR="00A53A1C" w:rsidRPr="00D41179" w14:paraId="21594F0E" w14:textId="77777777" w:rsidTr="005D3D9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44" w:type="pct"/>
            <w:tcBorders>
              <w:top w:val="single" w:sz="4" w:space="0" w:color="auto"/>
              <w:left w:val="single" w:sz="4" w:space="0" w:color="auto"/>
              <w:right w:val="single" w:sz="4" w:space="0" w:color="auto"/>
            </w:tcBorders>
          </w:tcPr>
          <w:p w14:paraId="4CE8EFCD" w14:textId="77777777" w:rsidR="00A53A1C" w:rsidRPr="00D41179" w:rsidRDefault="00A53A1C" w:rsidP="00A53A1C">
            <w:pPr>
              <w:rPr>
                <w:rFonts w:ascii="Arial Narrow" w:eastAsiaTheme="minorHAnsi" w:hAnsi="Arial Narrow" w:cstheme="minorBidi"/>
                <w:sz w:val="20"/>
                <w:szCs w:val="18"/>
              </w:rPr>
            </w:pPr>
          </w:p>
        </w:tc>
        <w:tc>
          <w:tcPr>
            <w:tcW w:w="1219" w:type="pct"/>
            <w:tcBorders>
              <w:top w:val="single" w:sz="4" w:space="0" w:color="auto"/>
              <w:left w:val="single" w:sz="4" w:space="0" w:color="auto"/>
              <w:right w:val="single" w:sz="4" w:space="0" w:color="auto"/>
            </w:tcBorders>
          </w:tcPr>
          <w:p w14:paraId="3F30EB69" w14:textId="31DA1852" w:rsidR="00A53A1C" w:rsidRPr="00D41179" w:rsidRDefault="00A53A1C" w:rsidP="00A53A1C">
            <w:pPr>
              <w:cnfStyle w:val="100000000000" w:firstRow="1" w:lastRow="0" w:firstColumn="0" w:lastColumn="0" w:oddVBand="0" w:evenVBand="0" w:oddHBand="0" w:evenHBand="0" w:firstRowFirstColumn="0" w:firstRowLastColumn="0" w:lastRowFirstColumn="0" w:lastRowLastColumn="0"/>
              <w:rPr>
                <w:rFonts w:ascii="Arial Narrow" w:eastAsiaTheme="minorHAnsi" w:hAnsi="Arial Narrow" w:cstheme="minorBidi"/>
                <w:b w:val="0"/>
                <w:bCs w:val="0"/>
                <w:sz w:val="20"/>
                <w:szCs w:val="18"/>
              </w:rPr>
            </w:pPr>
            <w:r w:rsidRPr="00D41179">
              <w:rPr>
                <w:rFonts w:ascii="Arial Narrow" w:eastAsiaTheme="minorHAnsi" w:hAnsi="Arial Narrow" w:cstheme="minorBidi"/>
                <w:sz w:val="20"/>
                <w:szCs w:val="18"/>
              </w:rPr>
              <w:t>Utility loss</w:t>
            </w:r>
          </w:p>
        </w:tc>
        <w:tc>
          <w:tcPr>
            <w:tcW w:w="1219" w:type="pct"/>
            <w:tcBorders>
              <w:top w:val="single" w:sz="4" w:space="0" w:color="auto"/>
              <w:left w:val="single" w:sz="4" w:space="0" w:color="auto"/>
              <w:right w:val="single" w:sz="4" w:space="0" w:color="auto"/>
            </w:tcBorders>
          </w:tcPr>
          <w:p w14:paraId="1072EA51" w14:textId="045EE248" w:rsidR="00A53A1C" w:rsidRPr="00D41179" w:rsidRDefault="00A53A1C" w:rsidP="00A53A1C">
            <w:pPr>
              <w:cnfStyle w:val="100000000000" w:firstRow="1" w:lastRow="0" w:firstColumn="0" w:lastColumn="0" w:oddVBand="0" w:evenVBand="0" w:oddHBand="0" w:evenHBand="0" w:firstRowFirstColumn="0" w:firstRowLastColumn="0" w:lastRowFirstColumn="0" w:lastRowLastColumn="0"/>
              <w:rPr>
                <w:rFonts w:ascii="Arial Narrow" w:eastAsiaTheme="minorHAnsi" w:hAnsi="Arial Narrow" w:cstheme="minorBidi"/>
                <w:b w:val="0"/>
                <w:bCs w:val="0"/>
                <w:sz w:val="20"/>
                <w:szCs w:val="18"/>
              </w:rPr>
            </w:pPr>
            <w:r w:rsidRPr="00D41179">
              <w:rPr>
                <w:rFonts w:ascii="Arial Narrow" w:eastAsiaTheme="minorHAnsi" w:hAnsi="Arial Narrow" w:cstheme="minorBidi"/>
                <w:sz w:val="20"/>
                <w:szCs w:val="18"/>
              </w:rPr>
              <w:t>Duration (months)</w:t>
            </w:r>
            <w:r w:rsidR="00663862" w:rsidRPr="00D41179">
              <w:rPr>
                <w:rFonts w:ascii="Arial Narrow" w:hAnsi="Arial Narrow"/>
                <w:snapToGrid w:val="0"/>
                <w:sz w:val="18"/>
                <w:szCs w:val="22"/>
                <w:vertAlign w:val="superscript"/>
              </w:rPr>
              <w:t xml:space="preserve"> a</w:t>
            </w:r>
          </w:p>
        </w:tc>
        <w:tc>
          <w:tcPr>
            <w:tcW w:w="1218" w:type="pct"/>
            <w:tcBorders>
              <w:top w:val="single" w:sz="4" w:space="0" w:color="auto"/>
              <w:left w:val="single" w:sz="4" w:space="0" w:color="auto"/>
              <w:right w:val="single" w:sz="4" w:space="0" w:color="auto"/>
            </w:tcBorders>
          </w:tcPr>
          <w:p w14:paraId="1F447007" w14:textId="3A895698" w:rsidR="00A53A1C" w:rsidRPr="00D41179" w:rsidRDefault="00A53A1C" w:rsidP="00A53A1C">
            <w:pPr>
              <w:cnfStyle w:val="100000000000" w:firstRow="1" w:lastRow="0" w:firstColumn="0" w:lastColumn="0" w:oddVBand="0" w:evenVBand="0" w:oddHBand="0" w:evenHBand="0" w:firstRowFirstColumn="0" w:firstRowLastColumn="0" w:lastRowFirstColumn="0" w:lastRowLastColumn="0"/>
              <w:rPr>
                <w:rFonts w:ascii="Arial Narrow" w:eastAsiaTheme="minorHAnsi" w:hAnsi="Arial Narrow" w:cstheme="minorBidi"/>
                <w:b w:val="0"/>
                <w:bCs w:val="0"/>
                <w:sz w:val="20"/>
                <w:szCs w:val="18"/>
              </w:rPr>
            </w:pPr>
            <w:r w:rsidRPr="00D41179">
              <w:rPr>
                <w:rFonts w:ascii="Arial Narrow" w:eastAsiaTheme="minorHAnsi" w:hAnsi="Arial Narrow" w:cstheme="minorBidi"/>
                <w:sz w:val="20"/>
                <w:szCs w:val="18"/>
              </w:rPr>
              <w:t>QALY loss</w:t>
            </w:r>
          </w:p>
        </w:tc>
      </w:tr>
      <w:tr w:rsidR="001D4C24" w:rsidRPr="00D41179" w14:paraId="54D4855F" w14:textId="77777777" w:rsidTr="005D3D93">
        <w:tc>
          <w:tcPr>
            <w:cnfStyle w:val="001000000000" w:firstRow="0" w:lastRow="0" w:firstColumn="1" w:lastColumn="0" w:oddVBand="0" w:evenVBand="0" w:oddHBand="0" w:evenHBand="0" w:firstRowFirstColumn="0" w:firstRowLastColumn="0" w:lastRowFirstColumn="0" w:lastRowLastColumn="0"/>
            <w:tcW w:w="5000" w:type="pct"/>
            <w:gridSpan w:val="4"/>
            <w:tcBorders>
              <w:left w:val="single" w:sz="4" w:space="0" w:color="auto"/>
              <w:bottom w:val="single" w:sz="4" w:space="0" w:color="auto"/>
              <w:right w:val="single" w:sz="4" w:space="0" w:color="auto"/>
            </w:tcBorders>
          </w:tcPr>
          <w:p w14:paraId="7F05E59D" w14:textId="2212139D" w:rsidR="001D4C24" w:rsidRPr="00D41179" w:rsidRDefault="001D4C24" w:rsidP="00A53A1C">
            <w:pPr>
              <w:rPr>
                <w:rFonts w:ascii="Arial Narrow" w:eastAsiaTheme="minorHAnsi" w:hAnsi="Arial Narrow" w:cstheme="minorBidi"/>
                <w:sz w:val="20"/>
                <w:szCs w:val="18"/>
              </w:rPr>
            </w:pPr>
            <w:r w:rsidRPr="00D41179">
              <w:rPr>
                <w:rFonts w:ascii="Arial Narrow" w:eastAsiaTheme="minorHAnsi" w:hAnsi="Arial Narrow" w:cstheme="minorBidi"/>
                <w:sz w:val="20"/>
                <w:szCs w:val="18"/>
              </w:rPr>
              <w:t>Per HZ case</w:t>
            </w:r>
          </w:p>
        </w:tc>
      </w:tr>
      <w:tr w:rsidR="006E03C9" w:rsidRPr="00D41179" w14:paraId="3B5296B7" w14:textId="77777777" w:rsidTr="005D3D93">
        <w:tc>
          <w:tcPr>
            <w:cnfStyle w:val="001000000000" w:firstRow="0" w:lastRow="0" w:firstColumn="1" w:lastColumn="0" w:oddVBand="0" w:evenVBand="0" w:oddHBand="0" w:evenHBand="0" w:firstRowFirstColumn="0" w:firstRowLastColumn="0" w:lastRowFirstColumn="0" w:lastRowLastColumn="0"/>
            <w:tcW w:w="1344" w:type="pct"/>
            <w:tcBorders>
              <w:top w:val="single" w:sz="4" w:space="0" w:color="auto"/>
              <w:left w:val="single" w:sz="4" w:space="0" w:color="auto"/>
              <w:bottom w:val="single" w:sz="4" w:space="0" w:color="auto"/>
              <w:right w:val="single" w:sz="4" w:space="0" w:color="auto"/>
            </w:tcBorders>
          </w:tcPr>
          <w:p w14:paraId="67332ECE" w14:textId="30AE073A" w:rsidR="006E03C9" w:rsidRPr="00D41179" w:rsidRDefault="006E03C9" w:rsidP="006E03C9">
            <w:pPr>
              <w:rPr>
                <w:rFonts w:ascii="Arial Narrow" w:eastAsiaTheme="minorHAnsi" w:hAnsi="Arial Narrow" w:cstheme="minorBidi"/>
                <w:b w:val="0"/>
                <w:bCs w:val="0"/>
                <w:sz w:val="20"/>
                <w:szCs w:val="18"/>
              </w:rPr>
            </w:pPr>
            <w:r w:rsidRPr="00D41179">
              <w:rPr>
                <w:rFonts w:ascii="Arial Narrow" w:eastAsiaTheme="majorEastAsia" w:hAnsi="Arial Narrow" w:cstheme="majorBidi"/>
                <w:b w:val="0"/>
                <w:bCs w:val="0"/>
                <w:sz w:val="20"/>
                <w:szCs w:val="22"/>
              </w:rPr>
              <w:t>50-59 YOA</w:t>
            </w:r>
          </w:p>
        </w:tc>
        <w:tc>
          <w:tcPr>
            <w:tcW w:w="1219" w:type="pct"/>
            <w:vMerge w:val="restart"/>
            <w:tcBorders>
              <w:top w:val="single" w:sz="4" w:space="0" w:color="auto"/>
              <w:left w:val="single" w:sz="4" w:space="0" w:color="auto"/>
              <w:bottom w:val="single" w:sz="4" w:space="0" w:color="auto"/>
              <w:right w:val="single" w:sz="4" w:space="0" w:color="auto"/>
            </w:tcBorders>
          </w:tcPr>
          <w:p w14:paraId="655E51BC" w14:textId="3CAE0D0F" w:rsidR="006E03C9" w:rsidRPr="00D41179" w:rsidRDefault="006E03C9" w:rsidP="006E03C9">
            <w:pPr>
              <w:jc w:val="center"/>
              <w:cnfStyle w:val="000000000000" w:firstRow="0" w:lastRow="0" w:firstColumn="0" w:lastColumn="0" w:oddVBand="0" w:evenVBand="0" w:oddHBand="0" w:evenHBand="0" w:firstRowFirstColumn="0" w:firstRowLastColumn="0" w:lastRowFirstColumn="0" w:lastRowLastColumn="0"/>
              <w:rPr>
                <w:rFonts w:ascii="Arial Narrow" w:eastAsiaTheme="minorHAnsi" w:hAnsi="Arial Narrow" w:cstheme="minorBidi"/>
                <w:sz w:val="20"/>
                <w:szCs w:val="18"/>
              </w:rPr>
            </w:pPr>
            <w:r w:rsidRPr="00D41179">
              <w:rPr>
                <w:rFonts w:ascii="Arial Narrow" w:eastAsiaTheme="minorHAnsi" w:hAnsi="Arial Narrow" w:cstheme="minorBidi"/>
                <w:sz w:val="20"/>
                <w:szCs w:val="18"/>
              </w:rPr>
              <w:t>0.173</w:t>
            </w:r>
          </w:p>
        </w:tc>
        <w:tc>
          <w:tcPr>
            <w:tcW w:w="1219" w:type="pct"/>
            <w:tcBorders>
              <w:top w:val="single" w:sz="4" w:space="0" w:color="auto"/>
              <w:left w:val="single" w:sz="4" w:space="0" w:color="auto"/>
              <w:bottom w:val="single" w:sz="4" w:space="0" w:color="auto"/>
              <w:right w:val="single" w:sz="4" w:space="0" w:color="auto"/>
            </w:tcBorders>
          </w:tcPr>
          <w:p w14:paraId="0D0DFF5A" w14:textId="1931BC4B" w:rsidR="006E03C9" w:rsidRPr="00D41179" w:rsidRDefault="006E03C9" w:rsidP="006E03C9">
            <w:pPr>
              <w:cnfStyle w:val="000000000000" w:firstRow="0" w:lastRow="0" w:firstColumn="0" w:lastColumn="0" w:oddVBand="0" w:evenVBand="0" w:oddHBand="0" w:evenHBand="0" w:firstRowFirstColumn="0" w:firstRowLastColumn="0" w:lastRowFirstColumn="0" w:lastRowLastColumn="0"/>
              <w:rPr>
                <w:rFonts w:ascii="Arial Narrow" w:eastAsiaTheme="minorHAnsi" w:hAnsi="Arial Narrow" w:cstheme="minorBidi"/>
                <w:sz w:val="20"/>
                <w:szCs w:val="18"/>
              </w:rPr>
            </w:pPr>
            <w:r w:rsidRPr="00D41179">
              <w:rPr>
                <w:rFonts w:ascii="Arial Narrow" w:eastAsiaTheme="minorHAnsi" w:hAnsi="Arial Narrow" w:cstheme="minorBidi"/>
                <w:sz w:val="20"/>
                <w:szCs w:val="18"/>
              </w:rPr>
              <w:t>1.61</w:t>
            </w:r>
          </w:p>
        </w:tc>
        <w:tc>
          <w:tcPr>
            <w:tcW w:w="1218" w:type="pct"/>
            <w:tcBorders>
              <w:top w:val="single" w:sz="4" w:space="0" w:color="auto"/>
              <w:left w:val="single" w:sz="4" w:space="0" w:color="auto"/>
              <w:bottom w:val="single" w:sz="4" w:space="0" w:color="auto"/>
              <w:right w:val="single" w:sz="4" w:space="0" w:color="auto"/>
            </w:tcBorders>
          </w:tcPr>
          <w:p w14:paraId="31977D10" w14:textId="2BD039CA" w:rsidR="006E03C9" w:rsidRPr="00D41179" w:rsidRDefault="006E03C9" w:rsidP="006E03C9">
            <w:pPr>
              <w:cnfStyle w:val="000000000000" w:firstRow="0" w:lastRow="0" w:firstColumn="0" w:lastColumn="0" w:oddVBand="0" w:evenVBand="0" w:oddHBand="0" w:evenHBand="0" w:firstRowFirstColumn="0" w:firstRowLastColumn="0" w:lastRowFirstColumn="0" w:lastRowLastColumn="0"/>
              <w:rPr>
                <w:rFonts w:ascii="Arial Narrow" w:eastAsiaTheme="minorHAnsi" w:hAnsi="Arial Narrow" w:cstheme="minorBidi"/>
                <w:sz w:val="20"/>
                <w:szCs w:val="18"/>
              </w:rPr>
            </w:pPr>
            <w:r w:rsidRPr="00D41179">
              <w:rPr>
                <w:rFonts w:ascii="Arial Narrow" w:eastAsiaTheme="majorEastAsia" w:hAnsi="Arial Narrow" w:cstheme="majorBidi"/>
                <w:sz w:val="20"/>
                <w:szCs w:val="22"/>
              </w:rPr>
              <w:t>0.02328</w:t>
            </w:r>
          </w:p>
        </w:tc>
      </w:tr>
      <w:tr w:rsidR="006E03C9" w:rsidRPr="00D41179" w14:paraId="3FD70096" w14:textId="77777777" w:rsidTr="005D3D93">
        <w:tc>
          <w:tcPr>
            <w:cnfStyle w:val="001000000000" w:firstRow="0" w:lastRow="0" w:firstColumn="1" w:lastColumn="0" w:oddVBand="0" w:evenVBand="0" w:oddHBand="0" w:evenHBand="0" w:firstRowFirstColumn="0" w:firstRowLastColumn="0" w:lastRowFirstColumn="0" w:lastRowLastColumn="0"/>
            <w:tcW w:w="1344" w:type="pct"/>
            <w:tcBorders>
              <w:top w:val="single" w:sz="4" w:space="0" w:color="auto"/>
              <w:left w:val="single" w:sz="4" w:space="0" w:color="auto"/>
              <w:bottom w:val="single" w:sz="4" w:space="0" w:color="auto"/>
              <w:right w:val="single" w:sz="4" w:space="0" w:color="auto"/>
            </w:tcBorders>
          </w:tcPr>
          <w:p w14:paraId="46C1AA67" w14:textId="1F580042" w:rsidR="006E03C9" w:rsidRPr="00D41179" w:rsidRDefault="006E03C9" w:rsidP="006E03C9">
            <w:pPr>
              <w:rPr>
                <w:rFonts w:ascii="Arial Narrow" w:eastAsiaTheme="minorHAnsi" w:hAnsi="Arial Narrow" w:cstheme="minorBidi"/>
                <w:b w:val="0"/>
                <w:bCs w:val="0"/>
                <w:sz w:val="20"/>
                <w:szCs w:val="18"/>
              </w:rPr>
            </w:pPr>
            <w:r w:rsidRPr="00D41179">
              <w:rPr>
                <w:rFonts w:ascii="Arial Narrow" w:eastAsiaTheme="majorEastAsia" w:hAnsi="Arial Narrow" w:cstheme="majorBidi"/>
                <w:b w:val="0"/>
                <w:bCs w:val="0"/>
                <w:sz w:val="20"/>
                <w:szCs w:val="22"/>
              </w:rPr>
              <w:t>60-69 YOA</w:t>
            </w:r>
          </w:p>
        </w:tc>
        <w:tc>
          <w:tcPr>
            <w:tcW w:w="1219" w:type="pct"/>
            <w:vMerge/>
            <w:tcBorders>
              <w:top w:val="single" w:sz="4" w:space="0" w:color="auto"/>
              <w:left w:val="single" w:sz="4" w:space="0" w:color="auto"/>
              <w:bottom w:val="single" w:sz="4" w:space="0" w:color="auto"/>
              <w:right w:val="single" w:sz="4" w:space="0" w:color="auto"/>
            </w:tcBorders>
          </w:tcPr>
          <w:p w14:paraId="25D59FA3" w14:textId="77777777" w:rsidR="006E03C9" w:rsidRPr="00D41179" w:rsidRDefault="006E03C9" w:rsidP="006E03C9">
            <w:pPr>
              <w:cnfStyle w:val="000000000000" w:firstRow="0" w:lastRow="0" w:firstColumn="0" w:lastColumn="0" w:oddVBand="0" w:evenVBand="0" w:oddHBand="0" w:evenHBand="0" w:firstRowFirstColumn="0" w:firstRowLastColumn="0" w:lastRowFirstColumn="0" w:lastRowLastColumn="0"/>
              <w:rPr>
                <w:rFonts w:ascii="Arial Narrow" w:eastAsiaTheme="minorHAnsi" w:hAnsi="Arial Narrow" w:cstheme="minorBidi"/>
                <w:sz w:val="20"/>
                <w:szCs w:val="18"/>
              </w:rPr>
            </w:pPr>
          </w:p>
        </w:tc>
        <w:tc>
          <w:tcPr>
            <w:tcW w:w="1219" w:type="pct"/>
            <w:tcBorders>
              <w:top w:val="single" w:sz="4" w:space="0" w:color="auto"/>
              <w:left w:val="single" w:sz="4" w:space="0" w:color="auto"/>
              <w:bottom w:val="single" w:sz="4" w:space="0" w:color="auto"/>
              <w:right w:val="single" w:sz="4" w:space="0" w:color="auto"/>
            </w:tcBorders>
          </w:tcPr>
          <w:p w14:paraId="51549BA5" w14:textId="78A0D594" w:rsidR="006E03C9" w:rsidRPr="00D41179" w:rsidRDefault="006E03C9" w:rsidP="006E03C9">
            <w:pPr>
              <w:cnfStyle w:val="000000000000" w:firstRow="0" w:lastRow="0" w:firstColumn="0" w:lastColumn="0" w:oddVBand="0" w:evenVBand="0" w:oddHBand="0" w:evenHBand="0" w:firstRowFirstColumn="0" w:firstRowLastColumn="0" w:lastRowFirstColumn="0" w:lastRowLastColumn="0"/>
              <w:rPr>
                <w:rFonts w:ascii="Arial Narrow" w:eastAsiaTheme="minorHAnsi" w:hAnsi="Arial Narrow" w:cstheme="minorBidi"/>
                <w:sz w:val="20"/>
                <w:szCs w:val="18"/>
              </w:rPr>
            </w:pPr>
            <w:r w:rsidRPr="00D41179">
              <w:rPr>
                <w:rFonts w:ascii="Arial Narrow" w:eastAsiaTheme="minorHAnsi" w:hAnsi="Arial Narrow" w:cstheme="minorBidi"/>
                <w:sz w:val="20"/>
                <w:szCs w:val="18"/>
              </w:rPr>
              <w:t>1.60</w:t>
            </w:r>
          </w:p>
        </w:tc>
        <w:tc>
          <w:tcPr>
            <w:tcW w:w="1218" w:type="pct"/>
            <w:tcBorders>
              <w:top w:val="single" w:sz="4" w:space="0" w:color="auto"/>
              <w:left w:val="single" w:sz="4" w:space="0" w:color="auto"/>
              <w:bottom w:val="single" w:sz="4" w:space="0" w:color="auto"/>
              <w:right w:val="single" w:sz="4" w:space="0" w:color="auto"/>
            </w:tcBorders>
          </w:tcPr>
          <w:p w14:paraId="0EB31021" w14:textId="6E45C65C" w:rsidR="006E03C9" w:rsidRPr="00D41179" w:rsidRDefault="006E03C9" w:rsidP="006E03C9">
            <w:pPr>
              <w:cnfStyle w:val="000000000000" w:firstRow="0" w:lastRow="0" w:firstColumn="0" w:lastColumn="0" w:oddVBand="0" w:evenVBand="0" w:oddHBand="0" w:evenHBand="0" w:firstRowFirstColumn="0" w:firstRowLastColumn="0" w:lastRowFirstColumn="0" w:lastRowLastColumn="0"/>
              <w:rPr>
                <w:rFonts w:ascii="Arial Narrow" w:eastAsiaTheme="minorHAnsi" w:hAnsi="Arial Narrow" w:cstheme="minorBidi"/>
                <w:sz w:val="20"/>
                <w:szCs w:val="18"/>
              </w:rPr>
            </w:pPr>
            <w:r w:rsidRPr="00D41179">
              <w:rPr>
                <w:rFonts w:ascii="Arial Narrow" w:eastAsiaTheme="majorEastAsia" w:hAnsi="Arial Narrow" w:cstheme="majorBidi"/>
                <w:sz w:val="20"/>
                <w:szCs w:val="22"/>
              </w:rPr>
              <w:t>0.02306</w:t>
            </w:r>
          </w:p>
        </w:tc>
      </w:tr>
      <w:tr w:rsidR="006E03C9" w:rsidRPr="00D41179" w14:paraId="645EEECD" w14:textId="77777777" w:rsidTr="005D3D93">
        <w:tc>
          <w:tcPr>
            <w:cnfStyle w:val="001000000000" w:firstRow="0" w:lastRow="0" w:firstColumn="1" w:lastColumn="0" w:oddVBand="0" w:evenVBand="0" w:oddHBand="0" w:evenHBand="0" w:firstRowFirstColumn="0" w:firstRowLastColumn="0" w:lastRowFirstColumn="0" w:lastRowLastColumn="0"/>
            <w:tcW w:w="1344" w:type="pct"/>
            <w:tcBorders>
              <w:top w:val="single" w:sz="4" w:space="0" w:color="auto"/>
              <w:left w:val="single" w:sz="4" w:space="0" w:color="auto"/>
              <w:bottom w:val="single" w:sz="4" w:space="0" w:color="auto"/>
              <w:right w:val="single" w:sz="4" w:space="0" w:color="auto"/>
            </w:tcBorders>
          </w:tcPr>
          <w:p w14:paraId="46038BBB" w14:textId="0E0EA2B2" w:rsidR="006E03C9" w:rsidRPr="00D41179" w:rsidRDefault="006E03C9" w:rsidP="006E03C9">
            <w:pPr>
              <w:rPr>
                <w:rFonts w:ascii="Arial Narrow" w:eastAsiaTheme="minorHAnsi" w:hAnsi="Arial Narrow" w:cstheme="minorBidi"/>
                <w:b w:val="0"/>
                <w:bCs w:val="0"/>
                <w:sz w:val="20"/>
                <w:szCs w:val="18"/>
              </w:rPr>
            </w:pPr>
            <w:r w:rsidRPr="00D41179">
              <w:rPr>
                <w:rFonts w:ascii="Arial Narrow" w:eastAsiaTheme="majorEastAsia" w:hAnsi="Arial Narrow" w:cstheme="majorBidi"/>
                <w:b w:val="0"/>
                <w:bCs w:val="0"/>
                <w:sz w:val="20"/>
                <w:szCs w:val="22"/>
              </w:rPr>
              <w:t>70-79 YOA</w:t>
            </w:r>
          </w:p>
        </w:tc>
        <w:tc>
          <w:tcPr>
            <w:tcW w:w="1219" w:type="pct"/>
            <w:vMerge/>
            <w:tcBorders>
              <w:top w:val="single" w:sz="4" w:space="0" w:color="auto"/>
              <w:left w:val="single" w:sz="4" w:space="0" w:color="auto"/>
              <w:bottom w:val="single" w:sz="4" w:space="0" w:color="auto"/>
              <w:right w:val="single" w:sz="4" w:space="0" w:color="auto"/>
            </w:tcBorders>
          </w:tcPr>
          <w:p w14:paraId="09B9691F" w14:textId="77777777" w:rsidR="006E03C9" w:rsidRPr="00D41179" w:rsidRDefault="006E03C9" w:rsidP="006E03C9">
            <w:pPr>
              <w:cnfStyle w:val="000000000000" w:firstRow="0" w:lastRow="0" w:firstColumn="0" w:lastColumn="0" w:oddVBand="0" w:evenVBand="0" w:oddHBand="0" w:evenHBand="0" w:firstRowFirstColumn="0" w:firstRowLastColumn="0" w:lastRowFirstColumn="0" w:lastRowLastColumn="0"/>
              <w:rPr>
                <w:rFonts w:ascii="Arial Narrow" w:eastAsiaTheme="minorHAnsi" w:hAnsi="Arial Narrow" w:cstheme="minorBidi"/>
                <w:sz w:val="20"/>
                <w:szCs w:val="18"/>
              </w:rPr>
            </w:pPr>
          </w:p>
        </w:tc>
        <w:tc>
          <w:tcPr>
            <w:tcW w:w="1219" w:type="pct"/>
            <w:tcBorders>
              <w:top w:val="single" w:sz="4" w:space="0" w:color="auto"/>
              <w:left w:val="single" w:sz="4" w:space="0" w:color="auto"/>
              <w:bottom w:val="single" w:sz="4" w:space="0" w:color="auto"/>
              <w:right w:val="single" w:sz="4" w:space="0" w:color="auto"/>
            </w:tcBorders>
          </w:tcPr>
          <w:p w14:paraId="7081AD86" w14:textId="7D3572D1" w:rsidR="006E03C9" w:rsidRPr="00D41179" w:rsidRDefault="006E03C9" w:rsidP="006E03C9">
            <w:pPr>
              <w:cnfStyle w:val="000000000000" w:firstRow="0" w:lastRow="0" w:firstColumn="0" w:lastColumn="0" w:oddVBand="0" w:evenVBand="0" w:oddHBand="0" w:evenHBand="0" w:firstRowFirstColumn="0" w:firstRowLastColumn="0" w:lastRowFirstColumn="0" w:lastRowLastColumn="0"/>
              <w:rPr>
                <w:rFonts w:ascii="Arial Narrow" w:eastAsiaTheme="minorHAnsi" w:hAnsi="Arial Narrow" w:cstheme="minorBidi"/>
                <w:sz w:val="20"/>
                <w:szCs w:val="18"/>
              </w:rPr>
            </w:pPr>
            <w:r w:rsidRPr="00D41179">
              <w:rPr>
                <w:rFonts w:ascii="Arial Narrow" w:eastAsiaTheme="minorHAnsi" w:hAnsi="Arial Narrow" w:cstheme="minorBidi"/>
                <w:sz w:val="20"/>
                <w:szCs w:val="18"/>
              </w:rPr>
              <w:t>1.68</w:t>
            </w:r>
          </w:p>
        </w:tc>
        <w:tc>
          <w:tcPr>
            <w:tcW w:w="1218" w:type="pct"/>
            <w:tcBorders>
              <w:top w:val="single" w:sz="4" w:space="0" w:color="auto"/>
              <w:left w:val="single" w:sz="4" w:space="0" w:color="auto"/>
              <w:bottom w:val="single" w:sz="4" w:space="0" w:color="auto"/>
              <w:right w:val="single" w:sz="4" w:space="0" w:color="auto"/>
            </w:tcBorders>
          </w:tcPr>
          <w:p w14:paraId="11145FD3" w14:textId="05D7984F" w:rsidR="006E03C9" w:rsidRPr="00D41179" w:rsidRDefault="006E03C9" w:rsidP="006E03C9">
            <w:pPr>
              <w:cnfStyle w:val="000000000000" w:firstRow="0" w:lastRow="0" w:firstColumn="0" w:lastColumn="0" w:oddVBand="0" w:evenVBand="0" w:oddHBand="0" w:evenHBand="0" w:firstRowFirstColumn="0" w:firstRowLastColumn="0" w:lastRowFirstColumn="0" w:lastRowLastColumn="0"/>
              <w:rPr>
                <w:rFonts w:ascii="Arial Narrow" w:eastAsiaTheme="minorHAnsi" w:hAnsi="Arial Narrow" w:cstheme="minorBidi"/>
                <w:sz w:val="20"/>
                <w:szCs w:val="18"/>
              </w:rPr>
            </w:pPr>
            <w:r w:rsidRPr="00D41179">
              <w:rPr>
                <w:rFonts w:ascii="Arial Narrow" w:eastAsiaTheme="majorEastAsia" w:hAnsi="Arial Narrow" w:cstheme="majorBidi"/>
                <w:sz w:val="20"/>
                <w:szCs w:val="22"/>
              </w:rPr>
              <w:t>0.02421</w:t>
            </w:r>
          </w:p>
        </w:tc>
      </w:tr>
      <w:tr w:rsidR="006E03C9" w:rsidRPr="00D41179" w14:paraId="505D5A03" w14:textId="77777777" w:rsidTr="005D3D93">
        <w:tc>
          <w:tcPr>
            <w:cnfStyle w:val="001000000000" w:firstRow="0" w:lastRow="0" w:firstColumn="1" w:lastColumn="0" w:oddVBand="0" w:evenVBand="0" w:oddHBand="0" w:evenHBand="0" w:firstRowFirstColumn="0" w:firstRowLastColumn="0" w:lastRowFirstColumn="0" w:lastRowLastColumn="0"/>
            <w:tcW w:w="1344" w:type="pct"/>
            <w:tcBorders>
              <w:top w:val="single" w:sz="4" w:space="0" w:color="auto"/>
              <w:left w:val="single" w:sz="4" w:space="0" w:color="auto"/>
              <w:bottom w:val="single" w:sz="4" w:space="0" w:color="auto"/>
              <w:right w:val="single" w:sz="4" w:space="0" w:color="auto"/>
            </w:tcBorders>
          </w:tcPr>
          <w:p w14:paraId="23D1ABBF" w14:textId="62843B69" w:rsidR="006E03C9" w:rsidRPr="00D41179" w:rsidRDefault="006E03C9" w:rsidP="006E03C9">
            <w:pPr>
              <w:rPr>
                <w:rFonts w:ascii="Arial Narrow" w:eastAsiaTheme="minorHAnsi" w:hAnsi="Arial Narrow" w:cstheme="minorBidi"/>
                <w:b w:val="0"/>
                <w:bCs w:val="0"/>
                <w:sz w:val="20"/>
                <w:szCs w:val="18"/>
              </w:rPr>
            </w:pPr>
            <w:r w:rsidRPr="00D41179">
              <w:rPr>
                <w:rFonts w:ascii="Arial Narrow" w:eastAsiaTheme="majorEastAsia" w:hAnsi="Arial Narrow" w:cstheme="majorBidi"/>
                <w:b w:val="0"/>
                <w:bCs w:val="0"/>
                <w:sz w:val="20"/>
                <w:szCs w:val="22"/>
              </w:rPr>
              <w:t>≥80 YOA</w:t>
            </w:r>
          </w:p>
        </w:tc>
        <w:tc>
          <w:tcPr>
            <w:tcW w:w="1219" w:type="pct"/>
            <w:vMerge/>
            <w:tcBorders>
              <w:left w:val="single" w:sz="4" w:space="0" w:color="auto"/>
              <w:bottom w:val="single" w:sz="4" w:space="0" w:color="auto"/>
              <w:right w:val="single" w:sz="4" w:space="0" w:color="auto"/>
            </w:tcBorders>
          </w:tcPr>
          <w:p w14:paraId="1AD4F8B3" w14:textId="77777777" w:rsidR="006E03C9" w:rsidRPr="00D41179" w:rsidRDefault="006E03C9" w:rsidP="006E03C9">
            <w:pPr>
              <w:cnfStyle w:val="000000000000" w:firstRow="0" w:lastRow="0" w:firstColumn="0" w:lastColumn="0" w:oddVBand="0" w:evenVBand="0" w:oddHBand="0" w:evenHBand="0" w:firstRowFirstColumn="0" w:firstRowLastColumn="0" w:lastRowFirstColumn="0" w:lastRowLastColumn="0"/>
              <w:rPr>
                <w:rFonts w:ascii="Arial Narrow" w:eastAsiaTheme="minorHAnsi" w:hAnsi="Arial Narrow" w:cstheme="minorBidi"/>
                <w:sz w:val="20"/>
                <w:szCs w:val="18"/>
              </w:rPr>
            </w:pPr>
          </w:p>
        </w:tc>
        <w:tc>
          <w:tcPr>
            <w:tcW w:w="1219" w:type="pct"/>
            <w:tcBorders>
              <w:left w:val="single" w:sz="4" w:space="0" w:color="auto"/>
              <w:bottom w:val="single" w:sz="4" w:space="0" w:color="auto"/>
              <w:right w:val="single" w:sz="4" w:space="0" w:color="auto"/>
            </w:tcBorders>
          </w:tcPr>
          <w:p w14:paraId="6DD5FE62" w14:textId="10E42027" w:rsidR="006E03C9" w:rsidRPr="00D41179" w:rsidRDefault="006E03C9" w:rsidP="006E03C9">
            <w:pPr>
              <w:cnfStyle w:val="000000000000" w:firstRow="0" w:lastRow="0" w:firstColumn="0" w:lastColumn="0" w:oddVBand="0" w:evenVBand="0" w:oddHBand="0" w:evenHBand="0" w:firstRowFirstColumn="0" w:firstRowLastColumn="0" w:lastRowFirstColumn="0" w:lastRowLastColumn="0"/>
              <w:rPr>
                <w:rFonts w:ascii="Arial Narrow" w:eastAsiaTheme="minorHAnsi" w:hAnsi="Arial Narrow" w:cstheme="minorBidi"/>
                <w:sz w:val="20"/>
                <w:szCs w:val="18"/>
              </w:rPr>
            </w:pPr>
            <w:r w:rsidRPr="00D41179">
              <w:rPr>
                <w:rFonts w:ascii="Arial Narrow" w:eastAsiaTheme="minorHAnsi" w:hAnsi="Arial Narrow" w:cstheme="minorBidi"/>
                <w:sz w:val="20"/>
                <w:szCs w:val="18"/>
              </w:rPr>
              <w:t>1.71</w:t>
            </w:r>
          </w:p>
        </w:tc>
        <w:tc>
          <w:tcPr>
            <w:tcW w:w="1218" w:type="pct"/>
            <w:tcBorders>
              <w:left w:val="single" w:sz="4" w:space="0" w:color="auto"/>
              <w:right w:val="single" w:sz="4" w:space="0" w:color="auto"/>
            </w:tcBorders>
          </w:tcPr>
          <w:p w14:paraId="3DB68292" w14:textId="3AFABCEE" w:rsidR="006E03C9" w:rsidRPr="00D41179" w:rsidRDefault="006E03C9" w:rsidP="006E03C9">
            <w:pPr>
              <w:cnfStyle w:val="000000000000" w:firstRow="0" w:lastRow="0" w:firstColumn="0" w:lastColumn="0" w:oddVBand="0" w:evenVBand="0" w:oddHBand="0" w:evenHBand="0" w:firstRowFirstColumn="0" w:firstRowLastColumn="0" w:lastRowFirstColumn="0" w:lastRowLastColumn="0"/>
              <w:rPr>
                <w:rFonts w:ascii="Arial Narrow" w:eastAsiaTheme="minorHAnsi" w:hAnsi="Arial Narrow" w:cstheme="minorBidi"/>
                <w:sz w:val="20"/>
                <w:szCs w:val="18"/>
              </w:rPr>
            </w:pPr>
            <w:r w:rsidRPr="00D41179">
              <w:rPr>
                <w:rFonts w:ascii="Arial Narrow" w:eastAsiaTheme="majorEastAsia" w:hAnsi="Arial Narrow" w:cstheme="majorBidi"/>
                <w:sz w:val="20"/>
                <w:szCs w:val="22"/>
              </w:rPr>
              <w:t>0.02462</w:t>
            </w:r>
          </w:p>
        </w:tc>
      </w:tr>
      <w:tr w:rsidR="001D4C24" w:rsidRPr="00D41179" w14:paraId="3DB256B4" w14:textId="77777777" w:rsidTr="005D3D93">
        <w:tc>
          <w:tcPr>
            <w:cnfStyle w:val="001000000000" w:firstRow="0" w:lastRow="0" w:firstColumn="1" w:lastColumn="0" w:oddVBand="0" w:evenVBand="0" w:oddHBand="0" w:evenHBand="0" w:firstRowFirstColumn="0" w:firstRowLastColumn="0" w:lastRowFirstColumn="0" w:lastRowLastColumn="0"/>
            <w:tcW w:w="5000" w:type="pct"/>
            <w:gridSpan w:val="4"/>
            <w:tcBorders>
              <w:top w:val="single" w:sz="4" w:space="0" w:color="auto"/>
              <w:left w:val="single" w:sz="4" w:space="0" w:color="auto"/>
              <w:bottom w:val="single" w:sz="4" w:space="0" w:color="auto"/>
              <w:right w:val="single" w:sz="4" w:space="0" w:color="auto"/>
            </w:tcBorders>
          </w:tcPr>
          <w:p w14:paraId="3C4EE0A5" w14:textId="12F33C47" w:rsidR="001D4C24" w:rsidRPr="00D41179" w:rsidRDefault="001D4C24" w:rsidP="006E03C9">
            <w:pPr>
              <w:rPr>
                <w:rFonts w:ascii="Arial Narrow" w:eastAsiaTheme="minorHAnsi" w:hAnsi="Arial Narrow" w:cstheme="minorBidi"/>
                <w:sz w:val="20"/>
                <w:szCs w:val="18"/>
              </w:rPr>
            </w:pPr>
            <w:r w:rsidRPr="00D41179">
              <w:rPr>
                <w:rFonts w:ascii="Arial Narrow" w:eastAsiaTheme="majorEastAsia" w:hAnsi="Arial Narrow" w:cstheme="majorBidi"/>
                <w:sz w:val="20"/>
                <w:szCs w:val="22"/>
              </w:rPr>
              <w:t>Per PHN case</w:t>
            </w:r>
          </w:p>
        </w:tc>
      </w:tr>
      <w:tr w:rsidR="000D304C" w:rsidRPr="00D41179" w14:paraId="54C58167" w14:textId="77777777" w:rsidTr="005D3D93">
        <w:tc>
          <w:tcPr>
            <w:cnfStyle w:val="001000000000" w:firstRow="0" w:lastRow="0" w:firstColumn="1" w:lastColumn="0" w:oddVBand="0" w:evenVBand="0" w:oddHBand="0" w:evenHBand="0" w:firstRowFirstColumn="0" w:firstRowLastColumn="0" w:lastRowFirstColumn="0" w:lastRowLastColumn="0"/>
            <w:tcW w:w="1344" w:type="pct"/>
            <w:tcBorders>
              <w:top w:val="single" w:sz="4" w:space="0" w:color="auto"/>
              <w:left w:val="single" w:sz="4" w:space="0" w:color="auto"/>
              <w:bottom w:val="single" w:sz="4" w:space="0" w:color="auto"/>
              <w:right w:val="single" w:sz="4" w:space="0" w:color="auto"/>
            </w:tcBorders>
          </w:tcPr>
          <w:p w14:paraId="2A378F37" w14:textId="2D55A278" w:rsidR="000D304C" w:rsidRPr="00D41179" w:rsidRDefault="000D304C" w:rsidP="000D304C">
            <w:pPr>
              <w:rPr>
                <w:rFonts w:ascii="Arial Narrow" w:eastAsiaTheme="majorEastAsia" w:hAnsi="Arial Narrow" w:cstheme="majorBidi"/>
                <w:b w:val="0"/>
                <w:bCs w:val="0"/>
                <w:sz w:val="20"/>
                <w:szCs w:val="22"/>
              </w:rPr>
            </w:pPr>
            <w:r w:rsidRPr="00D41179">
              <w:rPr>
                <w:rFonts w:ascii="Arial Narrow" w:eastAsiaTheme="majorEastAsia" w:hAnsi="Arial Narrow" w:cstheme="majorBidi"/>
                <w:b w:val="0"/>
                <w:bCs w:val="0"/>
                <w:sz w:val="20"/>
                <w:szCs w:val="22"/>
              </w:rPr>
              <w:t>50-69 YOA</w:t>
            </w:r>
          </w:p>
        </w:tc>
        <w:tc>
          <w:tcPr>
            <w:tcW w:w="1219" w:type="pct"/>
            <w:vMerge w:val="restart"/>
            <w:tcBorders>
              <w:top w:val="single" w:sz="4" w:space="0" w:color="auto"/>
              <w:left w:val="single" w:sz="4" w:space="0" w:color="auto"/>
              <w:bottom w:val="single" w:sz="4" w:space="0" w:color="auto"/>
              <w:right w:val="single" w:sz="4" w:space="0" w:color="auto"/>
            </w:tcBorders>
          </w:tcPr>
          <w:p w14:paraId="1D7A96C8" w14:textId="4CC710E5" w:rsidR="000D304C" w:rsidRPr="00D41179" w:rsidRDefault="000D304C" w:rsidP="000D304C">
            <w:pPr>
              <w:jc w:val="center"/>
              <w:cnfStyle w:val="000000000000" w:firstRow="0" w:lastRow="0" w:firstColumn="0" w:lastColumn="0" w:oddVBand="0" w:evenVBand="0" w:oddHBand="0" w:evenHBand="0" w:firstRowFirstColumn="0" w:firstRowLastColumn="0" w:lastRowFirstColumn="0" w:lastRowLastColumn="0"/>
              <w:rPr>
                <w:rFonts w:ascii="Arial Narrow" w:eastAsiaTheme="minorHAnsi" w:hAnsi="Arial Narrow" w:cstheme="minorBidi"/>
                <w:sz w:val="20"/>
                <w:szCs w:val="18"/>
              </w:rPr>
            </w:pPr>
            <w:r w:rsidRPr="00D41179">
              <w:rPr>
                <w:rFonts w:ascii="Arial Narrow" w:eastAsiaTheme="minorHAnsi" w:hAnsi="Arial Narrow" w:cstheme="minorBidi"/>
                <w:sz w:val="20"/>
                <w:szCs w:val="18"/>
              </w:rPr>
              <w:t>0.211</w:t>
            </w:r>
          </w:p>
        </w:tc>
        <w:tc>
          <w:tcPr>
            <w:tcW w:w="1219" w:type="pct"/>
            <w:tcBorders>
              <w:top w:val="single" w:sz="4" w:space="0" w:color="auto"/>
              <w:left w:val="single" w:sz="4" w:space="0" w:color="auto"/>
              <w:bottom w:val="single" w:sz="4" w:space="0" w:color="auto"/>
              <w:right w:val="single" w:sz="4" w:space="0" w:color="auto"/>
            </w:tcBorders>
          </w:tcPr>
          <w:p w14:paraId="5D0C6AB1" w14:textId="44C6A12C" w:rsidR="000D304C" w:rsidRPr="00D41179" w:rsidRDefault="000D304C" w:rsidP="000D304C">
            <w:pPr>
              <w:cnfStyle w:val="000000000000" w:firstRow="0" w:lastRow="0" w:firstColumn="0" w:lastColumn="0" w:oddVBand="0" w:evenVBand="0" w:oddHBand="0" w:evenHBand="0" w:firstRowFirstColumn="0" w:firstRowLastColumn="0" w:lastRowFirstColumn="0" w:lastRowLastColumn="0"/>
              <w:rPr>
                <w:rFonts w:ascii="Arial Narrow" w:eastAsiaTheme="minorHAnsi" w:hAnsi="Arial Narrow" w:cstheme="minorBidi"/>
                <w:sz w:val="20"/>
                <w:szCs w:val="18"/>
              </w:rPr>
            </w:pPr>
            <w:r w:rsidRPr="00D41179">
              <w:rPr>
                <w:rFonts w:ascii="Arial Narrow" w:eastAsiaTheme="minorHAnsi" w:hAnsi="Arial Narrow" w:cstheme="minorBidi"/>
                <w:sz w:val="20"/>
                <w:szCs w:val="18"/>
              </w:rPr>
              <w:t>10.3</w:t>
            </w:r>
          </w:p>
        </w:tc>
        <w:tc>
          <w:tcPr>
            <w:tcW w:w="1218" w:type="pct"/>
            <w:tcBorders>
              <w:top w:val="single" w:sz="4" w:space="0" w:color="auto"/>
              <w:left w:val="single" w:sz="4" w:space="0" w:color="auto"/>
              <w:bottom w:val="single" w:sz="4" w:space="0" w:color="auto"/>
              <w:right w:val="single" w:sz="4" w:space="0" w:color="auto"/>
            </w:tcBorders>
          </w:tcPr>
          <w:p w14:paraId="307E07A3" w14:textId="0E96BE10" w:rsidR="000D304C" w:rsidRPr="00D41179" w:rsidRDefault="000D304C" w:rsidP="000D304C">
            <w:pPr>
              <w:cnfStyle w:val="000000000000" w:firstRow="0" w:lastRow="0" w:firstColumn="0" w:lastColumn="0" w:oddVBand="0" w:evenVBand="0" w:oddHBand="0" w:evenHBand="0" w:firstRowFirstColumn="0" w:firstRowLastColumn="0" w:lastRowFirstColumn="0" w:lastRowLastColumn="0"/>
              <w:rPr>
                <w:rFonts w:ascii="Arial Narrow" w:eastAsiaTheme="minorHAnsi" w:hAnsi="Arial Narrow" w:cstheme="minorBidi"/>
                <w:sz w:val="20"/>
                <w:szCs w:val="18"/>
              </w:rPr>
            </w:pPr>
            <w:r w:rsidRPr="00D41179">
              <w:rPr>
                <w:rFonts w:ascii="Arial Narrow" w:eastAsiaTheme="majorEastAsia" w:hAnsi="Arial Narrow" w:cstheme="majorBidi"/>
                <w:sz w:val="20"/>
                <w:szCs w:val="22"/>
              </w:rPr>
              <w:t>0.1811</w:t>
            </w:r>
          </w:p>
        </w:tc>
      </w:tr>
      <w:tr w:rsidR="000D304C" w:rsidRPr="00D41179" w14:paraId="55EE55F7" w14:textId="77777777" w:rsidTr="005D3D93">
        <w:tc>
          <w:tcPr>
            <w:cnfStyle w:val="001000000000" w:firstRow="0" w:lastRow="0" w:firstColumn="1" w:lastColumn="0" w:oddVBand="0" w:evenVBand="0" w:oddHBand="0" w:evenHBand="0" w:firstRowFirstColumn="0" w:firstRowLastColumn="0" w:lastRowFirstColumn="0" w:lastRowLastColumn="0"/>
            <w:tcW w:w="1344" w:type="pct"/>
            <w:tcBorders>
              <w:top w:val="single" w:sz="4" w:space="0" w:color="auto"/>
              <w:left w:val="single" w:sz="4" w:space="0" w:color="auto"/>
              <w:bottom w:val="single" w:sz="4" w:space="0" w:color="auto"/>
              <w:right w:val="single" w:sz="4" w:space="0" w:color="auto"/>
            </w:tcBorders>
          </w:tcPr>
          <w:p w14:paraId="77A68BB2" w14:textId="3364C35E" w:rsidR="000D304C" w:rsidRPr="00D41179" w:rsidRDefault="000D304C" w:rsidP="000D304C">
            <w:pPr>
              <w:rPr>
                <w:rFonts w:ascii="Arial Narrow" w:eastAsiaTheme="majorEastAsia" w:hAnsi="Arial Narrow" w:cstheme="majorBidi"/>
                <w:b w:val="0"/>
                <w:bCs w:val="0"/>
                <w:sz w:val="20"/>
                <w:szCs w:val="22"/>
              </w:rPr>
            </w:pPr>
            <w:r w:rsidRPr="00D41179">
              <w:rPr>
                <w:rFonts w:ascii="Arial Narrow" w:eastAsiaTheme="majorEastAsia" w:hAnsi="Arial Narrow" w:cstheme="majorBidi"/>
                <w:b w:val="0"/>
                <w:bCs w:val="0"/>
                <w:sz w:val="20"/>
                <w:szCs w:val="22"/>
              </w:rPr>
              <w:t>≥70 YOA</w:t>
            </w:r>
          </w:p>
        </w:tc>
        <w:tc>
          <w:tcPr>
            <w:tcW w:w="1219" w:type="pct"/>
            <w:vMerge/>
            <w:tcBorders>
              <w:top w:val="single" w:sz="4" w:space="0" w:color="auto"/>
              <w:left w:val="single" w:sz="4" w:space="0" w:color="auto"/>
              <w:bottom w:val="single" w:sz="4" w:space="0" w:color="auto"/>
              <w:right w:val="single" w:sz="4" w:space="0" w:color="auto"/>
            </w:tcBorders>
          </w:tcPr>
          <w:p w14:paraId="53B304B7" w14:textId="77777777" w:rsidR="000D304C" w:rsidRPr="00D41179" w:rsidRDefault="000D304C" w:rsidP="000D304C">
            <w:pPr>
              <w:cnfStyle w:val="000000000000" w:firstRow="0" w:lastRow="0" w:firstColumn="0" w:lastColumn="0" w:oddVBand="0" w:evenVBand="0" w:oddHBand="0" w:evenHBand="0" w:firstRowFirstColumn="0" w:firstRowLastColumn="0" w:lastRowFirstColumn="0" w:lastRowLastColumn="0"/>
              <w:rPr>
                <w:rFonts w:ascii="Arial Narrow" w:eastAsiaTheme="minorHAnsi" w:hAnsi="Arial Narrow" w:cstheme="minorBidi"/>
                <w:sz w:val="20"/>
                <w:szCs w:val="18"/>
              </w:rPr>
            </w:pPr>
          </w:p>
        </w:tc>
        <w:tc>
          <w:tcPr>
            <w:tcW w:w="1219" w:type="pct"/>
            <w:tcBorders>
              <w:top w:val="single" w:sz="4" w:space="0" w:color="auto"/>
              <w:left w:val="single" w:sz="4" w:space="0" w:color="auto"/>
              <w:bottom w:val="single" w:sz="4" w:space="0" w:color="auto"/>
              <w:right w:val="single" w:sz="4" w:space="0" w:color="auto"/>
            </w:tcBorders>
          </w:tcPr>
          <w:p w14:paraId="5AF8BFD0" w14:textId="024ABE26" w:rsidR="000D304C" w:rsidRPr="00D41179" w:rsidRDefault="000D304C" w:rsidP="000D304C">
            <w:pPr>
              <w:cnfStyle w:val="000000000000" w:firstRow="0" w:lastRow="0" w:firstColumn="0" w:lastColumn="0" w:oddVBand="0" w:evenVBand="0" w:oddHBand="0" w:evenHBand="0" w:firstRowFirstColumn="0" w:firstRowLastColumn="0" w:lastRowFirstColumn="0" w:lastRowLastColumn="0"/>
              <w:rPr>
                <w:rFonts w:ascii="Arial Narrow" w:eastAsiaTheme="minorHAnsi" w:hAnsi="Arial Narrow" w:cstheme="minorBidi"/>
                <w:sz w:val="20"/>
                <w:szCs w:val="18"/>
              </w:rPr>
            </w:pPr>
            <w:r w:rsidRPr="00D41179">
              <w:rPr>
                <w:rFonts w:ascii="Arial Narrow" w:eastAsiaTheme="minorHAnsi" w:hAnsi="Arial Narrow" w:cstheme="minorBidi"/>
                <w:sz w:val="20"/>
                <w:szCs w:val="18"/>
              </w:rPr>
              <w:t>12.9</w:t>
            </w:r>
          </w:p>
        </w:tc>
        <w:tc>
          <w:tcPr>
            <w:tcW w:w="1218" w:type="pct"/>
            <w:tcBorders>
              <w:top w:val="single" w:sz="4" w:space="0" w:color="auto"/>
              <w:left w:val="single" w:sz="4" w:space="0" w:color="auto"/>
              <w:bottom w:val="single" w:sz="4" w:space="0" w:color="auto"/>
              <w:right w:val="single" w:sz="4" w:space="0" w:color="auto"/>
            </w:tcBorders>
          </w:tcPr>
          <w:p w14:paraId="4B4A2918" w14:textId="480624C2" w:rsidR="000D304C" w:rsidRPr="00D41179" w:rsidRDefault="000D304C" w:rsidP="000D304C">
            <w:pPr>
              <w:cnfStyle w:val="000000000000" w:firstRow="0" w:lastRow="0" w:firstColumn="0" w:lastColumn="0" w:oddVBand="0" w:evenVBand="0" w:oddHBand="0" w:evenHBand="0" w:firstRowFirstColumn="0" w:firstRowLastColumn="0" w:lastRowFirstColumn="0" w:lastRowLastColumn="0"/>
              <w:rPr>
                <w:rFonts w:ascii="Arial Narrow" w:eastAsiaTheme="minorHAnsi" w:hAnsi="Arial Narrow" w:cstheme="minorBidi"/>
                <w:sz w:val="20"/>
                <w:szCs w:val="18"/>
              </w:rPr>
            </w:pPr>
            <w:r w:rsidRPr="00D41179">
              <w:rPr>
                <w:rFonts w:ascii="Arial Narrow" w:eastAsiaTheme="majorEastAsia" w:hAnsi="Arial Narrow" w:cstheme="majorBidi"/>
                <w:sz w:val="20"/>
                <w:szCs w:val="22"/>
              </w:rPr>
              <w:t>0.2268</w:t>
            </w:r>
          </w:p>
        </w:tc>
      </w:tr>
    </w:tbl>
    <w:p w14:paraId="33CADF5A" w14:textId="77777777" w:rsidR="00663862" w:rsidRPr="00D41179" w:rsidRDefault="00663862" w:rsidP="00663862">
      <w:pPr>
        <w:keepNext/>
        <w:keepLines/>
        <w:spacing w:after="120"/>
        <w:contextualSpacing/>
        <w:jc w:val="left"/>
        <w:rPr>
          <w:rFonts w:ascii="Arial Narrow" w:hAnsi="Arial Narrow"/>
          <w:snapToGrid w:val="0"/>
          <w:sz w:val="18"/>
          <w:szCs w:val="22"/>
          <w:lang w:val="en-GB"/>
        </w:rPr>
      </w:pPr>
      <w:r w:rsidRPr="00D41179">
        <w:rPr>
          <w:rFonts w:ascii="Arial Narrow" w:hAnsi="Arial Narrow"/>
          <w:snapToGrid w:val="0"/>
          <w:sz w:val="18"/>
          <w:szCs w:val="22"/>
          <w:lang w:val="en-GB"/>
        </w:rPr>
        <w:t xml:space="preserve">Source: Table 3-30, p237 of the submission </w:t>
      </w:r>
    </w:p>
    <w:p w14:paraId="08E75EEF" w14:textId="492C0536" w:rsidR="00663862" w:rsidRPr="00D41179" w:rsidRDefault="00663862" w:rsidP="00663862">
      <w:pPr>
        <w:keepNext/>
        <w:keepLines/>
        <w:spacing w:after="120"/>
        <w:contextualSpacing/>
        <w:jc w:val="left"/>
        <w:rPr>
          <w:rFonts w:ascii="Arial Narrow" w:hAnsi="Arial Narrow"/>
          <w:snapToGrid w:val="0"/>
          <w:sz w:val="18"/>
          <w:szCs w:val="22"/>
        </w:rPr>
      </w:pPr>
      <w:r w:rsidRPr="00D41179">
        <w:rPr>
          <w:rFonts w:ascii="Arial Narrow" w:hAnsi="Arial Narrow"/>
          <w:snapToGrid w:val="0"/>
          <w:sz w:val="18"/>
          <w:szCs w:val="22"/>
        </w:rPr>
        <w:t>HZ</w:t>
      </w:r>
      <w:r w:rsidR="00382532" w:rsidRPr="00D41179">
        <w:rPr>
          <w:rFonts w:ascii="Arial Narrow" w:hAnsi="Arial Narrow"/>
          <w:snapToGrid w:val="0"/>
          <w:sz w:val="18"/>
          <w:szCs w:val="22"/>
        </w:rPr>
        <w:t xml:space="preserve"> =</w:t>
      </w:r>
      <w:r w:rsidRPr="00D41179">
        <w:rPr>
          <w:rFonts w:ascii="Arial Narrow" w:hAnsi="Arial Narrow"/>
          <w:snapToGrid w:val="0"/>
          <w:sz w:val="18"/>
          <w:szCs w:val="22"/>
        </w:rPr>
        <w:t xml:space="preserve"> herpes zoster; PHN</w:t>
      </w:r>
      <w:r w:rsidR="00382532" w:rsidRPr="00D41179">
        <w:rPr>
          <w:rFonts w:ascii="Arial Narrow" w:hAnsi="Arial Narrow"/>
          <w:snapToGrid w:val="0"/>
          <w:sz w:val="18"/>
          <w:szCs w:val="22"/>
        </w:rPr>
        <w:t xml:space="preserve"> =</w:t>
      </w:r>
      <w:r w:rsidRPr="00D41179">
        <w:rPr>
          <w:rFonts w:ascii="Arial Narrow" w:hAnsi="Arial Narrow"/>
          <w:snapToGrid w:val="0"/>
          <w:sz w:val="18"/>
          <w:szCs w:val="22"/>
        </w:rPr>
        <w:t xml:space="preserve"> post-herpetic neuralgia; QALY</w:t>
      </w:r>
      <w:r w:rsidR="00382532" w:rsidRPr="00D41179">
        <w:rPr>
          <w:rFonts w:ascii="Arial Narrow" w:hAnsi="Arial Narrow"/>
          <w:snapToGrid w:val="0"/>
          <w:sz w:val="18"/>
          <w:szCs w:val="22"/>
        </w:rPr>
        <w:t xml:space="preserve"> =</w:t>
      </w:r>
      <w:r w:rsidRPr="00D41179">
        <w:rPr>
          <w:rFonts w:ascii="Arial Narrow" w:hAnsi="Arial Narrow"/>
          <w:snapToGrid w:val="0"/>
          <w:sz w:val="18"/>
          <w:szCs w:val="22"/>
        </w:rPr>
        <w:t xml:space="preserve"> quality-adjusted life year.</w:t>
      </w:r>
    </w:p>
    <w:p w14:paraId="48668288" w14:textId="623798D6" w:rsidR="00D25842" w:rsidRPr="00D41179" w:rsidRDefault="00663862" w:rsidP="00143DD6">
      <w:pPr>
        <w:keepNext/>
        <w:keepLines/>
        <w:spacing w:after="120"/>
        <w:contextualSpacing/>
        <w:jc w:val="left"/>
        <w:rPr>
          <w:rFonts w:ascii="Arial Narrow" w:hAnsi="Arial Narrow"/>
          <w:snapToGrid w:val="0"/>
          <w:sz w:val="18"/>
          <w:szCs w:val="22"/>
        </w:rPr>
      </w:pPr>
      <w:r w:rsidRPr="00D41179">
        <w:rPr>
          <w:rFonts w:ascii="Arial Narrow" w:hAnsi="Arial Narrow"/>
          <w:snapToGrid w:val="0"/>
          <w:sz w:val="18"/>
          <w:szCs w:val="22"/>
        </w:rPr>
        <w:t xml:space="preserve"> </w:t>
      </w:r>
      <w:proofErr w:type="spellStart"/>
      <w:r w:rsidRPr="00D41179">
        <w:rPr>
          <w:rFonts w:ascii="Arial Narrow" w:hAnsi="Arial Narrow"/>
          <w:snapToGrid w:val="0"/>
          <w:sz w:val="18"/>
          <w:szCs w:val="22"/>
          <w:vertAlign w:val="superscript"/>
        </w:rPr>
        <w:t>a</w:t>
      </w:r>
      <w:r w:rsidRPr="00D41179">
        <w:rPr>
          <w:rFonts w:ascii="Arial Narrow" w:hAnsi="Arial Narrow"/>
          <w:snapToGrid w:val="0"/>
          <w:sz w:val="18"/>
          <w:szCs w:val="22"/>
        </w:rPr>
        <w:t>HZ</w:t>
      </w:r>
      <w:proofErr w:type="spellEnd"/>
      <w:r w:rsidRPr="00D41179">
        <w:rPr>
          <w:rFonts w:ascii="Arial Narrow" w:hAnsi="Arial Narrow"/>
          <w:snapToGrid w:val="0"/>
          <w:sz w:val="18"/>
          <w:szCs w:val="22"/>
        </w:rPr>
        <w:t xml:space="preserve"> duration calculated per Curran (2017) methodology, applying the Australian-based % of HZ cases which develop PHN. PHN duration is sourced from the SPS trial, as reported in a cost-effectiveness analysis of </w:t>
      </w:r>
      <w:r w:rsidR="008A04EC" w:rsidRPr="00D41179">
        <w:rPr>
          <w:rFonts w:ascii="Arial Narrow" w:hAnsi="Arial Narrow"/>
          <w:snapToGrid w:val="0"/>
          <w:sz w:val="18"/>
          <w:szCs w:val="22"/>
        </w:rPr>
        <w:t>live zoster vaccine</w:t>
      </w:r>
    </w:p>
    <w:p w14:paraId="41D35BA7" w14:textId="253B5FD9" w:rsidR="00F714D1" w:rsidRPr="00D41179" w:rsidRDefault="00F714D1" w:rsidP="00A64F5D">
      <w:pPr>
        <w:numPr>
          <w:ilvl w:val="1"/>
          <w:numId w:val="8"/>
        </w:numPr>
        <w:spacing w:before="60" w:after="60"/>
        <w:ind w:left="709"/>
        <w:rPr>
          <w:rFonts w:asciiTheme="minorHAnsi" w:eastAsiaTheme="minorHAnsi" w:hAnsiTheme="minorHAnsi" w:cstheme="minorBidi"/>
          <w:szCs w:val="22"/>
        </w:rPr>
      </w:pPr>
      <w:r w:rsidRPr="00D41179">
        <w:rPr>
          <w:rFonts w:asciiTheme="minorHAnsi" w:eastAsiaTheme="minorHAnsi" w:hAnsiTheme="minorHAnsi" w:cstheme="minorBidi"/>
          <w:szCs w:val="22"/>
          <w:lang w:val="en-GB"/>
        </w:rPr>
        <w:t xml:space="preserve">The submission </w:t>
      </w:r>
      <w:r w:rsidR="00126335" w:rsidRPr="00D41179">
        <w:rPr>
          <w:rFonts w:asciiTheme="minorHAnsi" w:eastAsiaTheme="minorHAnsi" w:hAnsiTheme="minorHAnsi" w:cstheme="minorBidi"/>
          <w:szCs w:val="22"/>
          <w:lang w:val="en-GB"/>
        </w:rPr>
        <w:t xml:space="preserve">applied </w:t>
      </w:r>
      <w:r w:rsidRPr="00D41179">
        <w:rPr>
          <w:rFonts w:asciiTheme="minorHAnsi" w:eastAsiaTheme="minorHAnsi" w:hAnsiTheme="minorHAnsi" w:cstheme="minorBidi"/>
          <w:szCs w:val="22"/>
          <w:lang w:val="en-GB"/>
        </w:rPr>
        <w:t>differential HZ QALY losses according to whether an individual had received RZV vaccination or not</w:t>
      </w:r>
      <w:r w:rsidR="007D4656" w:rsidRPr="00D41179">
        <w:rPr>
          <w:rFonts w:asciiTheme="minorHAnsi" w:eastAsiaTheme="minorHAnsi" w:hAnsiTheme="minorHAnsi" w:cstheme="minorBidi"/>
          <w:szCs w:val="22"/>
          <w:lang w:val="en-GB"/>
        </w:rPr>
        <w:t xml:space="preserve">. This </w:t>
      </w:r>
      <w:r w:rsidR="00126335" w:rsidRPr="00D41179">
        <w:rPr>
          <w:rFonts w:asciiTheme="minorHAnsi" w:eastAsiaTheme="minorHAnsi" w:hAnsiTheme="minorHAnsi" w:cstheme="minorBidi"/>
          <w:szCs w:val="22"/>
          <w:lang w:val="en-GB"/>
        </w:rPr>
        <w:t xml:space="preserve">was an updated assumption for </w:t>
      </w:r>
      <w:r w:rsidRPr="00D41179">
        <w:rPr>
          <w:rFonts w:asciiTheme="minorHAnsi" w:eastAsiaTheme="minorHAnsi" w:hAnsiTheme="minorHAnsi" w:cstheme="minorBidi"/>
          <w:szCs w:val="22"/>
          <w:lang w:val="en-GB"/>
        </w:rPr>
        <w:t>this submission</w:t>
      </w:r>
      <w:r w:rsidR="00126335" w:rsidRPr="00D41179">
        <w:rPr>
          <w:rFonts w:asciiTheme="minorHAnsi" w:eastAsiaTheme="minorHAnsi" w:hAnsiTheme="minorHAnsi" w:cstheme="minorBidi"/>
          <w:szCs w:val="22"/>
          <w:lang w:val="en-GB"/>
        </w:rPr>
        <w:t xml:space="preserve"> and was not applied in the previous submission</w:t>
      </w:r>
      <w:r w:rsidRPr="00D41179">
        <w:rPr>
          <w:rFonts w:asciiTheme="minorHAnsi" w:eastAsiaTheme="minorHAnsi" w:hAnsiTheme="minorHAnsi" w:cstheme="minorBidi"/>
          <w:szCs w:val="22"/>
          <w:lang w:val="en-GB"/>
        </w:rPr>
        <w:t xml:space="preserve">. Vaccinated individuals incurred a QALY loss that was approximately 65% lower than unvaccinated individuals. The submission supported their claim with a recent meta-analysis from </w:t>
      </w:r>
      <w:proofErr w:type="spellStart"/>
      <w:r w:rsidRPr="00D41179">
        <w:rPr>
          <w:rFonts w:asciiTheme="minorHAnsi" w:eastAsiaTheme="minorHAnsi" w:hAnsiTheme="minorHAnsi" w:cstheme="minorBidi"/>
          <w:szCs w:val="22"/>
          <w:lang w:val="en-GB"/>
        </w:rPr>
        <w:t>Giannelos</w:t>
      </w:r>
      <w:proofErr w:type="spellEnd"/>
      <w:r w:rsidRPr="00D41179">
        <w:rPr>
          <w:rFonts w:asciiTheme="minorHAnsi" w:eastAsiaTheme="minorHAnsi" w:hAnsiTheme="minorHAnsi" w:cstheme="minorBidi"/>
          <w:szCs w:val="22"/>
          <w:lang w:val="en-GB"/>
        </w:rPr>
        <w:t xml:space="preserve"> </w:t>
      </w:r>
      <w:r w:rsidRPr="00D41179">
        <w:rPr>
          <w:rFonts w:asciiTheme="minorHAnsi" w:eastAsiaTheme="minorHAnsi" w:hAnsiTheme="minorHAnsi" w:cstheme="minorBidi"/>
          <w:szCs w:val="22"/>
          <w:lang w:val="en-GB"/>
        </w:rPr>
        <w:lastRenderedPageBreak/>
        <w:t xml:space="preserve">(2024). While the studies included in </w:t>
      </w:r>
      <w:proofErr w:type="spellStart"/>
      <w:r w:rsidRPr="00D41179">
        <w:rPr>
          <w:rFonts w:asciiTheme="minorHAnsi" w:eastAsiaTheme="minorHAnsi" w:hAnsiTheme="minorHAnsi" w:cstheme="minorBidi"/>
          <w:szCs w:val="22"/>
          <w:lang w:val="en-GB"/>
        </w:rPr>
        <w:t>Giannelos</w:t>
      </w:r>
      <w:proofErr w:type="spellEnd"/>
      <w:r w:rsidRPr="00D41179">
        <w:rPr>
          <w:rFonts w:asciiTheme="minorHAnsi" w:eastAsiaTheme="minorHAnsi" w:hAnsiTheme="minorHAnsi" w:cstheme="minorBidi"/>
          <w:szCs w:val="22"/>
          <w:lang w:val="en-GB"/>
        </w:rPr>
        <w:t xml:space="preserve"> (2024) appear to favour vaccinated individuals, the key driver of the favourable effect in the direction of vaccinated individuals appears to be the ZOE-HSCT study, which looked specifically at individuals recovering from hematopoietic stem cell transplant, which is not representative of the proposed population. </w:t>
      </w:r>
      <w:r w:rsidR="0093789A" w:rsidRPr="00D41179">
        <w:rPr>
          <w:rFonts w:asciiTheme="minorHAnsi" w:eastAsiaTheme="minorHAnsi" w:hAnsiTheme="minorHAnsi" w:cstheme="minorBidi"/>
          <w:szCs w:val="22"/>
          <w:lang w:val="en-GB"/>
        </w:rPr>
        <w:t>The PSCR noted a</w:t>
      </w:r>
      <w:r w:rsidR="00625D39" w:rsidRPr="00D41179">
        <w:rPr>
          <w:rFonts w:asciiTheme="minorHAnsi" w:eastAsiaTheme="minorHAnsi" w:hAnsiTheme="minorHAnsi" w:cstheme="minorBidi"/>
          <w:szCs w:val="22"/>
          <w:lang w:val="en-GB"/>
        </w:rPr>
        <w:t xml:space="preserve"> re-analysis excluding the ZOE-HSCT study </w:t>
      </w:r>
      <w:r w:rsidR="00DF2F81" w:rsidRPr="00D41179">
        <w:rPr>
          <w:rFonts w:asciiTheme="minorHAnsi" w:eastAsiaTheme="minorHAnsi" w:hAnsiTheme="minorHAnsi" w:cstheme="minorBidi"/>
          <w:szCs w:val="22"/>
          <w:lang w:val="en-GB"/>
        </w:rPr>
        <w:t xml:space="preserve">predicted a 55% lower QALY loss in vaccinated individuals (compared to 65% in the base case). </w:t>
      </w:r>
      <w:r w:rsidR="009D4ABB" w:rsidRPr="00D41179">
        <w:rPr>
          <w:rFonts w:asciiTheme="minorHAnsi" w:eastAsiaTheme="minorHAnsi" w:hAnsiTheme="minorHAnsi" w:cstheme="minorBidi"/>
          <w:szCs w:val="22"/>
          <w:lang w:val="en-GB"/>
        </w:rPr>
        <w:t xml:space="preserve">The PSCR presented a revised economic model </w:t>
      </w:r>
      <w:r w:rsidR="006C3308" w:rsidRPr="00D41179">
        <w:rPr>
          <w:rFonts w:asciiTheme="minorHAnsi" w:eastAsiaTheme="minorHAnsi" w:hAnsiTheme="minorHAnsi" w:cstheme="minorBidi"/>
          <w:szCs w:val="22"/>
          <w:lang w:val="en-GB"/>
        </w:rPr>
        <w:t xml:space="preserve">based on this assumption (see paragraph </w:t>
      </w:r>
      <w:r w:rsidR="00CC464D" w:rsidRPr="00D41179">
        <w:rPr>
          <w:rFonts w:asciiTheme="minorHAnsi" w:eastAsiaTheme="minorHAnsi" w:hAnsiTheme="minorHAnsi" w:cstheme="minorBidi"/>
          <w:szCs w:val="22"/>
          <w:lang w:val="en-GB"/>
        </w:rPr>
        <w:fldChar w:fldCharType="begin"/>
      </w:r>
      <w:r w:rsidR="00CC464D" w:rsidRPr="00D41179">
        <w:rPr>
          <w:rFonts w:asciiTheme="minorHAnsi" w:eastAsiaTheme="minorHAnsi" w:hAnsiTheme="minorHAnsi" w:cstheme="minorBidi"/>
          <w:szCs w:val="22"/>
          <w:lang w:val="en-GB"/>
        </w:rPr>
        <w:instrText xml:space="preserve"> REF _Ref222927566 \r \h </w:instrText>
      </w:r>
      <w:r w:rsidR="00D41179">
        <w:rPr>
          <w:rFonts w:asciiTheme="minorHAnsi" w:eastAsiaTheme="minorHAnsi" w:hAnsiTheme="minorHAnsi" w:cstheme="minorBidi"/>
          <w:szCs w:val="22"/>
          <w:lang w:val="en-GB"/>
        </w:rPr>
        <w:instrText xml:space="preserve"> \* MERGEFORMAT </w:instrText>
      </w:r>
      <w:r w:rsidR="00CC464D" w:rsidRPr="00D41179">
        <w:rPr>
          <w:rFonts w:asciiTheme="minorHAnsi" w:eastAsiaTheme="minorHAnsi" w:hAnsiTheme="minorHAnsi" w:cstheme="minorBidi"/>
          <w:szCs w:val="22"/>
          <w:lang w:val="en-GB"/>
        </w:rPr>
      </w:r>
      <w:r w:rsidR="00CC464D" w:rsidRPr="00D41179">
        <w:rPr>
          <w:rFonts w:asciiTheme="minorHAnsi" w:eastAsiaTheme="minorHAnsi" w:hAnsiTheme="minorHAnsi" w:cstheme="minorBidi"/>
          <w:szCs w:val="22"/>
          <w:lang w:val="en-GB"/>
        </w:rPr>
        <w:fldChar w:fldCharType="separate"/>
      </w:r>
      <w:r w:rsidR="00DE3DAE">
        <w:rPr>
          <w:rFonts w:asciiTheme="minorHAnsi" w:eastAsiaTheme="minorHAnsi" w:hAnsiTheme="minorHAnsi" w:cstheme="minorBidi"/>
          <w:szCs w:val="22"/>
          <w:lang w:val="en-GB"/>
        </w:rPr>
        <w:t>6.63</w:t>
      </w:r>
      <w:r w:rsidR="00CC464D" w:rsidRPr="00D41179">
        <w:rPr>
          <w:rFonts w:asciiTheme="minorHAnsi" w:eastAsiaTheme="minorHAnsi" w:hAnsiTheme="minorHAnsi" w:cstheme="minorBidi"/>
          <w:szCs w:val="22"/>
          <w:lang w:val="en-GB"/>
        </w:rPr>
        <w:fldChar w:fldCharType="end"/>
      </w:r>
      <w:r w:rsidR="0019198D" w:rsidRPr="00D41179">
        <w:rPr>
          <w:rFonts w:asciiTheme="minorHAnsi" w:eastAsiaTheme="minorHAnsi" w:hAnsiTheme="minorHAnsi" w:cstheme="minorBidi"/>
          <w:szCs w:val="22"/>
          <w:lang w:val="en-GB"/>
        </w:rPr>
        <w:fldChar w:fldCharType="begin"/>
      </w:r>
      <w:r w:rsidR="0019198D" w:rsidRPr="00D41179">
        <w:rPr>
          <w:rFonts w:asciiTheme="minorHAnsi" w:eastAsiaTheme="minorHAnsi" w:hAnsiTheme="minorHAnsi" w:cstheme="minorBidi"/>
          <w:szCs w:val="22"/>
          <w:lang w:val="en-GB"/>
        </w:rPr>
        <w:instrText xml:space="preserve"> REF _Ref211604190 \r \h </w:instrText>
      </w:r>
      <w:r w:rsidR="006E44C2" w:rsidRPr="00D41179">
        <w:rPr>
          <w:rFonts w:asciiTheme="minorHAnsi" w:eastAsiaTheme="minorHAnsi" w:hAnsiTheme="minorHAnsi" w:cstheme="minorBidi"/>
          <w:szCs w:val="22"/>
          <w:lang w:val="en-GB"/>
        </w:rPr>
        <w:instrText xml:space="preserve"> \* MERGEFORMAT </w:instrText>
      </w:r>
      <w:r w:rsidR="0019198D" w:rsidRPr="00D41179">
        <w:rPr>
          <w:rFonts w:asciiTheme="minorHAnsi" w:eastAsiaTheme="minorHAnsi" w:hAnsiTheme="minorHAnsi" w:cstheme="minorBidi"/>
          <w:szCs w:val="22"/>
          <w:lang w:val="en-GB"/>
        </w:rPr>
      </w:r>
      <w:r w:rsidR="0019198D" w:rsidRPr="00D41179">
        <w:rPr>
          <w:rFonts w:asciiTheme="minorHAnsi" w:eastAsiaTheme="minorHAnsi" w:hAnsiTheme="minorHAnsi" w:cstheme="minorBidi"/>
          <w:szCs w:val="22"/>
          <w:lang w:val="en-GB"/>
        </w:rPr>
        <w:fldChar w:fldCharType="separate"/>
      </w:r>
      <w:r w:rsidR="0019198D" w:rsidRPr="00D41179">
        <w:rPr>
          <w:rFonts w:asciiTheme="minorHAnsi" w:eastAsiaTheme="minorHAnsi" w:hAnsiTheme="minorHAnsi" w:cstheme="minorBidi"/>
          <w:szCs w:val="22"/>
          <w:lang w:val="en-GB"/>
        </w:rPr>
        <w:fldChar w:fldCharType="end"/>
      </w:r>
      <w:r w:rsidR="006C3308" w:rsidRPr="00D41179">
        <w:rPr>
          <w:rFonts w:asciiTheme="minorHAnsi" w:eastAsiaTheme="minorHAnsi" w:hAnsiTheme="minorHAnsi" w:cstheme="minorBidi"/>
          <w:szCs w:val="22"/>
          <w:lang w:val="en-GB"/>
        </w:rPr>
        <w:t>).</w:t>
      </w:r>
      <w:r w:rsidR="00911806" w:rsidRPr="00D41179">
        <w:rPr>
          <w:rFonts w:asciiTheme="minorHAnsi" w:eastAsiaTheme="minorHAnsi" w:hAnsiTheme="minorHAnsi" w:cstheme="minorBidi"/>
          <w:szCs w:val="22"/>
          <w:lang w:val="en-GB"/>
        </w:rPr>
        <w:t xml:space="preserve"> The ESC noted a sensitivity analysis assuming no difference in QALY losses for vaccinated and unvaccinated individuals increased the ICER</w:t>
      </w:r>
      <w:r w:rsidR="00764766" w:rsidRPr="00D41179">
        <w:rPr>
          <w:rFonts w:asciiTheme="minorHAnsi" w:eastAsiaTheme="minorHAnsi" w:hAnsiTheme="minorHAnsi" w:cstheme="minorBidi"/>
          <w:szCs w:val="22"/>
          <w:lang w:val="en-GB"/>
        </w:rPr>
        <w:t xml:space="preserve"> by </w:t>
      </w:r>
      <w:r w:rsidR="000E1EB2" w:rsidRPr="000E1EB2">
        <w:rPr>
          <w:rFonts w:asciiTheme="minorHAnsi" w:eastAsiaTheme="minorHAnsi" w:hAnsiTheme="minorHAnsi" w:cstheme="minorBidi"/>
          <w:sz w:val="2"/>
          <w:szCs w:val="22"/>
          <w:highlight w:val="black"/>
          <w:lang w:val="en-GB"/>
        </w:rPr>
        <w:t>redacted content</w:t>
      </w:r>
      <w:r w:rsidR="00764766" w:rsidRPr="00D41179">
        <w:rPr>
          <w:rFonts w:asciiTheme="minorHAnsi" w:eastAsiaTheme="minorHAnsi" w:hAnsiTheme="minorHAnsi" w:cstheme="minorBidi"/>
          <w:szCs w:val="22"/>
          <w:lang w:val="en-GB"/>
        </w:rPr>
        <w:t>%.</w:t>
      </w:r>
      <w:r w:rsidR="00D41179" w:rsidRPr="00D41179">
        <w:rPr>
          <w:rFonts w:asciiTheme="minorHAnsi" w:eastAsiaTheme="minorHAnsi" w:hAnsiTheme="minorHAnsi" w:cstheme="minorBidi"/>
          <w:i/>
          <w:iCs/>
          <w:szCs w:val="22"/>
          <w:lang w:val="en-GB"/>
        </w:rPr>
        <w:t xml:space="preserve"> </w:t>
      </w:r>
    </w:p>
    <w:p w14:paraId="646FDE1F" w14:textId="77777777" w:rsidR="00F714D1" w:rsidRPr="00D41179" w:rsidRDefault="00F714D1" w:rsidP="00381B06">
      <w:pPr>
        <w:rPr>
          <w:rFonts w:eastAsiaTheme="minorHAnsi"/>
          <w:b/>
          <w:bCs/>
        </w:rPr>
      </w:pPr>
      <w:r w:rsidRPr="00D41179">
        <w:rPr>
          <w:rFonts w:eastAsiaTheme="minorHAnsi"/>
          <w:b/>
          <w:bCs/>
        </w:rPr>
        <w:t>Resource Use</w:t>
      </w:r>
    </w:p>
    <w:p w14:paraId="32A93DE7" w14:textId="4DDD2780" w:rsidR="00F714D1" w:rsidRPr="00D41179" w:rsidRDefault="00F714D1" w:rsidP="00A64F5D">
      <w:pPr>
        <w:numPr>
          <w:ilvl w:val="1"/>
          <w:numId w:val="8"/>
        </w:numPr>
        <w:tabs>
          <w:tab w:val="left" w:pos="709"/>
        </w:tabs>
        <w:spacing w:before="60" w:after="60"/>
        <w:ind w:left="709"/>
        <w:rPr>
          <w:rFonts w:asciiTheme="minorHAnsi" w:eastAsiaTheme="minorHAnsi" w:hAnsiTheme="minorHAnsi" w:cstheme="minorBidi"/>
          <w:szCs w:val="22"/>
          <w:lang w:val="en-GB"/>
        </w:rPr>
      </w:pPr>
      <w:r w:rsidRPr="00D41179">
        <w:rPr>
          <w:rFonts w:asciiTheme="minorHAnsi" w:eastAsiaTheme="minorHAnsi" w:hAnsiTheme="minorHAnsi" w:cstheme="minorBidi"/>
          <w:szCs w:val="22"/>
        </w:rPr>
        <w:t>Vaccine administration costs applied in the model were lower than those presented in the March 2023 consideration. The submission</w:t>
      </w:r>
      <w:r w:rsidRPr="00D41179" w:rsidDel="00965954">
        <w:rPr>
          <w:rFonts w:asciiTheme="minorHAnsi" w:eastAsiaTheme="minorHAnsi" w:hAnsiTheme="minorHAnsi" w:cstheme="minorBidi"/>
          <w:szCs w:val="22"/>
        </w:rPr>
        <w:t xml:space="preserve"> </w:t>
      </w:r>
      <w:r w:rsidRPr="00D41179">
        <w:rPr>
          <w:rFonts w:asciiTheme="minorHAnsi" w:eastAsiaTheme="minorHAnsi" w:hAnsiTheme="minorHAnsi" w:cstheme="minorBidi"/>
          <w:szCs w:val="22"/>
        </w:rPr>
        <w:t xml:space="preserve">stated that </w:t>
      </w:r>
      <w:r w:rsidRPr="00D41179">
        <w:rPr>
          <w:rFonts w:asciiTheme="minorHAnsi" w:eastAsiaTheme="minorHAnsi" w:hAnsiTheme="minorHAnsi" w:cstheme="minorBidi"/>
          <w:szCs w:val="22"/>
          <w:lang w:val="en-GB"/>
        </w:rPr>
        <w:t>administration of the first dose is relatively easy to combine with another medical intervention when administered in a GP setting, whereas the second dose administration is more likely to merit a stand-alone intervention specifically for this purpose. Therefore, in the GP setting, it was assumed that vaccine administration cost would be reduced by 50% for the first dose of RZV, but a stand-alone consultation would be required for administration of the second dose of RZV and would incur the complete cost.</w:t>
      </w:r>
      <w:r w:rsidR="00D41179" w:rsidRPr="00D41179">
        <w:rPr>
          <w:rFonts w:asciiTheme="minorHAnsi" w:eastAsiaTheme="minorHAnsi" w:hAnsiTheme="minorHAnsi" w:cstheme="minorBidi"/>
          <w:szCs w:val="22"/>
          <w:lang w:val="en-GB"/>
        </w:rPr>
        <w:t xml:space="preserve"> </w:t>
      </w:r>
      <w:r w:rsidRPr="00D41179">
        <w:rPr>
          <w:rFonts w:asciiTheme="minorHAnsi" w:eastAsiaTheme="minorHAnsi" w:hAnsiTheme="minorHAnsi" w:cstheme="minorBidi"/>
          <w:szCs w:val="22"/>
          <w:lang w:val="en-GB"/>
        </w:rPr>
        <w:t>It may be likely that some individuals will attend GP clinics with the specific intention of receiving RZV. Furthermore, GP attendance is likely to be higher in the older cohort, so changing the assumption when</w:t>
      </w:r>
      <w:r w:rsidRPr="00D41179">
        <w:rPr>
          <w:rFonts w:asciiTheme="minorHAnsi" w:eastAsiaTheme="minorHAnsi" w:hAnsiTheme="minorHAnsi" w:cstheme="minorBidi"/>
          <w:i/>
          <w:iCs/>
          <w:szCs w:val="22"/>
          <w:lang w:val="en-GB"/>
        </w:rPr>
        <w:t xml:space="preserve"> </w:t>
      </w:r>
      <w:r w:rsidRPr="00D41179">
        <w:rPr>
          <w:rFonts w:asciiTheme="minorHAnsi" w:eastAsiaTheme="minorHAnsi" w:hAnsiTheme="minorHAnsi" w:cstheme="minorBidi"/>
          <w:szCs w:val="22"/>
          <w:lang w:val="en-GB"/>
        </w:rPr>
        <w:t xml:space="preserve">the proposed listing population is younger, may underestimate vaccine administration costs. </w:t>
      </w:r>
      <w:r w:rsidR="00E32D14" w:rsidRPr="00D41179">
        <w:rPr>
          <w:rFonts w:asciiTheme="minorHAnsi" w:eastAsiaTheme="minorHAnsi" w:hAnsiTheme="minorHAnsi" w:cstheme="minorBidi"/>
          <w:szCs w:val="22"/>
          <w:lang w:val="en-GB"/>
        </w:rPr>
        <w:t>In the March 2023 submission</w:t>
      </w:r>
      <w:r w:rsidR="008D2140" w:rsidRPr="00D41179">
        <w:rPr>
          <w:rFonts w:asciiTheme="minorHAnsi" w:eastAsiaTheme="minorHAnsi" w:hAnsiTheme="minorHAnsi" w:cstheme="minorBidi"/>
          <w:szCs w:val="22"/>
          <w:lang w:val="en-GB"/>
        </w:rPr>
        <w:t>,</w:t>
      </w:r>
      <w:r w:rsidR="00E32D14" w:rsidRPr="00D41179">
        <w:rPr>
          <w:rFonts w:asciiTheme="minorHAnsi" w:eastAsiaTheme="minorHAnsi" w:hAnsiTheme="minorHAnsi" w:cstheme="minorBidi"/>
          <w:szCs w:val="22"/>
          <w:lang w:val="en-GB"/>
        </w:rPr>
        <w:t xml:space="preserve"> </w:t>
      </w:r>
      <w:r w:rsidR="00181713" w:rsidRPr="00D41179">
        <w:rPr>
          <w:rFonts w:asciiTheme="minorHAnsi" w:eastAsiaTheme="minorHAnsi" w:hAnsiTheme="minorHAnsi" w:cstheme="minorBidi"/>
          <w:szCs w:val="22"/>
          <w:lang w:val="en-GB"/>
        </w:rPr>
        <w:t>a more</w:t>
      </w:r>
      <w:r w:rsidR="00E32D14" w:rsidRPr="00D41179">
        <w:rPr>
          <w:rFonts w:asciiTheme="minorHAnsi" w:eastAsiaTheme="minorHAnsi" w:hAnsiTheme="minorHAnsi" w:cstheme="minorBidi"/>
          <w:szCs w:val="22"/>
          <w:lang w:val="en-GB"/>
        </w:rPr>
        <w:t xml:space="preserve"> conservative assumption was applied</w:t>
      </w:r>
      <w:r w:rsidRPr="00D41179">
        <w:rPr>
          <w:rFonts w:asciiTheme="minorHAnsi" w:eastAsiaTheme="minorHAnsi" w:hAnsiTheme="minorHAnsi" w:cstheme="minorBidi"/>
          <w:szCs w:val="22"/>
          <w:lang w:val="en-GB"/>
        </w:rPr>
        <w:t xml:space="preserve"> which assumed the cost of administration for both doses</w:t>
      </w:r>
      <w:r w:rsidR="001374ED" w:rsidRPr="00D41179">
        <w:rPr>
          <w:rFonts w:asciiTheme="minorHAnsi" w:eastAsiaTheme="minorHAnsi" w:hAnsiTheme="minorHAnsi" w:cstheme="minorBidi"/>
          <w:szCs w:val="22"/>
          <w:lang w:val="en-GB"/>
        </w:rPr>
        <w:t xml:space="preserve"> was equal</w:t>
      </w:r>
      <w:r w:rsidRPr="00D41179">
        <w:rPr>
          <w:rFonts w:asciiTheme="minorHAnsi" w:eastAsiaTheme="minorHAnsi" w:hAnsiTheme="minorHAnsi" w:cstheme="minorBidi"/>
          <w:szCs w:val="22"/>
          <w:lang w:val="en-GB"/>
        </w:rPr>
        <w:t>. When the first and second GP administration prices were adjusted in the model to be consistent with the previous submission ($18.20 per dose)) the ICER increased from $</w:t>
      </w:r>
      <w:r w:rsidR="004F01F4" w:rsidRPr="00D41179">
        <w:rPr>
          <w:rFonts w:asciiTheme="minorHAnsi" w:eastAsiaTheme="minorHAnsi" w:hAnsiTheme="minorHAnsi" w:cstheme="minorBidi"/>
          <w:szCs w:val="22"/>
          <w:lang w:val="en-GB"/>
        </w:rPr>
        <w:t>15,000 to &lt; $25,000</w:t>
      </w:r>
      <w:r w:rsidR="00B16E83">
        <w:rPr>
          <w:rFonts w:asciiTheme="minorHAnsi" w:eastAsiaTheme="minorHAnsi" w:hAnsiTheme="minorHAnsi" w:cstheme="minorBidi"/>
          <w:szCs w:val="22"/>
          <w:lang w:val="en-GB"/>
        </w:rPr>
        <w:t xml:space="preserve"> </w:t>
      </w:r>
      <w:r w:rsidRPr="00D41179">
        <w:rPr>
          <w:rFonts w:asciiTheme="minorHAnsi" w:eastAsiaTheme="minorHAnsi" w:hAnsiTheme="minorHAnsi" w:cstheme="minorBidi"/>
          <w:szCs w:val="22"/>
          <w:lang w:val="en-GB"/>
        </w:rPr>
        <w:t>per QALY gained to $</w:t>
      </w:r>
      <w:r w:rsidR="004F01F4" w:rsidRPr="00D41179">
        <w:rPr>
          <w:rFonts w:asciiTheme="minorHAnsi" w:eastAsiaTheme="minorHAnsi" w:hAnsiTheme="minorHAnsi" w:cstheme="minorBidi"/>
          <w:szCs w:val="22"/>
          <w:lang w:val="en-GB"/>
        </w:rPr>
        <w:t>25,000 to &lt; $35,000</w:t>
      </w:r>
      <w:r w:rsidRPr="00D41179">
        <w:rPr>
          <w:rFonts w:asciiTheme="minorHAnsi" w:eastAsiaTheme="minorHAnsi" w:hAnsiTheme="minorHAnsi" w:cstheme="minorBidi"/>
          <w:szCs w:val="22"/>
          <w:lang w:val="en-GB"/>
        </w:rPr>
        <w:t xml:space="preserve"> (+</w:t>
      </w:r>
      <w:r w:rsidR="000E1EB2" w:rsidRPr="000E1EB2">
        <w:rPr>
          <w:rFonts w:asciiTheme="minorHAnsi" w:eastAsiaTheme="minorHAnsi" w:hAnsiTheme="minorHAnsi" w:cstheme="minorBidi"/>
          <w:sz w:val="2"/>
          <w:szCs w:val="22"/>
          <w:highlight w:val="black"/>
          <w:lang w:val="en-GB"/>
        </w:rPr>
        <w:t>redacted content</w:t>
      </w:r>
      <w:r w:rsidRPr="00D41179">
        <w:rPr>
          <w:rFonts w:asciiTheme="minorHAnsi" w:eastAsiaTheme="minorHAnsi" w:hAnsiTheme="minorHAnsi" w:cstheme="minorBidi"/>
          <w:szCs w:val="22"/>
          <w:lang w:val="en-GB"/>
        </w:rPr>
        <w:t>%).</w:t>
      </w:r>
      <w:r w:rsidR="00697265" w:rsidRPr="00D41179">
        <w:rPr>
          <w:rFonts w:asciiTheme="minorHAnsi" w:eastAsiaTheme="minorHAnsi" w:hAnsiTheme="minorHAnsi" w:cstheme="minorBidi"/>
          <w:szCs w:val="22"/>
          <w:lang w:val="en-GB"/>
        </w:rPr>
        <w:t xml:space="preserve"> The ESC considered the assumptions regarding administration costs were poorly supported.</w:t>
      </w:r>
      <w:r w:rsidR="00697265" w:rsidRPr="00D41179">
        <w:rPr>
          <w:rFonts w:asciiTheme="minorHAnsi" w:eastAsiaTheme="minorHAnsi" w:hAnsiTheme="minorHAnsi" w:cstheme="minorBidi"/>
          <w:i/>
          <w:iCs/>
          <w:szCs w:val="22"/>
          <w:lang w:val="en-GB"/>
        </w:rPr>
        <w:t xml:space="preserve"> </w:t>
      </w:r>
    </w:p>
    <w:p w14:paraId="21B89D50" w14:textId="671D59DB" w:rsidR="00F714D1" w:rsidRPr="00D41179" w:rsidRDefault="00F714D1" w:rsidP="00A64F5D">
      <w:pPr>
        <w:numPr>
          <w:ilvl w:val="1"/>
          <w:numId w:val="8"/>
        </w:numPr>
        <w:spacing w:before="60" w:after="60"/>
        <w:ind w:left="709"/>
        <w:rPr>
          <w:rFonts w:asciiTheme="minorHAnsi" w:eastAsiaTheme="minorHAnsi" w:hAnsiTheme="minorHAnsi" w:cstheme="minorBidi"/>
          <w:szCs w:val="22"/>
          <w:lang w:val="en-GB"/>
        </w:rPr>
      </w:pPr>
      <w:r w:rsidRPr="00D41179">
        <w:rPr>
          <w:rFonts w:asciiTheme="minorHAnsi" w:eastAsiaTheme="minorHAnsi" w:hAnsiTheme="minorHAnsi" w:cstheme="minorBidi"/>
          <w:szCs w:val="22"/>
          <w:lang w:val="en-GB"/>
        </w:rPr>
        <w:t xml:space="preserve">The costs associated with disease management per case of HZ, PHN, or other complications were estimated by applying unit cost estimates from relevant publicly available sources (PBS, National Hospital Cost Data Collection [NHCDC] Public Sector Report 2022-23) to incidence-adjusted </w:t>
      </w:r>
      <w:r w:rsidRPr="00D41179">
        <w:rPr>
          <w:rFonts w:asciiTheme="minorHAnsi" w:eastAsiaTheme="minorHAnsi" w:hAnsiTheme="minorHAnsi" w:cstheme="minorBidi"/>
          <w:szCs w:val="22"/>
        </w:rPr>
        <w:t>(MacIntyre, 2015)</w:t>
      </w:r>
      <w:r w:rsidRPr="00D41179">
        <w:rPr>
          <w:rFonts w:asciiTheme="minorHAnsi" w:eastAsiaTheme="minorHAnsi" w:hAnsiTheme="minorHAnsi" w:cstheme="minorBidi"/>
          <w:szCs w:val="22"/>
          <w:lang w:val="en-GB"/>
        </w:rPr>
        <w:t xml:space="preserve"> rates </w:t>
      </w:r>
      <w:r w:rsidRPr="00D41179">
        <w:rPr>
          <w:rFonts w:asciiTheme="minorHAnsi" w:eastAsiaTheme="minorHAnsi" w:hAnsiTheme="minorHAnsi" w:cstheme="minorBidi"/>
          <w:szCs w:val="22"/>
        </w:rPr>
        <w:t>for GP visits, ED visits, and hospitalisations per HZ and HZ with PHN cases</w:t>
      </w:r>
      <w:r w:rsidRPr="00D41179">
        <w:rPr>
          <w:rFonts w:asciiTheme="minorHAnsi" w:eastAsiaTheme="minorHAnsi" w:hAnsiTheme="minorHAnsi" w:cstheme="minorBidi"/>
          <w:szCs w:val="22"/>
          <w:lang w:val="en-GB"/>
        </w:rPr>
        <w:t xml:space="preserve"> from a US-based study (</w:t>
      </w:r>
      <w:r w:rsidRPr="00D41179">
        <w:rPr>
          <w:rFonts w:asciiTheme="minorHAnsi" w:eastAsiaTheme="minorHAnsi" w:hAnsiTheme="minorHAnsi" w:cstheme="minorBidi"/>
          <w:szCs w:val="22"/>
        </w:rPr>
        <w:t xml:space="preserve">Yawn, 2009. </w:t>
      </w:r>
      <w:r w:rsidRPr="00D41179">
        <w:rPr>
          <w:rFonts w:asciiTheme="minorHAnsi" w:eastAsiaTheme="minorHAnsi" w:hAnsiTheme="minorHAnsi" w:cstheme="minorBidi"/>
          <w:szCs w:val="22"/>
          <w:lang w:val="en-GB"/>
        </w:rPr>
        <w:t xml:space="preserve">Given the assumptions involved in this adjustment, there is some uncertainty. Firstly, as discussed, MacIntyre (2015) data may overestimate the rate of PHN per case of HZ. Secondly, Yawn et al. (2009) was based in Minnesota in the US and data are now 24 years old. It is plausible that resource utilisation and clinician behaviour may have changed over this period and may be different in the Australian healthcare system. </w:t>
      </w:r>
      <w:r w:rsidR="00143EC9" w:rsidRPr="00D41179">
        <w:rPr>
          <w:rFonts w:asciiTheme="minorHAnsi" w:eastAsiaTheme="minorHAnsi" w:hAnsiTheme="minorHAnsi" w:cstheme="minorBidi"/>
          <w:szCs w:val="22"/>
          <w:lang w:val="en-GB"/>
        </w:rPr>
        <w:t xml:space="preserve">The </w:t>
      </w:r>
      <w:r w:rsidRPr="00D41179">
        <w:rPr>
          <w:rFonts w:asciiTheme="minorHAnsi" w:eastAsiaTheme="minorHAnsi" w:hAnsiTheme="minorHAnsi" w:cstheme="minorBidi"/>
          <w:szCs w:val="22"/>
          <w:lang w:val="en-GB"/>
        </w:rPr>
        <w:t>ESC previously noted that “a reduction in costs associated with HZ cases, PHN cases and non-PHN complications accounted for a high proportion of the cost offsets in the economic model” (para 6.58, RZV, PSD, March 2023 PBAC meeting). Despite this, the</w:t>
      </w:r>
      <w:r w:rsidRPr="00D41179" w:rsidDel="00F12531">
        <w:rPr>
          <w:rFonts w:asciiTheme="minorHAnsi" w:eastAsiaTheme="minorHAnsi" w:hAnsiTheme="minorHAnsi" w:cstheme="minorBidi"/>
          <w:szCs w:val="22"/>
          <w:lang w:val="en-GB"/>
        </w:rPr>
        <w:t xml:space="preserve"> </w:t>
      </w:r>
      <w:r w:rsidRPr="00D41179">
        <w:rPr>
          <w:rFonts w:asciiTheme="minorHAnsi" w:eastAsiaTheme="minorHAnsi" w:hAnsiTheme="minorHAnsi" w:cstheme="minorBidi"/>
          <w:szCs w:val="22"/>
          <w:lang w:val="en-GB"/>
        </w:rPr>
        <w:t xml:space="preserve">per-case cost of HZ did not appear to be a key driver of the economic model. </w:t>
      </w:r>
      <w:r w:rsidRPr="00D41179">
        <w:rPr>
          <w:rFonts w:asciiTheme="minorHAnsi" w:eastAsiaTheme="minorHAnsi" w:hAnsiTheme="minorHAnsi" w:cstheme="minorBidi"/>
          <w:szCs w:val="22"/>
          <w:lang w:val="en-GB"/>
        </w:rPr>
        <w:lastRenderedPageBreak/>
        <w:t>For illustrative purposes, sensitivity analysis conducted during the evaluation tested costs per HZ case adjusted by +/-20%</w:t>
      </w:r>
      <w:r w:rsidRPr="00D41179" w:rsidDel="005C172F">
        <w:rPr>
          <w:rFonts w:asciiTheme="minorHAnsi" w:eastAsiaTheme="minorHAnsi" w:hAnsiTheme="minorHAnsi" w:cstheme="minorBidi"/>
          <w:szCs w:val="22"/>
          <w:lang w:val="en-GB"/>
        </w:rPr>
        <w:t xml:space="preserve"> </w:t>
      </w:r>
      <w:r w:rsidRPr="00D41179">
        <w:rPr>
          <w:rFonts w:asciiTheme="minorHAnsi" w:eastAsiaTheme="minorHAnsi" w:hAnsiTheme="minorHAnsi" w:cstheme="minorBidi"/>
          <w:szCs w:val="22"/>
          <w:lang w:val="en-GB"/>
        </w:rPr>
        <w:t>led to changes in the ICER from $</w:t>
      </w:r>
      <w:r w:rsidR="004F01F4" w:rsidRPr="00D41179">
        <w:rPr>
          <w:rFonts w:asciiTheme="minorHAnsi" w:eastAsiaTheme="minorHAnsi" w:hAnsiTheme="minorHAnsi" w:cstheme="minorBidi"/>
          <w:szCs w:val="22"/>
          <w:lang w:val="en-GB"/>
        </w:rPr>
        <w:t>15,000 to &lt; $25,000</w:t>
      </w:r>
      <w:r w:rsidR="00B16E83">
        <w:rPr>
          <w:rFonts w:asciiTheme="minorHAnsi" w:eastAsiaTheme="minorHAnsi" w:hAnsiTheme="minorHAnsi" w:cstheme="minorBidi"/>
          <w:szCs w:val="22"/>
          <w:lang w:val="en-GB"/>
        </w:rPr>
        <w:t xml:space="preserve"> </w:t>
      </w:r>
      <w:r w:rsidRPr="00D41179">
        <w:rPr>
          <w:rFonts w:asciiTheme="minorHAnsi" w:eastAsiaTheme="minorHAnsi" w:hAnsiTheme="minorHAnsi" w:cstheme="minorBidi"/>
          <w:szCs w:val="22"/>
          <w:lang w:val="en-GB"/>
        </w:rPr>
        <w:t>per QALY gained to $</w:t>
      </w:r>
      <w:r w:rsidR="004F01F4" w:rsidRPr="00D41179">
        <w:rPr>
          <w:rFonts w:asciiTheme="minorHAnsi" w:eastAsiaTheme="minorHAnsi" w:hAnsiTheme="minorHAnsi" w:cstheme="minorBidi"/>
          <w:szCs w:val="22"/>
          <w:lang w:val="en-GB"/>
        </w:rPr>
        <w:t>15,000 to &lt; $25,000</w:t>
      </w:r>
      <w:r w:rsidRPr="00D41179">
        <w:rPr>
          <w:rFonts w:asciiTheme="minorHAnsi" w:eastAsiaTheme="minorHAnsi" w:hAnsiTheme="minorHAnsi" w:cstheme="minorBidi"/>
          <w:szCs w:val="22"/>
          <w:lang w:val="en-GB"/>
        </w:rPr>
        <w:t xml:space="preserve"> (-</w:t>
      </w:r>
      <w:r w:rsidR="000E1EB2" w:rsidRPr="000E1EB2">
        <w:rPr>
          <w:rFonts w:asciiTheme="minorHAnsi" w:eastAsiaTheme="minorHAnsi" w:hAnsiTheme="minorHAnsi" w:cstheme="minorBidi"/>
          <w:sz w:val="2"/>
          <w:szCs w:val="22"/>
          <w:highlight w:val="black"/>
          <w:lang w:val="en-GB"/>
        </w:rPr>
        <w:t>redacted content</w:t>
      </w:r>
      <w:r w:rsidRPr="00D41179">
        <w:rPr>
          <w:rFonts w:asciiTheme="minorHAnsi" w:eastAsiaTheme="minorHAnsi" w:hAnsiTheme="minorHAnsi" w:cstheme="minorBidi"/>
          <w:szCs w:val="22"/>
          <w:lang w:val="en-GB"/>
        </w:rPr>
        <w:t>%) and $</w:t>
      </w:r>
      <w:r w:rsidR="004F01F4" w:rsidRPr="00D41179">
        <w:rPr>
          <w:rFonts w:asciiTheme="minorHAnsi" w:eastAsiaTheme="minorHAnsi" w:hAnsiTheme="minorHAnsi" w:cstheme="minorBidi"/>
          <w:szCs w:val="22"/>
          <w:lang w:val="en-GB"/>
        </w:rPr>
        <w:t>25,000 to &lt; $35,000</w:t>
      </w:r>
      <w:r w:rsidRPr="00D41179">
        <w:rPr>
          <w:rFonts w:asciiTheme="minorHAnsi" w:eastAsiaTheme="minorHAnsi" w:hAnsiTheme="minorHAnsi" w:cstheme="minorBidi"/>
          <w:szCs w:val="22"/>
          <w:lang w:val="en-GB"/>
        </w:rPr>
        <w:t xml:space="preserve"> (+</w:t>
      </w:r>
      <w:r w:rsidR="000E1EB2" w:rsidRPr="000E1EB2">
        <w:rPr>
          <w:rFonts w:asciiTheme="minorHAnsi" w:eastAsiaTheme="minorHAnsi" w:hAnsiTheme="minorHAnsi" w:cstheme="minorBidi"/>
          <w:sz w:val="2"/>
          <w:szCs w:val="22"/>
          <w:highlight w:val="black"/>
          <w:lang w:val="en-GB"/>
        </w:rPr>
        <w:t>redacted content</w:t>
      </w:r>
      <w:r w:rsidRPr="00D41179">
        <w:rPr>
          <w:rFonts w:asciiTheme="minorHAnsi" w:eastAsiaTheme="minorHAnsi" w:hAnsiTheme="minorHAnsi" w:cstheme="minorBidi"/>
          <w:szCs w:val="22"/>
          <w:lang w:val="en-GB"/>
        </w:rPr>
        <w:t>%) respectively. When the costs per case of PHN were adjusted +/- 20% the ICER changed to $</w:t>
      </w:r>
      <w:r w:rsidR="004F01F4" w:rsidRPr="00D41179">
        <w:rPr>
          <w:rFonts w:asciiTheme="minorHAnsi" w:eastAsiaTheme="minorHAnsi" w:hAnsiTheme="minorHAnsi" w:cstheme="minorBidi"/>
          <w:szCs w:val="22"/>
          <w:lang w:val="en-GB"/>
        </w:rPr>
        <w:t>15,000 to &lt; $25,000</w:t>
      </w:r>
      <w:r w:rsidRPr="00D41179">
        <w:rPr>
          <w:rFonts w:asciiTheme="minorHAnsi" w:eastAsiaTheme="minorHAnsi" w:hAnsiTheme="minorHAnsi" w:cstheme="minorBidi"/>
          <w:szCs w:val="22"/>
          <w:lang w:val="en-GB"/>
        </w:rPr>
        <w:t xml:space="preserve"> (-</w:t>
      </w:r>
      <w:r w:rsidR="000E1EB2" w:rsidRPr="000E1EB2">
        <w:rPr>
          <w:rFonts w:asciiTheme="minorHAnsi" w:eastAsiaTheme="minorHAnsi" w:hAnsiTheme="minorHAnsi" w:cstheme="minorBidi"/>
          <w:sz w:val="2"/>
          <w:szCs w:val="22"/>
          <w:highlight w:val="black"/>
          <w:lang w:val="en-GB"/>
        </w:rPr>
        <w:t>redacted content</w:t>
      </w:r>
      <w:r w:rsidRPr="00D41179">
        <w:rPr>
          <w:rFonts w:asciiTheme="minorHAnsi" w:eastAsiaTheme="minorHAnsi" w:hAnsiTheme="minorHAnsi" w:cstheme="minorBidi"/>
          <w:szCs w:val="22"/>
          <w:lang w:val="en-GB"/>
        </w:rPr>
        <w:t>%) and $</w:t>
      </w:r>
      <w:r w:rsidR="004F01F4" w:rsidRPr="00D41179">
        <w:rPr>
          <w:rFonts w:asciiTheme="minorHAnsi" w:eastAsiaTheme="minorHAnsi" w:hAnsiTheme="minorHAnsi" w:cstheme="minorBidi"/>
          <w:szCs w:val="22"/>
          <w:lang w:val="en-GB"/>
        </w:rPr>
        <w:t>25,000 to &lt; $35,000</w:t>
      </w:r>
      <w:r w:rsidRPr="00D41179">
        <w:rPr>
          <w:rFonts w:asciiTheme="minorHAnsi" w:eastAsiaTheme="minorHAnsi" w:hAnsiTheme="minorHAnsi" w:cstheme="minorBidi"/>
          <w:szCs w:val="22"/>
          <w:lang w:val="en-GB"/>
        </w:rPr>
        <w:t xml:space="preserve"> (+</w:t>
      </w:r>
      <w:r w:rsidR="000E1EB2" w:rsidRPr="000E1EB2">
        <w:rPr>
          <w:rFonts w:asciiTheme="minorHAnsi" w:eastAsiaTheme="minorHAnsi" w:hAnsiTheme="minorHAnsi" w:cstheme="minorBidi"/>
          <w:sz w:val="2"/>
          <w:szCs w:val="22"/>
          <w:highlight w:val="black"/>
          <w:lang w:val="en-GB"/>
        </w:rPr>
        <w:t>redacted content</w:t>
      </w:r>
      <w:r w:rsidRPr="00D41179">
        <w:rPr>
          <w:rFonts w:asciiTheme="minorHAnsi" w:eastAsiaTheme="minorHAnsi" w:hAnsiTheme="minorHAnsi" w:cstheme="minorBidi"/>
          <w:szCs w:val="22"/>
          <w:lang w:val="en-GB"/>
        </w:rPr>
        <w:t>%) respectively.</w:t>
      </w:r>
    </w:p>
    <w:p w14:paraId="4277CA19" w14:textId="0BB9C03A" w:rsidR="00F86740" w:rsidRDefault="00F714D1" w:rsidP="00A64F5D">
      <w:pPr>
        <w:numPr>
          <w:ilvl w:val="1"/>
          <w:numId w:val="8"/>
        </w:numPr>
        <w:spacing w:before="60" w:after="60"/>
        <w:ind w:left="709"/>
        <w:rPr>
          <w:rFonts w:asciiTheme="minorHAnsi" w:eastAsiaTheme="minorHAnsi" w:hAnsiTheme="minorHAnsi" w:cstheme="minorBidi"/>
          <w:szCs w:val="22"/>
          <w:lang w:val="en-GB"/>
        </w:rPr>
      </w:pPr>
      <w:r w:rsidRPr="00D41179">
        <w:rPr>
          <w:rFonts w:asciiTheme="minorHAnsi" w:eastAsiaTheme="minorHAnsi" w:hAnsiTheme="minorHAnsi" w:cstheme="minorBidi"/>
          <w:szCs w:val="22"/>
          <w:lang w:val="en-GB"/>
        </w:rPr>
        <w:t>Key drivers of the economic model are provided in</w:t>
      </w:r>
      <w:r w:rsidR="00AD0D41" w:rsidRPr="00D41179">
        <w:rPr>
          <w:rFonts w:asciiTheme="minorHAnsi" w:eastAsiaTheme="minorHAnsi" w:hAnsiTheme="minorHAnsi" w:cstheme="minorBidi"/>
          <w:szCs w:val="22"/>
          <w:lang w:val="en-GB"/>
        </w:rPr>
        <w:t xml:space="preserve"> </w:t>
      </w:r>
      <w:r w:rsidR="00AD0D41" w:rsidRPr="00D41179">
        <w:rPr>
          <w:rFonts w:asciiTheme="minorHAnsi" w:eastAsiaTheme="minorHAnsi" w:hAnsiTheme="minorHAnsi" w:cstheme="minorBidi"/>
          <w:szCs w:val="22"/>
          <w:lang w:val="en-GB"/>
        </w:rPr>
        <w:fldChar w:fldCharType="begin"/>
      </w:r>
      <w:r w:rsidR="00AD0D41" w:rsidRPr="00D41179">
        <w:rPr>
          <w:rFonts w:asciiTheme="minorHAnsi" w:eastAsiaTheme="minorHAnsi" w:hAnsiTheme="minorHAnsi" w:cstheme="minorBidi"/>
          <w:szCs w:val="22"/>
          <w:lang w:val="en-GB"/>
        </w:rPr>
        <w:instrText xml:space="preserve"> REF _Ref207878890 \h </w:instrText>
      </w:r>
      <w:r w:rsidR="00D41179">
        <w:rPr>
          <w:rFonts w:asciiTheme="minorHAnsi" w:eastAsiaTheme="minorHAnsi" w:hAnsiTheme="minorHAnsi" w:cstheme="minorBidi"/>
          <w:szCs w:val="22"/>
          <w:lang w:val="en-GB"/>
        </w:rPr>
        <w:instrText xml:space="preserve"> \* MERGEFORMAT </w:instrText>
      </w:r>
      <w:r w:rsidR="00AD0D41" w:rsidRPr="00D41179">
        <w:rPr>
          <w:rFonts w:asciiTheme="minorHAnsi" w:eastAsiaTheme="minorHAnsi" w:hAnsiTheme="minorHAnsi" w:cstheme="minorBidi"/>
          <w:szCs w:val="22"/>
          <w:lang w:val="en-GB"/>
        </w:rPr>
      </w:r>
      <w:r w:rsidR="00AD0D41" w:rsidRPr="00D41179">
        <w:rPr>
          <w:rFonts w:asciiTheme="minorHAnsi" w:eastAsiaTheme="minorHAnsi" w:hAnsiTheme="minorHAnsi" w:cstheme="minorBidi"/>
          <w:szCs w:val="22"/>
          <w:lang w:val="en-GB"/>
        </w:rPr>
        <w:fldChar w:fldCharType="separate"/>
      </w:r>
      <w:r w:rsidR="00322DD9" w:rsidRPr="00D41179">
        <w:t xml:space="preserve">Table </w:t>
      </w:r>
      <w:r w:rsidR="00322DD9" w:rsidRPr="00D41179">
        <w:rPr>
          <w:noProof/>
        </w:rPr>
        <w:t>12</w:t>
      </w:r>
      <w:r w:rsidR="00AD0D41" w:rsidRPr="00D41179">
        <w:rPr>
          <w:rFonts w:asciiTheme="minorHAnsi" w:eastAsiaTheme="minorHAnsi" w:hAnsiTheme="minorHAnsi" w:cstheme="minorBidi"/>
          <w:szCs w:val="22"/>
          <w:lang w:val="en-GB"/>
        </w:rPr>
        <w:fldChar w:fldCharType="end"/>
      </w:r>
      <w:r w:rsidRPr="00D41179">
        <w:rPr>
          <w:rFonts w:asciiTheme="minorHAnsi" w:eastAsiaTheme="minorHAnsi" w:hAnsiTheme="minorHAnsi" w:cstheme="minorBidi"/>
          <w:szCs w:val="22"/>
          <w:lang w:val="en-GB"/>
        </w:rPr>
        <w:t>.</w:t>
      </w:r>
    </w:p>
    <w:p w14:paraId="63D51D8C" w14:textId="77777777" w:rsidR="00F86740" w:rsidRDefault="00F86740">
      <w:pPr>
        <w:jc w:val="left"/>
        <w:rPr>
          <w:rFonts w:asciiTheme="minorHAnsi" w:eastAsiaTheme="minorHAnsi" w:hAnsiTheme="minorHAnsi" w:cstheme="minorBidi"/>
          <w:szCs w:val="22"/>
          <w:lang w:val="en-GB"/>
        </w:rPr>
      </w:pPr>
      <w:r>
        <w:rPr>
          <w:rFonts w:asciiTheme="minorHAnsi" w:eastAsiaTheme="minorHAnsi" w:hAnsiTheme="minorHAnsi" w:cstheme="minorBidi"/>
          <w:szCs w:val="22"/>
          <w:lang w:val="en-GB"/>
        </w:rPr>
        <w:br w:type="page"/>
      </w:r>
    </w:p>
    <w:p w14:paraId="04314895" w14:textId="12C78204" w:rsidR="00F714D1" w:rsidRPr="00D41179" w:rsidRDefault="00F714D1" w:rsidP="007020F6">
      <w:pPr>
        <w:pStyle w:val="Caption"/>
        <w:rPr>
          <w:rStyle w:val="CommentReference"/>
          <w:b/>
          <w:szCs w:val="24"/>
        </w:rPr>
      </w:pPr>
      <w:bookmarkStart w:id="55" w:name="_Ref207878890"/>
      <w:r w:rsidRPr="00D41179">
        <w:lastRenderedPageBreak/>
        <w:t>Table</w:t>
      </w:r>
      <w:r w:rsidR="00AD0D41" w:rsidRPr="00D41179">
        <w:t xml:space="preserve"> </w:t>
      </w:r>
      <w:r w:rsidRPr="00D41179">
        <w:fldChar w:fldCharType="begin"/>
      </w:r>
      <w:r w:rsidRPr="00D41179">
        <w:instrText>SEQ Table \* ARABIC</w:instrText>
      </w:r>
      <w:r w:rsidRPr="00D41179">
        <w:fldChar w:fldCharType="separate"/>
      </w:r>
      <w:r w:rsidR="00E7345C" w:rsidRPr="00D41179">
        <w:rPr>
          <w:noProof/>
        </w:rPr>
        <w:t>12</w:t>
      </w:r>
      <w:r w:rsidRPr="00D41179">
        <w:fldChar w:fldCharType="end"/>
      </w:r>
      <w:bookmarkEnd w:id="55"/>
      <w:r w:rsidRPr="00D41179">
        <w:t>:</w:t>
      </w:r>
      <w:r w:rsidRPr="00D41179">
        <w:rPr>
          <w:rStyle w:val="CommentReference"/>
          <w:b/>
          <w:szCs w:val="24"/>
        </w:rPr>
        <w:t xml:space="preserve"> Key drivers of the model</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Caption w:val="Table 12: Key drivers of the model"/>
      </w:tblPr>
      <w:tblGrid>
        <w:gridCol w:w="1129"/>
        <w:gridCol w:w="3829"/>
        <w:gridCol w:w="4059"/>
      </w:tblGrid>
      <w:tr w:rsidR="00F714D1" w:rsidRPr="00D41179" w14:paraId="2125614E" w14:textId="77777777">
        <w:trPr>
          <w:tblHeader/>
        </w:trPr>
        <w:tc>
          <w:tcPr>
            <w:tcW w:w="626" w:type="pct"/>
            <w:vAlign w:val="center"/>
          </w:tcPr>
          <w:p w14:paraId="71BA385E" w14:textId="77777777" w:rsidR="00F714D1" w:rsidRPr="00D41179" w:rsidRDefault="00F714D1" w:rsidP="00294858">
            <w:pPr>
              <w:pStyle w:val="In-tableHeading"/>
            </w:pPr>
            <w:bookmarkStart w:id="56" w:name="_Hlk207879296"/>
            <w:r w:rsidRPr="00D41179">
              <w:t>Description</w:t>
            </w:r>
          </w:p>
        </w:tc>
        <w:tc>
          <w:tcPr>
            <w:tcW w:w="2123" w:type="pct"/>
            <w:vAlign w:val="center"/>
          </w:tcPr>
          <w:p w14:paraId="10116FDA" w14:textId="77777777" w:rsidR="00F714D1" w:rsidRPr="00D41179" w:rsidRDefault="00F714D1" w:rsidP="00294858">
            <w:pPr>
              <w:pStyle w:val="In-tableHeading"/>
            </w:pPr>
            <w:r w:rsidRPr="00D41179">
              <w:t>Method/Value</w:t>
            </w:r>
          </w:p>
        </w:tc>
        <w:tc>
          <w:tcPr>
            <w:tcW w:w="2251" w:type="pct"/>
            <w:vAlign w:val="center"/>
          </w:tcPr>
          <w:p w14:paraId="07FCC1DC" w14:textId="77777777" w:rsidR="00F714D1" w:rsidRPr="00D41179" w:rsidRDefault="00F714D1" w:rsidP="00294858">
            <w:pPr>
              <w:pStyle w:val="In-tableHeading"/>
            </w:pPr>
            <w:r w:rsidRPr="00D41179">
              <w:t>Impact</w:t>
            </w:r>
          </w:p>
          <w:p w14:paraId="06A5C93A" w14:textId="0B073FAD" w:rsidR="00F714D1" w:rsidRPr="00D41179" w:rsidRDefault="00F714D1" w:rsidP="00294858">
            <w:pPr>
              <w:pStyle w:val="In-tableHeading"/>
            </w:pPr>
            <w:r w:rsidRPr="00D41179">
              <w:t>Base case: $</w:t>
            </w:r>
            <w:r w:rsidR="000E1EB2" w:rsidRPr="000E1EB2">
              <w:rPr>
                <w:sz w:val="2"/>
                <w:highlight w:val="black"/>
              </w:rPr>
              <w:t>redacted content</w:t>
            </w:r>
            <w:r w:rsidR="004F01F4" w:rsidRPr="00D41179">
              <w:rPr>
                <w:vertAlign w:val="superscript"/>
              </w:rPr>
              <w:t>1</w:t>
            </w:r>
            <w:r w:rsidRPr="00D41179">
              <w:t>/QALY gained</w:t>
            </w:r>
          </w:p>
        </w:tc>
      </w:tr>
      <w:tr w:rsidR="00F714D1" w:rsidRPr="00D41179" w14:paraId="510D85ED" w14:textId="77777777">
        <w:tc>
          <w:tcPr>
            <w:tcW w:w="626" w:type="pct"/>
            <w:vAlign w:val="center"/>
          </w:tcPr>
          <w:p w14:paraId="3212BFC2" w14:textId="00DA01C8" w:rsidR="00F714D1" w:rsidRPr="00D41179" w:rsidRDefault="00497DB1" w:rsidP="00F95692">
            <w:pPr>
              <w:pStyle w:val="TableText0"/>
            </w:pPr>
            <w:r w:rsidRPr="00D41179">
              <w:t xml:space="preserve">Waning </w:t>
            </w:r>
            <w:r w:rsidR="00F714D1" w:rsidRPr="00D41179">
              <w:t>of VE</w:t>
            </w:r>
          </w:p>
        </w:tc>
        <w:tc>
          <w:tcPr>
            <w:tcW w:w="2123" w:type="pct"/>
            <w:vAlign w:val="center"/>
          </w:tcPr>
          <w:p w14:paraId="145347D3" w14:textId="397206EB" w:rsidR="00F714D1" w:rsidRPr="00D41179" w:rsidRDefault="00F714D1" w:rsidP="00F95692">
            <w:pPr>
              <w:pStyle w:val="TableText0"/>
            </w:pPr>
            <w:r w:rsidRPr="00D41179">
              <w:t>Linear regression based on annual VE</w:t>
            </w:r>
            <w:r w:rsidRPr="00D41179">
              <w:rPr>
                <w:vertAlign w:val="subscript"/>
              </w:rPr>
              <w:t>HZ</w:t>
            </w:r>
            <w:r w:rsidRPr="00D41179">
              <w:t xml:space="preserve"> in the ZOS</w:t>
            </w:r>
            <w:r w:rsidR="00886334" w:rsidRPr="00D41179">
              <w:t>T</w:t>
            </w:r>
            <w:r w:rsidRPr="00D41179">
              <w:t xml:space="preserve">ER-049 trial. </w:t>
            </w:r>
            <w:r w:rsidR="00C45BDE" w:rsidRPr="00D41179">
              <w:t xml:space="preserve">Different waning </w:t>
            </w:r>
            <w:r w:rsidR="008623D8" w:rsidRPr="00D41179">
              <w:t xml:space="preserve">rates were </w:t>
            </w:r>
            <w:r w:rsidR="00C45BDE" w:rsidRPr="00D41179">
              <w:t>applied to individuals 60 to 69 YOA and ≥ 70 YOA</w:t>
            </w:r>
          </w:p>
        </w:tc>
        <w:tc>
          <w:tcPr>
            <w:tcW w:w="2251" w:type="pct"/>
            <w:vAlign w:val="center"/>
          </w:tcPr>
          <w:p w14:paraId="59F73507" w14:textId="77777777" w:rsidR="00F714D1" w:rsidRPr="00D41179" w:rsidRDefault="00F714D1" w:rsidP="00F95692">
            <w:pPr>
              <w:pStyle w:val="TableText0"/>
            </w:pPr>
            <w:r w:rsidRPr="00D41179">
              <w:t>Very high, favours intervention.</w:t>
            </w:r>
          </w:p>
          <w:p w14:paraId="4B6B1D0A" w14:textId="39288983" w:rsidR="00C45BDE" w:rsidRPr="00D41179" w:rsidRDefault="00FA0779" w:rsidP="00F95692">
            <w:pPr>
              <w:pStyle w:val="TableText0"/>
            </w:pPr>
            <w:r w:rsidRPr="00D41179">
              <w:t xml:space="preserve">Applying a higher </w:t>
            </w:r>
            <w:r w:rsidR="00152FF0" w:rsidRPr="00D41179">
              <w:t>rate of waning (2.15%) to whole cohort, increased ICER to $</w:t>
            </w:r>
            <w:r w:rsidR="000E1EB2" w:rsidRPr="000E1EB2">
              <w:rPr>
                <w:sz w:val="2"/>
                <w:highlight w:val="black"/>
              </w:rPr>
              <w:t>redacted content</w:t>
            </w:r>
            <w:r w:rsidR="00F0688E" w:rsidRPr="00D41179">
              <w:rPr>
                <w:vertAlign w:val="superscript"/>
              </w:rPr>
              <w:t>2</w:t>
            </w:r>
            <w:r w:rsidR="00152FF0" w:rsidRPr="00D41179">
              <w:t xml:space="preserve"> (+</w:t>
            </w:r>
            <w:r w:rsidR="000E1EB2" w:rsidRPr="000E1EB2">
              <w:rPr>
                <w:sz w:val="2"/>
                <w:highlight w:val="black"/>
              </w:rPr>
              <w:t>redacted content</w:t>
            </w:r>
            <w:r w:rsidR="00152FF0" w:rsidRPr="00D41179">
              <w:t>%)</w:t>
            </w:r>
          </w:p>
          <w:p w14:paraId="7BBA4367" w14:textId="77777777" w:rsidR="00F714D1" w:rsidRPr="00D41179" w:rsidRDefault="00F714D1" w:rsidP="00F95692">
            <w:pPr>
              <w:pStyle w:val="TableText0"/>
            </w:pPr>
          </w:p>
          <w:p w14:paraId="33B8BBE8" w14:textId="7212DE32" w:rsidR="00F714D1" w:rsidRPr="00D41179" w:rsidRDefault="00F714D1" w:rsidP="00F95692">
            <w:pPr>
              <w:pStyle w:val="TableText0"/>
            </w:pPr>
          </w:p>
        </w:tc>
      </w:tr>
      <w:tr w:rsidR="00F714D1" w:rsidRPr="00D41179" w14:paraId="7621F171" w14:textId="77777777">
        <w:tc>
          <w:tcPr>
            <w:tcW w:w="626" w:type="pct"/>
            <w:vAlign w:val="center"/>
          </w:tcPr>
          <w:p w14:paraId="0ED7BC5A" w14:textId="77777777" w:rsidR="00F714D1" w:rsidRPr="00D41179" w:rsidRDefault="00F714D1" w:rsidP="00F95692">
            <w:pPr>
              <w:pStyle w:val="TableText0"/>
            </w:pPr>
            <w:r w:rsidRPr="00D41179">
              <w:t>Incidence of HZ</w:t>
            </w:r>
          </w:p>
        </w:tc>
        <w:tc>
          <w:tcPr>
            <w:tcW w:w="2123" w:type="pct"/>
            <w:vAlign w:val="center"/>
          </w:tcPr>
          <w:p w14:paraId="056187B7" w14:textId="77777777" w:rsidR="00F714D1" w:rsidRPr="00D41179" w:rsidRDefault="00F714D1" w:rsidP="00F95692">
            <w:pPr>
              <w:pStyle w:val="TableText0"/>
            </w:pPr>
            <w:r w:rsidRPr="00D41179">
              <w:t xml:space="preserve">Pooled midpoint estimate from MacIntyre (2015) and Qian (2021). </w:t>
            </w:r>
          </w:p>
        </w:tc>
        <w:tc>
          <w:tcPr>
            <w:tcW w:w="2251" w:type="pct"/>
            <w:vAlign w:val="center"/>
          </w:tcPr>
          <w:p w14:paraId="09A021BE" w14:textId="39A2B2E1" w:rsidR="00F714D1" w:rsidRPr="00D41179" w:rsidRDefault="00F714D1" w:rsidP="00F95692">
            <w:pPr>
              <w:pStyle w:val="TableText0"/>
            </w:pPr>
            <w:r w:rsidRPr="00D41179">
              <w:t xml:space="preserve">High </w:t>
            </w:r>
          </w:p>
          <w:p w14:paraId="5F3B3A95" w14:textId="77777777" w:rsidR="00F714D1" w:rsidRPr="00D41179" w:rsidRDefault="00F714D1" w:rsidP="00F95692">
            <w:pPr>
              <w:pStyle w:val="TableText0"/>
            </w:pPr>
          </w:p>
          <w:p w14:paraId="7E4347AF" w14:textId="3485CD58" w:rsidR="00F714D1" w:rsidRPr="00D41179" w:rsidRDefault="00F714D1" w:rsidP="00F95692">
            <w:pPr>
              <w:pStyle w:val="TableText0"/>
            </w:pPr>
            <w:r w:rsidRPr="00D41179">
              <w:t>When lower rates from Qian (2021) were applied in the economic model the ICER increased to $</w:t>
            </w:r>
            <w:r w:rsidR="000E1EB2" w:rsidRPr="000E1EB2">
              <w:rPr>
                <w:sz w:val="2"/>
                <w:highlight w:val="black"/>
              </w:rPr>
              <w:t>redacted content</w:t>
            </w:r>
            <w:r w:rsidR="00F0688E" w:rsidRPr="00D41179">
              <w:rPr>
                <w:vertAlign w:val="superscript"/>
              </w:rPr>
              <w:t>3</w:t>
            </w:r>
            <w:r w:rsidRPr="00D41179">
              <w:t>/QALY (+</w:t>
            </w:r>
            <w:r w:rsidR="000E1EB2" w:rsidRPr="000E1EB2">
              <w:rPr>
                <w:sz w:val="2"/>
                <w:highlight w:val="black"/>
              </w:rPr>
              <w:t>redacted content</w:t>
            </w:r>
            <w:r w:rsidRPr="00D41179">
              <w:t>%).</w:t>
            </w:r>
          </w:p>
        </w:tc>
      </w:tr>
      <w:tr w:rsidR="00F714D1" w:rsidRPr="00D41179" w14:paraId="6A62B7A1" w14:textId="77777777">
        <w:tc>
          <w:tcPr>
            <w:tcW w:w="626" w:type="pct"/>
            <w:vAlign w:val="center"/>
          </w:tcPr>
          <w:p w14:paraId="0F387969" w14:textId="700CA077" w:rsidR="00F714D1" w:rsidRPr="00D41179" w:rsidRDefault="00F714D1" w:rsidP="00F95692">
            <w:pPr>
              <w:pStyle w:val="TableText0"/>
            </w:pPr>
            <w:r w:rsidRPr="00D41179">
              <w:t xml:space="preserve">QALY loss per HZ case </w:t>
            </w:r>
          </w:p>
        </w:tc>
        <w:tc>
          <w:tcPr>
            <w:tcW w:w="2123" w:type="pct"/>
            <w:vAlign w:val="center"/>
          </w:tcPr>
          <w:p w14:paraId="04966047" w14:textId="1C102867" w:rsidR="00F714D1" w:rsidRPr="00D41179" w:rsidRDefault="00F714D1" w:rsidP="00F95692">
            <w:pPr>
              <w:pStyle w:val="TableText0"/>
              <w:rPr>
                <w:lang w:val="en-GB"/>
              </w:rPr>
            </w:pPr>
          </w:p>
          <w:p w14:paraId="17F840F0" w14:textId="32EAAD71" w:rsidR="00F714D1" w:rsidRPr="00D41179" w:rsidRDefault="00F714D1" w:rsidP="00F95692">
            <w:pPr>
              <w:pStyle w:val="TableText0"/>
            </w:pPr>
            <w:r w:rsidRPr="00D41179">
              <w:t xml:space="preserve">Estimated utility loss per case of HZ (Gater (2014) and Serpell (2014)) was multiplied by mean duration of HZ case without PHN from Curran (2017) assuming an exponential decay in disutility. </w:t>
            </w:r>
          </w:p>
        </w:tc>
        <w:tc>
          <w:tcPr>
            <w:tcW w:w="2251" w:type="pct"/>
            <w:vAlign w:val="center"/>
          </w:tcPr>
          <w:p w14:paraId="29DFF30F" w14:textId="288A8537" w:rsidR="00F714D1" w:rsidRPr="00D41179" w:rsidRDefault="00F714D1" w:rsidP="00F95692">
            <w:pPr>
              <w:pStyle w:val="TableText0"/>
            </w:pPr>
            <w:r w:rsidRPr="00D41179">
              <w:t xml:space="preserve">High </w:t>
            </w:r>
          </w:p>
          <w:p w14:paraId="0F7C3EF3" w14:textId="1CA77AA1" w:rsidR="00F714D1" w:rsidRPr="00D41179" w:rsidRDefault="00F714D1" w:rsidP="00F95692">
            <w:pPr>
              <w:pStyle w:val="TableText0"/>
            </w:pPr>
          </w:p>
          <w:p w14:paraId="2C87A21B" w14:textId="4CF64A9D" w:rsidR="00F714D1" w:rsidRPr="00D41179" w:rsidRDefault="00F714D1" w:rsidP="00F95692">
            <w:pPr>
              <w:pStyle w:val="TableText0"/>
            </w:pPr>
            <w:r w:rsidRPr="00D41179">
              <w:t>In sensitivity analysis conducted during the evaluation, when the lowest literature estimate was applied (Pieters (2022)) the ICER increased to $</w:t>
            </w:r>
            <w:r w:rsidR="000E1EB2" w:rsidRPr="000E1EB2">
              <w:rPr>
                <w:sz w:val="2"/>
                <w:highlight w:val="black"/>
              </w:rPr>
              <w:t>redacted content</w:t>
            </w:r>
            <w:r w:rsidR="001D45E4" w:rsidRPr="00D41179">
              <w:rPr>
                <w:vertAlign w:val="superscript"/>
              </w:rPr>
              <w:t>3</w:t>
            </w:r>
            <w:r w:rsidRPr="00D41179">
              <w:t xml:space="preserve"> (+</w:t>
            </w:r>
            <w:r w:rsidR="000E1EB2" w:rsidRPr="000E1EB2">
              <w:rPr>
                <w:sz w:val="2"/>
                <w:highlight w:val="black"/>
              </w:rPr>
              <w:t>redacted content</w:t>
            </w:r>
            <w:r w:rsidRPr="00D41179">
              <w:t>%). When the highest literature estimate, (de Boer (2019)) was applied the ICER decreased to $</w:t>
            </w:r>
            <w:r w:rsidR="000E1EB2" w:rsidRPr="000E1EB2">
              <w:rPr>
                <w:sz w:val="2"/>
                <w:highlight w:val="black"/>
              </w:rPr>
              <w:t>redacted content</w:t>
            </w:r>
            <w:r w:rsidR="00AB6286" w:rsidRPr="00D41179">
              <w:rPr>
                <w:vertAlign w:val="superscript"/>
              </w:rPr>
              <w:t>4</w:t>
            </w:r>
            <w:r w:rsidRPr="00D41179">
              <w:t xml:space="preserve"> </w:t>
            </w:r>
            <w:r w:rsidR="00AB6286" w:rsidRPr="00D41179">
              <w:br/>
            </w:r>
            <w:r w:rsidRPr="00D41179">
              <w:t>(-</w:t>
            </w:r>
            <w:r w:rsidR="000E1EB2" w:rsidRPr="000E1EB2">
              <w:rPr>
                <w:sz w:val="2"/>
                <w:highlight w:val="black"/>
              </w:rPr>
              <w:t>redacted content</w:t>
            </w:r>
            <w:r w:rsidRPr="00D41179">
              <w:t>%)</w:t>
            </w:r>
          </w:p>
        </w:tc>
      </w:tr>
      <w:tr w:rsidR="00F714D1" w:rsidRPr="00D41179" w14:paraId="32C04EEE" w14:textId="77777777">
        <w:tc>
          <w:tcPr>
            <w:tcW w:w="626" w:type="pct"/>
            <w:vAlign w:val="center"/>
          </w:tcPr>
          <w:p w14:paraId="682B82D0" w14:textId="1D2B3E8E" w:rsidR="00F714D1" w:rsidRPr="00D41179" w:rsidRDefault="00F714D1" w:rsidP="00F95692">
            <w:pPr>
              <w:pStyle w:val="TableText0"/>
            </w:pPr>
            <w:r w:rsidRPr="00D41179">
              <w:t xml:space="preserve">QALY loss per PHN case </w:t>
            </w:r>
          </w:p>
        </w:tc>
        <w:tc>
          <w:tcPr>
            <w:tcW w:w="2123" w:type="pct"/>
            <w:vAlign w:val="center"/>
          </w:tcPr>
          <w:p w14:paraId="684651E8" w14:textId="1022ABF3" w:rsidR="00F714D1" w:rsidRPr="00D41179" w:rsidRDefault="00F714D1" w:rsidP="00F95692">
            <w:pPr>
              <w:pStyle w:val="TableText0"/>
            </w:pPr>
            <w:r w:rsidRPr="00D41179">
              <w:t xml:space="preserve">Estimated utility loss per case of HZ (Gater (2014) and Serpell (2014)) was multiplied by mean duration of HZ case in the SPS trial (Moore 2010). </w:t>
            </w:r>
          </w:p>
        </w:tc>
        <w:tc>
          <w:tcPr>
            <w:tcW w:w="2251" w:type="pct"/>
            <w:vAlign w:val="center"/>
          </w:tcPr>
          <w:p w14:paraId="6CC12425" w14:textId="0133C1E9" w:rsidR="00F714D1" w:rsidRPr="00D41179" w:rsidRDefault="00F714D1" w:rsidP="00F95692">
            <w:pPr>
              <w:pStyle w:val="TableText0"/>
            </w:pPr>
            <w:r w:rsidRPr="00D41179">
              <w:t xml:space="preserve">High </w:t>
            </w:r>
          </w:p>
          <w:p w14:paraId="48948ABD" w14:textId="452B7112" w:rsidR="00F714D1" w:rsidRPr="00D41179" w:rsidRDefault="00F714D1" w:rsidP="00F95692">
            <w:pPr>
              <w:pStyle w:val="TableText0"/>
            </w:pPr>
          </w:p>
          <w:p w14:paraId="059B52B3" w14:textId="7BADF88D" w:rsidR="00F714D1" w:rsidRPr="00D41179" w:rsidRDefault="00F714D1" w:rsidP="00F95692">
            <w:pPr>
              <w:pStyle w:val="TableText0"/>
            </w:pPr>
            <w:r w:rsidRPr="00D41179">
              <w:t>In sensitivity analysis conducted during the evaluation, when the lowest literature estimate was applied the ICER increased to $</w:t>
            </w:r>
            <w:r w:rsidR="000E1EB2" w:rsidRPr="000E1EB2">
              <w:rPr>
                <w:sz w:val="2"/>
                <w:highlight w:val="black"/>
              </w:rPr>
              <w:t>redacted content</w:t>
            </w:r>
            <w:r w:rsidR="001D45E4" w:rsidRPr="00D41179">
              <w:rPr>
                <w:vertAlign w:val="superscript"/>
              </w:rPr>
              <w:t>3</w:t>
            </w:r>
            <w:r w:rsidRPr="00D41179">
              <w:t xml:space="preserve"> (+</w:t>
            </w:r>
            <w:r w:rsidR="000E1EB2" w:rsidRPr="000E1EB2">
              <w:rPr>
                <w:sz w:val="2"/>
                <w:highlight w:val="black"/>
              </w:rPr>
              <w:t>redacted content</w:t>
            </w:r>
            <w:r w:rsidRPr="00D41179">
              <w:t>%). When the highest literature estimate, was applied the ICER decreased to $</w:t>
            </w:r>
            <w:r w:rsidR="000E1EB2" w:rsidRPr="000E1EB2">
              <w:rPr>
                <w:sz w:val="2"/>
                <w:highlight w:val="black"/>
              </w:rPr>
              <w:t>redacted content</w:t>
            </w:r>
            <w:r w:rsidR="0070314A" w:rsidRPr="00D41179">
              <w:rPr>
                <w:vertAlign w:val="superscript"/>
              </w:rPr>
              <w:t>1</w:t>
            </w:r>
            <w:r w:rsidRPr="00D41179">
              <w:t xml:space="preserve"> (-</w:t>
            </w:r>
            <w:r w:rsidR="000E1EB2" w:rsidRPr="000E1EB2">
              <w:rPr>
                <w:sz w:val="2"/>
                <w:highlight w:val="black"/>
              </w:rPr>
              <w:t>redacted content</w:t>
            </w:r>
            <w:r w:rsidRPr="00D41179">
              <w:t>%).</w:t>
            </w:r>
          </w:p>
        </w:tc>
      </w:tr>
      <w:tr w:rsidR="00F714D1" w:rsidRPr="00D41179" w14:paraId="6854F199" w14:textId="77777777">
        <w:tc>
          <w:tcPr>
            <w:tcW w:w="626" w:type="pct"/>
            <w:vAlign w:val="center"/>
          </w:tcPr>
          <w:p w14:paraId="16A0D941" w14:textId="77777777" w:rsidR="00F714D1" w:rsidRPr="00D41179" w:rsidRDefault="00F714D1" w:rsidP="00F95692">
            <w:pPr>
              <w:pStyle w:val="TableText0"/>
            </w:pPr>
            <w:r w:rsidRPr="00D41179">
              <w:t>Discount rate</w:t>
            </w:r>
          </w:p>
        </w:tc>
        <w:tc>
          <w:tcPr>
            <w:tcW w:w="2123" w:type="pct"/>
            <w:vAlign w:val="center"/>
          </w:tcPr>
          <w:p w14:paraId="33BB4F75" w14:textId="2151903E" w:rsidR="00F714D1" w:rsidRPr="00D41179" w:rsidRDefault="00F714D1" w:rsidP="00F95692">
            <w:pPr>
              <w:pStyle w:val="TableText0"/>
            </w:pPr>
            <w:r w:rsidRPr="00D41179">
              <w:t xml:space="preserve">5% (base case presented in the </w:t>
            </w:r>
            <w:r w:rsidR="006E4120" w:rsidRPr="00D41179">
              <w:t>evaluation</w:t>
            </w:r>
            <w:r w:rsidRPr="00D41179">
              <w:t>, base case applied in the submission was 3.5%)</w:t>
            </w:r>
          </w:p>
        </w:tc>
        <w:tc>
          <w:tcPr>
            <w:tcW w:w="2251" w:type="pct"/>
            <w:vAlign w:val="center"/>
          </w:tcPr>
          <w:p w14:paraId="33E401DD" w14:textId="1F341169" w:rsidR="00F714D1" w:rsidRPr="00D41179" w:rsidRDefault="00F714D1" w:rsidP="00F95692">
            <w:pPr>
              <w:pStyle w:val="TableText0"/>
            </w:pPr>
            <w:r w:rsidRPr="00D41179">
              <w:t>High, lower rate</w:t>
            </w:r>
            <w:r w:rsidR="001D7D86" w:rsidRPr="00D41179">
              <w:t xml:space="preserve"> applied</w:t>
            </w:r>
            <w:r w:rsidR="00B613EC" w:rsidRPr="00D41179">
              <w:t xml:space="preserve"> </w:t>
            </w:r>
            <w:r w:rsidRPr="00D41179">
              <w:t>favour</w:t>
            </w:r>
            <w:r w:rsidR="001D7D86" w:rsidRPr="00D41179">
              <w:t>ed</w:t>
            </w:r>
            <w:r w:rsidRPr="00D41179">
              <w:t xml:space="preserve"> intervention </w:t>
            </w:r>
          </w:p>
          <w:p w14:paraId="4D284444" w14:textId="77777777" w:rsidR="00F714D1" w:rsidRPr="00D41179" w:rsidRDefault="00F714D1" w:rsidP="00F95692">
            <w:pPr>
              <w:pStyle w:val="TableText0"/>
            </w:pPr>
          </w:p>
          <w:p w14:paraId="1CCFBB66" w14:textId="6F4E2A2F" w:rsidR="00F714D1" w:rsidRPr="00D41179" w:rsidRDefault="00F714D1" w:rsidP="00F95692">
            <w:pPr>
              <w:pStyle w:val="TableText0"/>
            </w:pPr>
            <w:r w:rsidRPr="00D41179">
              <w:t>When a rate of 3.5% was applied the ICER decreased to $</w:t>
            </w:r>
            <w:r w:rsidR="000E1EB2" w:rsidRPr="000E1EB2">
              <w:rPr>
                <w:sz w:val="2"/>
                <w:highlight w:val="black"/>
              </w:rPr>
              <w:t>redacted content</w:t>
            </w:r>
            <w:r w:rsidR="006261B6" w:rsidRPr="00D41179">
              <w:rPr>
                <w:vertAlign w:val="superscript"/>
              </w:rPr>
              <w:t>1</w:t>
            </w:r>
            <w:r w:rsidRPr="00D41179">
              <w:t xml:space="preserve"> (-</w:t>
            </w:r>
            <w:r w:rsidR="000E1EB2" w:rsidRPr="000E1EB2">
              <w:rPr>
                <w:sz w:val="2"/>
                <w:highlight w:val="black"/>
              </w:rPr>
              <w:t>redacted content</w:t>
            </w:r>
            <w:r w:rsidRPr="00D41179">
              <w:t xml:space="preserve">%) and when no discounting was applied the intervention became dominant. </w:t>
            </w:r>
          </w:p>
        </w:tc>
      </w:tr>
    </w:tbl>
    <w:bookmarkEnd w:id="56"/>
    <w:p w14:paraId="1DC5679B" w14:textId="77777777" w:rsidR="00F714D1" w:rsidRPr="00D41179" w:rsidRDefault="00F714D1" w:rsidP="007020F6">
      <w:pPr>
        <w:pStyle w:val="FooterTableFigure"/>
        <w:keepNext/>
        <w:keepLines/>
      </w:pPr>
      <w:r w:rsidRPr="00D41179">
        <w:t xml:space="preserve">Source: Compiled during evaluation </w:t>
      </w:r>
    </w:p>
    <w:p w14:paraId="392463CD" w14:textId="0434AA08" w:rsidR="00F714D1" w:rsidRPr="00D41179" w:rsidRDefault="00F714D1" w:rsidP="007020F6">
      <w:pPr>
        <w:pStyle w:val="FooterTableFigure"/>
        <w:keepNext/>
        <w:keepLines/>
      </w:pPr>
      <w:r w:rsidRPr="00D41179">
        <w:t>HZ</w:t>
      </w:r>
      <w:r w:rsidR="003B5DA1" w:rsidRPr="00D41179">
        <w:t xml:space="preserve"> = </w:t>
      </w:r>
      <w:r w:rsidRPr="00D41179">
        <w:t>herpes zoster; ICER</w:t>
      </w:r>
      <w:r w:rsidR="003B5DA1" w:rsidRPr="00D41179">
        <w:t xml:space="preserve"> = </w:t>
      </w:r>
      <w:r w:rsidRPr="00D41179">
        <w:t>incremental cost-effectiveness ratio; PHN</w:t>
      </w:r>
      <w:r w:rsidR="003B5DA1" w:rsidRPr="00D41179">
        <w:t xml:space="preserve"> = </w:t>
      </w:r>
      <w:r w:rsidRPr="00D41179">
        <w:t>post-herpetic neuralgia; QALY</w:t>
      </w:r>
      <w:r w:rsidR="003B5DA1" w:rsidRPr="00D41179">
        <w:t xml:space="preserve"> = </w:t>
      </w:r>
      <w:r w:rsidRPr="00D41179">
        <w:t>quality-adjusted life year; VE</w:t>
      </w:r>
      <w:r w:rsidR="003B5DA1" w:rsidRPr="00D41179">
        <w:t xml:space="preserve"> = </w:t>
      </w:r>
      <w:r w:rsidRPr="00D41179">
        <w:t>vaccine efficacy</w:t>
      </w:r>
    </w:p>
    <w:p w14:paraId="62C12981" w14:textId="42906C64" w:rsidR="004F01F4" w:rsidRPr="00D41179" w:rsidRDefault="00F0688E" w:rsidP="007020F6">
      <w:pPr>
        <w:pStyle w:val="FooterTableFigure"/>
        <w:keepNext/>
        <w:keepLines/>
        <w:rPr>
          <w:i/>
          <w:iCs/>
        </w:rPr>
      </w:pPr>
      <w:r w:rsidRPr="00D41179">
        <w:rPr>
          <w:i/>
          <w:iCs/>
        </w:rPr>
        <w:t>The redacted values correspond to the following ranges:</w:t>
      </w:r>
    </w:p>
    <w:p w14:paraId="0CC055D3" w14:textId="70D8B355" w:rsidR="00F0688E" w:rsidRPr="00D41179" w:rsidRDefault="00F0688E" w:rsidP="00F0688E">
      <w:pPr>
        <w:pStyle w:val="FooterTableFigure"/>
        <w:keepNext/>
        <w:keepLines/>
        <w:jc w:val="left"/>
        <w:rPr>
          <w:i/>
          <w:iCs/>
        </w:rPr>
      </w:pPr>
      <w:r w:rsidRPr="00D41179">
        <w:rPr>
          <w:i/>
          <w:iCs/>
          <w:vertAlign w:val="superscript"/>
        </w:rPr>
        <w:t>1</w:t>
      </w:r>
      <w:r w:rsidRPr="00D41179">
        <w:rPr>
          <w:i/>
          <w:iCs/>
        </w:rPr>
        <w:t xml:space="preserve"> $15,000 to &lt; $25,000</w:t>
      </w:r>
      <w:r w:rsidRPr="00D41179">
        <w:rPr>
          <w:i/>
          <w:iCs/>
        </w:rPr>
        <w:br/>
      </w:r>
      <w:r w:rsidRPr="00D41179">
        <w:rPr>
          <w:i/>
          <w:iCs/>
          <w:vertAlign w:val="superscript"/>
        </w:rPr>
        <w:t xml:space="preserve">2 </w:t>
      </w:r>
      <w:r w:rsidRPr="00D41179">
        <w:rPr>
          <w:i/>
          <w:iCs/>
        </w:rPr>
        <w:t>$35,000 to &lt; $45,000</w:t>
      </w:r>
      <w:r w:rsidRPr="00D41179">
        <w:rPr>
          <w:i/>
          <w:iCs/>
        </w:rPr>
        <w:br/>
      </w:r>
      <w:r w:rsidRPr="00D41179">
        <w:rPr>
          <w:i/>
          <w:iCs/>
          <w:vertAlign w:val="superscript"/>
        </w:rPr>
        <w:t xml:space="preserve">3 </w:t>
      </w:r>
      <w:r w:rsidR="00A00C33" w:rsidRPr="00D41179">
        <w:rPr>
          <w:i/>
          <w:iCs/>
        </w:rPr>
        <w:t>$25,000 to &lt; $35,000</w:t>
      </w:r>
      <w:r w:rsidR="00AB6286" w:rsidRPr="00D41179">
        <w:rPr>
          <w:i/>
          <w:iCs/>
        </w:rPr>
        <w:br/>
      </w:r>
      <w:r w:rsidR="00AB6286" w:rsidRPr="00D41179">
        <w:rPr>
          <w:i/>
          <w:iCs/>
          <w:vertAlign w:val="superscript"/>
        </w:rPr>
        <w:t>4</w:t>
      </w:r>
      <w:r w:rsidR="00AB6286" w:rsidRPr="00D41179">
        <w:rPr>
          <w:i/>
          <w:iCs/>
        </w:rPr>
        <w:t xml:space="preserve"> $5,000 to &lt; $15,000</w:t>
      </w:r>
      <w:r w:rsidRPr="00D41179">
        <w:rPr>
          <w:i/>
          <w:iCs/>
        </w:rPr>
        <w:br/>
      </w:r>
    </w:p>
    <w:p w14:paraId="0F40AB4D" w14:textId="77777777" w:rsidR="00F0688E" w:rsidRPr="00D41179" w:rsidRDefault="00F0688E" w:rsidP="007020F6">
      <w:pPr>
        <w:pStyle w:val="FooterTableFigure"/>
        <w:keepNext/>
        <w:keepLines/>
        <w:rPr>
          <w:i/>
          <w:iCs/>
        </w:rPr>
      </w:pPr>
    </w:p>
    <w:p w14:paraId="651A73ED" w14:textId="6BB5C719" w:rsidR="00F86740" w:rsidRDefault="00F714D1" w:rsidP="00A64F5D">
      <w:pPr>
        <w:numPr>
          <w:ilvl w:val="1"/>
          <w:numId w:val="8"/>
        </w:numPr>
        <w:spacing w:before="60" w:after="60"/>
        <w:ind w:left="709"/>
        <w:rPr>
          <w:rFonts w:asciiTheme="minorHAnsi" w:eastAsiaTheme="minorHAnsi" w:hAnsiTheme="minorHAnsi" w:cstheme="minorBidi"/>
          <w:szCs w:val="22"/>
        </w:rPr>
      </w:pPr>
      <w:r w:rsidRPr="00D41179">
        <w:rPr>
          <w:rFonts w:asciiTheme="minorHAnsi" w:eastAsiaTheme="minorHAnsi" w:hAnsiTheme="minorHAnsi" w:cstheme="minorBidi"/>
          <w:szCs w:val="22"/>
        </w:rPr>
        <w:t xml:space="preserve">The results of the economic evaluation for RZV vaccination starting at age 60 compared to RZV starting at age 65 are presented in </w:t>
      </w:r>
      <w:r w:rsidR="00015D85" w:rsidRPr="00D41179">
        <w:rPr>
          <w:rFonts w:asciiTheme="minorHAnsi" w:eastAsiaTheme="minorHAnsi" w:hAnsiTheme="minorHAnsi" w:cstheme="minorBidi"/>
          <w:szCs w:val="22"/>
        </w:rPr>
        <w:fldChar w:fldCharType="begin"/>
      </w:r>
      <w:r w:rsidR="00015D85" w:rsidRPr="00D41179">
        <w:rPr>
          <w:rFonts w:asciiTheme="minorHAnsi" w:eastAsiaTheme="minorHAnsi" w:hAnsiTheme="minorHAnsi" w:cstheme="minorBidi"/>
          <w:szCs w:val="22"/>
        </w:rPr>
        <w:instrText xml:space="preserve"> REF _Ref207878938 \h </w:instrText>
      </w:r>
      <w:r w:rsidR="00D41179">
        <w:rPr>
          <w:rFonts w:asciiTheme="minorHAnsi" w:eastAsiaTheme="minorHAnsi" w:hAnsiTheme="minorHAnsi" w:cstheme="minorBidi"/>
          <w:szCs w:val="22"/>
        </w:rPr>
        <w:instrText xml:space="preserve"> \* MERGEFORMAT </w:instrText>
      </w:r>
      <w:r w:rsidR="00015D85" w:rsidRPr="00D41179">
        <w:rPr>
          <w:rFonts w:asciiTheme="minorHAnsi" w:eastAsiaTheme="minorHAnsi" w:hAnsiTheme="minorHAnsi" w:cstheme="minorBidi"/>
          <w:szCs w:val="22"/>
        </w:rPr>
      </w:r>
      <w:r w:rsidR="00015D85" w:rsidRPr="00D41179">
        <w:rPr>
          <w:rFonts w:asciiTheme="minorHAnsi" w:eastAsiaTheme="minorHAnsi" w:hAnsiTheme="minorHAnsi" w:cstheme="minorBidi"/>
          <w:szCs w:val="22"/>
        </w:rPr>
        <w:fldChar w:fldCharType="separate"/>
      </w:r>
      <w:r w:rsidR="00E7345C" w:rsidRPr="00D41179">
        <w:t xml:space="preserve">Table </w:t>
      </w:r>
      <w:r w:rsidR="00E7345C" w:rsidRPr="00D41179">
        <w:rPr>
          <w:noProof/>
        </w:rPr>
        <w:t>13</w:t>
      </w:r>
      <w:r w:rsidR="00015D85" w:rsidRPr="00D41179">
        <w:rPr>
          <w:rFonts w:asciiTheme="minorHAnsi" w:eastAsiaTheme="minorHAnsi" w:hAnsiTheme="minorHAnsi" w:cstheme="minorBidi"/>
          <w:szCs w:val="22"/>
        </w:rPr>
        <w:fldChar w:fldCharType="end"/>
      </w:r>
      <w:r w:rsidR="00015D85" w:rsidRPr="00D41179">
        <w:rPr>
          <w:rFonts w:asciiTheme="minorHAnsi" w:eastAsiaTheme="minorHAnsi" w:hAnsiTheme="minorHAnsi" w:cstheme="minorBidi"/>
          <w:szCs w:val="22"/>
        </w:rPr>
        <w:t>.</w:t>
      </w:r>
    </w:p>
    <w:p w14:paraId="37A3EB1D" w14:textId="77777777" w:rsidR="00F86740" w:rsidRDefault="00F86740">
      <w:pPr>
        <w:jc w:val="left"/>
        <w:rPr>
          <w:rFonts w:asciiTheme="minorHAnsi" w:eastAsiaTheme="minorHAnsi" w:hAnsiTheme="minorHAnsi" w:cstheme="minorBidi"/>
          <w:szCs w:val="22"/>
        </w:rPr>
      </w:pPr>
      <w:r>
        <w:rPr>
          <w:rFonts w:asciiTheme="minorHAnsi" w:eastAsiaTheme="minorHAnsi" w:hAnsiTheme="minorHAnsi" w:cstheme="minorBidi"/>
          <w:szCs w:val="22"/>
        </w:rPr>
        <w:br w:type="page"/>
      </w:r>
    </w:p>
    <w:p w14:paraId="3A9DA849" w14:textId="0013087B" w:rsidR="00F714D1" w:rsidRPr="00D41179" w:rsidRDefault="00F714D1" w:rsidP="007020F6">
      <w:pPr>
        <w:pStyle w:val="Caption"/>
        <w:widowControl w:val="0"/>
      </w:pPr>
      <w:bookmarkStart w:id="57" w:name="_Ref207727098"/>
      <w:bookmarkStart w:id="58" w:name="_Ref207878938"/>
      <w:r w:rsidRPr="00D41179">
        <w:lastRenderedPageBreak/>
        <w:t xml:space="preserve">Table </w:t>
      </w:r>
      <w:bookmarkEnd w:id="57"/>
      <w:r w:rsidR="00015D85" w:rsidRPr="00D41179">
        <w:fldChar w:fldCharType="begin"/>
      </w:r>
      <w:r w:rsidR="00015D85" w:rsidRPr="00D41179">
        <w:instrText xml:space="preserve"> SEQ Table \* ARABIC </w:instrText>
      </w:r>
      <w:r w:rsidR="00015D85" w:rsidRPr="00D41179">
        <w:fldChar w:fldCharType="separate"/>
      </w:r>
      <w:r w:rsidR="00E7345C" w:rsidRPr="00D41179">
        <w:rPr>
          <w:noProof/>
        </w:rPr>
        <w:t>13</w:t>
      </w:r>
      <w:r w:rsidR="00015D85" w:rsidRPr="00D41179">
        <w:fldChar w:fldCharType="end"/>
      </w:r>
      <w:bookmarkEnd w:id="58"/>
      <w:r w:rsidR="00015D85" w:rsidRPr="00D41179">
        <w:t>:</w:t>
      </w:r>
      <w:r w:rsidRPr="00D41179">
        <w:t xml:space="preserve"> Results of economic evaluation for RZV vaccination at age 60 compared to RZV at age 65</w:t>
      </w:r>
    </w:p>
    <w:tbl>
      <w:tblPr>
        <w:tblW w:w="5000" w:type="pct"/>
        <w:tblLook w:val="04A0" w:firstRow="1" w:lastRow="0" w:firstColumn="1" w:lastColumn="0" w:noHBand="0" w:noVBand="1"/>
        <w:tblCaption w:val="Table 13: Results of economic evaluation for RZV vaccination at age 60 compared to RZV at age 65"/>
      </w:tblPr>
      <w:tblGrid>
        <w:gridCol w:w="2860"/>
        <w:gridCol w:w="1273"/>
        <w:gridCol w:w="1219"/>
        <w:gridCol w:w="1225"/>
        <w:gridCol w:w="1215"/>
        <w:gridCol w:w="1225"/>
      </w:tblGrid>
      <w:tr w:rsidR="00F714D1" w:rsidRPr="00D41179" w14:paraId="4DFD745D" w14:textId="77777777" w:rsidTr="00F04971">
        <w:trPr>
          <w:trHeight w:val="560"/>
          <w:tblHeader/>
        </w:trPr>
        <w:tc>
          <w:tcPr>
            <w:tcW w:w="1586" w:type="pct"/>
            <w:tcBorders>
              <w:top w:val="single" w:sz="4" w:space="0" w:color="auto"/>
              <w:left w:val="single" w:sz="4" w:space="0" w:color="auto"/>
              <w:bottom w:val="single" w:sz="4" w:space="0" w:color="auto"/>
              <w:right w:val="single" w:sz="4" w:space="0" w:color="auto"/>
            </w:tcBorders>
            <w:shd w:val="clear" w:color="000000" w:fill="BFBFBF"/>
            <w:noWrap/>
            <w:vAlign w:val="center"/>
            <w:hideMark/>
          </w:tcPr>
          <w:p w14:paraId="403E6F21" w14:textId="77777777" w:rsidR="00F714D1" w:rsidRPr="00D41179" w:rsidRDefault="00F714D1" w:rsidP="007020F6">
            <w:pPr>
              <w:pStyle w:val="TableHeading0"/>
              <w:keepNext/>
              <w:keepLines/>
              <w:widowControl w:val="0"/>
            </w:pPr>
            <w:r w:rsidRPr="00D41179">
              <w:t>Result</w:t>
            </w:r>
          </w:p>
        </w:tc>
        <w:tc>
          <w:tcPr>
            <w:tcW w:w="706" w:type="pct"/>
            <w:tcBorders>
              <w:top w:val="single" w:sz="4" w:space="0" w:color="auto"/>
              <w:left w:val="nil"/>
              <w:bottom w:val="single" w:sz="4" w:space="0" w:color="auto"/>
              <w:right w:val="single" w:sz="4" w:space="0" w:color="auto"/>
            </w:tcBorders>
            <w:shd w:val="clear" w:color="000000" w:fill="BFBFBF"/>
            <w:vAlign w:val="center"/>
            <w:hideMark/>
          </w:tcPr>
          <w:p w14:paraId="363A2C6D" w14:textId="739A05E1" w:rsidR="00F714D1" w:rsidRPr="00D41179" w:rsidRDefault="00F714D1" w:rsidP="007020F6">
            <w:pPr>
              <w:pStyle w:val="TableHeading0"/>
              <w:keepNext/>
              <w:keepLines/>
              <w:widowControl w:val="0"/>
            </w:pPr>
            <w:r w:rsidRPr="00D41179">
              <w:t>RZV 60 YOA</w:t>
            </w:r>
          </w:p>
        </w:tc>
        <w:tc>
          <w:tcPr>
            <w:tcW w:w="676" w:type="pct"/>
            <w:tcBorders>
              <w:top w:val="single" w:sz="4" w:space="0" w:color="auto"/>
              <w:left w:val="nil"/>
              <w:bottom w:val="single" w:sz="4" w:space="0" w:color="auto"/>
              <w:right w:val="single" w:sz="4" w:space="0" w:color="auto"/>
            </w:tcBorders>
            <w:shd w:val="clear" w:color="000000" w:fill="BFBFBF"/>
            <w:vAlign w:val="center"/>
            <w:hideMark/>
          </w:tcPr>
          <w:p w14:paraId="70C73540" w14:textId="77777777" w:rsidR="00F714D1" w:rsidRPr="00D41179" w:rsidRDefault="00F714D1" w:rsidP="007020F6">
            <w:pPr>
              <w:pStyle w:val="TableHeading0"/>
              <w:keepNext/>
              <w:keepLines/>
              <w:widowControl w:val="0"/>
            </w:pPr>
            <w:r w:rsidRPr="00D41179">
              <w:t>RZV 65 YOA</w:t>
            </w:r>
          </w:p>
        </w:tc>
        <w:tc>
          <w:tcPr>
            <w:tcW w:w="679" w:type="pct"/>
            <w:tcBorders>
              <w:top w:val="single" w:sz="4" w:space="0" w:color="auto"/>
              <w:left w:val="nil"/>
              <w:bottom w:val="single" w:sz="4" w:space="0" w:color="auto"/>
              <w:right w:val="single" w:sz="4" w:space="0" w:color="auto"/>
            </w:tcBorders>
            <w:shd w:val="clear" w:color="000000" w:fill="BFBFBF"/>
            <w:vAlign w:val="center"/>
            <w:hideMark/>
          </w:tcPr>
          <w:p w14:paraId="2552C86B" w14:textId="77777777" w:rsidR="00F714D1" w:rsidRPr="00D41179" w:rsidRDefault="00F714D1" w:rsidP="007020F6">
            <w:pPr>
              <w:pStyle w:val="TableHeading0"/>
              <w:keepNext/>
              <w:keepLines/>
              <w:widowControl w:val="0"/>
            </w:pPr>
            <w:r w:rsidRPr="00D41179">
              <w:t>Δ abs.</w:t>
            </w:r>
          </w:p>
        </w:tc>
        <w:tc>
          <w:tcPr>
            <w:tcW w:w="674" w:type="pct"/>
            <w:tcBorders>
              <w:top w:val="single" w:sz="4" w:space="0" w:color="auto"/>
              <w:left w:val="nil"/>
              <w:bottom w:val="single" w:sz="4" w:space="0" w:color="auto"/>
              <w:right w:val="single" w:sz="4" w:space="0" w:color="auto"/>
            </w:tcBorders>
            <w:shd w:val="clear" w:color="000000" w:fill="BFBFBF"/>
            <w:vAlign w:val="center"/>
            <w:hideMark/>
          </w:tcPr>
          <w:p w14:paraId="73DF878F" w14:textId="77777777" w:rsidR="00F714D1" w:rsidRPr="00D41179" w:rsidRDefault="00F714D1" w:rsidP="007020F6">
            <w:pPr>
              <w:pStyle w:val="TableHeading0"/>
              <w:keepNext/>
              <w:keepLines/>
              <w:widowControl w:val="0"/>
            </w:pPr>
            <w:r w:rsidRPr="00D41179">
              <w:t>Δ rel.</w:t>
            </w:r>
          </w:p>
        </w:tc>
        <w:tc>
          <w:tcPr>
            <w:tcW w:w="679" w:type="pct"/>
            <w:tcBorders>
              <w:top w:val="single" w:sz="4" w:space="0" w:color="auto"/>
              <w:left w:val="nil"/>
              <w:bottom w:val="single" w:sz="4" w:space="0" w:color="auto"/>
              <w:right w:val="single" w:sz="4" w:space="0" w:color="auto"/>
            </w:tcBorders>
            <w:shd w:val="clear" w:color="000000" w:fill="BFBFBF"/>
            <w:vAlign w:val="center"/>
            <w:hideMark/>
          </w:tcPr>
          <w:p w14:paraId="61607F38" w14:textId="77777777" w:rsidR="00F714D1" w:rsidRPr="00D41179" w:rsidRDefault="00F714D1" w:rsidP="007020F6">
            <w:pPr>
              <w:pStyle w:val="TableHeading0"/>
              <w:keepNext/>
              <w:keepLines/>
              <w:widowControl w:val="0"/>
            </w:pPr>
            <w:r w:rsidRPr="00D41179">
              <w:t>% of incr. diff.</w:t>
            </w:r>
          </w:p>
        </w:tc>
      </w:tr>
      <w:tr w:rsidR="00F714D1" w:rsidRPr="00D41179" w14:paraId="560071C9" w14:textId="77777777">
        <w:trPr>
          <w:trHeight w:val="260"/>
        </w:trPr>
        <w:tc>
          <w:tcPr>
            <w:tcW w:w="5000" w:type="pct"/>
            <w:gridSpan w:val="6"/>
            <w:tcBorders>
              <w:top w:val="single" w:sz="4" w:space="0" w:color="auto"/>
              <w:left w:val="single" w:sz="4" w:space="0" w:color="auto"/>
              <w:bottom w:val="single" w:sz="4" w:space="0" w:color="auto"/>
              <w:right w:val="single" w:sz="4" w:space="0" w:color="000000"/>
            </w:tcBorders>
            <w:shd w:val="clear" w:color="000000" w:fill="D9D9D9"/>
            <w:noWrap/>
            <w:hideMark/>
          </w:tcPr>
          <w:p w14:paraId="0F65F8A4" w14:textId="77777777" w:rsidR="00F714D1" w:rsidRPr="00D41179" w:rsidRDefault="00F714D1" w:rsidP="00F95692">
            <w:pPr>
              <w:pStyle w:val="TableText0"/>
              <w:rPr>
                <w:lang w:eastAsia="en-GB"/>
              </w:rPr>
            </w:pPr>
            <w:r w:rsidRPr="00D41179">
              <w:rPr>
                <w:lang w:eastAsia="en-GB"/>
              </w:rPr>
              <w:t>Case counts per million vaccinated (undiscounted)</w:t>
            </w:r>
          </w:p>
        </w:tc>
      </w:tr>
      <w:tr w:rsidR="00F714D1" w:rsidRPr="00D41179" w14:paraId="179C2A55" w14:textId="77777777" w:rsidTr="00F04971">
        <w:trPr>
          <w:trHeight w:val="260"/>
        </w:trPr>
        <w:tc>
          <w:tcPr>
            <w:tcW w:w="1586" w:type="pct"/>
            <w:tcBorders>
              <w:top w:val="nil"/>
              <w:left w:val="single" w:sz="4" w:space="0" w:color="auto"/>
              <w:bottom w:val="single" w:sz="4" w:space="0" w:color="auto"/>
              <w:right w:val="single" w:sz="4" w:space="0" w:color="auto"/>
            </w:tcBorders>
            <w:noWrap/>
            <w:hideMark/>
          </w:tcPr>
          <w:p w14:paraId="6A1A0D6D" w14:textId="77777777" w:rsidR="00F714D1" w:rsidRPr="00D41179" w:rsidRDefault="00F714D1" w:rsidP="00F95692">
            <w:pPr>
              <w:pStyle w:val="TableText0"/>
              <w:rPr>
                <w:lang w:eastAsia="en-GB"/>
              </w:rPr>
            </w:pPr>
            <w:r w:rsidRPr="00D41179">
              <w:rPr>
                <w:lang w:eastAsia="en-GB"/>
              </w:rPr>
              <w:t>HZ cases</w:t>
            </w:r>
          </w:p>
        </w:tc>
        <w:tc>
          <w:tcPr>
            <w:tcW w:w="706" w:type="pct"/>
            <w:tcBorders>
              <w:top w:val="nil"/>
              <w:left w:val="nil"/>
              <w:bottom w:val="single" w:sz="4" w:space="0" w:color="auto"/>
              <w:right w:val="single" w:sz="4" w:space="0" w:color="auto"/>
            </w:tcBorders>
            <w:noWrap/>
            <w:vAlign w:val="center"/>
            <w:hideMark/>
          </w:tcPr>
          <w:p w14:paraId="0481ED89" w14:textId="77777777" w:rsidR="00F714D1" w:rsidRPr="00D41179" w:rsidRDefault="00F714D1" w:rsidP="00F95692">
            <w:pPr>
              <w:pStyle w:val="TableText0"/>
              <w:rPr>
                <w:lang w:eastAsia="en-GB"/>
              </w:rPr>
            </w:pPr>
            <w:r w:rsidRPr="00D41179">
              <w:rPr>
                <w:lang w:eastAsia="en-GB"/>
              </w:rPr>
              <w:t>147,505</w:t>
            </w:r>
          </w:p>
        </w:tc>
        <w:tc>
          <w:tcPr>
            <w:tcW w:w="676" w:type="pct"/>
            <w:tcBorders>
              <w:top w:val="nil"/>
              <w:left w:val="nil"/>
              <w:bottom w:val="single" w:sz="4" w:space="0" w:color="auto"/>
              <w:right w:val="single" w:sz="4" w:space="0" w:color="auto"/>
            </w:tcBorders>
            <w:noWrap/>
            <w:vAlign w:val="center"/>
            <w:hideMark/>
          </w:tcPr>
          <w:p w14:paraId="07825992" w14:textId="77777777" w:rsidR="00F714D1" w:rsidRPr="00D41179" w:rsidRDefault="00F714D1" w:rsidP="00F95692">
            <w:pPr>
              <w:pStyle w:val="TableText0"/>
              <w:rPr>
                <w:lang w:eastAsia="en-GB"/>
              </w:rPr>
            </w:pPr>
            <w:r w:rsidRPr="00D41179">
              <w:rPr>
                <w:lang w:eastAsia="en-GB"/>
              </w:rPr>
              <w:t>181,911</w:t>
            </w:r>
          </w:p>
        </w:tc>
        <w:tc>
          <w:tcPr>
            <w:tcW w:w="679" w:type="pct"/>
            <w:tcBorders>
              <w:top w:val="nil"/>
              <w:left w:val="nil"/>
              <w:bottom w:val="single" w:sz="4" w:space="0" w:color="auto"/>
              <w:right w:val="single" w:sz="4" w:space="0" w:color="auto"/>
            </w:tcBorders>
            <w:noWrap/>
            <w:vAlign w:val="center"/>
            <w:hideMark/>
          </w:tcPr>
          <w:p w14:paraId="2EB2DD61" w14:textId="77777777" w:rsidR="00F714D1" w:rsidRPr="00D41179" w:rsidRDefault="00F714D1" w:rsidP="00F95692">
            <w:pPr>
              <w:pStyle w:val="TableText0"/>
              <w:rPr>
                <w:lang w:eastAsia="en-GB"/>
              </w:rPr>
            </w:pPr>
            <w:r w:rsidRPr="00D41179">
              <w:rPr>
                <w:lang w:eastAsia="en-GB"/>
              </w:rPr>
              <w:t>-34,406</w:t>
            </w:r>
          </w:p>
        </w:tc>
        <w:tc>
          <w:tcPr>
            <w:tcW w:w="674" w:type="pct"/>
            <w:tcBorders>
              <w:top w:val="nil"/>
              <w:left w:val="nil"/>
              <w:bottom w:val="single" w:sz="4" w:space="0" w:color="auto"/>
              <w:right w:val="single" w:sz="4" w:space="0" w:color="auto"/>
            </w:tcBorders>
            <w:noWrap/>
            <w:vAlign w:val="center"/>
            <w:hideMark/>
          </w:tcPr>
          <w:p w14:paraId="1EE39394" w14:textId="77777777" w:rsidR="00F714D1" w:rsidRPr="00D41179" w:rsidRDefault="00F714D1" w:rsidP="00F95692">
            <w:pPr>
              <w:pStyle w:val="TableText0"/>
              <w:rPr>
                <w:lang w:eastAsia="en-GB"/>
              </w:rPr>
            </w:pPr>
            <w:r w:rsidRPr="00D41179">
              <w:rPr>
                <w:lang w:eastAsia="en-GB"/>
              </w:rPr>
              <w:t>-19%</w:t>
            </w:r>
          </w:p>
        </w:tc>
        <w:tc>
          <w:tcPr>
            <w:tcW w:w="679" w:type="pct"/>
            <w:tcBorders>
              <w:top w:val="nil"/>
              <w:left w:val="nil"/>
              <w:bottom w:val="single" w:sz="4" w:space="0" w:color="auto"/>
              <w:right w:val="single" w:sz="4" w:space="0" w:color="auto"/>
            </w:tcBorders>
            <w:noWrap/>
            <w:vAlign w:val="center"/>
            <w:hideMark/>
          </w:tcPr>
          <w:p w14:paraId="1BA1573B" w14:textId="77777777" w:rsidR="00F714D1" w:rsidRPr="00D41179" w:rsidRDefault="00F714D1" w:rsidP="00F95692">
            <w:pPr>
              <w:pStyle w:val="TableText0"/>
              <w:rPr>
                <w:lang w:eastAsia="en-GB"/>
              </w:rPr>
            </w:pPr>
            <w:r w:rsidRPr="00D41179">
              <w:rPr>
                <w:lang w:eastAsia="en-GB"/>
              </w:rPr>
              <w:t>-</w:t>
            </w:r>
          </w:p>
        </w:tc>
      </w:tr>
      <w:tr w:rsidR="00F714D1" w:rsidRPr="00D41179" w14:paraId="0B8F0AFD" w14:textId="77777777" w:rsidTr="00F04971">
        <w:trPr>
          <w:trHeight w:val="260"/>
        </w:trPr>
        <w:tc>
          <w:tcPr>
            <w:tcW w:w="1586" w:type="pct"/>
            <w:tcBorders>
              <w:top w:val="nil"/>
              <w:left w:val="single" w:sz="4" w:space="0" w:color="auto"/>
              <w:bottom w:val="single" w:sz="4" w:space="0" w:color="auto"/>
              <w:right w:val="single" w:sz="4" w:space="0" w:color="auto"/>
            </w:tcBorders>
            <w:noWrap/>
            <w:hideMark/>
          </w:tcPr>
          <w:p w14:paraId="5D10C5AF" w14:textId="77777777" w:rsidR="00F714D1" w:rsidRPr="00D41179" w:rsidRDefault="00F714D1" w:rsidP="00F95692">
            <w:pPr>
              <w:pStyle w:val="TableText0"/>
              <w:rPr>
                <w:lang w:eastAsia="en-GB"/>
              </w:rPr>
            </w:pPr>
            <w:r w:rsidRPr="00D41179">
              <w:rPr>
                <w:lang w:eastAsia="en-GB"/>
              </w:rPr>
              <w:t>PHN cases</w:t>
            </w:r>
          </w:p>
        </w:tc>
        <w:tc>
          <w:tcPr>
            <w:tcW w:w="706" w:type="pct"/>
            <w:tcBorders>
              <w:top w:val="nil"/>
              <w:left w:val="nil"/>
              <w:bottom w:val="single" w:sz="4" w:space="0" w:color="auto"/>
              <w:right w:val="single" w:sz="4" w:space="0" w:color="auto"/>
            </w:tcBorders>
            <w:noWrap/>
            <w:vAlign w:val="center"/>
            <w:hideMark/>
          </w:tcPr>
          <w:p w14:paraId="677CBD5D" w14:textId="77777777" w:rsidR="00F714D1" w:rsidRPr="00D41179" w:rsidRDefault="00F714D1" w:rsidP="00F95692">
            <w:pPr>
              <w:pStyle w:val="TableText0"/>
              <w:rPr>
                <w:lang w:eastAsia="en-GB"/>
              </w:rPr>
            </w:pPr>
            <w:r w:rsidRPr="00D41179">
              <w:rPr>
                <w:lang w:eastAsia="en-GB"/>
              </w:rPr>
              <w:t>34,429</w:t>
            </w:r>
          </w:p>
        </w:tc>
        <w:tc>
          <w:tcPr>
            <w:tcW w:w="676" w:type="pct"/>
            <w:tcBorders>
              <w:top w:val="nil"/>
              <w:left w:val="nil"/>
              <w:bottom w:val="single" w:sz="4" w:space="0" w:color="auto"/>
              <w:right w:val="single" w:sz="4" w:space="0" w:color="auto"/>
            </w:tcBorders>
            <w:noWrap/>
            <w:vAlign w:val="center"/>
            <w:hideMark/>
          </w:tcPr>
          <w:p w14:paraId="37797D1D" w14:textId="77777777" w:rsidR="00F714D1" w:rsidRPr="00D41179" w:rsidRDefault="00F714D1" w:rsidP="00F95692">
            <w:pPr>
              <w:pStyle w:val="TableText0"/>
              <w:rPr>
                <w:lang w:eastAsia="en-GB"/>
              </w:rPr>
            </w:pPr>
            <w:r w:rsidRPr="00D41179">
              <w:rPr>
                <w:lang w:eastAsia="en-GB"/>
              </w:rPr>
              <w:t>38,470</w:t>
            </w:r>
          </w:p>
        </w:tc>
        <w:tc>
          <w:tcPr>
            <w:tcW w:w="679" w:type="pct"/>
            <w:tcBorders>
              <w:top w:val="nil"/>
              <w:left w:val="nil"/>
              <w:bottom w:val="single" w:sz="4" w:space="0" w:color="auto"/>
              <w:right w:val="single" w:sz="4" w:space="0" w:color="auto"/>
            </w:tcBorders>
            <w:noWrap/>
            <w:vAlign w:val="center"/>
            <w:hideMark/>
          </w:tcPr>
          <w:p w14:paraId="4AC1A3B1" w14:textId="77777777" w:rsidR="00F714D1" w:rsidRPr="00D41179" w:rsidRDefault="00F714D1" w:rsidP="00F95692">
            <w:pPr>
              <w:pStyle w:val="TableText0"/>
              <w:rPr>
                <w:lang w:eastAsia="en-GB"/>
              </w:rPr>
            </w:pPr>
            <w:r w:rsidRPr="00D41179">
              <w:rPr>
                <w:lang w:eastAsia="en-GB"/>
              </w:rPr>
              <w:t>-4,042</w:t>
            </w:r>
          </w:p>
        </w:tc>
        <w:tc>
          <w:tcPr>
            <w:tcW w:w="674" w:type="pct"/>
            <w:tcBorders>
              <w:top w:val="nil"/>
              <w:left w:val="nil"/>
              <w:bottom w:val="single" w:sz="4" w:space="0" w:color="auto"/>
              <w:right w:val="single" w:sz="4" w:space="0" w:color="auto"/>
            </w:tcBorders>
            <w:noWrap/>
            <w:vAlign w:val="center"/>
            <w:hideMark/>
          </w:tcPr>
          <w:p w14:paraId="01B19532" w14:textId="77777777" w:rsidR="00F714D1" w:rsidRPr="00D41179" w:rsidRDefault="00F714D1" w:rsidP="00F95692">
            <w:pPr>
              <w:pStyle w:val="TableText0"/>
              <w:rPr>
                <w:lang w:eastAsia="en-GB"/>
              </w:rPr>
            </w:pPr>
            <w:r w:rsidRPr="00D41179">
              <w:rPr>
                <w:lang w:eastAsia="en-GB"/>
              </w:rPr>
              <w:t>-11%</w:t>
            </w:r>
          </w:p>
        </w:tc>
        <w:tc>
          <w:tcPr>
            <w:tcW w:w="679" w:type="pct"/>
            <w:tcBorders>
              <w:top w:val="nil"/>
              <w:left w:val="nil"/>
              <w:bottom w:val="single" w:sz="4" w:space="0" w:color="auto"/>
              <w:right w:val="single" w:sz="4" w:space="0" w:color="auto"/>
            </w:tcBorders>
            <w:noWrap/>
            <w:vAlign w:val="center"/>
            <w:hideMark/>
          </w:tcPr>
          <w:p w14:paraId="14B5551E" w14:textId="77777777" w:rsidR="00F714D1" w:rsidRPr="00D41179" w:rsidRDefault="00F714D1" w:rsidP="00F95692">
            <w:pPr>
              <w:pStyle w:val="TableText0"/>
              <w:rPr>
                <w:lang w:eastAsia="en-GB"/>
              </w:rPr>
            </w:pPr>
            <w:r w:rsidRPr="00D41179">
              <w:rPr>
                <w:lang w:eastAsia="en-GB"/>
              </w:rPr>
              <w:t>-</w:t>
            </w:r>
          </w:p>
        </w:tc>
      </w:tr>
      <w:tr w:rsidR="00F714D1" w:rsidRPr="00D41179" w14:paraId="46AE2C50" w14:textId="77777777" w:rsidTr="00F04971">
        <w:trPr>
          <w:trHeight w:val="260"/>
        </w:trPr>
        <w:tc>
          <w:tcPr>
            <w:tcW w:w="1586" w:type="pct"/>
            <w:tcBorders>
              <w:top w:val="nil"/>
              <w:left w:val="single" w:sz="4" w:space="0" w:color="auto"/>
              <w:bottom w:val="single" w:sz="4" w:space="0" w:color="auto"/>
              <w:right w:val="single" w:sz="4" w:space="0" w:color="auto"/>
            </w:tcBorders>
            <w:noWrap/>
            <w:hideMark/>
          </w:tcPr>
          <w:p w14:paraId="09A5410A" w14:textId="77777777" w:rsidR="00F714D1" w:rsidRPr="00D41179" w:rsidRDefault="00F714D1" w:rsidP="00F95692">
            <w:pPr>
              <w:pStyle w:val="TableText0"/>
              <w:rPr>
                <w:lang w:eastAsia="en-GB"/>
              </w:rPr>
            </w:pPr>
            <w:r w:rsidRPr="00D41179">
              <w:rPr>
                <w:lang w:eastAsia="en-GB"/>
              </w:rPr>
              <w:t>Non-PHN complications cases</w:t>
            </w:r>
          </w:p>
        </w:tc>
        <w:tc>
          <w:tcPr>
            <w:tcW w:w="706" w:type="pct"/>
            <w:tcBorders>
              <w:top w:val="nil"/>
              <w:left w:val="nil"/>
              <w:bottom w:val="single" w:sz="4" w:space="0" w:color="auto"/>
              <w:right w:val="single" w:sz="4" w:space="0" w:color="auto"/>
            </w:tcBorders>
            <w:noWrap/>
            <w:vAlign w:val="center"/>
            <w:hideMark/>
          </w:tcPr>
          <w:p w14:paraId="23BCC7CB" w14:textId="77777777" w:rsidR="00F714D1" w:rsidRPr="00D41179" w:rsidRDefault="00F714D1" w:rsidP="00F95692">
            <w:pPr>
              <w:pStyle w:val="TableText0"/>
              <w:rPr>
                <w:lang w:eastAsia="en-GB"/>
              </w:rPr>
            </w:pPr>
            <w:r w:rsidRPr="00D41179">
              <w:rPr>
                <w:lang w:eastAsia="en-GB"/>
              </w:rPr>
              <w:t>23,214</w:t>
            </w:r>
          </w:p>
        </w:tc>
        <w:tc>
          <w:tcPr>
            <w:tcW w:w="676" w:type="pct"/>
            <w:tcBorders>
              <w:top w:val="nil"/>
              <w:left w:val="nil"/>
              <w:bottom w:val="single" w:sz="4" w:space="0" w:color="auto"/>
              <w:right w:val="single" w:sz="4" w:space="0" w:color="auto"/>
            </w:tcBorders>
            <w:noWrap/>
            <w:vAlign w:val="center"/>
            <w:hideMark/>
          </w:tcPr>
          <w:p w14:paraId="1C498234" w14:textId="77777777" w:rsidR="00F714D1" w:rsidRPr="00D41179" w:rsidRDefault="00F714D1" w:rsidP="00F95692">
            <w:pPr>
              <w:pStyle w:val="TableText0"/>
              <w:rPr>
                <w:lang w:eastAsia="en-GB"/>
              </w:rPr>
            </w:pPr>
            <w:r w:rsidRPr="00D41179">
              <w:rPr>
                <w:lang w:eastAsia="en-GB"/>
              </w:rPr>
              <w:t>25,962</w:t>
            </w:r>
          </w:p>
        </w:tc>
        <w:tc>
          <w:tcPr>
            <w:tcW w:w="679" w:type="pct"/>
            <w:tcBorders>
              <w:top w:val="nil"/>
              <w:left w:val="nil"/>
              <w:bottom w:val="single" w:sz="4" w:space="0" w:color="auto"/>
              <w:right w:val="single" w:sz="4" w:space="0" w:color="auto"/>
            </w:tcBorders>
            <w:noWrap/>
            <w:vAlign w:val="center"/>
            <w:hideMark/>
          </w:tcPr>
          <w:p w14:paraId="4B14B4FF" w14:textId="77777777" w:rsidR="00F714D1" w:rsidRPr="00D41179" w:rsidRDefault="00F714D1" w:rsidP="00F95692">
            <w:pPr>
              <w:pStyle w:val="TableText0"/>
              <w:rPr>
                <w:lang w:eastAsia="en-GB"/>
              </w:rPr>
            </w:pPr>
            <w:r w:rsidRPr="00D41179">
              <w:rPr>
                <w:lang w:eastAsia="en-GB"/>
              </w:rPr>
              <w:t>-2,748</w:t>
            </w:r>
          </w:p>
        </w:tc>
        <w:tc>
          <w:tcPr>
            <w:tcW w:w="674" w:type="pct"/>
            <w:tcBorders>
              <w:top w:val="nil"/>
              <w:left w:val="nil"/>
              <w:bottom w:val="single" w:sz="4" w:space="0" w:color="auto"/>
              <w:right w:val="single" w:sz="4" w:space="0" w:color="auto"/>
            </w:tcBorders>
            <w:noWrap/>
            <w:vAlign w:val="center"/>
            <w:hideMark/>
          </w:tcPr>
          <w:p w14:paraId="747065A3" w14:textId="77777777" w:rsidR="00F714D1" w:rsidRPr="00D41179" w:rsidRDefault="00F714D1" w:rsidP="00F95692">
            <w:pPr>
              <w:pStyle w:val="TableText0"/>
              <w:rPr>
                <w:lang w:eastAsia="en-GB"/>
              </w:rPr>
            </w:pPr>
            <w:r w:rsidRPr="00D41179">
              <w:rPr>
                <w:lang w:eastAsia="en-GB"/>
              </w:rPr>
              <w:t>-11%</w:t>
            </w:r>
          </w:p>
        </w:tc>
        <w:tc>
          <w:tcPr>
            <w:tcW w:w="679" w:type="pct"/>
            <w:tcBorders>
              <w:top w:val="nil"/>
              <w:left w:val="nil"/>
              <w:bottom w:val="single" w:sz="4" w:space="0" w:color="auto"/>
              <w:right w:val="single" w:sz="4" w:space="0" w:color="auto"/>
            </w:tcBorders>
            <w:noWrap/>
            <w:vAlign w:val="center"/>
            <w:hideMark/>
          </w:tcPr>
          <w:p w14:paraId="16F8179A" w14:textId="77777777" w:rsidR="00F714D1" w:rsidRPr="00D41179" w:rsidRDefault="00F714D1" w:rsidP="00F95692">
            <w:pPr>
              <w:pStyle w:val="TableText0"/>
              <w:rPr>
                <w:lang w:eastAsia="en-GB"/>
              </w:rPr>
            </w:pPr>
            <w:r w:rsidRPr="00D41179">
              <w:rPr>
                <w:lang w:eastAsia="en-GB"/>
              </w:rPr>
              <w:t>-</w:t>
            </w:r>
          </w:p>
        </w:tc>
      </w:tr>
      <w:tr w:rsidR="00F714D1" w:rsidRPr="00D41179" w14:paraId="18F33DDC" w14:textId="77777777" w:rsidTr="00F04971">
        <w:trPr>
          <w:trHeight w:val="260"/>
        </w:trPr>
        <w:tc>
          <w:tcPr>
            <w:tcW w:w="1586" w:type="pct"/>
            <w:tcBorders>
              <w:top w:val="nil"/>
              <w:left w:val="single" w:sz="4" w:space="0" w:color="auto"/>
              <w:bottom w:val="single" w:sz="4" w:space="0" w:color="auto"/>
              <w:right w:val="single" w:sz="4" w:space="0" w:color="auto"/>
            </w:tcBorders>
            <w:noWrap/>
            <w:hideMark/>
          </w:tcPr>
          <w:p w14:paraId="22E6C9D6" w14:textId="0DC699D5" w:rsidR="00F714D1" w:rsidRPr="00D41179" w:rsidRDefault="00D41179" w:rsidP="00F95692">
            <w:pPr>
              <w:pStyle w:val="TableText0"/>
              <w:rPr>
                <w:lang w:eastAsia="en-GB"/>
              </w:rPr>
            </w:pPr>
            <w:r w:rsidRPr="00D41179">
              <w:rPr>
                <w:lang w:eastAsia="en-GB"/>
              </w:rPr>
              <w:t xml:space="preserve"> </w:t>
            </w:r>
            <w:r w:rsidR="00F714D1" w:rsidRPr="00D41179">
              <w:rPr>
                <w:lang w:eastAsia="en-GB"/>
              </w:rPr>
              <w:t>Ocular</w:t>
            </w:r>
          </w:p>
        </w:tc>
        <w:tc>
          <w:tcPr>
            <w:tcW w:w="706" w:type="pct"/>
            <w:tcBorders>
              <w:top w:val="nil"/>
              <w:left w:val="nil"/>
              <w:bottom w:val="single" w:sz="4" w:space="0" w:color="auto"/>
              <w:right w:val="single" w:sz="4" w:space="0" w:color="auto"/>
            </w:tcBorders>
            <w:noWrap/>
            <w:vAlign w:val="center"/>
            <w:hideMark/>
          </w:tcPr>
          <w:p w14:paraId="0AD9E93E" w14:textId="77777777" w:rsidR="00F714D1" w:rsidRPr="00D41179" w:rsidRDefault="00F714D1" w:rsidP="00F95692">
            <w:pPr>
              <w:pStyle w:val="TableText0"/>
              <w:rPr>
                <w:lang w:eastAsia="en-GB"/>
              </w:rPr>
            </w:pPr>
            <w:r w:rsidRPr="00D41179">
              <w:rPr>
                <w:lang w:eastAsia="en-GB"/>
              </w:rPr>
              <w:t>8,620</w:t>
            </w:r>
          </w:p>
        </w:tc>
        <w:tc>
          <w:tcPr>
            <w:tcW w:w="676" w:type="pct"/>
            <w:tcBorders>
              <w:top w:val="nil"/>
              <w:left w:val="nil"/>
              <w:bottom w:val="single" w:sz="4" w:space="0" w:color="auto"/>
              <w:right w:val="single" w:sz="4" w:space="0" w:color="auto"/>
            </w:tcBorders>
            <w:noWrap/>
            <w:vAlign w:val="center"/>
            <w:hideMark/>
          </w:tcPr>
          <w:p w14:paraId="64D5A279" w14:textId="77777777" w:rsidR="00F714D1" w:rsidRPr="00D41179" w:rsidRDefault="00F714D1" w:rsidP="00F95692">
            <w:pPr>
              <w:pStyle w:val="TableText0"/>
              <w:rPr>
                <w:lang w:eastAsia="en-GB"/>
              </w:rPr>
            </w:pPr>
            <w:r w:rsidRPr="00D41179">
              <w:rPr>
                <w:lang w:eastAsia="en-GB"/>
              </w:rPr>
              <w:t>9,944</w:t>
            </w:r>
          </w:p>
        </w:tc>
        <w:tc>
          <w:tcPr>
            <w:tcW w:w="679" w:type="pct"/>
            <w:tcBorders>
              <w:top w:val="nil"/>
              <w:left w:val="nil"/>
              <w:bottom w:val="single" w:sz="4" w:space="0" w:color="auto"/>
              <w:right w:val="single" w:sz="4" w:space="0" w:color="auto"/>
            </w:tcBorders>
            <w:noWrap/>
            <w:vAlign w:val="center"/>
            <w:hideMark/>
          </w:tcPr>
          <w:p w14:paraId="72C6E993" w14:textId="77777777" w:rsidR="00F714D1" w:rsidRPr="00D41179" w:rsidRDefault="00F714D1" w:rsidP="00F95692">
            <w:pPr>
              <w:pStyle w:val="TableText0"/>
              <w:rPr>
                <w:lang w:eastAsia="en-GB"/>
              </w:rPr>
            </w:pPr>
            <w:r w:rsidRPr="00D41179">
              <w:rPr>
                <w:lang w:eastAsia="en-GB"/>
              </w:rPr>
              <w:t>-1,324</w:t>
            </w:r>
          </w:p>
        </w:tc>
        <w:tc>
          <w:tcPr>
            <w:tcW w:w="674" w:type="pct"/>
            <w:tcBorders>
              <w:top w:val="nil"/>
              <w:left w:val="nil"/>
              <w:bottom w:val="single" w:sz="4" w:space="0" w:color="auto"/>
              <w:right w:val="single" w:sz="4" w:space="0" w:color="auto"/>
            </w:tcBorders>
            <w:noWrap/>
            <w:vAlign w:val="center"/>
            <w:hideMark/>
          </w:tcPr>
          <w:p w14:paraId="53FBA2A3" w14:textId="77777777" w:rsidR="00F714D1" w:rsidRPr="00D41179" w:rsidRDefault="00F714D1" w:rsidP="00F95692">
            <w:pPr>
              <w:pStyle w:val="TableText0"/>
              <w:rPr>
                <w:lang w:eastAsia="en-GB"/>
              </w:rPr>
            </w:pPr>
            <w:r w:rsidRPr="00D41179">
              <w:rPr>
                <w:lang w:eastAsia="en-GB"/>
              </w:rPr>
              <w:t>-13%</w:t>
            </w:r>
          </w:p>
        </w:tc>
        <w:tc>
          <w:tcPr>
            <w:tcW w:w="679" w:type="pct"/>
            <w:tcBorders>
              <w:top w:val="nil"/>
              <w:left w:val="nil"/>
              <w:bottom w:val="single" w:sz="4" w:space="0" w:color="auto"/>
              <w:right w:val="single" w:sz="4" w:space="0" w:color="auto"/>
            </w:tcBorders>
            <w:noWrap/>
            <w:vAlign w:val="center"/>
            <w:hideMark/>
          </w:tcPr>
          <w:p w14:paraId="779B3954" w14:textId="77777777" w:rsidR="00F714D1" w:rsidRPr="00D41179" w:rsidRDefault="00F714D1" w:rsidP="00F95692">
            <w:pPr>
              <w:pStyle w:val="TableText0"/>
              <w:rPr>
                <w:lang w:eastAsia="en-GB"/>
              </w:rPr>
            </w:pPr>
            <w:r w:rsidRPr="00D41179">
              <w:rPr>
                <w:lang w:eastAsia="en-GB"/>
              </w:rPr>
              <w:t>-</w:t>
            </w:r>
          </w:p>
        </w:tc>
      </w:tr>
      <w:tr w:rsidR="00F714D1" w:rsidRPr="00D41179" w14:paraId="0965053E" w14:textId="77777777" w:rsidTr="00F04971">
        <w:trPr>
          <w:trHeight w:val="260"/>
        </w:trPr>
        <w:tc>
          <w:tcPr>
            <w:tcW w:w="1586" w:type="pct"/>
            <w:tcBorders>
              <w:top w:val="nil"/>
              <w:left w:val="single" w:sz="4" w:space="0" w:color="auto"/>
              <w:bottom w:val="single" w:sz="4" w:space="0" w:color="auto"/>
              <w:right w:val="single" w:sz="4" w:space="0" w:color="auto"/>
            </w:tcBorders>
            <w:noWrap/>
            <w:hideMark/>
          </w:tcPr>
          <w:p w14:paraId="4698DB97" w14:textId="313B8469" w:rsidR="00F714D1" w:rsidRPr="00D41179" w:rsidRDefault="00D41179" w:rsidP="00F95692">
            <w:pPr>
              <w:pStyle w:val="TableText0"/>
              <w:rPr>
                <w:lang w:eastAsia="en-GB"/>
              </w:rPr>
            </w:pPr>
            <w:r w:rsidRPr="00D41179">
              <w:rPr>
                <w:lang w:eastAsia="en-GB"/>
              </w:rPr>
              <w:t xml:space="preserve"> </w:t>
            </w:r>
            <w:r w:rsidR="00F714D1" w:rsidRPr="00D41179">
              <w:rPr>
                <w:lang w:eastAsia="en-GB"/>
              </w:rPr>
              <w:t>Neurological</w:t>
            </w:r>
          </w:p>
        </w:tc>
        <w:tc>
          <w:tcPr>
            <w:tcW w:w="706" w:type="pct"/>
            <w:tcBorders>
              <w:top w:val="nil"/>
              <w:left w:val="nil"/>
              <w:bottom w:val="single" w:sz="4" w:space="0" w:color="auto"/>
              <w:right w:val="single" w:sz="4" w:space="0" w:color="auto"/>
            </w:tcBorders>
            <w:noWrap/>
            <w:vAlign w:val="center"/>
            <w:hideMark/>
          </w:tcPr>
          <w:p w14:paraId="712D124F" w14:textId="77777777" w:rsidR="00F714D1" w:rsidRPr="00D41179" w:rsidRDefault="00F714D1" w:rsidP="00F95692">
            <w:pPr>
              <w:pStyle w:val="TableText0"/>
              <w:rPr>
                <w:lang w:eastAsia="en-GB"/>
              </w:rPr>
            </w:pPr>
            <w:r w:rsidRPr="00D41179">
              <w:rPr>
                <w:lang w:eastAsia="en-GB"/>
              </w:rPr>
              <w:t>7,435</w:t>
            </w:r>
          </w:p>
        </w:tc>
        <w:tc>
          <w:tcPr>
            <w:tcW w:w="676" w:type="pct"/>
            <w:tcBorders>
              <w:top w:val="nil"/>
              <w:left w:val="nil"/>
              <w:bottom w:val="single" w:sz="4" w:space="0" w:color="auto"/>
              <w:right w:val="single" w:sz="4" w:space="0" w:color="auto"/>
            </w:tcBorders>
            <w:noWrap/>
            <w:vAlign w:val="center"/>
            <w:hideMark/>
          </w:tcPr>
          <w:p w14:paraId="69245476" w14:textId="77777777" w:rsidR="00F714D1" w:rsidRPr="00D41179" w:rsidRDefault="00F714D1" w:rsidP="00F95692">
            <w:pPr>
              <w:pStyle w:val="TableText0"/>
              <w:rPr>
                <w:lang w:eastAsia="en-GB"/>
              </w:rPr>
            </w:pPr>
            <w:r w:rsidRPr="00D41179">
              <w:rPr>
                <w:lang w:eastAsia="en-GB"/>
              </w:rPr>
              <w:t>8,263</w:t>
            </w:r>
          </w:p>
        </w:tc>
        <w:tc>
          <w:tcPr>
            <w:tcW w:w="679" w:type="pct"/>
            <w:tcBorders>
              <w:top w:val="nil"/>
              <w:left w:val="nil"/>
              <w:bottom w:val="single" w:sz="4" w:space="0" w:color="auto"/>
              <w:right w:val="single" w:sz="4" w:space="0" w:color="auto"/>
            </w:tcBorders>
            <w:noWrap/>
            <w:vAlign w:val="center"/>
            <w:hideMark/>
          </w:tcPr>
          <w:p w14:paraId="31C92522" w14:textId="77777777" w:rsidR="00F714D1" w:rsidRPr="00D41179" w:rsidRDefault="00F714D1" w:rsidP="00F95692">
            <w:pPr>
              <w:pStyle w:val="TableText0"/>
              <w:rPr>
                <w:lang w:eastAsia="en-GB"/>
              </w:rPr>
            </w:pPr>
            <w:r w:rsidRPr="00D41179">
              <w:rPr>
                <w:lang w:eastAsia="en-GB"/>
              </w:rPr>
              <w:t>-827</w:t>
            </w:r>
          </w:p>
        </w:tc>
        <w:tc>
          <w:tcPr>
            <w:tcW w:w="674" w:type="pct"/>
            <w:tcBorders>
              <w:top w:val="nil"/>
              <w:left w:val="nil"/>
              <w:bottom w:val="single" w:sz="4" w:space="0" w:color="auto"/>
              <w:right w:val="single" w:sz="4" w:space="0" w:color="auto"/>
            </w:tcBorders>
            <w:noWrap/>
            <w:vAlign w:val="center"/>
            <w:hideMark/>
          </w:tcPr>
          <w:p w14:paraId="0CA26345" w14:textId="77777777" w:rsidR="00F714D1" w:rsidRPr="00D41179" w:rsidRDefault="00F714D1" w:rsidP="00F95692">
            <w:pPr>
              <w:pStyle w:val="TableText0"/>
              <w:rPr>
                <w:lang w:eastAsia="en-GB"/>
              </w:rPr>
            </w:pPr>
            <w:r w:rsidRPr="00D41179">
              <w:rPr>
                <w:lang w:eastAsia="en-GB"/>
              </w:rPr>
              <w:t>-10%</w:t>
            </w:r>
          </w:p>
        </w:tc>
        <w:tc>
          <w:tcPr>
            <w:tcW w:w="679" w:type="pct"/>
            <w:tcBorders>
              <w:top w:val="nil"/>
              <w:left w:val="nil"/>
              <w:bottom w:val="single" w:sz="4" w:space="0" w:color="auto"/>
              <w:right w:val="single" w:sz="4" w:space="0" w:color="auto"/>
            </w:tcBorders>
            <w:noWrap/>
            <w:vAlign w:val="center"/>
            <w:hideMark/>
          </w:tcPr>
          <w:p w14:paraId="4CC70058" w14:textId="77777777" w:rsidR="00F714D1" w:rsidRPr="00D41179" w:rsidRDefault="00F714D1" w:rsidP="00F95692">
            <w:pPr>
              <w:pStyle w:val="TableText0"/>
              <w:rPr>
                <w:lang w:eastAsia="en-GB"/>
              </w:rPr>
            </w:pPr>
            <w:r w:rsidRPr="00D41179">
              <w:rPr>
                <w:lang w:eastAsia="en-GB"/>
              </w:rPr>
              <w:t>-</w:t>
            </w:r>
          </w:p>
        </w:tc>
      </w:tr>
      <w:tr w:rsidR="00F714D1" w:rsidRPr="00D41179" w14:paraId="55917BDB" w14:textId="77777777" w:rsidTr="00F04971">
        <w:trPr>
          <w:trHeight w:val="260"/>
        </w:trPr>
        <w:tc>
          <w:tcPr>
            <w:tcW w:w="1586" w:type="pct"/>
            <w:tcBorders>
              <w:top w:val="nil"/>
              <w:left w:val="single" w:sz="4" w:space="0" w:color="auto"/>
              <w:bottom w:val="single" w:sz="4" w:space="0" w:color="auto"/>
              <w:right w:val="single" w:sz="4" w:space="0" w:color="auto"/>
            </w:tcBorders>
            <w:noWrap/>
            <w:hideMark/>
          </w:tcPr>
          <w:p w14:paraId="0386C3C4" w14:textId="47C47000" w:rsidR="00F714D1" w:rsidRPr="00D41179" w:rsidRDefault="00D41179" w:rsidP="00F95692">
            <w:pPr>
              <w:pStyle w:val="TableText0"/>
              <w:rPr>
                <w:lang w:eastAsia="en-GB"/>
              </w:rPr>
            </w:pPr>
            <w:r w:rsidRPr="00D41179">
              <w:rPr>
                <w:lang w:eastAsia="en-GB"/>
              </w:rPr>
              <w:t xml:space="preserve"> </w:t>
            </w:r>
            <w:r w:rsidR="00F714D1" w:rsidRPr="00D41179">
              <w:rPr>
                <w:lang w:eastAsia="en-GB"/>
              </w:rPr>
              <w:t>Cutaneous</w:t>
            </w:r>
          </w:p>
        </w:tc>
        <w:tc>
          <w:tcPr>
            <w:tcW w:w="706" w:type="pct"/>
            <w:tcBorders>
              <w:top w:val="nil"/>
              <w:left w:val="nil"/>
              <w:bottom w:val="single" w:sz="4" w:space="0" w:color="auto"/>
              <w:right w:val="single" w:sz="4" w:space="0" w:color="auto"/>
            </w:tcBorders>
            <w:noWrap/>
            <w:vAlign w:val="center"/>
            <w:hideMark/>
          </w:tcPr>
          <w:p w14:paraId="6410D812" w14:textId="77777777" w:rsidR="00F714D1" w:rsidRPr="00D41179" w:rsidRDefault="00F714D1" w:rsidP="00F95692">
            <w:pPr>
              <w:pStyle w:val="TableText0"/>
              <w:rPr>
                <w:lang w:eastAsia="en-GB"/>
              </w:rPr>
            </w:pPr>
            <w:r w:rsidRPr="00D41179">
              <w:rPr>
                <w:lang w:eastAsia="en-GB"/>
              </w:rPr>
              <w:t>3,552</w:t>
            </w:r>
          </w:p>
        </w:tc>
        <w:tc>
          <w:tcPr>
            <w:tcW w:w="676" w:type="pct"/>
            <w:tcBorders>
              <w:top w:val="nil"/>
              <w:left w:val="nil"/>
              <w:bottom w:val="single" w:sz="4" w:space="0" w:color="auto"/>
              <w:right w:val="single" w:sz="4" w:space="0" w:color="auto"/>
            </w:tcBorders>
            <w:noWrap/>
            <w:vAlign w:val="center"/>
            <w:hideMark/>
          </w:tcPr>
          <w:p w14:paraId="753E0845" w14:textId="77777777" w:rsidR="00F714D1" w:rsidRPr="00D41179" w:rsidRDefault="00F714D1" w:rsidP="00F95692">
            <w:pPr>
              <w:pStyle w:val="TableText0"/>
              <w:rPr>
                <w:lang w:eastAsia="en-GB"/>
              </w:rPr>
            </w:pPr>
            <w:r w:rsidRPr="00D41179">
              <w:rPr>
                <w:lang w:eastAsia="en-GB"/>
              </w:rPr>
              <w:t>3,770</w:t>
            </w:r>
          </w:p>
        </w:tc>
        <w:tc>
          <w:tcPr>
            <w:tcW w:w="679" w:type="pct"/>
            <w:tcBorders>
              <w:top w:val="nil"/>
              <w:left w:val="nil"/>
              <w:bottom w:val="single" w:sz="4" w:space="0" w:color="auto"/>
              <w:right w:val="single" w:sz="4" w:space="0" w:color="auto"/>
            </w:tcBorders>
            <w:noWrap/>
            <w:vAlign w:val="center"/>
            <w:hideMark/>
          </w:tcPr>
          <w:p w14:paraId="67D0482F" w14:textId="77777777" w:rsidR="00F714D1" w:rsidRPr="00D41179" w:rsidRDefault="00F714D1" w:rsidP="00F95692">
            <w:pPr>
              <w:pStyle w:val="TableText0"/>
              <w:rPr>
                <w:lang w:eastAsia="en-GB"/>
              </w:rPr>
            </w:pPr>
            <w:r w:rsidRPr="00D41179">
              <w:rPr>
                <w:lang w:eastAsia="en-GB"/>
              </w:rPr>
              <w:t>-218</w:t>
            </w:r>
          </w:p>
        </w:tc>
        <w:tc>
          <w:tcPr>
            <w:tcW w:w="674" w:type="pct"/>
            <w:tcBorders>
              <w:top w:val="nil"/>
              <w:left w:val="nil"/>
              <w:bottom w:val="single" w:sz="4" w:space="0" w:color="auto"/>
              <w:right w:val="single" w:sz="4" w:space="0" w:color="auto"/>
            </w:tcBorders>
            <w:noWrap/>
            <w:vAlign w:val="center"/>
            <w:hideMark/>
          </w:tcPr>
          <w:p w14:paraId="3C6E1C80" w14:textId="77777777" w:rsidR="00F714D1" w:rsidRPr="00D41179" w:rsidRDefault="00F714D1" w:rsidP="00F95692">
            <w:pPr>
              <w:pStyle w:val="TableText0"/>
              <w:rPr>
                <w:lang w:eastAsia="en-GB"/>
              </w:rPr>
            </w:pPr>
            <w:r w:rsidRPr="00D41179">
              <w:rPr>
                <w:lang w:eastAsia="en-GB"/>
              </w:rPr>
              <w:t>-6%</w:t>
            </w:r>
          </w:p>
        </w:tc>
        <w:tc>
          <w:tcPr>
            <w:tcW w:w="679" w:type="pct"/>
            <w:tcBorders>
              <w:top w:val="nil"/>
              <w:left w:val="nil"/>
              <w:bottom w:val="single" w:sz="4" w:space="0" w:color="auto"/>
              <w:right w:val="single" w:sz="4" w:space="0" w:color="auto"/>
            </w:tcBorders>
            <w:noWrap/>
            <w:vAlign w:val="center"/>
            <w:hideMark/>
          </w:tcPr>
          <w:p w14:paraId="674823C7" w14:textId="77777777" w:rsidR="00F714D1" w:rsidRPr="00D41179" w:rsidRDefault="00F714D1" w:rsidP="00F95692">
            <w:pPr>
              <w:pStyle w:val="TableText0"/>
              <w:rPr>
                <w:lang w:eastAsia="en-GB"/>
              </w:rPr>
            </w:pPr>
            <w:r w:rsidRPr="00D41179">
              <w:rPr>
                <w:lang w:eastAsia="en-GB"/>
              </w:rPr>
              <w:t>-</w:t>
            </w:r>
          </w:p>
        </w:tc>
      </w:tr>
      <w:tr w:rsidR="00F714D1" w:rsidRPr="00D41179" w14:paraId="01A9B5D3" w14:textId="77777777" w:rsidTr="00F04971">
        <w:trPr>
          <w:trHeight w:val="260"/>
        </w:trPr>
        <w:tc>
          <w:tcPr>
            <w:tcW w:w="1586" w:type="pct"/>
            <w:tcBorders>
              <w:top w:val="nil"/>
              <w:left w:val="single" w:sz="4" w:space="0" w:color="auto"/>
              <w:bottom w:val="single" w:sz="4" w:space="0" w:color="auto"/>
              <w:right w:val="single" w:sz="4" w:space="0" w:color="auto"/>
            </w:tcBorders>
            <w:noWrap/>
            <w:hideMark/>
          </w:tcPr>
          <w:p w14:paraId="49497658" w14:textId="49DC8D8A" w:rsidR="00F714D1" w:rsidRPr="00D41179" w:rsidRDefault="00D41179" w:rsidP="00F95692">
            <w:pPr>
              <w:pStyle w:val="TableText0"/>
              <w:rPr>
                <w:lang w:eastAsia="en-GB"/>
              </w:rPr>
            </w:pPr>
            <w:r w:rsidRPr="00D41179">
              <w:rPr>
                <w:lang w:eastAsia="en-GB"/>
              </w:rPr>
              <w:t xml:space="preserve"> </w:t>
            </w:r>
            <w:r w:rsidR="00F714D1" w:rsidRPr="00D41179">
              <w:rPr>
                <w:lang w:eastAsia="en-GB"/>
              </w:rPr>
              <w:t>Other non-pain</w:t>
            </w:r>
          </w:p>
        </w:tc>
        <w:tc>
          <w:tcPr>
            <w:tcW w:w="706" w:type="pct"/>
            <w:tcBorders>
              <w:top w:val="nil"/>
              <w:left w:val="nil"/>
              <w:bottom w:val="single" w:sz="4" w:space="0" w:color="auto"/>
              <w:right w:val="single" w:sz="4" w:space="0" w:color="auto"/>
            </w:tcBorders>
            <w:noWrap/>
            <w:vAlign w:val="center"/>
            <w:hideMark/>
          </w:tcPr>
          <w:p w14:paraId="224DFC7D" w14:textId="77777777" w:rsidR="00F714D1" w:rsidRPr="00D41179" w:rsidRDefault="00F714D1" w:rsidP="00F95692">
            <w:pPr>
              <w:pStyle w:val="TableText0"/>
              <w:rPr>
                <w:lang w:eastAsia="en-GB"/>
              </w:rPr>
            </w:pPr>
            <w:r w:rsidRPr="00D41179">
              <w:rPr>
                <w:lang w:eastAsia="en-GB"/>
              </w:rPr>
              <w:t>3,607</w:t>
            </w:r>
          </w:p>
        </w:tc>
        <w:tc>
          <w:tcPr>
            <w:tcW w:w="676" w:type="pct"/>
            <w:tcBorders>
              <w:top w:val="nil"/>
              <w:left w:val="nil"/>
              <w:bottom w:val="single" w:sz="4" w:space="0" w:color="auto"/>
              <w:right w:val="single" w:sz="4" w:space="0" w:color="auto"/>
            </w:tcBorders>
            <w:noWrap/>
            <w:vAlign w:val="center"/>
            <w:hideMark/>
          </w:tcPr>
          <w:p w14:paraId="24DC1E2E" w14:textId="77777777" w:rsidR="00F714D1" w:rsidRPr="00D41179" w:rsidRDefault="00F714D1" w:rsidP="00F95692">
            <w:pPr>
              <w:pStyle w:val="TableText0"/>
              <w:rPr>
                <w:lang w:eastAsia="en-GB"/>
              </w:rPr>
            </w:pPr>
            <w:r w:rsidRPr="00D41179">
              <w:rPr>
                <w:lang w:eastAsia="en-GB"/>
              </w:rPr>
              <w:t>3,986</w:t>
            </w:r>
          </w:p>
        </w:tc>
        <w:tc>
          <w:tcPr>
            <w:tcW w:w="679" w:type="pct"/>
            <w:tcBorders>
              <w:top w:val="nil"/>
              <w:left w:val="nil"/>
              <w:bottom w:val="single" w:sz="4" w:space="0" w:color="auto"/>
              <w:right w:val="single" w:sz="4" w:space="0" w:color="auto"/>
            </w:tcBorders>
            <w:noWrap/>
            <w:vAlign w:val="center"/>
            <w:hideMark/>
          </w:tcPr>
          <w:p w14:paraId="2B7E8B3A" w14:textId="77777777" w:rsidR="00F714D1" w:rsidRPr="00D41179" w:rsidRDefault="00F714D1" w:rsidP="00F95692">
            <w:pPr>
              <w:pStyle w:val="TableText0"/>
              <w:rPr>
                <w:lang w:eastAsia="en-GB"/>
              </w:rPr>
            </w:pPr>
            <w:r w:rsidRPr="00D41179">
              <w:rPr>
                <w:lang w:eastAsia="en-GB"/>
              </w:rPr>
              <w:t>-378</w:t>
            </w:r>
          </w:p>
        </w:tc>
        <w:tc>
          <w:tcPr>
            <w:tcW w:w="674" w:type="pct"/>
            <w:tcBorders>
              <w:top w:val="nil"/>
              <w:left w:val="nil"/>
              <w:bottom w:val="single" w:sz="4" w:space="0" w:color="auto"/>
              <w:right w:val="single" w:sz="4" w:space="0" w:color="auto"/>
            </w:tcBorders>
            <w:noWrap/>
            <w:vAlign w:val="center"/>
            <w:hideMark/>
          </w:tcPr>
          <w:p w14:paraId="30AFF29C" w14:textId="77777777" w:rsidR="00F714D1" w:rsidRPr="00D41179" w:rsidRDefault="00F714D1" w:rsidP="00F95692">
            <w:pPr>
              <w:pStyle w:val="TableText0"/>
              <w:rPr>
                <w:lang w:eastAsia="en-GB"/>
              </w:rPr>
            </w:pPr>
            <w:r w:rsidRPr="00D41179">
              <w:rPr>
                <w:lang w:eastAsia="en-GB"/>
              </w:rPr>
              <w:t>-9%</w:t>
            </w:r>
          </w:p>
        </w:tc>
        <w:tc>
          <w:tcPr>
            <w:tcW w:w="679" w:type="pct"/>
            <w:tcBorders>
              <w:top w:val="nil"/>
              <w:left w:val="nil"/>
              <w:bottom w:val="single" w:sz="4" w:space="0" w:color="auto"/>
              <w:right w:val="single" w:sz="4" w:space="0" w:color="auto"/>
            </w:tcBorders>
            <w:noWrap/>
            <w:vAlign w:val="center"/>
            <w:hideMark/>
          </w:tcPr>
          <w:p w14:paraId="68FB0989" w14:textId="77777777" w:rsidR="00F714D1" w:rsidRPr="00D41179" w:rsidRDefault="00F714D1" w:rsidP="00F95692">
            <w:pPr>
              <w:pStyle w:val="TableText0"/>
              <w:rPr>
                <w:lang w:eastAsia="en-GB"/>
              </w:rPr>
            </w:pPr>
            <w:r w:rsidRPr="00D41179">
              <w:rPr>
                <w:lang w:eastAsia="en-GB"/>
              </w:rPr>
              <w:t>-</w:t>
            </w:r>
          </w:p>
        </w:tc>
      </w:tr>
      <w:tr w:rsidR="00F714D1" w:rsidRPr="00D41179" w14:paraId="1CD3D30D" w14:textId="77777777" w:rsidTr="00F04971">
        <w:trPr>
          <w:trHeight w:val="260"/>
        </w:trPr>
        <w:tc>
          <w:tcPr>
            <w:tcW w:w="1586" w:type="pct"/>
            <w:tcBorders>
              <w:top w:val="nil"/>
              <w:left w:val="single" w:sz="4" w:space="0" w:color="auto"/>
              <w:bottom w:val="single" w:sz="4" w:space="0" w:color="auto"/>
              <w:right w:val="single" w:sz="4" w:space="0" w:color="auto"/>
            </w:tcBorders>
            <w:noWrap/>
            <w:hideMark/>
          </w:tcPr>
          <w:p w14:paraId="66B10617" w14:textId="77777777" w:rsidR="00F714D1" w:rsidRPr="00D41179" w:rsidRDefault="00F714D1" w:rsidP="00F95692">
            <w:pPr>
              <w:pStyle w:val="TableText0"/>
              <w:rPr>
                <w:lang w:eastAsia="en-GB"/>
              </w:rPr>
            </w:pPr>
            <w:r w:rsidRPr="00D41179">
              <w:rPr>
                <w:lang w:eastAsia="en-GB"/>
              </w:rPr>
              <w:t>HZ-related deaths</w:t>
            </w:r>
          </w:p>
        </w:tc>
        <w:tc>
          <w:tcPr>
            <w:tcW w:w="706" w:type="pct"/>
            <w:tcBorders>
              <w:top w:val="nil"/>
              <w:left w:val="nil"/>
              <w:bottom w:val="single" w:sz="4" w:space="0" w:color="auto"/>
              <w:right w:val="single" w:sz="4" w:space="0" w:color="auto"/>
            </w:tcBorders>
            <w:noWrap/>
            <w:vAlign w:val="center"/>
            <w:hideMark/>
          </w:tcPr>
          <w:p w14:paraId="3043812A" w14:textId="1CEB6E59" w:rsidR="00F714D1" w:rsidRPr="00D41179" w:rsidRDefault="00F714D1" w:rsidP="00F95692">
            <w:pPr>
              <w:pStyle w:val="TableText0"/>
              <w:rPr>
                <w:lang w:eastAsia="en-GB"/>
              </w:rPr>
            </w:pPr>
            <w:r w:rsidRPr="00D41179">
              <w:rPr>
                <w:lang w:eastAsia="en-GB"/>
              </w:rPr>
              <w:t>23</w:t>
            </w:r>
            <w:r w:rsidR="00327B85" w:rsidRPr="00D41179">
              <w:rPr>
                <w:lang w:eastAsia="en-GB"/>
              </w:rPr>
              <w:t>,</w:t>
            </w:r>
            <w:r w:rsidR="00137EB8" w:rsidRPr="00D41179">
              <w:rPr>
                <w:lang w:eastAsia="en-GB"/>
              </w:rPr>
              <w:t>32</w:t>
            </w:r>
            <w:r w:rsidR="00002C66" w:rsidRPr="00D41179">
              <w:rPr>
                <w:lang w:eastAsia="en-GB"/>
              </w:rPr>
              <w:t>2</w:t>
            </w:r>
          </w:p>
        </w:tc>
        <w:tc>
          <w:tcPr>
            <w:tcW w:w="676" w:type="pct"/>
            <w:tcBorders>
              <w:top w:val="nil"/>
              <w:left w:val="nil"/>
              <w:bottom w:val="single" w:sz="4" w:space="0" w:color="auto"/>
              <w:right w:val="single" w:sz="4" w:space="0" w:color="auto"/>
            </w:tcBorders>
            <w:noWrap/>
            <w:vAlign w:val="center"/>
            <w:hideMark/>
          </w:tcPr>
          <w:p w14:paraId="28BF0146" w14:textId="3EAA8E4F" w:rsidR="00F714D1" w:rsidRPr="00D41179" w:rsidRDefault="00F714D1" w:rsidP="00F95692">
            <w:pPr>
              <w:pStyle w:val="TableText0"/>
              <w:rPr>
                <w:lang w:eastAsia="en-GB"/>
              </w:rPr>
            </w:pPr>
            <w:r w:rsidRPr="00D41179">
              <w:rPr>
                <w:lang w:eastAsia="en-GB"/>
              </w:rPr>
              <w:t>2</w:t>
            </w:r>
            <w:r w:rsidR="00002C66" w:rsidRPr="00D41179">
              <w:rPr>
                <w:lang w:eastAsia="en-GB"/>
              </w:rPr>
              <w:t>2</w:t>
            </w:r>
            <w:r w:rsidR="00327B85" w:rsidRPr="00D41179">
              <w:rPr>
                <w:lang w:eastAsia="en-GB"/>
              </w:rPr>
              <w:t>,</w:t>
            </w:r>
            <w:r w:rsidR="00002C66" w:rsidRPr="00D41179">
              <w:rPr>
                <w:lang w:eastAsia="en-GB"/>
              </w:rPr>
              <w:t>931</w:t>
            </w:r>
          </w:p>
        </w:tc>
        <w:tc>
          <w:tcPr>
            <w:tcW w:w="679" w:type="pct"/>
            <w:tcBorders>
              <w:top w:val="nil"/>
              <w:left w:val="nil"/>
              <w:bottom w:val="single" w:sz="4" w:space="0" w:color="auto"/>
              <w:right w:val="single" w:sz="4" w:space="0" w:color="auto"/>
            </w:tcBorders>
            <w:noWrap/>
            <w:vAlign w:val="center"/>
            <w:hideMark/>
          </w:tcPr>
          <w:p w14:paraId="42A0AC2D" w14:textId="77777777" w:rsidR="00F714D1" w:rsidRPr="00D41179" w:rsidRDefault="00F714D1" w:rsidP="00F95692">
            <w:pPr>
              <w:pStyle w:val="TableText0"/>
              <w:rPr>
                <w:lang w:eastAsia="en-GB"/>
              </w:rPr>
            </w:pPr>
            <w:r w:rsidRPr="00D41179">
              <w:rPr>
                <w:lang w:eastAsia="en-GB"/>
              </w:rPr>
              <w:t>+0</w:t>
            </w:r>
          </w:p>
        </w:tc>
        <w:tc>
          <w:tcPr>
            <w:tcW w:w="674" w:type="pct"/>
            <w:tcBorders>
              <w:top w:val="nil"/>
              <w:left w:val="nil"/>
              <w:bottom w:val="single" w:sz="4" w:space="0" w:color="auto"/>
              <w:right w:val="single" w:sz="4" w:space="0" w:color="auto"/>
            </w:tcBorders>
            <w:noWrap/>
            <w:vAlign w:val="center"/>
            <w:hideMark/>
          </w:tcPr>
          <w:p w14:paraId="28FA1AB5" w14:textId="5727F7FE" w:rsidR="00F714D1" w:rsidRPr="00D41179" w:rsidRDefault="00F714D1" w:rsidP="00F95692">
            <w:pPr>
              <w:pStyle w:val="TableText0"/>
              <w:rPr>
                <w:lang w:eastAsia="en-GB"/>
              </w:rPr>
            </w:pPr>
            <w:r w:rsidRPr="00D41179">
              <w:rPr>
                <w:lang w:eastAsia="en-GB"/>
              </w:rPr>
              <w:t>+2%</w:t>
            </w:r>
          </w:p>
        </w:tc>
        <w:tc>
          <w:tcPr>
            <w:tcW w:w="679" w:type="pct"/>
            <w:tcBorders>
              <w:top w:val="nil"/>
              <w:left w:val="nil"/>
              <w:bottom w:val="single" w:sz="4" w:space="0" w:color="auto"/>
              <w:right w:val="single" w:sz="4" w:space="0" w:color="auto"/>
            </w:tcBorders>
            <w:noWrap/>
            <w:vAlign w:val="center"/>
            <w:hideMark/>
          </w:tcPr>
          <w:p w14:paraId="1DDF5BDC" w14:textId="77777777" w:rsidR="00F714D1" w:rsidRPr="00D41179" w:rsidRDefault="00F714D1" w:rsidP="00F95692">
            <w:pPr>
              <w:pStyle w:val="TableText0"/>
              <w:rPr>
                <w:lang w:eastAsia="en-GB"/>
              </w:rPr>
            </w:pPr>
            <w:r w:rsidRPr="00D41179">
              <w:rPr>
                <w:lang w:eastAsia="en-GB"/>
              </w:rPr>
              <w:t>-</w:t>
            </w:r>
          </w:p>
        </w:tc>
      </w:tr>
      <w:tr w:rsidR="00F714D1" w:rsidRPr="00D41179" w14:paraId="11474AFE" w14:textId="77777777">
        <w:trPr>
          <w:trHeight w:val="260"/>
        </w:trPr>
        <w:tc>
          <w:tcPr>
            <w:tcW w:w="5000" w:type="pct"/>
            <w:gridSpan w:val="6"/>
            <w:tcBorders>
              <w:top w:val="single" w:sz="4" w:space="0" w:color="auto"/>
              <w:left w:val="single" w:sz="4" w:space="0" w:color="auto"/>
              <w:bottom w:val="single" w:sz="4" w:space="0" w:color="auto"/>
              <w:right w:val="single" w:sz="4" w:space="0" w:color="000000"/>
            </w:tcBorders>
            <w:shd w:val="clear" w:color="000000" w:fill="D9D9D9"/>
            <w:noWrap/>
            <w:hideMark/>
          </w:tcPr>
          <w:p w14:paraId="0554622F" w14:textId="77777777" w:rsidR="00F714D1" w:rsidRPr="00D41179" w:rsidRDefault="00F714D1" w:rsidP="00F95692">
            <w:pPr>
              <w:pStyle w:val="TableText0"/>
              <w:rPr>
                <w:lang w:eastAsia="en-GB"/>
              </w:rPr>
            </w:pPr>
            <w:r w:rsidRPr="00D41179">
              <w:rPr>
                <w:lang w:eastAsia="en-GB"/>
              </w:rPr>
              <w:t>Costs (discounted)</w:t>
            </w:r>
          </w:p>
        </w:tc>
      </w:tr>
      <w:tr w:rsidR="00F714D1" w:rsidRPr="00D41179" w14:paraId="15D50119" w14:textId="77777777" w:rsidTr="00F04971">
        <w:trPr>
          <w:trHeight w:val="260"/>
        </w:trPr>
        <w:tc>
          <w:tcPr>
            <w:tcW w:w="1586" w:type="pct"/>
            <w:tcBorders>
              <w:top w:val="nil"/>
              <w:left w:val="single" w:sz="4" w:space="0" w:color="auto"/>
              <w:bottom w:val="single" w:sz="4" w:space="0" w:color="auto"/>
              <w:right w:val="single" w:sz="4" w:space="0" w:color="auto"/>
            </w:tcBorders>
            <w:noWrap/>
            <w:hideMark/>
          </w:tcPr>
          <w:p w14:paraId="7714A24D" w14:textId="77777777" w:rsidR="00F714D1" w:rsidRPr="00D41179" w:rsidRDefault="00F714D1" w:rsidP="00F95692">
            <w:pPr>
              <w:pStyle w:val="TableText0"/>
              <w:rPr>
                <w:lang w:eastAsia="en-GB"/>
              </w:rPr>
            </w:pPr>
            <w:r w:rsidRPr="00D41179">
              <w:rPr>
                <w:lang w:eastAsia="en-GB"/>
              </w:rPr>
              <w:t>Total direct costs</w:t>
            </w:r>
          </w:p>
        </w:tc>
        <w:tc>
          <w:tcPr>
            <w:tcW w:w="706" w:type="pct"/>
            <w:tcBorders>
              <w:top w:val="nil"/>
              <w:left w:val="nil"/>
              <w:bottom w:val="single" w:sz="4" w:space="0" w:color="auto"/>
              <w:right w:val="single" w:sz="4" w:space="0" w:color="auto"/>
            </w:tcBorders>
            <w:noWrap/>
            <w:vAlign w:val="center"/>
            <w:hideMark/>
          </w:tcPr>
          <w:p w14:paraId="6DA34E5E" w14:textId="58ECBF5A" w:rsidR="00F714D1" w:rsidRPr="00D41179" w:rsidRDefault="00F714D1" w:rsidP="00F95692">
            <w:pPr>
              <w:pStyle w:val="TableText0"/>
              <w:rPr>
                <w:lang w:eastAsia="en-GB"/>
              </w:rPr>
            </w:pPr>
            <w:r w:rsidRPr="00D41179">
              <w:rPr>
                <w:lang w:eastAsia="en-GB"/>
              </w:rPr>
              <w:t>$</w:t>
            </w:r>
            <w:r w:rsidR="000E1EB2" w:rsidRPr="000E1EB2">
              <w:rPr>
                <w:sz w:val="2"/>
                <w:highlight w:val="black"/>
                <w:lang w:eastAsia="en-GB"/>
              </w:rPr>
              <w:t>redacted content</w:t>
            </w:r>
          </w:p>
        </w:tc>
        <w:tc>
          <w:tcPr>
            <w:tcW w:w="676" w:type="pct"/>
            <w:tcBorders>
              <w:top w:val="nil"/>
              <w:left w:val="nil"/>
              <w:bottom w:val="single" w:sz="4" w:space="0" w:color="auto"/>
              <w:right w:val="single" w:sz="4" w:space="0" w:color="auto"/>
            </w:tcBorders>
            <w:noWrap/>
            <w:vAlign w:val="center"/>
            <w:hideMark/>
          </w:tcPr>
          <w:p w14:paraId="2D0269A8" w14:textId="7921E584" w:rsidR="00F714D1" w:rsidRPr="00D41179" w:rsidRDefault="00FA48CF" w:rsidP="00F95692">
            <w:pPr>
              <w:pStyle w:val="TableText0"/>
              <w:rPr>
                <w:lang w:eastAsia="en-GB"/>
              </w:rPr>
            </w:pPr>
            <w:r w:rsidRPr="00FA48CF">
              <w:rPr>
                <w:lang w:eastAsia="en-GB"/>
              </w:rPr>
              <w:t>$</w:t>
            </w:r>
            <w:r w:rsidR="000E1EB2" w:rsidRPr="000E1EB2">
              <w:rPr>
                <w:sz w:val="2"/>
                <w:highlight w:val="black"/>
                <w:lang w:eastAsia="en-GB"/>
              </w:rPr>
              <w:t>redacted content</w:t>
            </w:r>
          </w:p>
        </w:tc>
        <w:tc>
          <w:tcPr>
            <w:tcW w:w="679" w:type="pct"/>
            <w:tcBorders>
              <w:top w:val="nil"/>
              <w:left w:val="nil"/>
              <w:bottom w:val="single" w:sz="4" w:space="0" w:color="auto"/>
              <w:right w:val="single" w:sz="4" w:space="0" w:color="auto"/>
            </w:tcBorders>
            <w:noWrap/>
            <w:vAlign w:val="center"/>
            <w:hideMark/>
          </w:tcPr>
          <w:p w14:paraId="509C0F19" w14:textId="4DE9816B" w:rsidR="00F714D1" w:rsidRPr="00D41179" w:rsidRDefault="00F714D1" w:rsidP="00F95692">
            <w:pPr>
              <w:pStyle w:val="TableText0"/>
              <w:rPr>
                <w:lang w:eastAsia="en-GB"/>
              </w:rPr>
            </w:pPr>
            <w:r w:rsidRPr="00D41179">
              <w:rPr>
                <w:lang w:eastAsia="en-GB"/>
              </w:rPr>
              <w:t>+$</w:t>
            </w:r>
            <w:r w:rsidR="000E1EB2" w:rsidRPr="000E1EB2">
              <w:rPr>
                <w:sz w:val="2"/>
                <w:highlight w:val="black"/>
                <w:lang w:eastAsia="en-GB"/>
              </w:rPr>
              <w:t>redacted content</w:t>
            </w:r>
          </w:p>
        </w:tc>
        <w:tc>
          <w:tcPr>
            <w:tcW w:w="674" w:type="pct"/>
            <w:tcBorders>
              <w:top w:val="nil"/>
              <w:left w:val="nil"/>
              <w:bottom w:val="single" w:sz="4" w:space="0" w:color="auto"/>
              <w:right w:val="single" w:sz="4" w:space="0" w:color="auto"/>
            </w:tcBorders>
            <w:noWrap/>
            <w:vAlign w:val="center"/>
            <w:hideMark/>
          </w:tcPr>
          <w:p w14:paraId="0DFC0D59" w14:textId="0BD4312A" w:rsidR="00F714D1" w:rsidRPr="00D41179" w:rsidRDefault="00F714D1" w:rsidP="00F95692">
            <w:pPr>
              <w:pStyle w:val="TableText0"/>
              <w:rPr>
                <w:lang w:eastAsia="en-GB"/>
              </w:rPr>
            </w:pPr>
            <w:r w:rsidRPr="00D41179">
              <w:rPr>
                <w:lang w:eastAsia="en-GB"/>
              </w:rPr>
              <w:t>+</w:t>
            </w:r>
            <w:r w:rsidR="000E1EB2" w:rsidRPr="000E1EB2">
              <w:rPr>
                <w:sz w:val="2"/>
                <w:highlight w:val="black"/>
                <w:lang w:eastAsia="en-GB"/>
              </w:rPr>
              <w:t>redacted content</w:t>
            </w:r>
            <w:r w:rsidRPr="00D41179">
              <w:rPr>
                <w:lang w:eastAsia="en-GB"/>
              </w:rPr>
              <w:t>%</w:t>
            </w:r>
          </w:p>
        </w:tc>
        <w:tc>
          <w:tcPr>
            <w:tcW w:w="679" w:type="pct"/>
            <w:tcBorders>
              <w:top w:val="nil"/>
              <w:left w:val="nil"/>
              <w:bottom w:val="single" w:sz="4" w:space="0" w:color="auto"/>
              <w:right w:val="single" w:sz="4" w:space="0" w:color="auto"/>
            </w:tcBorders>
            <w:noWrap/>
            <w:vAlign w:val="center"/>
            <w:hideMark/>
          </w:tcPr>
          <w:p w14:paraId="1998CBF4" w14:textId="46D4F713" w:rsidR="00F714D1" w:rsidRPr="00D41179" w:rsidRDefault="00F714D1" w:rsidP="00F95692">
            <w:pPr>
              <w:pStyle w:val="TableText0"/>
              <w:rPr>
                <w:lang w:eastAsia="en-GB"/>
              </w:rPr>
            </w:pPr>
            <w:r w:rsidRPr="00D41179">
              <w:rPr>
                <w:lang w:eastAsia="en-GB"/>
              </w:rPr>
              <w:t>+</w:t>
            </w:r>
            <w:r w:rsidR="000E1EB2" w:rsidRPr="000E1EB2">
              <w:rPr>
                <w:sz w:val="2"/>
                <w:highlight w:val="black"/>
                <w:lang w:eastAsia="en-GB"/>
              </w:rPr>
              <w:t>redacted content</w:t>
            </w:r>
            <w:r w:rsidR="00FA48CF">
              <w:rPr>
                <w:lang w:eastAsia="en-GB"/>
              </w:rPr>
              <w:t>%</w:t>
            </w:r>
          </w:p>
        </w:tc>
      </w:tr>
      <w:tr w:rsidR="00F714D1" w:rsidRPr="00D41179" w14:paraId="52B873F1" w14:textId="77777777" w:rsidTr="00F04971">
        <w:trPr>
          <w:trHeight w:val="260"/>
        </w:trPr>
        <w:tc>
          <w:tcPr>
            <w:tcW w:w="1586" w:type="pct"/>
            <w:tcBorders>
              <w:top w:val="nil"/>
              <w:left w:val="single" w:sz="4" w:space="0" w:color="auto"/>
              <w:bottom w:val="single" w:sz="4" w:space="0" w:color="auto"/>
              <w:right w:val="single" w:sz="4" w:space="0" w:color="auto"/>
            </w:tcBorders>
            <w:noWrap/>
            <w:hideMark/>
          </w:tcPr>
          <w:p w14:paraId="2797CB10" w14:textId="77777777" w:rsidR="00F714D1" w:rsidRPr="00D41179" w:rsidRDefault="00F714D1" w:rsidP="00F95692">
            <w:pPr>
              <w:pStyle w:val="TableText0"/>
              <w:rPr>
                <w:lang w:eastAsia="en-GB"/>
              </w:rPr>
            </w:pPr>
            <w:r w:rsidRPr="00D41179">
              <w:rPr>
                <w:lang w:eastAsia="en-GB"/>
              </w:rPr>
              <w:t>Vaccine-related</w:t>
            </w:r>
          </w:p>
        </w:tc>
        <w:tc>
          <w:tcPr>
            <w:tcW w:w="706" w:type="pct"/>
            <w:tcBorders>
              <w:top w:val="nil"/>
              <w:left w:val="nil"/>
              <w:bottom w:val="single" w:sz="4" w:space="0" w:color="auto"/>
              <w:right w:val="single" w:sz="4" w:space="0" w:color="auto"/>
            </w:tcBorders>
            <w:noWrap/>
            <w:vAlign w:val="center"/>
            <w:hideMark/>
          </w:tcPr>
          <w:p w14:paraId="0555FA62" w14:textId="67CDE1AE" w:rsidR="00F714D1" w:rsidRPr="00D41179" w:rsidRDefault="00F714D1" w:rsidP="00F95692">
            <w:pPr>
              <w:pStyle w:val="TableText0"/>
              <w:rPr>
                <w:lang w:eastAsia="en-GB"/>
              </w:rPr>
            </w:pPr>
            <w:r w:rsidRPr="00D41179">
              <w:rPr>
                <w:lang w:eastAsia="en-GB"/>
              </w:rPr>
              <w:t>$</w:t>
            </w:r>
            <w:r w:rsidR="000E1EB2" w:rsidRPr="000E1EB2">
              <w:rPr>
                <w:sz w:val="2"/>
                <w:highlight w:val="black"/>
                <w:lang w:eastAsia="en-GB"/>
              </w:rPr>
              <w:t>redacted content</w:t>
            </w:r>
          </w:p>
        </w:tc>
        <w:tc>
          <w:tcPr>
            <w:tcW w:w="676" w:type="pct"/>
            <w:tcBorders>
              <w:top w:val="nil"/>
              <w:left w:val="nil"/>
              <w:bottom w:val="single" w:sz="4" w:space="0" w:color="auto"/>
              <w:right w:val="single" w:sz="4" w:space="0" w:color="auto"/>
            </w:tcBorders>
            <w:noWrap/>
            <w:vAlign w:val="center"/>
            <w:hideMark/>
          </w:tcPr>
          <w:p w14:paraId="4E7345B6" w14:textId="22621583" w:rsidR="00F714D1" w:rsidRPr="00D41179" w:rsidRDefault="00FA48CF" w:rsidP="00F95692">
            <w:pPr>
              <w:pStyle w:val="TableText0"/>
              <w:rPr>
                <w:lang w:eastAsia="en-GB"/>
              </w:rPr>
            </w:pPr>
            <w:r w:rsidRPr="00FA48CF">
              <w:rPr>
                <w:lang w:eastAsia="en-GB"/>
              </w:rPr>
              <w:t>$</w:t>
            </w:r>
            <w:r w:rsidR="000E1EB2" w:rsidRPr="000E1EB2">
              <w:rPr>
                <w:sz w:val="2"/>
                <w:highlight w:val="black"/>
                <w:lang w:eastAsia="en-GB"/>
              </w:rPr>
              <w:t>redacted content</w:t>
            </w:r>
          </w:p>
        </w:tc>
        <w:tc>
          <w:tcPr>
            <w:tcW w:w="679" w:type="pct"/>
            <w:tcBorders>
              <w:top w:val="nil"/>
              <w:left w:val="nil"/>
              <w:bottom w:val="single" w:sz="4" w:space="0" w:color="auto"/>
              <w:right w:val="single" w:sz="4" w:space="0" w:color="auto"/>
            </w:tcBorders>
            <w:noWrap/>
            <w:vAlign w:val="center"/>
            <w:hideMark/>
          </w:tcPr>
          <w:p w14:paraId="3746353A" w14:textId="58232280" w:rsidR="00F714D1" w:rsidRPr="00D41179" w:rsidRDefault="00F714D1" w:rsidP="00F95692">
            <w:pPr>
              <w:pStyle w:val="TableText0"/>
              <w:rPr>
                <w:lang w:eastAsia="en-GB"/>
              </w:rPr>
            </w:pPr>
            <w:r w:rsidRPr="00D41179">
              <w:rPr>
                <w:lang w:eastAsia="en-GB"/>
              </w:rPr>
              <w:t>+$</w:t>
            </w:r>
            <w:r w:rsidR="000E1EB2" w:rsidRPr="000E1EB2">
              <w:rPr>
                <w:sz w:val="2"/>
                <w:highlight w:val="black"/>
                <w:lang w:eastAsia="en-GB"/>
              </w:rPr>
              <w:t>redacted content</w:t>
            </w:r>
          </w:p>
        </w:tc>
        <w:tc>
          <w:tcPr>
            <w:tcW w:w="674" w:type="pct"/>
            <w:tcBorders>
              <w:top w:val="nil"/>
              <w:left w:val="nil"/>
              <w:bottom w:val="single" w:sz="4" w:space="0" w:color="auto"/>
              <w:right w:val="single" w:sz="4" w:space="0" w:color="auto"/>
            </w:tcBorders>
            <w:noWrap/>
            <w:vAlign w:val="center"/>
            <w:hideMark/>
          </w:tcPr>
          <w:p w14:paraId="1B74D14F" w14:textId="383AB9AD" w:rsidR="00F714D1" w:rsidRPr="00D41179" w:rsidRDefault="00F714D1" w:rsidP="00F95692">
            <w:pPr>
              <w:pStyle w:val="TableText0"/>
              <w:rPr>
                <w:lang w:eastAsia="en-GB"/>
              </w:rPr>
            </w:pPr>
            <w:r w:rsidRPr="00D41179">
              <w:rPr>
                <w:lang w:eastAsia="en-GB"/>
              </w:rPr>
              <w:t>+</w:t>
            </w:r>
            <w:r w:rsidR="000E1EB2" w:rsidRPr="000E1EB2">
              <w:rPr>
                <w:sz w:val="2"/>
                <w:highlight w:val="black"/>
                <w:lang w:eastAsia="en-GB"/>
              </w:rPr>
              <w:t>redacted content</w:t>
            </w:r>
            <w:r w:rsidRPr="00D41179">
              <w:rPr>
                <w:lang w:eastAsia="en-GB"/>
              </w:rPr>
              <w:t>%</w:t>
            </w:r>
          </w:p>
        </w:tc>
        <w:tc>
          <w:tcPr>
            <w:tcW w:w="679" w:type="pct"/>
            <w:tcBorders>
              <w:top w:val="nil"/>
              <w:left w:val="nil"/>
              <w:bottom w:val="single" w:sz="4" w:space="0" w:color="auto"/>
              <w:right w:val="single" w:sz="4" w:space="0" w:color="auto"/>
            </w:tcBorders>
            <w:noWrap/>
            <w:vAlign w:val="center"/>
            <w:hideMark/>
          </w:tcPr>
          <w:p w14:paraId="6B8E7201" w14:textId="3F407868" w:rsidR="00F714D1" w:rsidRPr="00D41179" w:rsidRDefault="00F714D1" w:rsidP="00F95692">
            <w:pPr>
              <w:pStyle w:val="TableText0"/>
              <w:rPr>
                <w:lang w:eastAsia="en-GB"/>
              </w:rPr>
            </w:pPr>
            <w:r w:rsidRPr="00D41179">
              <w:rPr>
                <w:lang w:eastAsia="en-GB"/>
              </w:rPr>
              <w:t>+</w:t>
            </w:r>
            <w:r w:rsidR="000E1EB2" w:rsidRPr="000E1EB2">
              <w:rPr>
                <w:sz w:val="2"/>
                <w:highlight w:val="black"/>
                <w:lang w:eastAsia="en-GB"/>
              </w:rPr>
              <w:t>redacted content</w:t>
            </w:r>
            <w:r w:rsidRPr="00D41179">
              <w:rPr>
                <w:lang w:eastAsia="en-GB"/>
              </w:rPr>
              <w:t>%</w:t>
            </w:r>
          </w:p>
        </w:tc>
      </w:tr>
      <w:tr w:rsidR="00F714D1" w:rsidRPr="00D41179" w14:paraId="12E45FB4" w14:textId="77777777" w:rsidTr="00F04971">
        <w:trPr>
          <w:trHeight w:val="260"/>
        </w:trPr>
        <w:tc>
          <w:tcPr>
            <w:tcW w:w="1586" w:type="pct"/>
            <w:tcBorders>
              <w:top w:val="nil"/>
              <w:left w:val="single" w:sz="4" w:space="0" w:color="auto"/>
              <w:bottom w:val="single" w:sz="4" w:space="0" w:color="auto"/>
              <w:right w:val="single" w:sz="4" w:space="0" w:color="auto"/>
            </w:tcBorders>
            <w:noWrap/>
            <w:hideMark/>
          </w:tcPr>
          <w:p w14:paraId="0944CDD4" w14:textId="77DE68E8" w:rsidR="00F714D1" w:rsidRPr="00D41179" w:rsidRDefault="00D41179" w:rsidP="00F95692">
            <w:pPr>
              <w:pStyle w:val="TableText0"/>
              <w:rPr>
                <w:lang w:eastAsia="en-GB"/>
              </w:rPr>
            </w:pPr>
            <w:r w:rsidRPr="00D41179">
              <w:rPr>
                <w:lang w:eastAsia="en-GB"/>
              </w:rPr>
              <w:t xml:space="preserve"> </w:t>
            </w:r>
            <w:r w:rsidR="00F714D1" w:rsidRPr="00D41179">
              <w:rPr>
                <w:lang w:eastAsia="en-GB"/>
              </w:rPr>
              <w:t>Vaccine acquisition</w:t>
            </w:r>
          </w:p>
        </w:tc>
        <w:tc>
          <w:tcPr>
            <w:tcW w:w="706" w:type="pct"/>
            <w:tcBorders>
              <w:top w:val="nil"/>
              <w:left w:val="nil"/>
              <w:bottom w:val="single" w:sz="4" w:space="0" w:color="auto"/>
              <w:right w:val="single" w:sz="4" w:space="0" w:color="auto"/>
            </w:tcBorders>
            <w:noWrap/>
            <w:vAlign w:val="center"/>
            <w:hideMark/>
          </w:tcPr>
          <w:p w14:paraId="2F98F95C" w14:textId="75BF00BA" w:rsidR="00F714D1" w:rsidRPr="00D41179" w:rsidRDefault="00F714D1" w:rsidP="00F95692">
            <w:pPr>
              <w:pStyle w:val="TableText0"/>
              <w:rPr>
                <w:lang w:eastAsia="en-GB"/>
              </w:rPr>
            </w:pPr>
            <w:r w:rsidRPr="00D41179">
              <w:rPr>
                <w:lang w:eastAsia="en-GB"/>
              </w:rPr>
              <w:t>$</w:t>
            </w:r>
            <w:r w:rsidR="000E1EB2" w:rsidRPr="000E1EB2">
              <w:rPr>
                <w:sz w:val="2"/>
                <w:highlight w:val="black"/>
                <w:lang w:eastAsia="en-GB"/>
              </w:rPr>
              <w:t>redacted content</w:t>
            </w:r>
          </w:p>
        </w:tc>
        <w:tc>
          <w:tcPr>
            <w:tcW w:w="676" w:type="pct"/>
            <w:tcBorders>
              <w:top w:val="nil"/>
              <w:left w:val="nil"/>
              <w:bottom w:val="single" w:sz="4" w:space="0" w:color="auto"/>
              <w:right w:val="single" w:sz="4" w:space="0" w:color="auto"/>
            </w:tcBorders>
            <w:noWrap/>
            <w:vAlign w:val="center"/>
            <w:hideMark/>
          </w:tcPr>
          <w:p w14:paraId="1AA312DE" w14:textId="7D57203B" w:rsidR="00F714D1" w:rsidRPr="00D41179" w:rsidRDefault="00FA48CF" w:rsidP="00F95692">
            <w:pPr>
              <w:pStyle w:val="TableText0"/>
              <w:rPr>
                <w:lang w:eastAsia="en-GB"/>
              </w:rPr>
            </w:pPr>
            <w:r w:rsidRPr="00FA48CF">
              <w:rPr>
                <w:lang w:eastAsia="en-GB"/>
              </w:rPr>
              <w:t>$</w:t>
            </w:r>
            <w:r w:rsidR="000E1EB2" w:rsidRPr="000E1EB2">
              <w:rPr>
                <w:sz w:val="2"/>
                <w:highlight w:val="black"/>
                <w:lang w:eastAsia="en-GB"/>
              </w:rPr>
              <w:t>redacted content</w:t>
            </w:r>
          </w:p>
        </w:tc>
        <w:tc>
          <w:tcPr>
            <w:tcW w:w="679" w:type="pct"/>
            <w:tcBorders>
              <w:top w:val="nil"/>
              <w:left w:val="nil"/>
              <w:bottom w:val="single" w:sz="4" w:space="0" w:color="auto"/>
              <w:right w:val="single" w:sz="4" w:space="0" w:color="auto"/>
            </w:tcBorders>
            <w:noWrap/>
            <w:vAlign w:val="center"/>
            <w:hideMark/>
          </w:tcPr>
          <w:p w14:paraId="7D179D52" w14:textId="48774308" w:rsidR="00F714D1" w:rsidRPr="00D41179" w:rsidRDefault="00F714D1" w:rsidP="00F95692">
            <w:pPr>
              <w:pStyle w:val="TableText0"/>
              <w:rPr>
                <w:lang w:eastAsia="en-GB"/>
              </w:rPr>
            </w:pPr>
            <w:r w:rsidRPr="00D41179">
              <w:rPr>
                <w:lang w:eastAsia="en-GB"/>
              </w:rPr>
              <w:t>+$</w:t>
            </w:r>
            <w:r w:rsidR="000E1EB2" w:rsidRPr="000E1EB2">
              <w:rPr>
                <w:sz w:val="2"/>
                <w:highlight w:val="black"/>
                <w:lang w:eastAsia="en-GB"/>
              </w:rPr>
              <w:t>redacted content</w:t>
            </w:r>
          </w:p>
        </w:tc>
        <w:tc>
          <w:tcPr>
            <w:tcW w:w="674" w:type="pct"/>
            <w:tcBorders>
              <w:top w:val="nil"/>
              <w:left w:val="nil"/>
              <w:bottom w:val="single" w:sz="4" w:space="0" w:color="auto"/>
              <w:right w:val="single" w:sz="4" w:space="0" w:color="auto"/>
            </w:tcBorders>
            <w:noWrap/>
            <w:vAlign w:val="center"/>
            <w:hideMark/>
          </w:tcPr>
          <w:p w14:paraId="0DFB485B" w14:textId="76796D49" w:rsidR="00F714D1" w:rsidRPr="00D41179" w:rsidRDefault="00F714D1" w:rsidP="00F95692">
            <w:pPr>
              <w:pStyle w:val="TableText0"/>
              <w:rPr>
                <w:lang w:eastAsia="en-GB"/>
              </w:rPr>
            </w:pPr>
            <w:r w:rsidRPr="00D41179">
              <w:rPr>
                <w:lang w:eastAsia="en-GB"/>
              </w:rPr>
              <w:t>+</w:t>
            </w:r>
            <w:r w:rsidR="000E1EB2" w:rsidRPr="000E1EB2">
              <w:rPr>
                <w:sz w:val="2"/>
                <w:highlight w:val="black"/>
                <w:lang w:eastAsia="en-GB"/>
              </w:rPr>
              <w:t>redacted content</w:t>
            </w:r>
            <w:r w:rsidRPr="00D41179">
              <w:rPr>
                <w:lang w:eastAsia="en-GB"/>
              </w:rPr>
              <w:t>%</w:t>
            </w:r>
          </w:p>
        </w:tc>
        <w:tc>
          <w:tcPr>
            <w:tcW w:w="679" w:type="pct"/>
            <w:tcBorders>
              <w:top w:val="nil"/>
              <w:left w:val="nil"/>
              <w:bottom w:val="single" w:sz="4" w:space="0" w:color="auto"/>
              <w:right w:val="single" w:sz="4" w:space="0" w:color="auto"/>
            </w:tcBorders>
            <w:noWrap/>
            <w:vAlign w:val="center"/>
            <w:hideMark/>
          </w:tcPr>
          <w:p w14:paraId="7C137E62" w14:textId="7CDD404D" w:rsidR="00F714D1" w:rsidRPr="00D41179" w:rsidRDefault="00F714D1" w:rsidP="00F95692">
            <w:pPr>
              <w:pStyle w:val="TableText0"/>
              <w:rPr>
                <w:lang w:eastAsia="en-GB"/>
              </w:rPr>
            </w:pPr>
            <w:r w:rsidRPr="00D41179">
              <w:rPr>
                <w:lang w:eastAsia="en-GB"/>
              </w:rPr>
              <w:t>+</w:t>
            </w:r>
            <w:r w:rsidR="000E1EB2" w:rsidRPr="000E1EB2">
              <w:rPr>
                <w:sz w:val="2"/>
                <w:highlight w:val="black"/>
                <w:lang w:eastAsia="en-GB"/>
              </w:rPr>
              <w:t>redacted content</w:t>
            </w:r>
            <w:r w:rsidRPr="00D41179">
              <w:rPr>
                <w:lang w:eastAsia="en-GB"/>
              </w:rPr>
              <w:t>%</w:t>
            </w:r>
          </w:p>
        </w:tc>
      </w:tr>
      <w:tr w:rsidR="00F714D1" w:rsidRPr="00D41179" w14:paraId="4CF824FD" w14:textId="77777777" w:rsidTr="00F04971">
        <w:trPr>
          <w:trHeight w:val="260"/>
        </w:trPr>
        <w:tc>
          <w:tcPr>
            <w:tcW w:w="1586" w:type="pct"/>
            <w:tcBorders>
              <w:top w:val="nil"/>
              <w:left w:val="single" w:sz="4" w:space="0" w:color="auto"/>
              <w:bottom w:val="single" w:sz="4" w:space="0" w:color="auto"/>
              <w:right w:val="single" w:sz="4" w:space="0" w:color="auto"/>
            </w:tcBorders>
            <w:noWrap/>
            <w:hideMark/>
          </w:tcPr>
          <w:p w14:paraId="5E3837A8" w14:textId="7B35A000" w:rsidR="00F714D1" w:rsidRPr="00D41179" w:rsidRDefault="00D41179" w:rsidP="00F95692">
            <w:pPr>
              <w:pStyle w:val="TableText0"/>
              <w:rPr>
                <w:lang w:eastAsia="en-GB"/>
              </w:rPr>
            </w:pPr>
            <w:r w:rsidRPr="00D41179">
              <w:rPr>
                <w:lang w:eastAsia="en-GB"/>
              </w:rPr>
              <w:t xml:space="preserve"> </w:t>
            </w:r>
            <w:r w:rsidR="00F714D1" w:rsidRPr="00D41179">
              <w:rPr>
                <w:lang w:eastAsia="en-GB"/>
              </w:rPr>
              <w:t>Vaccine administration</w:t>
            </w:r>
          </w:p>
        </w:tc>
        <w:tc>
          <w:tcPr>
            <w:tcW w:w="706" w:type="pct"/>
            <w:tcBorders>
              <w:top w:val="nil"/>
              <w:left w:val="nil"/>
              <w:bottom w:val="single" w:sz="4" w:space="0" w:color="auto"/>
              <w:right w:val="single" w:sz="4" w:space="0" w:color="auto"/>
            </w:tcBorders>
            <w:noWrap/>
            <w:vAlign w:val="center"/>
            <w:hideMark/>
          </w:tcPr>
          <w:p w14:paraId="2DBC1BDF" w14:textId="6ECE2F82" w:rsidR="00F714D1" w:rsidRPr="00D41179" w:rsidRDefault="00F714D1" w:rsidP="00F95692">
            <w:pPr>
              <w:pStyle w:val="TableText0"/>
              <w:rPr>
                <w:lang w:eastAsia="en-GB"/>
              </w:rPr>
            </w:pPr>
            <w:r w:rsidRPr="00D41179">
              <w:rPr>
                <w:lang w:eastAsia="en-GB"/>
              </w:rPr>
              <w:t>$</w:t>
            </w:r>
            <w:r w:rsidR="000E1EB2" w:rsidRPr="000E1EB2">
              <w:rPr>
                <w:sz w:val="2"/>
                <w:highlight w:val="black"/>
                <w:lang w:eastAsia="en-GB"/>
              </w:rPr>
              <w:t>redacted content</w:t>
            </w:r>
          </w:p>
        </w:tc>
        <w:tc>
          <w:tcPr>
            <w:tcW w:w="676" w:type="pct"/>
            <w:tcBorders>
              <w:top w:val="nil"/>
              <w:left w:val="nil"/>
              <w:bottom w:val="single" w:sz="4" w:space="0" w:color="auto"/>
              <w:right w:val="single" w:sz="4" w:space="0" w:color="auto"/>
            </w:tcBorders>
            <w:noWrap/>
            <w:vAlign w:val="center"/>
            <w:hideMark/>
          </w:tcPr>
          <w:p w14:paraId="24860CCF" w14:textId="120400D0" w:rsidR="00F714D1" w:rsidRPr="00D41179" w:rsidRDefault="00F714D1" w:rsidP="00F95692">
            <w:pPr>
              <w:pStyle w:val="TableText0"/>
              <w:rPr>
                <w:lang w:eastAsia="en-GB"/>
              </w:rPr>
            </w:pPr>
            <w:r w:rsidRPr="00D41179">
              <w:rPr>
                <w:lang w:eastAsia="en-GB"/>
              </w:rPr>
              <w:t>$</w:t>
            </w:r>
            <w:r w:rsidR="000E1EB2" w:rsidRPr="000E1EB2">
              <w:rPr>
                <w:sz w:val="2"/>
                <w:highlight w:val="black"/>
                <w:lang w:eastAsia="en-GB"/>
              </w:rPr>
              <w:t>redacted content</w:t>
            </w:r>
          </w:p>
        </w:tc>
        <w:tc>
          <w:tcPr>
            <w:tcW w:w="679" w:type="pct"/>
            <w:tcBorders>
              <w:top w:val="nil"/>
              <w:left w:val="nil"/>
              <w:bottom w:val="single" w:sz="4" w:space="0" w:color="auto"/>
              <w:right w:val="single" w:sz="4" w:space="0" w:color="auto"/>
            </w:tcBorders>
            <w:noWrap/>
            <w:vAlign w:val="center"/>
            <w:hideMark/>
          </w:tcPr>
          <w:p w14:paraId="45A63006" w14:textId="158FDC11" w:rsidR="00F714D1" w:rsidRPr="00D41179" w:rsidRDefault="00F714D1" w:rsidP="00F95692">
            <w:pPr>
              <w:pStyle w:val="TableText0"/>
              <w:rPr>
                <w:lang w:eastAsia="en-GB"/>
              </w:rPr>
            </w:pPr>
            <w:r w:rsidRPr="00D41179">
              <w:rPr>
                <w:lang w:eastAsia="en-GB"/>
              </w:rPr>
              <w:t>+$</w:t>
            </w:r>
            <w:r w:rsidR="000E1EB2" w:rsidRPr="000E1EB2">
              <w:rPr>
                <w:sz w:val="2"/>
                <w:highlight w:val="black"/>
                <w:lang w:eastAsia="en-GB"/>
              </w:rPr>
              <w:t>redacted content</w:t>
            </w:r>
          </w:p>
        </w:tc>
        <w:tc>
          <w:tcPr>
            <w:tcW w:w="674" w:type="pct"/>
            <w:tcBorders>
              <w:top w:val="nil"/>
              <w:left w:val="nil"/>
              <w:bottom w:val="single" w:sz="4" w:space="0" w:color="auto"/>
              <w:right w:val="single" w:sz="4" w:space="0" w:color="auto"/>
            </w:tcBorders>
            <w:noWrap/>
            <w:vAlign w:val="center"/>
            <w:hideMark/>
          </w:tcPr>
          <w:p w14:paraId="138D3352" w14:textId="7CE79AA0" w:rsidR="00F714D1" w:rsidRPr="00D41179" w:rsidRDefault="00F714D1" w:rsidP="00F95692">
            <w:pPr>
              <w:pStyle w:val="TableText0"/>
              <w:rPr>
                <w:lang w:eastAsia="en-GB"/>
              </w:rPr>
            </w:pPr>
            <w:r w:rsidRPr="00D41179">
              <w:rPr>
                <w:lang w:eastAsia="en-GB"/>
              </w:rPr>
              <w:t>+</w:t>
            </w:r>
            <w:r w:rsidR="000E1EB2" w:rsidRPr="000E1EB2">
              <w:rPr>
                <w:sz w:val="2"/>
                <w:highlight w:val="black"/>
                <w:lang w:eastAsia="en-GB"/>
              </w:rPr>
              <w:t>redacted content</w:t>
            </w:r>
            <w:r w:rsidRPr="00D41179">
              <w:rPr>
                <w:lang w:eastAsia="en-GB"/>
              </w:rPr>
              <w:t>%</w:t>
            </w:r>
          </w:p>
        </w:tc>
        <w:tc>
          <w:tcPr>
            <w:tcW w:w="679" w:type="pct"/>
            <w:tcBorders>
              <w:top w:val="nil"/>
              <w:left w:val="nil"/>
              <w:bottom w:val="single" w:sz="4" w:space="0" w:color="auto"/>
              <w:right w:val="single" w:sz="4" w:space="0" w:color="auto"/>
            </w:tcBorders>
            <w:noWrap/>
            <w:vAlign w:val="center"/>
            <w:hideMark/>
          </w:tcPr>
          <w:p w14:paraId="2AF67BCD" w14:textId="69FD1AF3" w:rsidR="00F714D1" w:rsidRPr="00D41179" w:rsidRDefault="00F714D1" w:rsidP="00F95692">
            <w:pPr>
              <w:pStyle w:val="TableText0"/>
              <w:rPr>
                <w:lang w:eastAsia="en-GB"/>
              </w:rPr>
            </w:pPr>
            <w:r w:rsidRPr="00D41179">
              <w:rPr>
                <w:lang w:eastAsia="en-GB"/>
              </w:rPr>
              <w:t>+</w:t>
            </w:r>
            <w:r w:rsidR="000E1EB2" w:rsidRPr="000E1EB2">
              <w:rPr>
                <w:sz w:val="2"/>
                <w:highlight w:val="black"/>
                <w:lang w:eastAsia="en-GB"/>
              </w:rPr>
              <w:t>redacted content</w:t>
            </w:r>
            <w:r w:rsidRPr="00D41179">
              <w:rPr>
                <w:lang w:eastAsia="en-GB"/>
              </w:rPr>
              <w:t>%</w:t>
            </w:r>
          </w:p>
        </w:tc>
      </w:tr>
      <w:tr w:rsidR="00F714D1" w:rsidRPr="00D41179" w14:paraId="6B77CB34" w14:textId="77777777" w:rsidTr="00F04971">
        <w:trPr>
          <w:trHeight w:val="260"/>
        </w:trPr>
        <w:tc>
          <w:tcPr>
            <w:tcW w:w="1586" w:type="pct"/>
            <w:tcBorders>
              <w:top w:val="nil"/>
              <w:left w:val="single" w:sz="4" w:space="0" w:color="auto"/>
              <w:bottom w:val="single" w:sz="4" w:space="0" w:color="auto"/>
              <w:right w:val="single" w:sz="4" w:space="0" w:color="auto"/>
            </w:tcBorders>
            <w:noWrap/>
            <w:hideMark/>
          </w:tcPr>
          <w:p w14:paraId="66AFDC9E" w14:textId="0F7E6E6F" w:rsidR="00F714D1" w:rsidRPr="00D41179" w:rsidRDefault="00D41179" w:rsidP="00F95692">
            <w:pPr>
              <w:pStyle w:val="TableText0"/>
              <w:rPr>
                <w:lang w:eastAsia="en-GB"/>
              </w:rPr>
            </w:pPr>
            <w:r w:rsidRPr="00D41179">
              <w:rPr>
                <w:lang w:eastAsia="en-GB"/>
              </w:rPr>
              <w:t xml:space="preserve"> </w:t>
            </w:r>
            <w:r w:rsidR="00F714D1" w:rsidRPr="00D41179">
              <w:rPr>
                <w:lang w:eastAsia="en-GB"/>
              </w:rPr>
              <w:t>Vaccine-related AEs</w:t>
            </w:r>
          </w:p>
        </w:tc>
        <w:tc>
          <w:tcPr>
            <w:tcW w:w="706" w:type="pct"/>
            <w:tcBorders>
              <w:top w:val="nil"/>
              <w:left w:val="nil"/>
              <w:bottom w:val="single" w:sz="4" w:space="0" w:color="auto"/>
              <w:right w:val="single" w:sz="4" w:space="0" w:color="auto"/>
            </w:tcBorders>
            <w:noWrap/>
            <w:vAlign w:val="center"/>
            <w:hideMark/>
          </w:tcPr>
          <w:p w14:paraId="03AF8A05" w14:textId="487B71BB" w:rsidR="00F714D1" w:rsidRPr="00D41179" w:rsidRDefault="00F714D1" w:rsidP="00F95692">
            <w:pPr>
              <w:pStyle w:val="TableText0"/>
              <w:rPr>
                <w:lang w:eastAsia="en-GB"/>
              </w:rPr>
            </w:pPr>
            <w:r w:rsidRPr="00D41179">
              <w:rPr>
                <w:lang w:eastAsia="en-GB"/>
              </w:rPr>
              <w:t>$</w:t>
            </w:r>
            <w:r w:rsidR="000E1EB2" w:rsidRPr="000E1EB2">
              <w:rPr>
                <w:sz w:val="2"/>
                <w:highlight w:val="black"/>
                <w:lang w:eastAsia="en-GB"/>
              </w:rPr>
              <w:t>redacted content</w:t>
            </w:r>
          </w:p>
        </w:tc>
        <w:tc>
          <w:tcPr>
            <w:tcW w:w="676" w:type="pct"/>
            <w:tcBorders>
              <w:top w:val="nil"/>
              <w:left w:val="nil"/>
              <w:bottom w:val="single" w:sz="4" w:space="0" w:color="auto"/>
              <w:right w:val="single" w:sz="4" w:space="0" w:color="auto"/>
            </w:tcBorders>
            <w:noWrap/>
            <w:vAlign w:val="center"/>
            <w:hideMark/>
          </w:tcPr>
          <w:p w14:paraId="004E9585" w14:textId="64A71767" w:rsidR="00F714D1" w:rsidRPr="00D41179" w:rsidRDefault="00F714D1" w:rsidP="00F95692">
            <w:pPr>
              <w:pStyle w:val="TableText0"/>
              <w:rPr>
                <w:lang w:eastAsia="en-GB"/>
              </w:rPr>
            </w:pPr>
            <w:r w:rsidRPr="00D41179">
              <w:rPr>
                <w:lang w:eastAsia="en-GB"/>
              </w:rPr>
              <w:t>$</w:t>
            </w:r>
            <w:r w:rsidR="000E1EB2" w:rsidRPr="000E1EB2">
              <w:rPr>
                <w:sz w:val="2"/>
                <w:highlight w:val="black"/>
                <w:lang w:eastAsia="en-GB"/>
              </w:rPr>
              <w:t>redacted content</w:t>
            </w:r>
          </w:p>
        </w:tc>
        <w:tc>
          <w:tcPr>
            <w:tcW w:w="679" w:type="pct"/>
            <w:tcBorders>
              <w:top w:val="nil"/>
              <w:left w:val="nil"/>
              <w:bottom w:val="single" w:sz="4" w:space="0" w:color="auto"/>
              <w:right w:val="single" w:sz="4" w:space="0" w:color="auto"/>
            </w:tcBorders>
            <w:noWrap/>
            <w:vAlign w:val="center"/>
            <w:hideMark/>
          </w:tcPr>
          <w:p w14:paraId="61CACF87" w14:textId="344DDEEA" w:rsidR="00F714D1" w:rsidRPr="00D41179" w:rsidRDefault="00F714D1" w:rsidP="00F95692">
            <w:pPr>
              <w:pStyle w:val="TableText0"/>
              <w:rPr>
                <w:lang w:eastAsia="en-GB"/>
              </w:rPr>
            </w:pPr>
            <w:r w:rsidRPr="00D41179">
              <w:rPr>
                <w:lang w:eastAsia="en-GB"/>
              </w:rPr>
              <w:t>+$</w:t>
            </w:r>
            <w:r w:rsidR="000E1EB2" w:rsidRPr="000E1EB2">
              <w:rPr>
                <w:sz w:val="2"/>
                <w:highlight w:val="black"/>
                <w:lang w:eastAsia="en-GB"/>
              </w:rPr>
              <w:t>redacted content</w:t>
            </w:r>
          </w:p>
        </w:tc>
        <w:tc>
          <w:tcPr>
            <w:tcW w:w="674" w:type="pct"/>
            <w:tcBorders>
              <w:top w:val="nil"/>
              <w:left w:val="nil"/>
              <w:bottom w:val="single" w:sz="4" w:space="0" w:color="auto"/>
              <w:right w:val="single" w:sz="4" w:space="0" w:color="auto"/>
            </w:tcBorders>
            <w:noWrap/>
            <w:vAlign w:val="center"/>
            <w:hideMark/>
          </w:tcPr>
          <w:p w14:paraId="3C88616F" w14:textId="48C7E197" w:rsidR="00F714D1" w:rsidRPr="00D41179" w:rsidRDefault="00F714D1" w:rsidP="00F95692">
            <w:pPr>
              <w:pStyle w:val="TableText0"/>
              <w:rPr>
                <w:lang w:eastAsia="en-GB"/>
              </w:rPr>
            </w:pPr>
            <w:r w:rsidRPr="00D41179">
              <w:rPr>
                <w:lang w:eastAsia="en-GB"/>
              </w:rPr>
              <w:t>+</w:t>
            </w:r>
            <w:r w:rsidR="000E1EB2" w:rsidRPr="000E1EB2">
              <w:rPr>
                <w:sz w:val="2"/>
                <w:highlight w:val="black"/>
                <w:lang w:eastAsia="en-GB"/>
              </w:rPr>
              <w:t>redacted content</w:t>
            </w:r>
            <w:r w:rsidRPr="00D41179">
              <w:rPr>
                <w:lang w:eastAsia="en-GB"/>
              </w:rPr>
              <w:t>%</w:t>
            </w:r>
          </w:p>
        </w:tc>
        <w:tc>
          <w:tcPr>
            <w:tcW w:w="679" w:type="pct"/>
            <w:tcBorders>
              <w:top w:val="nil"/>
              <w:left w:val="nil"/>
              <w:bottom w:val="single" w:sz="4" w:space="0" w:color="auto"/>
              <w:right w:val="single" w:sz="4" w:space="0" w:color="auto"/>
            </w:tcBorders>
            <w:noWrap/>
            <w:vAlign w:val="center"/>
            <w:hideMark/>
          </w:tcPr>
          <w:p w14:paraId="570EBD0F" w14:textId="4FA97F8B" w:rsidR="00F714D1" w:rsidRPr="00D41179" w:rsidRDefault="00F714D1" w:rsidP="00F95692">
            <w:pPr>
              <w:pStyle w:val="TableText0"/>
              <w:rPr>
                <w:lang w:eastAsia="en-GB"/>
              </w:rPr>
            </w:pPr>
            <w:r w:rsidRPr="00D41179">
              <w:rPr>
                <w:lang w:eastAsia="en-GB"/>
              </w:rPr>
              <w:t>+</w:t>
            </w:r>
            <w:r w:rsidR="000E1EB2" w:rsidRPr="000E1EB2">
              <w:rPr>
                <w:sz w:val="2"/>
                <w:highlight w:val="black"/>
                <w:lang w:eastAsia="en-GB"/>
              </w:rPr>
              <w:t>redacted content</w:t>
            </w:r>
            <w:r w:rsidRPr="00D41179">
              <w:rPr>
                <w:lang w:eastAsia="en-GB"/>
              </w:rPr>
              <w:t>%</w:t>
            </w:r>
          </w:p>
        </w:tc>
      </w:tr>
      <w:tr w:rsidR="00F714D1" w:rsidRPr="00D41179" w14:paraId="520B4F79" w14:textId="77777777" w:rsidTr="00F04971">
        <w:trPr>
          <w:trHeight w:val="260"/>
        </w:trPr>
        <w:tc>
          <w:tcPr>
            <w:tcW w:w="1586" w:type="pct"/>
            <w:tcBorders>
              <w:top w:val="nil"/>
              <w:left w:val="single" w:sz="4" w:space="0" w:color="auto"/>
              <w:bottom w:val="single" w:sz="4" w:space="0" w:color="auto"/>
              <w:right w:val="single" w:sz="4" w:space="0" w:color="auto"/>
            </w:tcBorders>
            <w:noWrap/>
            <w:hideMark/>
          </w:tcPr>
          <w:p w14:paraId="6DBB732A" w14:textId="77777777" w:rsidR="00F714D1" w:rsidRPr="00D41179" w:rsidRDefault="00F714D1" w:rsidP="00F95692">
            <w:pPr>
              <w:pStyle w:val="TableText0"/>
              <w:rPr>
                <w:lang w:eastAsia="en-GB"/>
              </w:rPr>
            </w:pPr>
            <w:r w:rsidRPr="00D41179">
              <w:rPr>
                <w:lang w:eastAsia="en-GB"/>
              </w:rPr>
              <w:t>Disease-related</w:t>
            </w:r>
          </w:p>
        </w:tc>
        <w:tc>
          <w:tcPr>
            <w:tcW w:w="706" w:type="pct"/>
            <w:tcBorders>
              <w:top w:val="nil"/>
              <w:left w:val="nil"/>
              <w:bottom w:val="single" w:sz="4" w:space="0" w:color="auto"/>
              <w:right w:val="single" w:sz="4" w:space="0" w:color="auto"/>
            </w:tcBorders>
            <w:noWrap/>
            <w:vAlign w:val="center"/>
            <w:hideMark/>
          </w:tcPr>
          <w:p w14:paraId="4B3DF40A" w14:textId="66D65858" w:rsidR="00F714D1" w:rsidRPr="00D41179" w:rsidRDefault="00F714D1" w:rsidP="00F95692">
            <w:pPr>
              <w:pStyle w:val="TableText0"/>
              <w:rPr>
                <w:lang w:eastAsia="en-GB"/>
              </w:rPr>
            </w:pPr>
            <w:r w:rsidRPr="00D41179">
              <w:rPr>
                <w:lang w:eastAsia="en-GB"/>
              </w:rPr>
              <w:t>$</w:t>
            </w:r>
            <w:r w:rsidR="000E1EB2" w:rsidRPr="000E1EB2">
              <w:rPr>
                <w:sz w:val="2"/>
                <w:highlight w:val="black"/>
                <w:lang w:eastAsia="en-GB"/>
              </w:rPr>
              <w:t>redacted content</w:t>
            </w:r>
          </w:p>
        </w:tc>
        <w:tc>
          <w:tcPr>
            <w:tcW w:w="676" w:type="pct"/>
            <w:tcBorders>
              <w:top w:val="nil"/>
              <w:left w:val="nil"/>
              <w:bottom w:val="single" w:sz="4" w:space="0" w:color="auto"/>
              <w:right w:val="single" w:sz="4" w:space="0" w:color="auto"/>
            </w:tcBorders>
            <w:noWrap/>
            <w:vAlign w:val="center"/>
            <w:hideMark/>
          </w:tcPr>
          <w:p w14:paraId="22C7FF1F" w14:textId="7673B148" w:rsidR="00F714D1" w:rsidRPr="00D41179" w:rsidRDefault="00F714D1" w:rsidP="00F95692">
            <w:pPr>
              <w:pStyle w:val="TableText0"/>
              <w:rPr>
                <w:lang w:eastAsia="en-GB"/>
              </w:rPr>
            </w:pPr>
            <w:r w:rsidRPr="00D41179">
              <w:rPr>
                <w:lang w:eastAsia="en-GB"/>
              </w:rPr>
              <w:t>$</w:t>
            </w:r>
            <w:r w:rsidR="000E1EB2" w:rsidRPr="000E1EB2">
              <w:rPr>
                <w:sz w:val="2"/>
                <w:highlight w:val="black"/>
                <w:lang w:eastAsia="en-GB"/>
              </w:rPr>
              <w:t>redacted content</w:t>
            </w:r>
          </w:p>
        </w:tc>
        <w:tc>
          <w:tcPr>
            <w:tcW w:w="679" w:type="pct"/>
            <w:tcBorders>
              <w:top w:val="nil"/>
              <w:left w:val="nil"/>
              <w:bottom w:val="single" w:sz="4" w:space="0" w:color="auto"/>
              <w:right w:val="single" w:sz="4" w:space="0" w:color="auto"/>
            </w:tcBorders>
            <w:noWrap/>
            <w:vAlign w:val="center"/>
            <w:hideMark/>
          </w:tcPr>
          <w:p w14:paraId="6D9319C8" w14:textId="735240C5" w:rsidR="00F714D1" w:rsidRPr="00D41179" w:rsidRDefault="00F714D1" w:rsidP="00F95692">
            <w:pPr>
              <w:pStyle w:val="TableText0"/>
              <w:rPr>
                <w:lang w:eastAsia="en-GB"/>
              </w:rPr>
            </w:pPr>
            <w:r w:rsidRPr="00D41179">
              <w:rPr>
                <w:lang w:eastAsia="en-GB"/>
              </w:rPr>
              <w:t>-$</w:t>
            </w:r>
            <w:r w:rsidR="000E1EB2" w:rsidRPr="000E1EB2">
              <w:rPr>
                <w:sz w:val="2"/>
                <w:highlight w:val="black"/>
                <w:lang w:eastAsia="en-GB"/>
              </w:rPr>
              <w:t>redacted content</w:t>
            </w:r>
          </w:p>
        </w:tc>
        <w:tc>
          <w:tcPr>
            <w:tcW w:w="674" w:type="pct"/>
            <w:tcBorders>
              <w:top w:val="nil"/>
              <w:left w:val="nil"/>
              <w:bottom w:val="single" w:sz="4" w:space="0" w:color="auto"/>
              <w:right w:val="single" w:sz="4" w:space="0" w:color="auto"/>
            </w:tcBorders>
            <w:noWrap/>
            <w:vAlign w:val="center"/>
            <w:hideMark/>
          </w:tcPr>
          <w:p w14:paraId="3F50FF79" w14:textId="4E0F49A9" w:rsidR="00F714D1" w:rsidRPr="00D41179" w:rsidRDefault="00F714D1" w:rsidP="00F95692">
            <w:pPr>
              <w:pStyle w:val="TableText0"/>
              <w:rPr>
                <w:lang w:eastAsia="en-GB"/>
              </w:rPr>
            </w:pPr>
            <w:r w:rsidRPr="00D41179">
              <w:rPr>
                <w:lang w:eastAsia="en-GB"/>
              </w:rPr>
              <w:t>-</w:t>
            </w:r>
            <w:r w:rsidR="000E1EB2" w:rsidRPr="000E1EB2">
              <w:rPr>
                <w:sz w:val="2"/>
                <w:highlight w:val="black"/>
                <w:lang w:eastAsia="en-GB"/>
              </w:rPr>
              <w:t>redacted content</w:t>
            </w:r>
            <w:r w:rsidRPr="00D41179">
              <w:rPr>
                <w:lang w:eastAsia="en-GB"/>
              </w:rPr>
              <w:t>%</w:t>
            </w:r>
          </w:p>
        </w:tc>
        <w:tc>
          <w:tcPr>
            <w:tcW w:w="679" w:type="pct"/>
            <w:tcBorders>
              <w:top w:val="nil"/>
              <w:left w:val="nil"/>
              <w:bottom w:val="single" w:sz="4" w:space="0" w:color="auto"/>
              <w:right w:val="single" w:sz="4" w:space="0" w:color="auto"/>
            </w:tcBorders>
            <w:noWrap/>
            <w:vAlign w:val="center"/>
            <w:hideMark/>
          </w:tcPr>
          <w:p w14:paraId="21659B80" w14:textId="2D818E38" w:rsidR="00F714D1" w:rsidRPr="00D41179" w:rsidRDefault="00F714D1" w:rsidP="00F95692">
            <w:pPr>
              <w:pStyle w:val="TableText0"/>
              <w:rPr>
                <w:lang w:eastAsia="en-GB"/>
              </w:rPr>
            </w:pPr>
            <w:r w:rsidRPr="00D41179">
              <w:rPr>
                <w:lang w:eastAsia="en-GB"/>
              </w:rPr>
              <w:t>-</w:t>
            </w:r>
            <w:r w:rsidR="000E1EB2" w:rsidRPr="000E1EB2">
              <w:rPr>
                <w:sz w:val="2"/>
                <w:highlight w:val="black"/>
                <w:lang w:eastAsia="en-GB"/>
              </w:rPr>
              <w:t>redacted content</w:t>
            </w:r>
            <w:r w:rsidRPr="00D41179">
              <w:rPr>
                <w:lang w:eastAsia="en-GB"/>
              </w:rPr>
              <w:t>%</w:t>
            </w:r>
          </w:p>
        </w:tc>
      </w:tr>
      <w:tr w:rsidR="00F714D1" w:rsidRPr="00D41179" w14:paraId="6956BBE9" w14:textId="77777777" w:rsidTr="00F04971">
        <w:trPr>
          <w:trHeight w:val="260"/>
        </w:trPr>
        <w:tc>
          <w:tcPr>
            <w:tcW w:w="1586" w:type="pct"/>
            <w:tcBorders>
              <w:top w:val="nil"/>
              <w:left w:val="single" w:sz="4" w:space="0" w:color="auto"/>
              <w:bottom w:val="single" w:sz="4" w:space="0" w:color="auto"/>
              <w:right w:val="single" w:sz="4" w:space="0" w:color="auto"/>
            </w:tcBorders>
            <w:noWrap/>
            <w:hideMark/>
          </w:tcPr>
          <w:p w14:paraId="16F4A3DC" w14:textId="6350649E" w:rsidR="00F714D1" w:rsidRPr="00D41179" w:rsidRDefault="00D41179" w:rsidP="00F95692">
            <w:pPr>
              <w:pStyle w:val="TableText0"/>
              <w:rPr>
                <w:lang w:eastAsia="en-GB"/>
              </w:rPr>
            </w:pPr>
            <w:r w:rsidRPr="00D41179">
              <w:rPr>
                <w:lang w:eastAsia="en-GB"/>
              </w:rPr>
              <w:t xml:space="preserve"> </w:t>
            </w:r>
            <w:r w:rsidR="00F714D1" w:rsidRPr="00D41179">
              <w:rPr>
                <w:lang w:eastAsia="en-GB"/>
              </w:rPr>
              <w:t>HZ cases</w:t>
            </w:r>
          </w:p>
        </w:tc>
        <w:tc>
          <w:tcPr>
            <w:tcW w:w="706" w:type="pct"/>
            <w:tcBorders>
              <w:top w:val="nil"/>
              <w:left w:val="nil"/>
              <w:bottom w:val="single" w:sz="4" w:space="0" w:color="auto"/>
              <w:right w:val="single" w:sz="4" w:space="0" w:color="auto"/>
            </w:tcBorders>
            <w:noWrap/>
            <w:vAlign w:val="center"/>
            <w:hideMark/>
          </w:tcPr>
          <w:p w14:paraId="423EECAA" w14:textId="697FD869" w:rsidR="00F714D1" w:rsidRPr="00D41179" w:rsidRDefault="00F714D1" w:rsidP="00F95692">
            <w:pPr>
              <w:pStyle w:val="TableText0"/>
              <w:rPr>
                <w:lang w:eastAsia="en-GB"/>
              </w:rPr>
            </w:pPr>
            <w:r w:rsidRPr="00D41179">
              <w:rPr>
                <w:lang w:eastAsia="en-GB"/>
              </w:rPr>
              <w:t>$</w:t>
            </w:r>
            <w:r w:rsidR="000E1EB2" w:rsidRPr="000E1EB2">
              <w:rPr>
                <w:sz w:val="2"/>
                <w:highlight w:val="black"/>
                <w:lang w:eastAsia="en-GB"/>
              </w:rPr>
              <w:t>redacted content</w:t>
            </w:r>
          </w:p>
        </w:tc>
        <w:tc>
          <w:tcPr>
            <w:tcW w:w="676" w:type="pct"/>
            <w:tcBorders>
              <w:top w:val="nil"/>
              <w:left w:val="nil"/>
              <w:bottom w:val="single" w:sz="4" w:space="0" w:color="auto"/>
              <w:right w:val="single" w:sz="4" w:space="0" w:color="auto"/>
            </w:tcBorders>
            <w:noWrap/>
            <w:vAlign w:val="center"/>
            <w:hideMark/>
          </w:tcPr>
          <w:p w14:paraId="030A0303" w14:textId="1642C36A" w:rsidR="00F714D1" w:rsidRPr="00D41179" w:rsidRDefault="00F714D1" w:rsidP="00F95692">
            <w:pPr>
              <w:pStyle w:val="TableText0"/>
              <w:rPr>
                <w:lang w:eastAsia="en-GB"/>
              </w:rPr>
            </w:pPr>
            <w:r w:rsidRPr="00D41179">
              <w:rPr>
                <w:lang w:eastAsia="en-GB"/>
              </w:rPr>
              <w:t>$</w:t>
            </w:r>
            <w:r w:rsidR="000E1EB2" w:rsidRPr="000E1EB2">
              <w:rPr>
                <w:sz w:val="2"/>
                <w:highlight w:val="black"/>
                <w:lang w:eastAsia="en-GB"/>
              </w:rPr>
              <w:t>redacted content</w:t>
            </w:r>
          </w:p>
        </w:tc>
        <w:tc>
          <w:tcPr>
            <w:tcW w:w="679" w:type="pct"/>
            <w:tcBorders>
              <w:top w:val="nil"/>
              <w:left w:val="nil"/>
              <w:bottom w:val="single" w:sz="4" w:space="0" w:color="auto"/>
              <w:right w:val="single" w:sz="4" w:space="0" w:color="auto"/>
            </w:tcBorders>
            <w:noWrap/>
            <w:vAlign w:val="center"/>
            <w:hideMark/>
          </w:tcPr>
          <w:p w14:paraId="322247FB" w14:textId="769014A2" w:rsidR="00F714D1" w:rsidRPr="00D41179" w:rsidRDefault="00F714D1" w:rsidP="00F95692">
            <w:pPr>
              <w:pStyle w:val="TableText0"/>
              <w:rPr>
                <w:lang w:eastAsia="en-GB"/>
              </w:rPr>
            </w:pPr>
            <w:r w:rsidRPr="00D41179">
              <w:rPr>
                <w:lang w:eastAsia="en-GB"/>
              </w:rPr>
              <w:t>-$</w:t>
            </w:r>
            <w:r w:rsidR="000E1EB2" w:rsidRPr="000E1EB2">
              <w:rPr>
                <w:sz w:val="2"/>
                <w:highlight w:val="black"/>
                <w:lang w:eastAsia="en-GB"/>
              </w:rPr>
              <w:t>redacted content</w:t>
            </w:r>
          </w:p>
        </w:tc>
        <w:tc>
          <w:tcPr>
            <w:tcW w:w="674" w:type="pct"/>
            <w:tcBorders>
              <w:top w:val="nil"/>
              <w:left w:val="nil"/>
              <w:bottom w:val="single" w:sz="4" w:space="0" w:color="auto"/>
              <w:right w:val="single" w:sz="4" w:space="0" w:color="auto"/>
            </w:tcBorders>
            <w:noWrap/>
            <w:vAlign w:val="center"/>
            <w:hideMark/>
          </w:tcPr>
          <w:p w14:paraId="6830435F" w14:textId="6374797B" w:rsidR="00F714D1" w:rsidRPr="00D41179" w:rsidRDefault="00F714D1" w:rsidP="00F95692">
            <w:pPr>
              <w:pStyle w:val="TableText0"/>
              <w:rPr>
                <w:lang w:eastAsia="en-GB"/>
              </w:rPr>
            </w:pPr>
            <w:r w:rsidRPr="00D41179">
              <w:rPr>
                <w:lang w:eastAsia="en-GB"/>
              </w:rPr>
              <w:t>-</w:t>
            </w:r>
            <w:r w:rsidR="000E1EB2" w:rsidRPr="000E1EB2">
              <w:rPr>
                <w:sz w:val="2"/>
                <w:highlight w:val="black"/>
                <w:lang w:eastAsia="en-GB"/>
              </w:rPr>
              <w:t>redacted content</w:t>
            </w:r>
            <w:r w:rsidRPr="00D41179">
              <w:rPr>
                <w:lang w:eastAsia="en-GB"/>
              </w:rPr>
              <w:t>%</w:t>
            </w:r>
          </w:p>
        </w:tc>
        <w:tc>
          <w:tcPr>
            <w:tcW w:w="679" w:type="pct"/>
            <w:tcBorders>
              <w:top w:val="nil"/>
              <w:left w:val="nil"/>
              <w:bottom w:val="single" w:sz="4" w:space="0" w:color="auto"/>
              <w:right w:val="single" w:sz="4" w:space="0" w:color="auto"/>
            </w:tcBorders>
            <w:noWrap/>
            <w:vAlign w:val="center"/>
            <w:hideMark/>
          </w:tcPr>
          <w:p w14:paraId="1E958687" w14:textId="79098067" w:rsidR="00F714D1" w:rsidRPr="00D41179" w:rsidRDefault="00F714D1" w:rsidP="00F95692">
            <w:pPr>
              <w:pStyle w:val="TableText0"/>
              <w:rPr>
                <w:lang w:eastAsia="en-GB"/>
              </w:rPr>
            </w:pPr>
            <w:r w:rsidRPr="00D41179">
              <w:rPr>
                <w:lang w:eastAsia="en-GB"/>
              </w:rPr>
              <w:t>-</w:t>
            </w:r>
            <w:r w:rsidR="000E1EB2" w:rsidRPr="000E1EB2">
              <w:rPr>
                <w:sz w:val="2"/>
                <w:highlight w:val="black"/>
                <w:lang w:eastAsia="en-GB"/>
              </w:rPr>
              <w:t>redacted content</w:t>
            </w:r>
            <w:r w:rsidRPr="00D41179">
              <w:rPr>
                <w:lang w:eastAsia="en-GB"/>
              </w:rPr>
              <w:t>%</w:t>
            </w:r>
          </w:p>
        </w:tc>
      </w:tr>
      <w:tr w:rsidR="00F714D1" w:rsidRPr="00D41179" w14:paraId="22801619" w14:textId="77777777" w:rsidTr="00F04971">
        <w:trPr>
          <w:trHeight w:val="260"/>
        </w:trPr>
        <w:tc>
          <w:tcPr>
            <w:tcW w:w="1586" w:type="pct"/>
            <w:tcBorders>
              <w:top w:val="nil"/>
              <w:left w:val="single" w:sz="4" w:space="0" w:color="auto"/>
              <w:bottom w:val="single" w:sz="4" w:space="0" w:color="auto"/>
              <w:right w:val="single" w:sz="4" w:space="0" w:color="auto"/>
            </w:tcBorders>
            <w:noWrap/>
            <w:hideMark/>
          </w:tcPr>
          <w:p w14:paraId="3F73D5CD" w14:textId="54A7E416" w:rsidR="00F714D1" w:rsidRPr="00D41179" w:rsidRDefault="00D41179" w:rsidP="00F95692">
            <w:pPr>
              <w:pStyle w:val="TableText0"/>
              <w:rPr>
                <w:lang w:eastAsia="en-GB"/>
              </w:rPr>
            </w:pPr>
            <w:r w:rsidRPr="00D41179">
              <w:rPr>
                <w:lang w:eastAsia="en-GB"/>
              </w:rPr>
              <w:t xml:space="preserve"> </w:t>
            </w:r>
            <w:r w:rsidR="00F714D1" w:rsidRPr="00D41179">
              <w:rPr>
                <w:lang w:eastAsia="en-GB"/>
              </w:rPr>
              <w:t>PHN cases</w:t>
            </w:r>
          </w:p>
        </w:tc>
        <w:tc>
          <w:tcPr>
            <w:tcW w:w="706" w:type="pct"/>
            <w:tcBorders>
              <w:top w:val="nil"/>
              <w:left w:val="nil"/>
              <w:bottom w:val="single" w:sz="4" w:space="0" w:color="auto"/>
              <w:right w:val="single" w:sz="4" w:space="0" w:color="auto"/>
            </w:tcBorders>
            <w:noWrap/>
            <w:vAlign w:val="center"/>
            <w:hideMark/>
          </w:tcPr>
          <w:p w14:paraId="59DDF27C" w14:textId="38DFD8D3" w:rsidR="00F714D1" w:rsidRPr="00D41179" w:rsidRDefault="00F714D1" w:rsidP="00F95692">
            <w:pPr>
              <w:pStyle w:val="TableText0"/>
              <w:rPr>
                <w:lang w:eastAsia="en-GB"/>
              </w:rPr>
            </w:pPr>
            <w:r w:rsidRPr="00D41179">
              <w:rPr>
                <w:lang w:eastAsia="en-GB"/>
              </w:rPr>
              <w:t>$</w:t>
            </w:r>
            <w:r w:rsidR="000E1EB2" w:rsidRPr="000E1EB2">
              <w:rPr>
                <w:sz w:val="2"/>
                <w:highlight w:val="black"/>
                <w:lang w:eastAsia="en-GB"/>
              </w:rPr>
              <w:t>redacted content</w:t>
            </w:r>
          </w:p>
        </w:tc>
        <w:tc>
          <w:tcPr>
            <w:tcW w:w="676" w:type="pct"/>
            <w:tcBorders>
              <w:top w:val="nil"/>
              <w:left w:val="nil"/>
              <w:bottom w:val="single" w:sz="4" w:space="0" w:color="auto"/>
              <w:right w:val="single" w:sz="4" w:space="0" w:color="auto"/>
            </w:tcBorders>
            <w:noWrap/>
            <w:vAlign w:val="center"/>
            <w:hideMark/>
          </w:tcPr>
          <w:p w14:paraId="32AC7728" w14:textId="225C10F8" w:rsidR="00F714D1" w:rsidRPr="00D41179" w:rsidRDefault="00F714D1" w:rsidP="00F95692">
            <w:pPr>
              <w:pStyle w:val="TableText0"/>
              <w:rPr>
                <w:lang w:eastAsia="en-GB"/>
              </w:rPr>
            </w:pPr>
            <w:r w:rsidRPr="00D41179">
              <w:rPr>
                <w:lang w:eastAsia="en-GB"/>
              </w:rPr>
              <w:t>$</w:t>
            </w:r>
            <w:r w:rsidR="000E1EB2" w:rsidRPr="000E1EB2">
              <w:rPr>
                <w:sz w:val="2"/>
                <w:highlight w:val="black"/>
                <w:lang w:eastAsia="en-GB"/>
              </w:rPr>
              <w:t>redacted content</w:t>
            </w:r>
          </w:p>
        </w:tc>
        <w:tc>
          <w:tcPr>
            <w:tcW w:w="679" w:type="pct"/>
            <w:tcBorders>
              <w:top w:val="nil"/>
              <w:left w:val="nil"/>
              <w:bottom w:val="single" w:sz="4" w:space="0" w:color="auto"/>
              <w:right w:val="single" w:sz="4" w:space="0" w:color="auto"/>
            </w:tcBorders>
            <w:noWrap/>
            <w:vAlign w:val="center"/>
            <w:hideMark/>
          </w:tcPr>
          <w:p w14:paraId="1D6419E4" w14:textId="49C6D66E" w:rsidR="00F714D1" w:rsidRPr="00D41179" w:rsidRDefault="00F714D1" w:rsidP="00F95692">
            <w:pPr>
              <w:pStyle w:val="TableText0"/>
              <w:rPr>
                <w:lang w:eastAsia="en-GB"/>
              </w:rPr>
            </w:pPr>
            <w:r w:rsidRPr="00D41179">
              <w:rPr>
                <w:lang w:eastAsia="en-GB"/>
              </w:rPr>
              <w:t>-$</w:t>
            </w:r>
            <w:r w:rsidR="000E1EB2" w:rsidRPr="000E1EB2">
              <w:rPr>
                <w:sz w:val="2"/>
                <w:highlight w:val="black"/>
                <w:lang w:eastAsia="en-GB"/>
              </w:rPr>
              <w:t>redacted content</w:t>
            </w:r>
          </w:p>
        </w:tc>
        <w:tc>
          <w:tcPr>
            <w:tcW w:w="674" w:type="pct"/>
            <w:tcBorders>
              <w:top w:val="nil"/>
              <w:left w:val="nil"/>
              <w:bottom w:val="single" w:sz="4" w:space="0" w:color="auto"/>
              <w:right w:val="single" w:sz="4" w:space="0" w:color="auto"/>
            </w:tcBorders>
            <w:noWrap/>
            <w:vAlign w:val="center"/>
            <w:hideMark/>
          </w:tcPr>
          <w:p w14:paraId="244209EF" w14:textId="3100C2FE" w:rsidR="00F714D1" w:rsidRPr="00D41179" w:rsidRDefault="00F714D1" w:rsidP="00F95692">
            <w:pPr>
              <w:pStyle w:val="TableText0"/>
              <w:rPr>
                <w:lang w:eastAsia="en-GB"/>
              </w:rPr>
            </w:pPr>
            <w:r w:rsidRPr="00D41179">
              <w:rPr>
                <w:lang w:eastAsia="en-GB"/>
              </w:rPr>
              <w:t>-</w:t>
            </w:r>
            <w:r w:rsidR="000E1EB2" w:rsidRPr="000E1EB2">
              <w:rPr>
                <w:sz w:val="2"/>
                <w:highlight w:val="black"/>
                <w:lang w:eastAsia="en-GB"/>
              </w:rPr>
              <w:t>redacted content</w:t>
            </w:r>
            <w:r w:rsidRPr="00D41179">
              <w:rPr>
                <w:lang w:eastAsia="en-GB"/>
              </w:rPr>
              <w:t>%</w:t>
            </w:r>
          </w:p>
        </w:tc>
        <w:tc>
          <w:tcPr>
            <w:tcW w:w="679" w:type="pct"/>
            <w:tcBorders>
              <w:top w:val="nil"/>
              <w:left w:val="nil"/>
              <w:bottom w:val="single" w:sz="4" w:space="0" w:color="auto"/>
              <w:right w:val="single" w:sz="4" w:space="0" w:color="auto"/>
            </w:tcBorders>
            <w:noWrap/>
            <w:vAlign w:val="center"/>
            <w:hideMark/>
          </w:tcPr>
          <w:p w14:paraId="1483E1F4" w14:textId="510A8A9F" w:rsidR="00F714D1" w:rsidRPr="00D41179" w:rsidRDefault="00F714D1" w:rsidP="00F95692">
            <w:pPr>
              <w:pStyle w:val="TableText0"/>
              <w:rPr>
                <w:lang w:eastAsia="en-GB"/>
              </w:rPr>
            </w:pPr>
            <w:r w:rsidRPr="00D41179">
              <w:rPr>
                <w:lang w:eastAsia="en-GB"/>
              </w:rPr>
              <w:t>-</w:t>
            </w:r>
            <w:r w:rsidR="000E1EB2" w:rsidRPr="000E1EB2">
              <w:rPr>
                <w:sz w:val="2"/>
                <w:highlight w:val="black"/>
                <w:lang w:eastAsia="en-GB"/>
              </w:rPr>
              <w:t>redacted content</w:t>
            </w:r>
            <w:r w:rsidRPr="00D41179">
              <w:rPr>
                <w:lang w:eastAsia="en-GB"/>
              </w:rPr>
              <w:t>%</w:t>
            </w:r>
          </w:p>
        </w:tc>
      </w:tr>
      <w:tr w:rsidR="00F714D1" w:rsidRPr="00D41179" w14:paraId="1334133B" w14:textId="77777777" w:rsidTr="00F04971">
        <w:trPr>
          <w:trHeight w:val="260"/>
        </w:trPr>
        <w:tc>
          <w:tcPr>
            <w:tcW w:w="1586" w:type="pct"/>
            <w:tcBorders>
              <w:top w:val="nil"/>
              <w:left w:val="single" w:sz="4" w:space="0" w:color="auto"/>
              <w:bottom w:val="single" w:sz="4" w:space="0" w:color="auto"/>
              <w:right w:val="single" w:sz="4" w:space="0" w:color="auto"/>
            </w:tcBorders>
            <w:noWrap/>
            <w:hideMark/>
          </w:tcPr>
          <w:p w14:paraId="26DC895C" w14:textId="5E603E85" w:rsidR="00F714D1" w:rsidRPr="00D41179" w:rsidRDefault="00D41179" w:rsidP="00F95692">
            <w:pPr>
              <w:pStyle w:val="TableText0"/>
              <w:rPr>
                <w:lang w:eastAsia="en-GB"/>
              </w:rPr>
            </w:pPr>
            <w:r w:rsidRPr="00D41179">
              <w:rPr>
                <w:lang w:eastAsia="en-GB"/>
              </w:rPr>
              <w:t xml:space="preserve"> </w:t>
            </w:r>
            <w:r w:rsidR="00F714D1" w:rsidRPr="00D41179">
              <w:rPr>
                <w:lang w:eastAsia="en-GB"/>
              </w:rPr>
              <w:t>Non-PHN complications cases (All)</w:t>
            </w:r>
          </w:p>
        </w:tc>
        <w:tc>
          <w:tcPr>
            <w:tcW w:w="706" w:type="pct"/>
            <w:tcBorders>
              <w:top w:val="nil"/>
              <w:left w:val="nil"/>
              <w:bottom w:val="single" w:sz="4" w:space="0" w:color="auto"/>
              <w:right w:val="single" w:sz="4" w:space="0" w:color="auto"/>
            </w:tcBorders>
            <w:noWrap/>
            <w:vAlign w:val="center"/>
            <w:hideMark/>
          </w:tcPr>
          <w:p w14:paraId="758E64D0" w14:textId="4A07C4B3" w:rsidR="00F714D1" w:rsidRPr="00D41179" w:rsidRDefault="00F714D1" w:rsidP="00F95692">
            <w:pPr>
              <w:pStyle w:val="TableText0"/>
              <w:rPr>
                <w:lang w:eastAsia="en-GB"/>
              </w:rPr>
            </w:pPr>
            <w:r w:rsidRPr="00D41179">
              <w:rPr>
                <w:lang w:eastAsia="en-GB"/>
              </w:rPr>
              <w:t>$</w:t>
            </w:r>
            <w:r w:rsidR="000E1EB2" w:rsidRPr="000E1EB2">
              <w:rPr>
                <w:sz w:val="2"/>
                <w:highlight w:val="black"/>
                <w:lang w:eastAsia="en-GB"/>
              </w:rPr>
              <w:t>redacted content</w:t>
            </w:r>
          </w:p>
        </w:tc>
        <w:tc>
          <w:tcPr>
            <w:tcW w:w="676" w:type="pct"/>
            <w:tcBorders>
              <w:top w:val="nil"/>
              <w:left w:val="nil"/>
              <w:bottom w:val="single" w:sz="4" w:space="0" w:color="auto"/>
              <w:right w:val="single" w:sz="4" w:space="0" w:color="auto"/>
            </w:tcBorders>
            <w:noWrap/>
            <w:vAlign w:val="center"/>
            <w:hideMark/>
          </w:tcPr>
          <w:p w14:paraId="72BE69F5" w14:textId="767BD8D5" w:rsidR="00F714D1" w:rsidRPr="00D41179" w:rsidRDefault="00F714D1" w:rsidP="00F95692">
            <w:pPr>
              <w:pStyle w:val="TableText0"/>
              <w:rPr>
                <w:lang w:eastAsia="en-GB"/>
              </w:rPr>
            </w:pPr>
            <w:r w:rsidRPr="00D41179">
              <w:rPr>
                <w:lang w:eastAsia="en-GB"/>
              </w:rPr>
              <w:t>$</w:t>
            </w:r>
            <w:r w:rsidR="000E1EB2" w:rsidRPr="000E1EB2">
              <w:rPr>
                <w:sz w:val="2"/>
                <w:highlight w:val="black"/>
                <w:lang w:eastAsia="en-GB"/>
              </w:rPr>
              <w:t>redacted content</w:t>
            </w:r>
          </w:p>
        </w:tc>
        <w:tc>
          <w:tcPr>
            <w:tcW w:w="679" w:type="pct"/>
            <w:tcBorders>
              <w:top w:val="nil"/>
              <w:left w:val="nil"/>
              <w:bottom w:val="single" w:sz="4" w:space="0" w:color="auto"/>
              <w:right w:val="single" w:sz="4" w:space="0" w:color="auto"/>
            </w:tcBorders>
            <w:noWrap/>
            <w:vAlign w:val="center"/>
            <w:hideMark/>
          </w:tcPr>
          <w:p w14:paraId="0DF3D983" w14:textId="40257E3E" w:rsidR="00F714D1" w:rsidRPr="00D41179" w:rsidRDefault="00F714D1" w:rsidP="00F95692">
            <w:pPr>
              <w:pStyle w:val="TableText0"/>
              <w:rPr>
                <w:lang w:eastAsia="en-GB"/>
              </w:rPr>
            </w:pPr>
            <w:r w:rsidRPr="00D41179">
              <w:rPr>
                <w:lang w:eastAsia="en-GB"/>
              </w:rPr>
              <w:t>-$</w:t>
            </w:r>
            <w:r w:rsidR="000E1EB2" w:rsidRPr="000E1EB2">
              <w:rPr>
                <w:sz w:val="2"/>
                <w:highlight w:val="black"/>
                <w:lang w:eastAsia="en-GB"/>
              </w:rPr>
              <w:t>redacted content</w:t>
            </w:r>
          </w:p>
        </w:tc>
        <w:tc>
          <w:tcPr>
            <w:tcW w:w="674" w:type="pct"/>
            <w:tcBorders>
              <w:top w:val="nil"/>
              <w:left w:val="nil"/>
              <w:bottom w:val="single" w:sz="4" w:space="0" w:color="auto"/>
              <w:right w:val="single" w:sz="4" w:space="0" w:color="auto"/>
            </w:tcBorders>
            <w:noWrap/>
            <w:vAlign w:val="center"/>
            <w:hideMark/>
          </w:tcPr>
          <w:p w14:paraId="5EEC33A8" w14:textId="484A2B16" w:rsidR="00F714D1" w:rsidRPr="00D41179" w:rsidRDefault="00F714D1" w:rsidP="00F95692">
            <w:pPr>
              <w:pStyle w:val="TableText0"/>
              <w:rPr>
                <w:lang w:eastAsia="en-GB"/>
              </w:rPr>
            </w:pPr>
            <w:r w:rsidRPr="00D41179">
              <w:rPr>
                <w:lang w:eastAsia="en-GB"/>
              </w:rPr>
              <w:t>-</w:t>
            </w:r>
            <w:r w:rsidR="000E1EB2" w:rsidRPr="000E1EB2">
              <w:rPr>
                <w:sz w:val="2"/>
                <w:highlight w:val="black"/>
                <w:lang w:eastAsia="en-GB"/>
              </w:rPr>
              <w:t>redacted content</w:t>
            </w:r>
            <w:r w:rsidRPr="00D41179">
              <w:rPr>
                <w:lang w:eastAsia="en-GB"/>
              </w:rPr>
              <w:t>%</w:t>
            </w:r>
          </w:p>
        </w:tc>
        <w:tc>
          <w:tcPr>
            <w:tcW w:w="679" w:type="pct"/>
            <w:tcBorders>
              <w:top w:val="nil"/>
              <w:left w:val="nil"/>
              <w:bottom w:val="single" w:sz="4" w:space="0" w:color="auto"/>
              <w:right w:val="single" w:sz="4" w:space="0" w:color="auto"/>
            </w:tcBorders>
            <w:noWrap/>
            <w:vAlign w:val="center"/>
            <w:hideMark/>
          </w:tcPr>
          <w:p w14:paraId="26868F4C" w14:textId="7065DB52" w:rsidR="00F714D1" w:rsidRPr="00D41179" w:rsidRDefault="00F714D1" w:rsidP="00F95692">
            <w:pPr>
              <w:pStyle w:val="TableText0"/>
              <w:rPr>
                <w:lang w:eastAsia="en-GB"/>
              </w:rPr>
            </w:pPr>
            <w:r w:rsidRPr="00D41179">
              <w:rPr>
                <w:lang w:eastAsia="en-GB"/>
              </w:rPr>
              <w:t>-</w:t>
            </w:r>
            <w:r w:rsidR="000E1EB2" w:rsidRPr="000E1EB2">
              <w:rPr>
                <w:sz w:val="2"/>
                <w:highlight w:val="black"/>
                <w:lang w:eastAsia="en-GB"/>
              </w:rPr>
              <w:t>redacted content</w:t>
            </w:r>
            <w:r w:rsidRPr="00D41179">
              <w:rPr>
                <w:lang w:eastAsia="en-GB"/>
              </w:rPr>
              <w:t>%</w:t>
            </w:r>
          </w:p>
        </w:tc>
      </w:tr>
      <w:tr w:rsidR="00F714D1" w:rsidRPr="00D41179" w14:paraId="571B2CCF" w14:textId="77777777">
        <w:trPr>
          <w:trHeight w:val="260"/>
        </w:trPr>
        <w:tc>
          <w:tcPr>
            <w:tcW w:w="5000" w:type="pct"/>
            <w:gridSpan w:val="6"/>
            <w:tcBorders>
              <w:top w:val="single" w:sz="4" w:space="0" w:color="auto"/>
              <w:left w:val="single" w:sz="4" w:space="0" w:color="auto"/>
              <w:bottom w:val="single" w:sz="4" w:space="0" w:color="auto"/>
              <w:right w:val="single" w:sz="4" w:space="0" w:color="000000"/>
            </w:tcBorders>
            <w:shd w:val="clear" w:color="000000" w:fill="D9D9D9"/>
            <w:noWrap/>
            <w:hideMark/>
          </w:tcPr>
          <w:p w14:paraId="4FD26FE3" w14:textId="77777777" w:rsidR="00F714D1" w:rsidRPr="00D41179" w:rsidRDefault="00F714D1" w:rsidP="00F95692">
            <w:pPr>
              <w:pStyle w:val="TableText0"/>
              <w:rPr>
                <w:lang w:eastAsia="en-GB"/>
              </w:rPr>
            </w:pPr>
            <w:r w:rsidRPr="00D41179">
              <w:rPr>
                <w:lang w:eastAsia="en-GB"/>
              </w:rPr>
              <w:t>Outcomes (discounted)</w:t>
            </w:r>
          </w:p>
        </w:tc>
      </w:tr>
      <w:tr w:rsidR="00F714D1" w:rsidRPr="00D41179" w14:paraId="70B5C36A" w14:textId="77777777" w:rsidTr="00F04971">
        <w:trPr>
          <w:trHeight w:val="260"/>
        </w:trPr>
        <w:tc>
          <w:tcPr>
            <w:tcW w:w="1586" w:type="pct"/>
            <w:tcBorders>
              <w:top w:val="nil"/>
              <w:left w:val="single" w:sz="4" w:space="0" w:color="auto"/>
              <w:bottom w:val="single" w:sz="4" w:space="0" w:color="auto"/>
              <w:right w:val="single" w:sz="4" w:space="0" w:color="auto"/>
            </w:tcBorders>
            <w:noWrap/>
            <w:hideMark/>
          </w:tcPr>
          <w:p w14:paraId="4892D6C4" w14:textId="77777777" w:rsidR="00F714D1" w:rsidRPr="00D41179" w:rsidRDefault="00F714D1" w:rsidP="00F95692">
            <w:pPr>
              <w:pStyle w:val="TableText0"/>
              <w:rPr>
                <w:lang w:eastAsia="en-GB"/>
              </w:rPr>
            </w:pPr>
            <w:r w:rsidRPr="00D41179">
              <w:rPr>
                <w:lang w:eastAsia="en-GB"/>
              </w:rPr>
              <w:t>LYs</w:t>
            </w:r>
          </w:p>
        </w:tc>
        <w:tc>
          <w:tcPr>
            <w:tcW w:w="706" w:type="pct"/>
            <w:tcBorders>
              <w:top w:val="nil"/>
              <w:left w:val="nil"/>
              <w:bottom w:val="single" w:sz="4" w:space="0" w:color="auto"/>
              <w:right w:val="single" w:sz="4" w:space="0" w:color="auto"/>
            </w:tcBorders>
            <w:noWrap/>
            <w:vAlign w:val="center"/>
            <w:hideMark/>
          </w:tcPr>
          <w:p w14:paraId="444607AD" w14:textId="77777777" w:rsidR="00F714D1" w:rsidRPr="00D41179" w:rsidRDefault="00F714D1" w:rsidP="00F95692">
            <w:pPr>
              <w:pStyle w:val="TableText0"/>
              <w:rPr>
                <w:lang w:eastAsia="en-GB"/>
              </w:rPr>
            </w:pPr>
            <w:r w:rsidRPr="00D41179">
              <w:rPr>
                <w:lang w:eastAsia="en-GB"/>
              </w:rPr>
              <w:t>14,236,727</w:t>
            </w:r>
          </w:p>
        </w:tc>
        <w:tc>
          <w:tcPr>
            <w:tcW w:w="676" w:type="pct"/>
            <w:tcBorders>
              <w:top w:val="nil"/>
              <w:left w:val="nil"/>
              <w:bottom w:val="single" w:sz="4" w:space="0" w:color="auto"/>
              <w:right w:val="single" w:sz="4" w:space="0" w:color="auto"/>
            </w:tcBorders>
            <w:noWrap/>
            <w:vAlign w:val="center"/>
            <w:hideMark/>
          </w:tcPr>
          <w:p w14:paraId="4DA155F5" w14:textId="77777777" w:rsidR="00F714D1" w:rsidRPr="00D41179" w:rsidRDefault="00F714D1" w:rsidP="00F95692">
            <w:pPr>
              <w:pStyle w:val="TableText0"/>
              <w:rPr>
                <w:lang w:eastAsia="en-GB"/>
              </w:rPr>
            </w:pPr>
            <w:r w:rsidRPr="00D41179">
              <w:rPr>
                <w:lang w:eastAsia="en-GB"/>
              </w:rPr>
              <w:t>14,236,718</w:t>
            </w:r>
          </w:p>
        </w:tc>
        <w:tc>
          <w:tcPr>
            <w:tcW w:w="679" w:type="pct"/>
            <w:tcBorders>
              <w:top w:val="nil"/>
              <w:left w:val="nil"/>
              <w:bottom w:val="single" w:sz="4" w:space="0" w:color="auto"/>
              <w:right w:val="single" w:sz="4" w:space="0" w:color="auto"/>
            </w:tcBorders>
            <w:noWrap/>
            <w:vAlign w:val="center"/>
            <w:hideMark/>
          </w:tcPr>
          <w:p w14:paraId="416B773D" w14:textId="77777777" w:rsidR="00F714D1" w:rsidRPr="00D41179" w:rsidRDefault="00F714D1" w:rsidP="00F95692">
            <w:pPr>
              <w:pStyle w:val="TableText0"/>
              <w:rPr>
                <w:lang w:eastAsia="en-GB"/>
              </w:rPr>
            </w:pPr>
            <w:r w:rsidRPr="00D41179">
              <w:rPr>
                <w:lang w:eastAsia="en-GB"/>
              </w:rPr>
              <w:t>+9</w:t>
            </w:r>
          </w:p>
        </w:tc>
        <w:tc>
          <w:tcPr>
            <w:tcW w:w="674" w:type="pct"/>
            <w:tcBorders>
              <w:top w:val="nil"/>
              <w:left w:val="nil"/>
              <w:bottom w:val="single" w:sz="4" w:space="0" w:color="auto"/>
              <w:right w:val="single" w:sz="4" w:space="0" w:color="auto"/>
            </w:tcBorders>
            <w:noWrap/>
            <w:vAlign w:val="center"/>
            <w:hideMark/>
          </w:tcPr>
          <w:p w14:paraId="52CA33D4" w14:textId="77777777" w:rsidR="00F714D1" w:rsidRPr="00D41179" w:rsidRDefault="00F714D1" w:rsidP="00F95692">
            <w:pPr>
              <w:pStyle w:val="TableText0"/>
              <w:rPr>
                <w:lang w:eastAsia="en-GB"/>
              </w:rPr>
            </w:pPr>
            <w:r w:rsidRPr="00D41179">
              <w:rPr>
                <w:lang w:eastAsia="en-GB"/>
              </w:rPr>
              <w:t>+0%</w:t>
            </w:r>
          </w:p>
        </w:tc>
        <w:tc>
          <w:tcPr>
            <w:tcW w:w="679" w:type="pct"/>
            <w:tcBorders>
              <w:top w:val="nil"/>
              <w:left w:val="nil"/>
              <w:bottom w:val="single" w:sz="4" w:space="0" w:color="auto"/>
              <w:right w:val="single" w:sz="4" w:space="0" w:color="auto"/>
            </w:tcBorders>
            <w:noWrap/>
            <w:vAlign w:val="center"/>
            <w:hideMark/>
          </w:tcPr>
          <w:p w14:paraId="32332F99" w14:textId="77777777" w:rsidR="00F714D1" w:rsidRPr="00D41179" w:rsidRDefault="00F714D1" w:rsidP="00F95692">
            <w:pPr>
              <w:pStyle w:val="TableText0"/>
              <w:rPr>
                <w:lang w:eastAsia="en-GB"/>
              </w:rPr>
            </w:pPr>
            <w:r w:rsidRPr="00D41179">
              <w:rPr>
                <w:lang w:eastAsia="en-GB"/>
              </w:rPr>
              <w:t>+100%</w:t>
            </w:r>
          </w:p>
        </w:tc>
      </w:tr>
      <w:tr w:rsidR="00F714D1" w:rsidRPr="00D41179" w14:paraId="047AAFEE" w14:textId="77777777" w:rsidTr="00F04971">
        <w:trPr>
          <w:trHeight w:val="260"/>
        </w:trPr>
        <w:tc>
          <w:tcPr>
            <w:tcW w:w="1586" w:type="pct"/>
            <w:tcBorders>
              <w:top w:val="nil"/>
              <w:left w:val="single" w:sz="4" w:space="0" w:color="auto"/>
              <w:bottom w:val="single" w:sz="4" w:space="0" w:color="auto"/>
              <w:right w:val="single" w:sz="4" w:space="0" w:color="auto"/>
            </w:tcBorders>
            <w:noWrap/>
            <w:hideMark/>
          </w:tcPr>
          <w:p w14:paraId="0816BA9D" w14:textId="77777777" w:rsidR="00F714D1" w:rsidRPr="00D41179" w:rsidRDefault="00F714D1" w:rsidP="00F95692">
            <w:pPr>
              <w:pStyle w:val="TableText0"/>
              <w:rPr>
                <w:lang w:eastAsia="en-GB"/>
              </w:rPr>
            </w:pPr>
            <w:r w:rsidRPr="00D41179">
              <w:rPr>
                <w:lang w:eastAsia="en-GB"/>
              </w:rPr>
              <w:t>QALYs</w:t>
            </w:r>
          </w:p>
        </w:tc>
        <w:tc>
          <w:tcPr>
            <w:tcW w:w="706" w:type="pct"/>
            <w:tcBorders>
              <w:top w:val="nil"/>
              <w:left w:val="nil"/>
              <w:bottom w:val="single" w:sz="4" w:space="0" w:color="auto"/>
              <w:right w:val="single" w:sz="4" w:space="0" w:color="auto"/>
            </w:tcBorders>
            <w:noWrap/>
            <w:vAlign w:val="center"/>
            <w:hideMark/>
          </w:tcPr>
          <w:p w14:paraId="6B01CB4F" w14:textId="77777777" w:rsidR="00F714D1" w:rsidRPr="00D41179" w:rsidRDefault="00F714D1" w:rsidP="00F95692">
            <w:pPr>
              <w:pStyle w:val="TableText0"/>
              <w:rPr>
                <w:lang w:eastAsia="en-GB"/>
              </w:rPr>
            </w:pPr>
            <w:r w:rsidRPr="00D41179">
              <w:rPr>
                <w:lang w:eastAsia="en-GB"/>
              </w:rPr>
              <w:t>12,435,035</w:t>
            </w:r>
          </w:p>
        </w:tc>
        <w:tc>
          <w:tcPr>
            <w:tcW w:w="676" w:type="pct"/>
            <w:tcBorders>
              <w:top w:val="nil"/>
              <w:left w:val="nil"/>
              <w:bottom w:val="single" w:sz="4" w:space="0" w:color="auto"/>
              <w:right w:val="single" w:sz="4" w:space="0" w:color="auto"/>
            </w:tcBorders>
            <w:noWrap/>
            <w:vAlign w:val="center"/>
            <w:hideMark/>
          </w:tcPr>
          <w:p w14:paraId="3EE19155" w14:textId="77777777" w:rsidR="00F714D1" w:rsidRPr="00D41179" w:rsidRDefault="00F714D1" w:rsidP="00F95692">
            <w:pPr>
              <w:pStyle w:val="TableText0"/>
              <w:rPr>
                <w:lang w:eastAsia="en-GB"/>
              </w:rPr>
            </w:pPr>
            <w:r w:rsidRPr="00D41179">
              <w:rPr>
                <w:lang w:eastAsia="en-GB"/>
              </w:rPr>
              <w:t>12,433,337</w:t>
            </w:r>
          </w:p>
        </w:tc>
        <w:tc>
          <w:tcPr>
            <w:tcW w:w="679" w:type="pct"/>
            <w:tcBorders>
              <w:top w:val="nil"/>
              <w:left w:val="nil"/>
              <w:bottom w:val="single" w:sz="4" w:space="0" w:color="auto"/>
              <w:right w:val="single" w:sz="4" w:space="0" w:color="auto"/>
            </w:tcBorders>
            <w:noWrap/>
            <w:vAlign w:val="center"/>
            <w:hideMark/>
          </w:tcPr>
          <w:p w14:paraId="6E9138A0" w14:textId="77777777" w:rsidR="00F714D1" w:rsidRPr="00D41179" w:rsidRDefault="00F714D1" w:rsidP="00F95692">
            <w:pPr>
              <w:pStyle w:val="TableText0"/>
              <w:rPr>
                <w:lang w:eastAsia="en-GB"/>
              </w:rPr>
            </w:pPr>
            <w:r w:rsidRPr="00D41179">
              <w:rPr>
                <w:lang w:eastAsia="en-GB"/>
              </w:rPr>
              <w:t>+1,698</w:t>
            </w:r>
          </w:p>
        </w:tc>
        <w:tc>
          <w:tcPr>
            <w:tcW w:w="674" w:type="pct"/>
            <w:tcBorders>
              <w:top w:val="nil"/>
              <w:left w:val="nil"/>
              <w:bottom w:val="single" w:sz="4" w:space="0" w:color="auto"/>
              <w:right w:val="single" w:sz="4" w:space="0" w:color="auto"/>
            </w:tcBorders>
            <w:noWrap/>
            <w:vAlign w:val="center"/>
            <w:hideMark/>
          </w:tcPr>
          <w:p w14:paraId="54364EA8" w14:textId="77777777" w:rsidR="00F714D1" w:rsidRPr="00D41179" w:rsidRDefault="00F714D1" w:rsidP="00F95692">
            <w:pPr>
              <w:pStyle w:val="TableText0"/>
              <w:rPr>
                <w:lang w:eastAsia="en-GB"/>
              </w:rPr>
            </w:pPr>
            <w:r w:rsidRPr="00D41179">
              <w:rPr>
                <w:lang w:eastAsia="en-GB"/>
              </w:rPr>
              <w:t>+0%</w:t>
            </w:r>
          </w:p>
        </w:tc>
        <w:tc>
          <w:tcPr>
            <w:tcW w:w="679" w:type="pct"/>
            <w:tcBorders>
              <w:top w:val="nil"/>
              <w:left w:val="nil"/>
              <w:bottom w:val="single" w:sz="4" w:space="0" w:color="auto"/>
              <w:right w:val="single" w:sz="4" w:space="0" w:color="auto"/>
            </w:tcBorders>
            <w:noWrap/>
            <w:vAlign w:val="center"/>
            <w:hideMark/>
          </w:tcPr>
          <w:p w14:paraId="427458AD" w14:textId="77777777" w:rsidR="00F714D1" w:rsidRPr="00D41179" w:rsidRDefault="00F714D1" w:rsidP="00F95692">
            <w:pPr>
              <w:pStyle w:val="TableText0"/>
              <w:rPr>
                <w:lang w:eastAsia="en-GB"/>
              </w:rPr>
            </w:pPr>
            <w:r w:rsidRPr="00D41179">
              <w:rPr>
                <w:lang w:eastAsia="en-GB"/>
              </w:rPr>
              <w:t>+100%</w:t>
            </w:r>
          </w:p>
        </w:tc>
      </w:tr>
      <w:tr w:rsidR="00F714D1" w:rsidRPr="00D41179" w14:paraId="5DCA0FFE" w14:textId="77777777" w:rsidTr="00F04971">
        <w:trPr>
          <w:trHeight w:val="260"/>
        </w:trPr>
        <w:tc>
          <w:tcPr>
            <w:tcW w:w="1586" w:type="pct"/>
            <w:tcBorders>
              <w:top w:val="nil"/>
              <w:left w:val="single" w:sz="4" w:space="0" w:color="auto"/>
              <w:bottom w:val="single" w:sz="4" w:space="0" w:color="auto"/>
              <w:right w:val="single" w:sz="4" w:space="0" w:color="auto"/>
            </w:tcBorders>
            <w:noWrap/>
            <w:hideMark/>
          </w:tcPr>
          <w:p w14:paraId="71BBF115" w14:textId="416BD361" w:rsidR="00F714D1" w:rsidRPr="00D41179" w:rsidRDefault="00D41179" w:rsidP="00F95692">
            <w:pPr>
              <w:pStyle w:val="TableText0"/>
              <w:rPr>
                <w:lang w:eastAsia="en-GB"/>
              </w:rPr>
            </w:pPr>
            <w:r w:rsidRPr="00D41179">
              <w:rPr>
                <w:lang w:eastAsia="en-GB"/>
              </w:rPr>
              <w:t xml:space="preserve"> </w:t>
            </w:r>
            <w:r w:rsidR="00F714D1" w:rsidRPr="00D41179">
              <w:rPr>
                <w:lang w:eastAsia="en-GB"/>
              </w:rPr>
              <w:t>Healthy QALYs lived</w:t>
            </w:r>
          </w:p>
        </w:tc>
        <w:tc>
          <w:tcPr>
            <w:tcW w:w="706" w:type="pct"/>
            <w:tcBorders>
              <w:top w:val="nil"/>
              <w:left w:val="nil"/>
              <w:bottom w:val="single" w:sz="4" w:space="0" w:color="auto"/>
              <w:right w:val="single" w:sz="4" w:space="0" w:color="auto"/>
            </w:tcBorders>
            <w:noWrap/>
            <w:vAlign w:val="center"/>
            <w:hideMark/>
          </w:tcPr>
          <w:p w14:paraId="521CB89A" w14:textId="77777777" w:rsidR="00F714D1" w:rsidRPr="00D41179" w:rsidRDefault="00F714D1" w:rsidP="00F95692">
            <w:pPr>
              <w:pStyle w:val="TableText0"/>
              <w:rPr>
                <w:lang w:eastAsia="en-GB"/>
              </w:rPr>
            </w:pPr>
            <w:r w:rsidRPr="00D41179">
              <w:rPr>
                <w:lang w:eastAsia="en-GB"/>
              </w:rPr>
              <w:t>12,438,704</w:t>
            </w:r>
          </w:p>
        </w:tc>
        <w:tc>
          <w:tcPr>
            <w:tcW w:w="676" w:type="pct"/>
            <w:tcBorders>
              <w:top w:val="nil"/>
              <w:left w:val="nil"/>
              <w:bottom w:val="single" w:sz="4" w:space="0" w:color="auto"/>
              <w:right w:val="single" w:sz="4" w:space="0" w:color="auto"/>
            </w:tcBorders>
            <w:noWrap/>
            <w:vAlign w:val="center"/>
            <w:hideMark/>
          </w:tcPr>
          <w:p w14:paraId="32E2BD18" w14:textId="77777777" w:rsidR="00F714D1" w:rsidRPr="00D41179" w:rsidRDefault="00F714D1" w:rsidP="00F95692">
            <w:pPr>
              <w:pStyle w:val="TableText0"/>
              <w:rPr>
                <w:lang w:eastAsia="en-GB"/>
              </w:rPr>
            </w:pPr>
            <w:r w:rsidRPr="00D41179">
              <w:rPr>
                <w:lang w:eastAsia="en-GB"/>
              </w:rPr>
              <w:t>12,438,697</w:t>
            </w:r>
          </w:p>
        </w:tc>
        <w:tc>
          <w:tcPr>
            <w:tcW w:w="679" w:type="pct"/>
            <w:tcBorders>
              <w:top w:val="nil"/>
              <w:left w:val="nil"/>
              <w:bottom w:val="single" w:sz="4" w:space="0" w:color="auto"/>
              <w:right w:val="single" w:sz="4" w:space="0" w:color="auto"/>
            </w:tcBorders>
            <w:noWrap/>
            <w:vAlign w:val="center"/>
            <w:hideMark/>
          </w:tcPr>
          <w:p w14:paraId="3F7D10B2" w14:textId="77777777" w:rsidR="00F714D1" w:rsidRPr="00D41179" w:rsidRDefault="00F714D1" w:rsidP="00F95692">
            <w:pPr>
              <w:pStyle w:val="TableText0"/>
              <w:rPr>
                <w:lang w:eastAsia="en-GB"/>
              </w:rPr>
            </w:pPr>
            <w:r w:rsidRPr="00D41179">
              <w:rPr>
                <w:lang w:eastAsia="en-GB"/>
              </w:rPr>
              <w:t>+8</w:t>
            </w:r>
          </w:p>
        </w:tc>
        <w:tc>
          <w:tcPr>
            <w:tcW w:w="674" w:type="pct"/>
            <w:tcBorders>
              <w:top w:val="nil"/>
              <w:left w:val="nil"/>
              <w:bottom w:val="single" w:sz="4" w:space="0" w:color="auto"/>
              <w:right w:val="single" w:sz="4" w:space="0" w:color="auto"/>
            </w:tcBorders>
            <w:noWrap/>
            <w:vAlign w:val="center"/>
            <w:hideMark/>
          </w:tcPr>
          <w:p w14:paraId="3BF64160" w14:textId="77777777" w:rsidR="00F714D1" w:rsidRPr="00D41179" w:rsidRDefault="00F714D1" w:rsidP="00F95692">
            <w:pPr>
              <w:pStyle w:val="TableText0"/>
              <w:rPr>
                <w:lang w:eastAsia="en-GB"/>
              </w:rPr>
            </w:pPr>
            <w:r w:rsidRPr="00D41179">
              <w:rPr>
                <w:lang w:eastAsia="en-GB"/>
              </w:rPr>
              <w:t>+0%</w:t>
            </w:r>
          </w:p>
        </w:tc>
        <w:tc>
          <w:tcPr>
            <w:tcW w:w="679" w:type="pct"/>
            <w:tcBorders>
              <w:top w:val="nil"/>
              <w:left w:val="nil"/>
              <w:bottom w:val="single" w:sz="4" w:space="0" w:color="auto"/>
              <w:right w:val="single" w:sz="4" w:space="0" w:color="auto"/>
            </w:tcBorders>
            <w:noWrap/>
            <w:vAlign w:val="center"/>
            <w:hideMark/>
          </w:tcPr>
          <w:p w14:paraId="7136C901" w14:textId="77777777" w:rsidR="00F714D1" w:rsidRPr="00D41179" w:rsidRDefault="00F714D1" w:rsidP="00F95692">
            <w:pPr>
              <w:pStyle w:val="TableText0"/>
              <w:rPr>
                <w:lang w:eastAsia="en-GB"/>
              </w:rPr>
            </w:pPr>
            <w:r w:rsidRPr="00D41179">
              <w:rPr>
                <w:lang w:eastAsia="en-GB"/>
              </w:rPr>
              <w:t>+0%</w:t>
            </w:r>
          </w:p>
        </w:tc>
      </w:tr>
      <w:tr w:rsidR="00F714D1" w:rsidRPr="00D41179" w14:paraId="0876240E" w14:textId="77777777" w:rsidTr="00F04971">
        <w:trPr>
          <w:trHeight w:val="260"/>
        </w:trPr>
        <w:tc>
          <w:tcPr>
            <w:tcW w:w="1586" w:type="pct"/>
            <w:tcBorders>
              <w:top w:val="nil"/>
              <w:left w:val="single" w:sz="4" w:space="0" w:color="auto"/>
              <w:bottom w:val="single" w:sz="4" w:space="0" w:color="auto"/>
              <w:right w:val="single" w:sz="4" w:space="0" w:color="auto"/>
            </w:tcBorders>
            <w:noWrap/>
            <w:hideMark/>
          </w:tcPr>
          <w:p w14:paraId="2BD45B04" w14:textId="68D42211" w:rsidR="00F714D1" w:rsidRPr="00D41179" w:rsidRDefault="00D41179" w:rsidP="00F95692">
            <w:pPr>
              <w:pStyle w:val="TableText0"/>
              <w:rPr>
                <w:lang w:eastAsia="en-GB"/>
              </w:rPr>
            </w:pPr>
            <w:r w:rsidRPr="00D41179">
              <w:rPr>
                <w:lang w:eastAsia="en-GB"/>
              </w:rPr>
              <w:t xml:space="preserve"> </w:t>
            </w:r>
            <w:r w:rsidR="00F714D1" w:rsidRPr="00D41179">
              <w:rPr>
                <w:lang w:eastAsia="en-GB"/>
              </w:rPr>
              <w:t>Overall QALYs lost</w:t>
            </w:r>
          </w:p>
        </w:tc>
        <w:tc>
          <w:tcPr>
            <w:tcW w:w="706" w:type="pct"/>
            <w:tcBorders>
              <w:top w:val="nil"/>
              <w:left w:val="nil"/>
              <w:bottom w:val="single" w:sz="4" w:space="0" w:color="auto"/>
              <w:right w:val="single" w:sz="4" w:space="0" w:color="auto"/>
            </w:tcBorders>
            <w:noWrap/>
            <w:vAlign w:val="center"/>
            <w:hideMark/>
          </w:tcPr>
          <w:p w14:paraId="0CB476D5" w14:textId="77777777" w:rsidR="00F714D1" w:rsidRPr="00D41179" w:rsidRDefault="00F714D1" w:rsidP="00F95692">
            <w:pPr>
              <w:pStyle w:val="TableText0"/>
              <w:rPr>
                <w:lang w:eastAsia="en-GB"/>
              </w:rPr>
            </w:pPr>
            <w:r w:rsidRPr="00D41179">
              <w:rPr>
                <w:lang w:eastAsia="en-GB"/>
              </w:rPr>
              <w:t>-3,669</w:t>
            </w:r>
          </w:p>
        </w:tc>
        <w:tc>
          <w:tcPr>
            <w:tcW w:w="676" w:type="pct"/>
            <w:tcBorders>
              <w:top w:val="nil"/>
              <w:left w:val="nil"/>
              <w:bottom w:val="single" w:sz="4" w:space="0" w:color="auto"/>
              <w:right w:val="single" w:sz="4" w:space="0" w:color="auto"/>
            </w:tcBorders>
            <w:noWrap/>
            <w:vAlign w:val="center"/>
            <w:hideMark/>
          </w:tcPr>
          <w:p w14:paraId="023F7CB5" w14:textId="77777777" w:rsidR="00F714D1" w:rsidRPr="00D41179" w:rsidRDefault="00F714D1" w:rsidP="00F95692">
            <w:pPr>
              <w:pStyle w:val="TableText0"/>
              <w:rPr>
                <w:lang w:eastAsia="en-GB"/>
              </w:rPr>
            </w:pPr>
            <w:r w:rsidRPr="00D41179">
              <w:rPr>
                <w:lang w:eastAsia="en-GB"/>
              </w:rPr>
              <w:t>-5,359</w:t>
            </w:r>
          </w:p>
        </w:tc>
        <w:tc>
          <w:tcPr>
            <w:tcW w:w="679" w:type="pct"/>
            <w:tcBorders>
              <w:top w:val="nil"/>
              <w:left w:val="nil"/>
              <w:bottom w:val="single" w:sz="4" w:space="0" w:color="auto"/>
              <w:right w:val="single" w:sz="4" w:space="0" w:color="auto"/>
            </w:tcBorders>
            <w:noWrap/>
            <w:vAlign w:val="center"/>
            <w:hideMark/>
          </w:tcPr>
          <w:p w14:paraId="589FEF7D" w14:textId="77777777" w:rsidR="00F714D1" w:rsidRPr="00D41179" w:rsidRDefault="00F714D1" w:rsidP="00F95692">
            <w:pPr>
              <w:pStyle w:val="TableText0"/>
              <w:rPr>
                <w:lang w:eastAsia="en-GB"/>
              </w:rPr>
            </w:pPr>
            <w:r w:rsidRPr="00D41179">
              <w:rPr>
                <w:lang w:eastAsia="en-GB"/>
              </w:rPr>
              <w:t>+1,690</w:t>
            </w:r>
          </w:p>
        </w:tc>
        <w:tc>
          <w:tcPr>
            <w:tcW w:w="674" w:type="pct"/>
            <w:tcBorders>
              <w:top w:val="nil"/>
              <w:left w:val="nil"/>
              <w:bottom w:val="single" w:sz="4" w:space="0" w:color="auto"/>
              <w:right w:val="single" w:sz="4" w:space="0" w:color="auto"/>
            </w:tcBorders>
            <w:noWrap/>
            <w:vAlign w:val="center"/>
            <w:hideMark/>
          </w:tcPr>
          <w:p w14:paraId="0AB3700C" w14:textId="77777777" w:rsidR="00F714D1" w:rsidRPr="00D41179" w:rsidRDefault="00F714D1" w:rsidP="00F95692">
            <w:pPr>
              <w:pStyle w:val="TableText0"/>
              <w:rPr>
                <w:lang w:eastAsia="en-GB"/>
              </w:rPr>
            </w:pPr>
            <w:r w:rsidRPr="00D41179">
              <w:rPr>
                <w:lang w:eastAsia="en-GB"/>
              </w:rPr>
              <w:t>-32%</w:t>
            </w:r>
          </w:p>
        </w:tc>
        <w:tc>
          <w:tcPr>
            <w:tcW w:w="679" w:type="pct"/>
            <w:tcBorders>
              <w:top w:val="nil"/>
              <w:left w:val="nil"/>
              <w:bottom w:val="single" w:sz="4" w:space="0" w:color="auto"/>
              <w:right w:val="single" w:sz="4" w:space="0" w:color="auto"/>
            </w:tcBorders>
            <w:noWrap/>
            <w:vAlign w:val="center"/>
            <w:hideMark/>
          </w:tcPr>
          <w:p w14:paraId="20DE3A7A" w14:textId="77777777" w:rsidR="00F714D1" w:rsidRPr="00D41179" w:rsidRDefault="00F714D1" w:rsidP="00F95692">
            <w:pPr>
              <w:pStyle w:val="TableText0"/>
              <w:rPr>
                <w:lang w:eastAsia="en-GB"/>
              </w:rPr>
            </w:pPr>
            <w:r w:rsidRPr="00D41179">
              <w:rPr>
                <w:lang w:eastAsia="en-GB"/>
              </w:rPr>
              <w:t>+100%</w:t>
            </w:r>
          </w:p>
        </w:tc>
      </w:tr>
      <w:tr w:rsidR="00F714D1" w:rsidRPr="00D41179" w14:paraId="2113C12D" w14:textId="77777777" w:rsidTr="00F04971">
        <w:trPr>
          <w:trHeight w:val="260"/>
        </w:trPr>
        <w:tc>
          <w:tcPr>
            <w:tcW w:w="1586" w:type="pct"/>
            <w:tcBorders>
              <w:top w:val="nil"/>
              <w:left w:val="single" w:sz="4" w:space="0" w:color="auto"/>
              <w:bottom w:val="single" w:sz="4" w:space="0" w:color="auto"/>
              <w:right w:val="single" w:sz="4" w:space="0" w:color="auto"/>
            </w:tcBorders>
            <w:noWrap/>
          </w:tcPr>
          <w:p w14:paraId="3751D65F" w14:textId="054C6578" w:rsidR="00F714D1" w:rsidRPr="00D41179" w:rsidRDefault="00D41179" w:rsidP="00F95692">
            <w:pPr>
              <w:pStyle w:val="TableText0"/>
              <w:rPr>
                <w:lang w:eastAsia="en-GB"/>
              </w:rPr>
            </w:pPr>
            <w:r w:rsidRPr="00D41179">
              <w:rPr>
                <w:lang w:eastAsia="en-GB"/>
              </w:rPr>
              <w:t xml:space="preserve">  </w:t>
            </w:r>
            <w:r w:rsidR="00F714D1" w:rsidRPr="00D41179">
              <w:rPr>
                <w:lang w:eastAsia="en-GB"/>
              </w:rPr>
              <w:t>HZ</w:t>
            </w:r>
          </w:p>
        </w:tc>
        <w:tc>
          <w:tcPr>
            <w:tcW w:w="706" w:type="pct"/>
            <w:tcBorders>
              <w:top w:val="nil"/>
              <w:left w:val="nil"/>
              <w:bottom w:val="single" w:sz="4" w:space="0" w:color="auto"/>
              <w:right w:val="single" w:sz="4" w:space="0" w:color="auto"/>
            </w:tcBorders>
            <w:noWrap/>
            <w:vAlign w:val="center"/>
          </w:tcPr>
          <w:p w14:paraId="5999D792" w14:textId="77777777" w:rsidR="00F714D1" w:rsidRPr="00D41179" w:rsidRDefault="00F714D1" w:rsidP="00F95692">
            <w:pPr>
              <w:pStyle w:val="TableText0"/>
              <w:rPr>
                <w:lang w:eastAsia="en-GB"/>
              </w:rPr>
            </w:pPr>
            <w:r w:rsidRPr="00D41179">
              <w:rPr>
                <w:lang w:eastAsia="en-GB"/>
              </w:rPr>
              <w:t>-795</w:t>
            </w:r>
          </w:p>
        </w:tc>
        <w:tc>
          <w:tcPr>
            <w:tcW w:w="676" w:type="pct"/>
            <w:tcBorders>
              <w:top w:val="nil"/>
              <w:left w:val="nil"/>
              <w:bottom w:val="single" w:sz="4" w:space="0" w:color="auto"/>
              <w:right w:val="single" w:sz="4" w:space="0" w:color="auto"/>
            </w:tcBorders>
            <w:noWrap/>
            <w:vAlign w:val="center"/>
          </w:tcPr>
          <w:p w14:paraId="7DEFECCD" w14:textId="77777777" w:rsidR="00F714D1" w:rsidRPr="00D41179" w:rsidRDefault="00F714D1" w:rsidP="00F95692">
            <w:pPr>
              <w:pStyle w:val="TableText0"/>
              <w:rPr>
                <w:lang w:eastAsia="en-GB"/>
              </w:rPr>
            </w:pPr>
            <w:r w:rsidRPr="00D41179">
              <w:rPr>
                <w:lang w:eastAsia="en-GB"/>
              </w:rPr>
              <w:t>-1,620</w:t>
            </w:r>
          </w:p>
        </w:tc>
        <w:tc>
          <w:tcPr>
            <w:tcW w:w="679" w:type="pct"/>
            <w:tcBorders>
              <w:top w:val="nil"/>
              <w:left w:val="nil"/>
              <w:bottom w:val="single" w:sz="4" w:space="0" w:color="auto"/>
              <w:right w:val="single" w:sz="4" w:space="0" w:color="auto"/>
            </w:tcBorders>
            <w:noWrap/>
            <w:vAlign w:val="center"/>
          </w:tcPr>
          <w:p w14:paraId="785C82D5" w14:textId="77777777" w:rsidR="00F714D1" w:rsidRPr="00D41179" w:rsidRDefault="00F714D1" w:rsidP="00F95692">
            <w:pPr>
              <w:pStyle w:val="TableText0"/>
              <w:rPr>
                <w:lang w:eastAsia="en-GB"/>
              </w:rPr>
            </w:pPr>
            <w:r w:rsidRPr="00D41179">
              <w:rPr>
                <w:lang w:eastAsia="en-GB"/>
              </w:rPr>
              <w:t>+825</w:t>
            </w:r>
          </w:p>
        </w:tc>
        <w:tc>
          <w:tcPr>
            <w:tcW w:w="674" w:type="pct"/>
            <w:tcBorders>
              <w:top w:val="nil"/>
              <w:left w:val="nil"/>
              <w:bottom w:val="single" w:sz="4" w:space="0" w:color="auto"/>
              <w:right w:val="single" w:sz="4" w:space="0" w:color="auto"/>
            </w:tcBorders>
            <w:noWrap/>
            <w:vAlign w:val="center"/>
          </w:tcPr>
          <w:p w14:paraId="10142A15" w14:textId="77777777" w:rsidR="00F714D1" w:rsidRPr="00D41179" w:rsidRDefault="00F714D1" w:rsidP="00F95692">
            <w:pPr>
              <w:pStyle w:val="TableText0"/>
              <w:rPr>
                <w:lang w:eastAsia="en-GB"/>
              </w:rPr>
            </w:pPr>
            <w:r w:rsidRPr="00D41179">
              <w:rPr>
                <w:lang w:eastAsia="en-GB"/>
              </w:rPr>
              <w:t>-51%</w:t>
            </w:r>
          </w:p>
        </w:tc>
        <w:tc>
          <w:tcPr>
            <w:tcW w:w="679" w:type="pct"/>
            <w:tcBorders>
              <w:top w:val="nil"/>
              <w:left w:val="nil"/>
              <w:bottom w:val="single" w:sz="4" w:space="0" w:color="auto"/>
              <w:right w:val="single" w:sz="4" w:space="0" w:color="auto"/>
            </w:tcBorders>
            <w:noWrap/>
            <w:vAlign w:val="center"/>
          </w:tcPr>
          <w:p w14:paraId="709F0F1D" w14:textId="77777777" w:rsidR="00F714D1" w:rsidRPr="00D41179" w:rsidRDefault="00F714D1" w:rsidP="00F95692">
            <w:pPr>
              <w:pStyle w:val="TableText0"/>
              <w:rPr>
                <w:lang w:eastAsia="en-GB"/>
              </w:rPr>
            </w:pPr>
            <w:r w:rsidRPr="00D41179">
              <w:rPr>
                <w:lang w:eastAsia="en-GB"/>
              </w:rPr>
              <w:t>+49%</w:t>
            </w:r>
          </w:p>
        </w:tc>
      </w:tr>
      <w:tr w:rsidR="00F714D1" w:rsidRPr="00D41179" w14:paraId="6E76790F" w14:textId="77777777" w:rsidTr="00F04971">
        <w:trPr>
          <w:trHeight w:val="260"/>
        </w:trPr>
        <w:tc>
          <w:tcPr>
            <w:tcW w:w="1586" w:type="pct"/>
            <w:tcBorders>
              <w:top w:val="nil"/>
              <w:left w:val="single" w:sz="4" w:space="0" w:color="auto"/>
              <w:bottom w:val="single" w:sz="4" w:space="0" w:color="auto"/>
              <w:right w:val="single" w:sz="4" w:space="0" w:color="auto"/>
            </w:tcBorders>
            <w:noWrap/>
          </w:tcPr>
          <w:p w14:paraId="0DE695B8" w14:textId="453BACF8" w:rsidR="00F714D1" w:rsidRPr="00D41179" w:rsidRDefault="00D41179" w:rsidP="00F95692">
            <w:pPr>
              <w:pStyle w:val="TableText0"/>
              <w:rPr>
                <w:lang w:eastAsia="en-GB"/>
              </w:rPr>
            </w:pPr>
            <w:r w:rsidRPr="00D41179">
              <w:rPr>
                <w:lang w:eastAsia="en-GB"/>
              </w:rPr>
              <w:t xml:space="preserve">  </w:t>
            </w:r>
            <w:r w:rsidR="00F714D1" w:rsidRPr="00D41179">
              <w:rPr>
                <w:lang w:eastAsia="en-GB"/>
              </w:rPr>
              <w:t>PHN</w:t>
            </w:r>
          </w:p>
        </w:tc>
        <w:tc>
          <w:tcPr>
            <w:tcW w:w="706" w:type="pct"/>
            <w:tcBorders>
              <w:top w:val="nil"/>
              <w:left w:val="nil"/>
              <w:bottom w:val="single" w:sz="4" w:space="0" w:color="auto"/>
              <w:right w:val="single" w:sz="4" w:space="0" w:color="auto"/>
            </w:tcBorders>
            <w:noWrap/>
            <w:vAlign w:val="center"/>
          </w:tcPr>
          <w:p w14:paraId="620A7A6D" w14:textId="77777777" w:rsidR="00F714D1" w:rsidRPr="00D41179" w:rsidRDefault="00F714D1" w:rsidP="00F95692">
            <w:pPr>
              <w:pStyle w:val="TableText0"/>
              <w:rPr>
                <w:lang w:eastAsia="en-GB"/>
              </w:rPr>
            </w:pPr>
            <w:r w:rsidRPr="00D41179">
              <w:rPr>
                <w:lang w:eastAsia="en-GB"/>
              </w:rPr>
              <w:t>-2,873</w:t>
            </w:r>
          </w:p>
        </w:tc>
        <w:tc>
          <w:tcPr>
            <w:tcW w:w="676" w:type="pct"/>
            <w:tcBorders>
              <w:top w:val="nil"/>
              <w:left w:val="nil"/>
              <w:bottom w:val="single" w:sz="4" w:space="0" w:color="auto"/>
              <w:right w:val="single" w:sz="4" w:space="0" w:color="auto"/>
            </w:tcBorders>
            <w:noWrap/>
            <w:vAlign w:val="center"/>
          </w:tcPr>
          <w:p w14:paraId="4707857C" w14:textId="77777777" w:rsidR="00F714D1" w:rsidRPr="00D41179" w:rsidRDefault="00F714D1" w:rsidP="00F95692">
            <w:pPr>
              <w:pStyle w:val="TableText0"/>
              <w:rPr>
                <w:lang w:eastAsia="en-GB"/>
              </w:rPr>
            </w:pPr>
            <w:r w:rsidRPr="00D41179">
              <w:rPr>
                <w:lang w:eastAsia="en-GB"/>
              </w:rPr>
              <w:t>-3,739</w:t>
            </w:r>
          </w:p>
        </w:tc>
        <w:tc>
          <w:tcPr>
            <w:tcW w:w="679" w:type="pct"/>
            <w:tcBorders>
              <w:top w:val="nil"/>
              <w:left w:val="nil"/>
              <w:bottom w:val="single" w:sz="4" w:space="0" w:color="auto"/>
              <w:right w:val="single" w:sz="4" w:space="0" w:color="auto"/>
            </w:tcBorders>
            <w:noWrap/>
            <w:vAlign w:val="center"/>
          </w:tcPr>
          <w:p w14:paraId="0698B061" w14:textId="77777777" w:rsidR="00F714D1" w:rsidRPr="00D41179" w:rsidRDefault="00F714D1" w:rsidP="00F95692">
            <w:pPr>
              <w:pStyle w:val="TableText0"/>
              <w:rPr>
                <w:lang w:eastAsia="en-GB"/>
              </w:rPr>
            </w:pPr>
            <w:r w:rsidRPr="00D41179">
              <w:rPr>
                <w:lang w:eastAsia="en-GB"/>
              </w:rPr>
              <w:t>+865</w:t>
            </w:r>
          </w:p>
        </w:tc>
        <w:tc>
          <w:tcPr>
            <w:tcW w:w="674" w:type="pct"/>
            <w:tcBorders>
              <w:top w:val="nil"/>
              <w:left w:val="nil"/>
              <w:bottom w:val="single" w:sz="4" w:space="0" w:color="auto"/>
              <w:right w:val="single" w:sz="4" w:space="0" w:color="auto"/>
            </w:tcBorders>
            <w:noWrap/>
            <w:vAlign w:val="center"/>
          </w:tcPr>
          <w:p w14:paraId="2AB333E9" w14:textId="77777777" w:rsidR="00F714D1" w:rsidRPr="00D41179" w:rsidRDefault="00F714D1" w:rsidP="00F95692">
            <w:pPr>
              <w:pStyle w:val="TableText0"/>
              <w:rPr>
                <w:lang w:eastAsia="en-GB"/>
              </w:rPr>
            </w:pPr>
            <w:r w:rsidRPr="00D41179">
              <w:rPr>
                <w:lang w:eastAsia="en-GB"/>
              </w:rPr>
              <w:t>-23%</w:t>
            </w:r>
          </w:p>
        </w:tc>
        <w:tc>
          <w:tcPr>
            <w:tcW w:w="679" w:type="pct"/>
            <w:tcBorders>
              <w:top w:val="nil"/>
              <w:left w:val="nil"/>
              <w:bottom w:val="single" w:sz="4" w:space="0" w:color="auto"/>
              <w:right w:val="single" w:sz="4" w:space="0" w:color="auto"/>
            </w:tcBorders>
            <w:noWrap/>
            <w:vAlign w:val="center"/>
          </w:tcPr>
          <w:p w14:paraId="37DB2DBD" w14:textId="77777777" w:rsidR="00F714D1" w:rsidRPr="00D41179" w:rsidRDefault="00F714D1" w:rsidP="00F95692">
            <w:pPr>
              <w:pStyle w:val="TableText0"/>
              <w:rPr>
                <w:lang w:eastAsia="en-GB"/>
              </w:rPr>
            </w:pPr>
            <w:r w:rsidRPr="00D41179">
              <w:rPr>
                <w:lang w:eastAsia="en-GB"/>
              </w:rPr>
              <w:t>+51%</w:t>
            </w:r>
          </w:p>
        </w:tc>
      </w:tr>
      <w:tr w:rsidR="00F714D1" w:rsidRPr="00D41179" w14:paraId="7EF7E98F" w14:textId="77777777" w:rsidTr="00F04971">
        <w:trPr>
          <w:trHeight w:val="260"/>
        </w:trPr>
        <w:tc>
          <w:tcPr>
            <w:tcW w:w="1586" w:type="pct"/>
            <w:tcBorders>
              <w:top w:val="nil"/>
              <w:left w:val="single" w:sz="4" w:space="0" w:color="auto"/>
              <w:bottom w:val="single" w:sz="4" w:space="0" w:color="auto"/>
              <w:right w:val="single" w:sz="4" w:space="0" w:color="auto"/>
            </w:tcBorders>
            <w:noWrap/>
          </w:tcPr>
          <w:p w14:paraId="520F26A4" w14:textId="14C21617" w:rsidR="00F714D1" w:rsidRPr="00D41179" w:rsidRDefault="00D41179" w:rsidP="00F95692">
            <w:pPr>
              <w:pStyle w:val="TableText0"/>
              <w:rPr>
                <w:lang w:eastAsia="en-GB"/>
              </w:rPr>
            </w:pPr>
            <w:r w:rsidRPr="00D41179">
              <w:rPr>
                <w:lang w:eastAsia="en-GB"/>
              </w:rPr>
              <w:t xml:space="preserve">  </w:t>
            </w:r>
            <w:r w:rsidR="00F714D1" w:rsidRPr="00D41179">
              <w:rPr>
                <w:lang w:eastAsia="en-GB"/>
              </w:rPr>
              <w:t>Vaccine-related AEs</w:t>
            </w:r>
          </w:p>
        </w:tc>
        <w:tc>
          <w:tcPr>
            <w:tcW w:w="706" w:type="pct"/>
            <w:tcBorders>
              <w:top w:val="nil"/>
              <w:left w:val="nil"/>
              <w:bottom w:val="single" w:sz="4" w:space="0" w:color="auto"/>
              <w:right w:val="single" w:sz="4" w:space="0" w:color="auto"/>
            </w:tcBorders>
            <w:noWrap/>
            <w:vAlign w:val="center"/>
          </w:tcPr>
          <w:p w14:paraId="2A4A3487" w14:textId="77777777" w:rsidR="00F714D1" w:rsidRPr="00D41179" w:rsidRDefault="00F714D1" w:rsidP="00F95692">
            <w:pPr>
              <w:pStyle w:val="TableText0"/>
              <w:rPr>
                <w:lang w:eastAsia="en-GB"/>
              </w:rPr>
            </w:pPr>
            <w:r w:rsidRPr="00D41179">
              <w:rPr>
                <w:lang w:eastAsia="en-GB"/>
              </w:rPr>
              <w:t>-0.493</w:t>
            </w:r>
          </w:p>
        </w:tc>
        <w:tc>
          <w:tcPr>
            <w:tcW w:w="676" w:type="pct"/>
            <w:tcBorders>
              <w:top w:val="nil"/>
              <w:left w:val="nil"/>
              <w:bottom w:val="single" w:sz="4" w:space="0" w:color="auto"/>
              <w:right w:val="single" w:sz="4" w:space="0" w:color="auto"/>
            </w:tcBorders>
            <w:noWrap/>
            <w:vAlign w:val="center"/>
          </w:tcPr>
          <w:p w14:paraId="7BCDD570" w14:textId="77777777" w:rsidR="00F714D1" w:rsidRPr="00D41179" w:rsidRDefault="00F714D1" w:rsidP="00F95692">
            <w:pPr>
              <w:pStyle w:val="TableText0"/>
              <w:rPr>
                <w:lang w:eastAsia="en-GB"/>
              </w:rPr>
            </w:pPr>
            <w:r w:rsidRPr="00D41179">
              <w:rPr>
                <w:lang w:eastAsia="en-GB"/>
              </w:rPr>
              <w:t>-0.355</w:t>
            </w:r>
          </w:p>
        </w:tc>
        <w:tc>
          <w:tcPr>
            <w:tcW w:w="679" w:type="pct"/>
            <w:tcBorders>
              <w:top w:val="nil"/>
              <w:left w:val="nil"/>
              <w:bottom w:val="single" w:sz="4" w:space="0" w:color="auto"/>
              <w:right w:val="single" w:sz="4" w:space="0" w:color="auto"/>
            </w:tcBorders>
            <w:noWrap/>
            <w:vAlign w:val="center"/>
          </w:tcPr>
          <w:p w14:paraId="228224F2" w14:textId="77777777" w:rsidR="00F714D1" w:rsidRPr="00D41179" w:rsidRDefault="00F714D1" w:rsidP="00F95692">
            <w:pPr>
              <w:pStyle w:val="TableText0"/>
              <w:rPr>
                <w:lang w:eastAsia="en-GB"/>
              </w:rPr>
            </w:pPr>
            <w:r w:rsidRPr="00D41179">
              <w:rPr>
                <w:lang w:eastAsia="en-GB"/>
              </w:rPr>
              <w:t>-0.138</w:t>
            </w:r>
          </w:p>
        </w:tc>
        <w:tc>
          <w:tcPr>
            <w:tcW w:w="674" w:type="pct"/>
            <w:tcBorders>
              <w:top w:val="nil"/>
              <w:left w:val="nil"/>
              <w:bottom w:val="single" w:sz="4" w:space="0" w:color="auto"/>
              <w:right w:val="single" w:sz="4" w:space="0" w:color="auto"/>
            </w:tcBorders>
            <w:noWrap/>
            <w:vAlign w:val="center"/>
          </w:tcPr>
          <w:p w14:paraId="75D02A1C" w14:textId="77777777" w:rsidR="00F714D1" w:rsidRPr="00D41179" w:rsidRDefault="00F714D1" w:rsidP="00F95692">
            <w:pPr>
              <w:pStyle w:val="TableText0"/>
              <w:rPr>
                <w:lang w:eastAsia="en-GB"/>
              </w:rPr>
            </w:pPr>
            <w:r w:rsidRPr="00D41179">
              <w:rPr>
                <w:lang w:eastAsia="en-GB"/>
              </w:rPr>
              <w:t>+39%</w:t>
            </w:r>
          </w:p>
        </w:tc>
        <w:tc>
          <w:tcPr>
            <w:tcW w:w="679" w:type="pct"/>
            <w:tcBorders>
              <w:top w:val="nil"/>
              <w:left w:val="nil"/>
              <w:bottom w:val="single" w:sz="4" w:space="0" w:color="auto"/>
              <w:right w:val="single" w:sz="4" w:space="0" w:color="auto"/>
            </w:tcBorders>
            <w:noWrap/>
            <w:vAlign w:val="center"/>
          </w:tcPr>
          <w:p w14:paraId="4DEC57FA" w14:textId="77777777" w:rsidR="00F714D1" w:rsidRPr="00D41179" w:rsidRDefault="00F714D1" w:rsidP="00F95692">
            <w:pPr>
              <w:pStyle w:val="TableText0"/>
              <w:rPr>
                <w:lang w:eastAsia="en-GB"/>
              </w:rPr>
            </w:pPr>
            <w:r w:rsidRPr="00D41179">
              <w:rPr>
                <w:lang w:eastAsia="en-GB"/>
              </w:rPr>
              <w:t>-0%</w:t>
            </w:r>
          </w:p>
        </w:tc>
      </w:tr>
      <w:tr w:rsidR="00F714D1" w:rsidRPr="00D41179" w14:paraId="0695453D" w14:textId="77777777" w:rsidTr="00F04971">
        <w:trPr>
          <w:trHeight w:val="260"/>
        </w:trPr>
        <w:tc>
          <w:tcPr>
            <w:tcW w:w="1586" w:type="pct"/>
            <w:tcBorders>
              <w:top w:val="nil"/>
              <w:left w:val="single" w:sz="4" w:space="0" w:color="auto"/>
              <w:bottom w:val="single" w:sz="4" w:space="0" w:color="auto"/>
              <w:right w:val="single" w:sz="4" w:space="0" w:color="auto"/>
            </w:tcBorders>
            <w:noWrap/>
            <w:hideMark/>
          </w:tcPr>
          <w:p w14:paraId="07C807B1" w14:textId="77777777" w:rsidR="00F714D1" w:rsidRPr="00D41179" w:rsidRDefault="00F714D1" w:rsidP="00F95692">
            <w:pPr>
              <w:pStyle w:val="TableText0"/>
              <w:rPr>
                <w:lang w:eastAsia="en-GB"/>
              </w:rPr>
            </w:pPr>
            <w:r w:rsidRPr="00D41179">
              <w:rPr>
                <w:lang w:eastAsia="en-GB"/>
              </w:rPr>
              <w:t xml:space="preserve">Incremental cost per QALY gained </w:t>
            </w:r>
          </w:p>
        </w:tc>
        <w:tc>
          <w:tcPr>
            <w:tcW w:w="706" w:type="pct"/>
            <w:tcBorders>
              <w:top w:val="nil"/>
              <w:left w:val="nil"/>
              <w:bottom w:val="single" w:sz="4" w:space="0" w:color="auto"/>
              <w:right w:val="single" w:sz="4" w:space="0" w:color="auto"/>
            </w:tcBorders>
            <w:noWrap/>
            <w:vAlign w:val="center"/>
            <w:hideMark/>
          </w:tcPr>
          <w:p w14:paraId="1FDBC4C7" w14:textId="77777777" w:rsidR="00F714D1" w:rsidRPr="00D41179" w:rsidRDefault="00F714D1" w:rsidP="00F95692">
            <w:pPr>
              <w:pStyle w:val="TableText0"/>
              <w:rPr>
                <w:lang w:eastAsia="en-GB"/>
              </w:rPr>
            </w:pPr>
          </w:p>
        </w:tc>
        <w:tc>
          <w:tcPr>
            <w:tcW w:w="676" w:type="pct"/>
            <w:tcBorders>
              <w:top w:val="nil"/>
              <w:left w:val="nil"/>
              <w:bottom w:val="single" w:sz="4" w:space="0" w:color="auto"/>
              <w:right w:val="single" w:sz="4" w:space="0" w:color="auto"/>
            </w:tcBorders>
            <w:noWrap/>
            <w:vAlign w:val="center"/>
            <w:hideMark/>
          </w:tcPr>
          <w:p w14:paraId="4D18D7F7" w14:textId="77777777" w:rsidR="00F714D1" w:rsidRPr="00D41179" w:rsidRDefault="00F714D1" w:rsidP="00F95692">
            <w:pPr>
              <w:pStyle w:val="TableText0"/>
              <w:rPr>
                <w:lang w:eastAsia="en-GB"/>
              </w:rPr>
            </w:pPr>
          </w:p>
        </w:tc>
        <w:tc>
          <w:tcPr>
            <w:tcW w:w="679" w:type="pct"/>
            <w:tcBorders>
              <w:top w:val="nil"/>
              <w:left w:val="nil"/>
              <w:bottom w:val="single" w:sz="4" w:space="0" w:color="auto"/>
              <w:right w:val="single" w:sz="4" w:space="0" w:color="auto"/>
            </w:tcBorders>
            <w:noWrap/>
            <w:vAlign w:val="center"/>
            <w:hideMark/>
          </w:tcPr>
          <w:p w14:paraId="4D21F81F" w14:textId="0B8A1DE7" w:rsidR="00F714D1" w:rsidRPr="00D41179" w:rsidRDefault="00F714D1" w:rsidP="00F95692">
            <w:pPr>
              <w:pStyle w:val="TableText0"/>
              <w:rPr>
                <w:vertAlign w:val="superscript"/>
                <w:lang w:eastAsia="en-GB"/>
              </w:rPr>
            </w:pPr>
            <w:r w:rsidRPr="00D41179">
              <w:rPr>
                <w:lang w:eastAsia="en-GB"/>
              </w:rPr>
              <w:t>$</w:t>
            </w:r>
            <w:r w:rsidR="000E1EB2" w:rsidRPr="000E1EB2">
              <w:rPr>
                <w:sz w:val="2"/>
                <w:highlight w:val="black"/>
                <w:lang w:eastAsia="en-GB"/>
              </w:rPr>
              <w:t>redacted content</w:t>
            </w:r>
            <w:r w:rsidR="00B45F38" w:rsidRPr="00D41179">
              <w:rPr>
                <w:vertAlign w:val="superscript"/>
                <w:lang w:eastAsia="en-GB"/>
              </w:rPr>
              <w:t>1</w:t>
            </w:r>
          </w:p>
        </w:tc>
        <w:tc>
          <w:tcPr>
            <w:tcW w:w="674" w:type="pct"/>
            <w:tcBorders>
              <w:top w:val="nil"/>
              <w:left w:val="nil"/>
              <w:bottom w:val="single" w:sz="4" w:space="0" w:color="auto"/>
              <w:right w:val="single" w:sz="4" w:space="0" w:color="auto"/>
            </w:tcBorders>
            <w:noWrap/>
            <w:vAlign w:val="center"/>
            <w:hideMark/>
          </w:tcPr>
          <w:p w14:paraId="2B388B7D" w14:textId="77777777" w:rsidR="00F714D1" w:rsidRPr="00D41179" w:rsidRDefault="00F714D1" w:rsidP="00F95692">
            <w:pPr>
              <w:pStyle w:val="TableText0"/>
              <w:rPr>
                <w:lang w:eastAsia="en-GB"/>
              </w:rPr>
            </w:pPr>
          </w:p>
        </w:tc>
        <w:tc>
          <w:tcPr>
            <w:tcW w:w="679" w:type="pct"/>
            <w:tcBorders>
              <w:top w:val="nil"/>
              <w:left w:val="nil"/>
              <w:bottom w:val="single" w:sz="4" w:space="0" w:color="auto"/>
              <w:right w:val="single" w:sz="4" w:space="0" w:color="auto"/>
            </w:tcBorders>
            <w:noWrap/>
            <w:vAlign w:val="center"/>
            <w:hideMark/>
          </w:tcPr>
          <w:p w14:paraId="334C062A" w14:textId="77777777" w:rsidR="00F714D1" w:rsidRPr="00D41179" w:rsidRDefault="00F714D1" w:rsidP="00F95692">
            <w:pPr>
              <w:pStyle w:val="TableText0"/>
              <w:rPr>
                <w:lang w:eastAsia="en-GB"/>
              </w:rPr>
            </w:pPr>
          </w:p>
        </w:tc>
      </w:tr>
    </w:tbl>
    <w:p w14:paraId="6ACD7F71" w14:textId="77777777" w:rsidR="00F714D1" w:rsidRPr="00D41179" w:rsidRDefault="00F714D1" w:rsidP="000A113F">
      <w:pPr>
        <w:pStyle w:val="TableFigureFooter"/>
      </w:pPr>
      <w:r w:rsidRPr="00D41179">
        <w:t>Source: Economic model – attachment 10 “Shingrix 60-64 YOA – ZONA CEA”</w:t>
      </w:r>
    </w:p>
    <w:p w14:paraId="689F0523" w14:textId="6CC85A7F" w:rsidR="00F714D1" w:rsidRPr="00D41179" w:rsidRDefault="00F714D1" w:rsidP="000A113F">
      <w:pPr>
        <w:pStyle w:val="TableFigureFooter"/>
      </w:pPr>
      <w:r w:rsidRPr="00D41179">
        <w:t>AE</w:t>
      </w:r>
      <w:r w:rsidR="003B5DA1" w:rsidRPr="00D41179">
        <w:t xml:space="preserve"> = </w:t>
      </w:r>
      <w:r w:rsidRPr="00D41179">
        <w:t>adverse event; HZ</w:t>
      </w:r>
      <w:r w:rsidR="003B5DA1" w:rsidRPr="00D41179">
        <w:t xml:space="preserve"> = </w:t>
      </w:r>
      <w:r w:rsidRPr="00D41179">
        <w:t>herpes zoster; ICER</w:t>
      </w:r>
      <w:r w:rsidR="003B5DA1" w:rsidRPr="00D41179">
        <w:t xml:space="preserve"> = </w:t>
      </w:r>
      <w:r w:rsidRPr="00D41179">
        <w:t>incremental cost-effectiveness ratio / cost per QALY; LY</w:t>
      </w:r>
      <w:r w:rsidR="003B5DA1" w:rsidRPr="00D41179">
        <w:t xml:space="preserve"> = </w:t>
      </w:r>
      <w:r w:rsidRPr="00D41179">
        <w:t>life year; PHN</w:t>
      </w:r>
      <w:r w:rsidR="003B5DA1" w:rsidRPr="00D41179">
        <w:t xml:space="preserve"> = </w:t>
      </w:r>
      <w:r w:rsidRPr="00D41179">
        <w:t>post-herpetic neuralgia; QALY</w:t>
      </w:r>
      <w:r w:rsidR="003B5DA1" w:rsidRPr="00D41179">
        <w:t xml:space="preserve"> = </w:t>
      </w:r>
      <w:r w:rsidRPr="00D41179">
        <w:t>quality-adjusted life year; RZV</w:t>
      </w:r>
      <w:r w:rsidR="003B5DA1" w:rsidRPr="00D41179">
        <w:t xml:space="preserve"> = </w:t>
      </w:r>
      <w:r w:rsidRPr="00D41179">
        <w:t>recombinant zoster vaccine</w:t>
      </w:r>
      <w:r w:rsidR="00FA36B3" w:rsidRPr="00D41179">
        <w:t>.</w:t>
      </w:r>
      <w:r w:rsidR="00B45F38" w:rsidRPr="00D41179">
        <w:br/>
      </w:r>
      <w:r w:rsidR="00B45F38" w:rsidRPr="00FA48CF">
        <w:rPr>
          <w:i/>
          <w:iCs/>
        </w:rPr>
        <w:t xml:space="preserve">The redacted value corresponds to the following range: </w:t>
      </w:r>
      <w:r w:rsidR="00B45F38" w:rsidRPr="00FA48CF">
        <w:rPr>
          <w:i/>
          <w:iCs/>
        </w:rPr>
        <w:br/>
      </w:r>
      <w:r w:rsidR="00B45F38" w:rsidRPr="00FA48CF">
        <w:rPr>
          <w:i/>
          <w:iCs/>
          <w:vertAlign w:val="superscript"/>
        </w:rPr>
        <w:t xml:space="preserve">1 </w:t>
      </w:r>
      <w:r w:rsidR="00B45F38" w:rsidRPr="00FA48CF">
        <w:rPr>
          <w:i/>
          <w:iCs/>
        </w:rPr>
        <w:t>$15,000 to &lt; $25,000</w:t>
      </w:r>
    </w:p>
    <w:p w14:paraId="6EF2115E" w14:textId="77777777" w:rsidR="00117032" w:rsidRPr="00D41179" w:rsidRDefault="00117032" w:rsidP="00117032">
      <w:pPr>
        <w:pStyle w:val="3-BodyText"/>
        <w:rPr>
          <w:iCs/>
          <w:color w:val="000000" w:themeColor="text1"/>
        </w:rPr>
      </w:pPr>
      <w:bookmarkStart w:id="59" w:name="_Ref207721958"/>
      <w:r w:rsidRPr="00D41179">
        <w:rPr>
          <w:iCs/>
          <w:color w:val="000000" w:themeColor="text1"/>
        </w:rPr>
        <w:t>These results should be interpreted with caution for the following reasons:</w:t>
      </w:r>
      <w:bookmarkEnd w:id="59"/>
    </w:p>
    <w:p w14:paraId="57914719" w14:textId="2320912A" w:rsidR="00117032" w:rsidRPr="00D41179" w:rsidRDefault="00117032" w:rsidP="00A64F5D">
      <w:pPr>
        <w:pStyle w:val="3-BodyText"/>
        <w:numPr>
          <w:ilvl w:val="1"/>
          <w:numId w:val="14"/>
        </w:numPr>
        <w:ind w:left="709"/>
        <w:rPr>
          <w:iCs/>
          <w:color w:val="000000" w:themeColor="text1"/>
        </w:rPr>
      </w:pPr>
      <w:r w:rsidRPr="00D41179">
        <w:rPr>
          <w:iCs/>
          <w:color w:val="000000" w:themeColor="text1"/>
        </w:rPr>
        <w:t>Vaccine efficacy waning was generated using linear regression of annual VE presented in ZOSTER-049. These estimates were built on a diminishing sample with wide confidence intervals and therefore assumptions about the linearity of the waning function and the rate are uncertain.</w:t>
      </w:r>
      <w:r w:rsidR="00BE2AE4" w:rsidRPr="00D41179">
        <w:rPr>
          <w:iCs/>
          <w:color w:val="000000" w:themeColor="text1"/>
        </w:rPr>
        <w:t xml:space="preserve"> Additionally, the </w:t>
      </w:r>
      <w:r w:rsidR="00106542" w:rsidRPr="00D41179">
        <w:rPr>
          <w:iCs/>
          <w:color w:val="000000" w:themeColor="text1"/>
        </w:rPr>
        <w:t xml:space="preserve">ESC noted the </w:t>
      </w:r>
      <w:r w:rsidR="00BE2AE4" w:rsidRPr="00D41179">
        <w:rPr>
          <w:iCs/>
          <w:color w:val="000000" w:themeColor="text1"/>
        </w:rPr>
        <w:t xml:space="preserve">model assumed reduced protection for individuals vaccinated at </w:t>
      </w:r>
      <w:r w:rsidR="00106542" w:rsidRPr="00D41179">
        <w:rPr>
          <w:iCs/>
          <w:color w:val="000000" w:themeColor="text1"/>
        </w:rPr>
        <w:t>65 YOA than at 60 YOA with increased waning at 70 YOA in both models</w:t>
      </w:r>
      <w:r w:rsidR="007E5193" w:rsidRPr="00D41179">
        <w:rPr>
          <w:iCs/>
          <w:color w:val="000000" w:themeColor="text1"/>
        </w:rPr>
        <w:t xml:space="preserve"> (see paragraph </w:t>
      </w:r>
      <w:r w:rsidR="007E147F" w:rsidRPr="00D41179">
        <w:rPr>
          <w:iCs/>
          <w:color w:val="000000" w:themeColor="text1"/>
        </w:rPr>
        <w:fldChar w:fldCharType="begin"/>
      </w:r>
      <w:r w:rsidR="007E147F" w:rsidRPr="00D41179">
        <w:rPr>
          <w:iCs/>
          <w:color w:val="000000" w:themeColor="text1"/>
        </w:rPr>
        <w:instrText xml:space="preserve"> REF _Ref211849750 \r \h </w:instrText>
      </w:r>
      <w:r w:rsidR="006E44C2" w:rsidRPr="00D41179">
        <w:rPr>
          <w:iCs/>
          <w:color w:val="000000" w:themeColor="text1"/>
        </w:rPr>
        <w:instrText xml:space="preserve"> \* MERGEFORMAT </w:instrText>
      </w:r>
      <w:r w:rsidR="007E147F" w:rsidRPr="00D41179">
        <w:rPr>
          <w:iCs/>
          <w:color w:val="000000" w:themeColor="text1"/>
        </w:rPr>
      </w:r>
      <w:r w:rsidR="007E147F" w:rsidRPr="00D41179">
        <w:rPr>
          <w:iCs/>
          <w:color w:val="000000" w:themeColor="text1"/>
        </w:rPr>
        <w:fldChar w:fldCharType="separate"/>
      </w:r>
      <w:r w:rsidR="00DE3DAE">
        <w:rPr>
          <w:iCs/>
          <w:color w:val="000000" w:themeColor="text1"/>
        </w:rPr>
        <w:t>6.44</w:t>
      </w:r>
      <w:r w:rsidR="007E147F" w:rsidRPr="00D41179">
        <w:rPr>
          <w:iCs/>
          <w:color w:val="000000" w:themeColor="text1"/>
        </w:rPr>
        <w:fldChar w:fldCharType="end"/>
      </w:r>
      <w:r w:rsidR="007E5193" w:rsidRPr="00D41179">
        <w:rPr>
          <w:iCs/>
          <w:color w:val="000000" w:themeColor="text1"/>
        </w:rPr>
        <w:t>)</w:t>
      </w:r>
      <w:r w:rsidR="00106542" w:rsidRPr="00D41179">
        <w:rPr>
          <w:iCs/>
          <w:color w:val="000000" w:themeColor="text1"/>
        </w:rPr>
        <w:t xml:space="preserve">. </w:t>
      </w:r>
    </w:p>
    <w:p w14:paraId="7B615EF9" w14:textId="77777777" w:rsidR="00117032" w:rsidRPr="00D41179" w:rsidRDefault="00117032" w:rsidP="00A64F5D">
      <w:pPr>
        <w:pStyle w:val="3-BodyText"/>
        <w:numPr>
          <w:ilvl w:val="1"/>
          <w:numId w:val="14"/>
        </w:numPr>
        <w:ind w:left="709"/>
        <w:rPr>
          <w:iCs/>
          <w:color w:val="000000" w:themeColor="text1"/>
        </w:rPr>
      </w:pPr>
      <w:r w:rsidRPr="00D41179">
        <w:rPr>
          <w:iCs/>
          <w:color w:val="000000" w:themeColor="text1"/>
        </w:rPr>
        <w:t xml:space="preserve">Initial VE was estimated as the y-intercept of the same linear regression used to estimate vaccine waning and therefore is subject to the same uncertainty. </w:t>
      </w:r>
    </w:p>
    <w:p w14:paraId="61856EF1" w14:textId="77777777" w:rsidR="00117032" w:rsidRPr="00D41179" w:rsidRDefault="00117032" w:rsidP="00A64F5D">
      <w:pPr>
        <w:pStyle w:val="3-BodyText"/>
        <w:numPr>
          <w:ilvl w:val="1"/>
          <w:numId w:val="14"/>
        </w:numPr>
        <w:ind w:left="709"/>
        <w:rPr>
          <w:iCs/>
          <w:color w:val="000000" w:themeColor="text1"/>
        </w:rPr>
      </w:pPr>
      <w:r w:rsidRPr="00D41179">
        <w:rPr>
          <w:iCs/>
          <w:color w:val="000000" w:themeColor="text1"/>
        </w:rPr>
        <w:lastRenderedPageBreak/>
        <w:t xml:space="preserve">HZ incidence while lower than presented in previous submissions may still represent a high estimate thus favouring the intervention. </w:t>
      </w:r>
    </w:p>
    <w:p w14:paraId="0D4F4CAC" w14:textId="379BF2A3" w:rsidR="00821D31" w:rsidRPr="00D41179" w:rsidRDefault="00117032" w:rsidP="00A64F5D">
      <w:pPr>
        <w:pStyle w:val="3-BodyText"/>
        <w:numPr>
          <w:ilvl w:val="1"/>
          <w:numId w:val="14"/>
        </w:numPr>
        <w:ind w:left="709"/>
        <w:rPr>
          <w:color w:val="000000" w:themeColor="text1"/>
        </w:rPr>
      </w:pPr>
      <w:r w:rsidRPr="00D41179">
        <w:rPr>
          <w:color w:val="000000" w:themeColor="text1"/>
        </w:rPr>
        <w:t xml:space="preserve">Utility loss per case of HZ and PHN. These were unchanged from previous submissions and likely represent an overestimate of QALY losses per case, which is favourable to the intervention. </w:t>
      </w:r>
    </w:p>
    <w:p w14:paraId="66FBE1D3" w14:textId="77777777" w:rsidR="00117032" w:rsidRPr="00D41179" w:rsidRDefault="00117032" w:rsidP="00117032">
      <w:pPr>
        <w:pStyle w:val="3-BodyText"/>
        <w:rPr>
          <w:color w:val="000000" w:themeColor="text1"/>
        </w:rPr>
      </w:pPr>
      <w:r w:rsidRPr="00D41179">
        <w:rPr>
          <w:color w:val="000000" w:themeColor="text1"/>
        </w:rPr>
        <w:t xml:space="preserve">The main cost which contributes to the ICER was from vaccine acquisition and administration. Cost savings from reduced disease related costs were observed, particularly for HZ cases avoided. </w:t>
      </w:r>
    </w:p>
    <w:p w14:paraId="5F409965" w14:textId="723B3FDE" w:rsidR="00F86740" w:rsidRDefault="00117032" w:rsidP="001410E2">
      <w:pPr>
        <w:pStyle w:val="3-BodyText"/>
      </w:pPr>
      <w:r w:rsidRPr="00D41179">
        <w:t>The base case estimated that there would be 34,406 fewer HZ cases and, 4,042 fewer PHN cases across the full</w:t>
      </w:r>
      <w:r w:rsidR="00A1036E" w:rsidRPr="00D41179">
        <w:t xml:space="preserve"> </w:t>
      </w:r>
      <w:r w:rsidRPr="00D41179">
        <w:t xml:space="preserve">time horizon of the model, the net impact of these avoided cases was an additional 1,690 QALYs per 1 million vaccinated adults. Vaccine related adverse events were not explicitly modelled, but the additional cost of treating vaccine related AEs was estimated at $1,814,715. </w:t>
      </w:r>
      <w:r w:rsidR="00987835" w:rsidRPr="00D41179">
        <w:fldChar w:fldCharType="begin"/>
      </w:r>
      <w:r w:rsidR="00987835" w:rsidRPr="00D41179">
        <w:instrText xml:space="preserve"> REF _Ref208930318 \h </w:instrText>
      </w:r>
      <w:r w:rsidR="00D41179">
        <w:instrText xml:space="preserve"> \* MERGEFORMAT </w:instrText>
      </w:r>
      <w:r w:rsidR="00987835" w:rsidRPr="00D41179">
        <w:fldChar w:fldCharType="separate"/>
      </w:r>
      <w:r w:rsidR="00E7345C" w:rsidRPr="00D41179">
        <w:t xml:space="preserve">Table </w:t>
      </w:r>
      <w:r w:rsidR="00E7345C" w:rsidRPr="00D41179">
        <w:rPr>
          <w:noProof/>
        </w:rPr>
        <w:t>14</w:t>
      </w:r>
      <w:r w:rsidR="00987835" w:rsidRPr="00D41179">
        <w:fldChar w:fldCharType="end"/>
      </w:r>
      <w:r w:rsidR="00987835" w:rsidRPr="00D41179">
        <w:t xml:space="preserve"> </w:t>
      </w:r>
      <w:r w:rsidR="00EC2822" w:rsidRPr="00D41179">
        <w:t>shows the disaggregated base case results per age group.</w:t>
      </w:r>
      <w:r w:rsidR="0042749F" w:rsidRPr="00D41179">
        <w:t xml:space="preserve"> These outcomes highlight that the improvements in health that drive the outcomes of the model almost all occur in the</w:t>
      </w:r>
      <w:r w:rsidR="00D41179" w:rsidRPr="00D41179">
        <w:t xml:space="preserve"> </w:t>
      </w:r>
      <w:r w:rsidR="0042749F" w:rsidRPr="00D41179">
        <w:t>60-64</w:t>
      </w:r>
      <w:r w:rsidR="00A1036E" w:rsidRPr="00D41179">
        <w:t xml:space="preserve"> YOA group</w:t>
      </w:r>
      <w:r w:rsidR="0042749F" w:rsidRPr="00D41179">
        <w:t xml:space="preserve">. For every other age </w:t>
      </w:r>
      <w:proofErr w:type="gramStart"/>
      <w:r w:rsidR="0042749F" w:rsidRPr="00D41179">
        <w:t>group</w:t>
      </w:r>
      <w:proofErr w:type="gramEnd"/>
      <w:r w:rsidR="0042749F" w:rsidRPr="00D41179">
        <w:t xml:space="preserve"> the number of events that occurred in total is lower in those who received the vaccination at a later age. This was likely due to vaccine waning effects, whereby, those vaccinated </w:t>
      </w:r>
      <w:r w:rsidR="00B55638" w:rsidRPr="00D41179">
        <w:t>at</w:t>
      </w:r>
      <w:r w:rsidR="0042749F" w:rsidRPr="00D41179">
        <w:t xml:space="preserve"> 60-64 would have lower VE by older ages, than those who received vaccination at age 65.</w:t>
      </w:r>
      <w:r w:rsidR="001410E2" w:rsidRPr="00D41179">
        <w:t xml:space="preserve"> </w:t>
      </w:r>
    </w:p>
    <w:p w14:paraId="660E18CA" w14:textId="77777777" w:rsidR="00F86740" w:rsidRDefault="00F86740">
      <w:pPr>
        <w:jc w:val="left"/>
        <w:rPr>
          <w:rFonts w:asciiTheme="minorHAnsi" w:eastAsiaTheme="minorHAnsi" w:hAnsiTheme="minorHAnsi" w:cstheme="minorBidi"/>
          <w:szCs w:val="22"/>
        </w:rPr>
      </w:pPr>
      <w:r>
        <w:br w:type="page"/>
      </w:r>
    </w:p>
    <w:p w14:paraId="1047549C" w14:textId="3B04D85C" w:rsidR="00EC1414" w:rsidRPr="00D41179" w:rsidRDefault="00EC1414" w:rsidP="00987835">
      <w:pPr>
        <w:pStyle w:val="Caption"/>
      </w:pPr>
      <w:bookmarkStart w:id="60" w:name="_Ref208930318"/>
      <w:r w:rsidRPr="00D41179">
        <w:lastRenderedPageBreak/>
        <w:t xml:space="preserve">Table </w:t>
      </w:r>
      <w:r w:rsidRPr="00D41179">
        <w:fldChar w:fldCharType="begin"/>
      </w:r>
      <w:r w:rsidRPr="00D41179">
        <w:instrText>SEQ Table \* ARABIC</w:instrText>
      </w:r>
      <w:r w:rsidRPr="00D41179">
        <w:fldChar w:fldCharType="separate"/>
      </w:r>
      <w:r w:rsidR="00E7345C" w:rsidRPr="00D41179">
        <w:rPr>
          <w:noProof/>
        </w:rPr>
        <w:t>14</w:t>
      </w:r>
      <w:r w:rsidRPr="00D41179">
        <w:fldChar w:fldCharType="end"/>
      </w:r>
      <w:bookmarkEnd w:id="60"/>
      <w:r w:rsidRPr="00D41179">
        <w:t>: Disaggregated base-case results for number of events per age group</w:t>
      </w:r>
    </w:p>
    <w:tbl>
      <w:tblPr>
        <w:tblW w:w="5000" w:type="pct"/>
        <w:tblLook w:val="04A0" w:firstRow="1" w:lastRow="0" w:firstColumn="1" w:lastColumn="0" w:noHBand="0" w:noVBand="1"/>
        <w:tblCaption w:val="Table 14: Disaggregated base-case results for number of events per age group"/>
      </w:tblPr>
      <w:tblGrid>
        <w:gridCol w:w="1620"/>
        <w:gridCol w:w="1601"/>
        <w:gridCol w:w="2312"/>
        <w:gridCol w:w="1744"/>
        <w:gridCol w:w="1740"/>
      </w:tblGrid>
      <w:tr w:rsidR="00EC2822" w:rsidRPr="00D41179" w14:paraId="615E6052" w14:textId="77777777">
        <w:trPr>
          <w:trHeight w:val="170"/>
          <w:tblHeader/>
        </w:trPr>
        <w:tc>
          <w:tcPr>
            <w:tcW w:w="898" w:type="pct"/>
            <w:vMerge w:val="restart"/>
            <w:tcBorders>
              <w:top w:val="single" w:sz="4" w:space="0" w:color="auto"/>
              <w:left w:val="single" w:sz="4" w:space="0" w:color="auto"/>
              <w:bottom w:val="single" w:sz="4" w:space="0" w:color="auto"/>
              <w:right w:val="single" w:sz="4" w:space="0" w:color="auto"/>
            </w:tcBorders>
            <w:shd w:val="clear" w:color="000000" w:fill="BFBFBF"/>
            <w:noWrap/>
            <w:vAlign w:val="center"/>
            <w:hideMark/>
          </w:tcPr>
          <w:p w14:paraId="4E42787D" w14:textId="77777777" w:rsidR="00EC2822" w:rsidRPr="00D41179" w:rsidRDefault="00EC2822">
            <w:pPr>
              <w:jc w:val="left"/>
              <w:rPr>
                <w:rFonts w:ascii="Arial Narrow" w:hAnsi="Arial Narrow"/>
                <w:b/>
                <w:bCs/>
                <w:sz w:val="20"/>
                <w:szCs w:val="20"/>
              </w:rPr>
            </w:pPr>
            <w:r w:rsidRPr="00D41179">
              <w:rPr>
                <w:rFonts w:ascii="Arial Narrow" w:hAnsi="Arial Narrow"/>
                <w:b/>
                <w:bCs/>
                <w:sz w:val="20"/>
                <w:szCs w:val="20"/>
              </w:rPr>
              <w:t>Age group (years)</w:t>
            </w:r>
          </w:p>
        </w:tc>
        <w:tc>
          <w:tcPr>
            <w:tcW w:w="2170" w:type="pct"/>
            <w:gridSpan w:val="2"/>
            <w:tcBorders>
              <w:top w:val="single" w:sz="4" w:space="0" w:color="auto"/>
              <w:left w:val="nil"/>
              <w:bottom w:val="single" w:sz="4" w:space="0" w:color="auto"/>
              <w:right w:val="single" w:sz="4" w:space="0" w:color="auto"/>
            </w:tcBorders>
            <w:shd w:val="clear" w:color="000000" w:fill="BFBFBF"/>
            <w:noWrap/>
            <w:vAlign w:val="center"/>
            <w:hideMark/>
          </w:tcPr>
          <w:p w14:paraId="671539FC" w14:textId="77777777" w:rsidR="00EC2822" w:rsidRPr="00D41179" w:rsidRDefault="00EC2822">
            <w:pPr>
              <w:jc w:val="center"/>
              <w:rPr>
                <w:rFonts w:ascii="Arial Narrow" w:hAnsi="Arial Narrow"/>
                <w:b/>
                <w:bCs/>
                <w:sz w:val="20"/>
                <w:szCs w:val="20"/>
              </w:rPr>
            </w:pPr>
            <w:r w:rsidRPr="00D41179">
              <w:rPr>
                <w:rFonts w:ascii="Arial Narrow" w:hAnsi="Arial Narrow"/>
                <w:b/>
                <w:bCs/>
                <w:sz w:val="20"/>
                <w:szCs w:val="20"/>
              </w:rPr>
              <w:t>Number of events</w:t>
            </w:r>
          </w:p>
        </w:tc>
        <w:tc>
          <w:tcPr>
            <w:tcW w:w="967" w:type="pct"/>
            <w:vMerge w:val="restart"/>
            <w:tcBorders>
              <w:top w:val="single" w:sz="4" w:space="0" w:color="auto"/>
              <w:left w:val="single" w:sz="4" w:space="0" w:color="auto"/>
              <w:bottom w:val="single" w:sz="4" w:space="0" w:color="auto"/>
              <w:right w:val="single" w:sz="4" w:space="0" w:color="auto"/>
            </w:tcBorders>
            <w:shd w:val="clear" w:color="000000" w:fill="BFBFBF"/>
            <w:noWrap/>
            <w:vAlign w:val="center"/>
            <w:hideMark/>
          </w:tcPr>
          <w:p w14:paraId="345E6BF0" w14:textId="77777777" w:rsidR="00EC2822" w:rsidRPr="00D41179" w:rsidRDefault="00EC2822">
            <w:pPr>
              <w:jc w:val="center"/>
              <w:rPr>
                <w:rFonts w:ascii="Arial Narrow" w:hAnsi="Arial Narrow"/>
                <w:b/>
                <w:bCs/>
                <w:sz w:val="20"/>
                <w:szCs w:val="20"/>
              </w:rPr>
            </w:pPr>
            <w:r w:rsidRPr="00D41179">
              <w:rPr>
                <w:rFonts w:ascii="Arial Narrow" w:hAnsi="Arial Narrow"/>
                <w:b/>
                <w:bCs/>
                <w:sz w:val="20"/>
                <w:szCs w:val="20"/>
              </w:rPr>
              <w:t>Δ abs. (Δ rel.)</w:t>
            </w:r>
          </w:p>
        </w:tc>
        <w:tc>
          <w:tcPr>
            <w:tcW w:w="965" w:type="pct"/>
            <w:vMerge w:val="restart"/>
            <w:tcBorders>
              <w:top w:val="single" w:sz="4" w:space="0" w:color="auto"/>
              <w:left w:val="single" w:sz="4" w:space="0" w:color="auto"/>
              <w:bottom w:val="single" w:sz="4" w:space="0" w:color="auto"/>
              <w:right w:val="single" w:sz="4" w:space="0" w:color="auto"/>
            </w:tcBorders>
            <w:shd w:val="clear" w:color="000000" w:fill="BFBFBF"/>
            <w:noWrap/>
            <w:vAlign w:val="center"/>
            <w:hideMark/>
          </w:tcPr>
          <w:p w14:paraId="255FA58A" w14:textId="77777777" w:rsidR="00EC2822" w:rsidRPr="00D41179" w:rsidRDefault="00EC2822">
            <w:pPr>
              <w:jc w:val="center"/>
              <w:rPr>
                <w:rFonts w:ascii="Arial Narrow" w:hAnsi="Arial Narrow"/>
                <w:b/>
                <w:bCs/>
                <w:sz w:val="20"/>
                <w:szCs w:val="20"/>
              </w:rPr>
            </w:pPr>
            <w:r w:rsidRPr="00D41179">
              <w:rPr>
                <w:rFonts w:ascii="Arial Narrow" w:hAnsi="Arial Narrow"/>
                <w:b/>
                <w:bCs/>
                <w:sz w:val="20"/>
                <w:szCs w:val="20"/>
              </w:rPr>
              <w:t>% of incr. diff.</w:t>
            </w:r>
          </w:p>
        </w:tc>
      </w:tr>
      <w:tr w:rsidR="00EC2822" w:rsidRPr="00D41179" w14:paraId="764F9FA2" w14:textId="77777777">
        <w:trPr>
          <w:trHeight w:val="170"/>
          <w:tblHeader/>
        </w:trPr>
        <w:tc>
          <w:tcPr>
            <w:tcW w:w="898" w:type="pct"/>
            <w:vMerge/>
            <w:tcBorders>
              <w:top w:val="single" w:sz="4" w:space="0" w:color="auto"/>
              <w:left w:val="single" w:sz="4" w:space="0" w:color="auto"/>
              <w:bottom w:val="single" w:sz="4" w:space="0" w:color="auto"/>
              <w:right w:val="single" w:sz="4" w:space="0" w:color="auto"/>
            </w:tcBorders>
            <w:vAlign w:val="center"/>
            <w:hideMark/>
          </w:tcPr>
          <w:p w14:paraId="7CA204AC" w14:textId="77777777" w:rsidR="00EC2822" w:rsidRPr="00D41179" w:rsidRDefault="00EC2822">
            <w:pPr>
              <w:jc w:val="left"/>
              <w:rPr>
                <w:rFonts w:ascii="Arial Narrow" w:hAnsi="Arial Narrow"/>
                <w:b/>
                <w:bCs/>
                <w:sz w:val="20"/>
                <w:szCs w:val="20"/>
              </w:rPr>
            </w:pPr>
          </w:p>
        </w:tc>
        <w:tc>
          <w:tcPr>
            <w:tcW w:w="888" w:type="pct"/>
            <w:tcBorders>
              <w:top w:val="nil"/>
              <w:left w:val="nil"/>
              <w:bottom w:val="single" w:sz="4" w:space="0" w:color="auto"/>
              <w:right w:val="single" w:sz="4" w:space="0" w:color="auto"/>
            </w:tcBorders>
            <w:shd w:val="clear" w:color="000000" w:fill="BFBFBF"/>
            <w:noWrap/>
            <w:vAlign w:val="center"/>
            <w:hideMark/>
          </w:tcPr>
          <w:p w14:paraId="6E9A4759" w14:textId="201F7116" w:rsidR="00EC2822" w:rsidRPr="00D41179" w:rsidRDefault="00EC2822">
            <w:pPr>
              <w:jc w:val="center"/>
              <w:rPr>
                <w:rFonts w:ascii="Arial Narrow" w:hAnsi="Arial Narrow"/>
                <w:b/>
                <w:bCs/>
                <w:sz w:val="20"/>
                <w:szCs w:val="20"/>
              </w:rPr>
            </w:pPr>
            <w:r w:rsidRPr="00D41179">
              <w:rPr>
                <w:rFonts w:ascii="Arial Narrow" w:hAnsi="Arial Narrow"/>
                <w:b/>
                <w:bCs/>
                <w:sz w:val="20"/>
                <w:szCs w:val="20"/>
              </w:rPr>
              <w:t>RZV at 60</w:t>
            </w:r>
            <w:r w:rsidR="006D2635" w:rsidRPr="00D41179">
              <w:rPr>
                <w:rFonts w:ascii="Arial Narrow" w:hAnsi="Arial Narrow"/>
                <w:b/>
                <w:bCs/>
                <w:sz w:val="20"/>
                <w:szCs w:val="20"/>
              </w:rPr>
              <w:t xml:space="preserve"> </w:t>
            </w:r>
            <w:r w:rsidRPr="00D41179">
              <w:rPr>
                <w:rFonts w:ascii="Arial Narrow" w:hAnsi="Arial Narrow"/>
                <w:b/>
                <w:bCs/>
                <w:sz w:val="20"/>
                <w:szCs w:val="20"/>
              </w:rPr>
              <w:t>YOA</w:t>
            </w:r>
          </w:p>
        </w:tc>
        <w:tc>
          <w:tcPr>
            <w:tcW w:w="1281" w:type="pct"/>
            <w:tcBorders>
              <w:top w:val="nil"/>
              <w:left w:val="nil"/>
              <w:bottom w:val="single" w:sz="4" w:space="0" w:color="auto"/>
              <w:right w:val="single" w:sz="4" w:space="0" w:color="auto"/>
            </w:tcBorders>
            <w:shd w:val="clear" w:color="000000" w:fill="BFBFBF"/>
            <w:noWrap/>
            <w:vAlign w:val="center"/>
            <w:hideMark/>
          </w:tcPr>
          <w:p w14:paraId="2FB00DC1" w14:textId="77777777" w:rsidR="00EC2822" w:rsidRPr="00D41179" w:rsidRDefault="00EC2822">
            <w:pPr>
              <w:jc w:val="center"/>
              <w:rPr>
                <w:rFonts w:ascii="Arial Narrow" w:hAnsi="Arial Narrow"/>
                <w:b/>
                <w:bCs/>
                <w:sz w:val="20"/>
                <w:szCs w:val="20"/>
              </w:rPr>
            </w:pPr>
            <w:r w:rsidRPr="00D41179">
              <w:rPr>
                <w:rFonts w:ascii="Arial Narrow" w:hAnsi="Arial Narrow"/>
                <w:b/>
                <w:bCs/>
                <w:sz w:val="20"/>
                <w:szCs w:val="20"/>
              </w:rPr>
              <w:t>RZV at 65 YOA</w:t>
            </w:r>
          </w:p>
        </w:tc>
        <w:tc>
          <w:tcPr>
            <w:tcW w:w="967" w:type="pct"/>
            <w:vMerge/>
            <w:tcBorders>
              <w:top w:val="single" w:sz="4" w:space="0" w:color="auto"/>
              <w:left w:val="single" w:sz="4" w:space="0" w:color="auto"/>
              <w:bottom w:val="single" w:sz="4" w:space="0" w:color="auto"/>
              <w:right w:val="single" w:sz="4" w:space="0" w:color="auto"/>
            </w:tcBorders>
            <w:vAlign w:val="center"/>
            <w:hideMark/>
          </w:tcPr>
          <w:p w14:paraId="100C78A9" w14:textId="77777777" w:rsidR="00EC2822" w:rsidRPr="00D41179" w:rsidRDefault="00EC2822">
            <w:pPr>
              <w:jc w:val="left"/>
              <w:rPr>
                <w:rFonts w:ascii="Arial Narrow" w:hAnsi="Arial Narrow"/>
                <w:b/>
                <w:bCs/>
                <w:sz w:val="20"/>
                <w:szCs w:val="20"/>
              </w:rPr>
            </w:pPr>
          </w:p>
        </w:tc>
        <w:tc>
          <w:tcPr>
            <w:tcW w:w="965" w:type="pct"/>
            <w:vMerge/>
            <w:tcBorders>
              <w:top w:val="single" w:sz="4" w:space="0" w:color="auto"/>
              <w:left w:val="single" w:sz="4" w:space="0" w:color="auto"/>
              <w:bottom w:val="single" w:sz="4" w:space="0" w:color="auto"/>
              <w:right w:val="single" w:sz="4" w:space="0" w:color="auto"/>
            </w:tcBorders>
            <w:vAlign w:val="center"/>
            <w:hideMark/>
          </w:tcPr>
          <w:p w14:paraId="497DB32D" w14:textId="77777777" w:rsidR="00EC2822" w:rsidRPr="00D41179" w:rsidRDefault="00EC2822">
            <w:pPr>
              <w:jc w:val="left"/>
              <w:rPr>
                <w:rFonts w:ascii="Arial Narrow" w:hAnsi="Arial Narrow"/>
                <w:b/>
                <w:bCs/>
                <w:sz w:val="20"/>
                <w:szCs w:val="20"/>
              </w:rPr>
            </w:pPr>
          </w:p>
        </w:tc>
      </w:tr>
      <w:tr w:rsidR="00EC2822" w:rsidRPr="00D41179" w14:paraId="4D5574E8" w14:textId="77777777">
        <w:trPr>
          <w:trHeight w:val="170"/>
        </w:trPr>
        <w:tc>
          <w:tcPr>
            <w:tcW w:w="5000" w:type="pct"/>
            <w:gridSpan w:val="5"/>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67AC0555" w14:textId="77777777" w:rsidR="00EC2822" w:rsidRPr="00D41179" w:rsidRDefault="00EC2822">
            <w:pPr>
              <w:jc w:val="left"/>
              <w:rPr>
                <w:rFonts w:ascii="Arial Narrow" w:hAnsi="Arial Narrow"/>
                <w:sz w:val="20"/>
                <w:szCs w:val="20"/>
              </w:rPr>
            </w:pPr>
            <w:r w:rsidRPr="00D41179">
              <w:rPr>
                <w:rFonts w:ascii="Arial Narrow" w:hAnsi="Arial Narrow"/>
                <w:sz w:val="20"/>
                <w:szCs w:val="20"/>
              </w:rPr>
              <w:t>HZ cases</w:t>
            </w:r>
          </w:p>
        </w:tc>
      </w:tr>
      <w:tr w:rsidR="00EC2822" w:rsidRPr="00D41179" w14:paraId="3E4EA445" w14:textId="77777777">
        <w:trPr>
          <w:trHeight w:val="170"/>
        </w:trPr>
        <w:tc>
          <w:tcPr>
            <w:tcW w:w="898" w:type="pct"/>
            <w:tcBorders>
              <w:top w:val="nil"/>
              <w:left w:val="single" w:sz="4" w:space="0" w:color="auto"/>
              <w:bottom w:val="single" w:sz="4" w:space="0" w:color="auto"/>
              <w:right w:val="single" w:sz="4" w:space="0" w:color="auto"/>
            </w:tcBorders>
            <w:noWrap/>
            <w:vAlign w:val="center"/>
            <w:hideMark/>
          </w:tcPr>
          <w:p w14:paraId="6272B8C1" w14:textId="77777777" w:rsidR="00EC2822" w:rsidRPr="00D41179" w:rsidRDefault="00EC2822">
            <w:pPr>
              <w:jc w:val="left"/>
              <w:rPr>
                <w:rFonts w:ascii="Arial Narrow" w:hAnsi="Arial Narrow"/>
                <w:sz w:val="20"/>
                <w:szCs w:val="20"/>
              </w:rPr>
            </w:pPr>
            <w:r w:rsidRPr="00D41179">
              <w:rPr>
                <w:rFonts w:ascii="Arial Narrow" w:hAnsi="Arial Narrow"/>
                <w:sz w:val="20"/>
                <w:szCs w:val="20"/>
              </w:rPr>
              <w:t>60-64</w:t>
            </w:r>
          </w:p>
        </w:tc>
        <w:tc>
          <w:tcPr>
            <w:tcW w:w="888" w:type="pct"/>
            <w:tcBorders>
              <w:top w:val="nil"/>
              <w:left w:val="nil"/>
              <w:bottom w:val="single" w:sz="4" w:space="0" w:color="auto"/>
              <w:right w:val="single" w:sz="4" w:space="0" w:color="auto"/>
            </w:tcBorders>
            <w:noWrap/>
            <w:vAlign w:val="center"/>
            <w:hideMark/>
          </w:tcPr>
          <w:p w14:paraId="6626A119" w14:textId="77777777" w:rsidR="00EC2822" w:rsidRPr="00D41179" w:rsidRDefault="00EC2822">
            <w:pPr>
              <w:jc w:val="center"/>
              <w:rPr>
                <w:rFonts w:ascii="Arial Narrow" w:hAnsi="Arial Narrow"/>
                <w:sz w:val="20"/>
                <w:szCs w:val="20"/>
              </w:rPr>
            </w:pPr>
            <w:r w:rsidRPr="00D41179">
              <w:rPr>
                <w:rFonts w:ascii="Arial Narrow" w:hAnsi="Arial Narrow"/>
                <w:sz w:val="20"/>
                <w:szCs w:val="20"/>
              </w:rPr>
              <w:t>4,575</w:t>
            </w:r>
          </w:p>
        </w:tc>
        <w:tc>
          <w:tcPr>
            <w:tcW w:w="1281" w:type="pct"/>
            <w:tcBorders>
              <w:top w:val="nil"/>
              <w:left w:val="nil"/>
              <w:bottom w:val="single" w:sz="4" w:space="0" w:color="auto"/>
              <w:right w:val="single" w:sz="4" w:space="0" w:color="auto"/>
            </w:tcBorders>
            <w:noWrap/>
            <w:vAlign w:val="center"/>
            <w:hideMark/>
          </w:tcPr>
          <w:p w14:paraId="72FF25E1" w14:textId="77777777" w:rsidR="00EC2822" w:rsidRPr="00D41179" w:rsidRDefault="00EC2822">
            <w:pPr>
              <w:jc w:val="center"/>
              <w:rPr>
                <w:rFonts w:ascii="Arial Narrow" w:hAnsi="Arial Narrow"/>
                <w:sz w:val="20"/>
                <w:szCs w:val="20"/>
              </w:rPr>
            </w:pPr>
            <w:r w:rsidRPr="00D41179">
              <w:rPr>
                <w:rFonts w:ascii="Arial Narrow" w:hAnsi="Arial Narrow"/>
                <w:sz w:val="20"/>
                <w:szCs w:val="20"/>
              </w:rPr>
              <w:t>53,034</w:t>
            </w:r>
          </w:p>
        </w:tc>
        <w:tc>
          <w:tcPr>
            <w:tcW w:w="967" w:type="pct"/>
            <w:tcBorders>
              <w:top w:val="nil"/>
              <w:left w:val="nil"/>
              <w:bottom w:val="single" w:sz="4" w:space="0" w:color="auto"/>
              <w:right w:val="single" w:sz="4" w:space="0" w:color="auto"/>
            </w:tcBorders>
            <w:noWrap/>
            <w:vAlign w:val="center"/>
            <w:hideMark/>
          </w:tcPr>
          <w:p w14:paraId="415D14DC" w14:textId="77777777" w:rsidR="00EC2822" w:rsidRPr="00D41179" w:rsidRDefault="00EC2822">
            <w:pPr>
              <w:jc w:val="center"/>
              <w:rPr>
                <w:rFonts w:ascii="Arial Narrow" w:hAnsi="Arial Narrow"/>
                <w:sz w:val="20"/>
                <w:szCs w:val="20"/>
              </w:rPr>
            </w:pPr>
            <w:r w:rsidRPr="00D41179">
              <w:rPr>
                <w:rFonts w:ascii="Arial Narrow" w:hAnsi="Arial Narrow"/>
                <w:sz w:val="20"/>
                <w:szCs w:val="20"/>
              </w:rPr>
              <w:t>-48,459 (-91%)</w:t>
            </w:r>
          </w:p>
        </w:tc>
        <w:tc>
          <w:tcPr>
            <w:tcW w:w="965" w:type="pct"/>
            <w:tcBorders>
              <w:top w:val="nil"/>
              <w:left w:val="nil"/>
              <w:bottom w:val="single" w:sz="4" w:space="0" w:color="auto"/>
              <w:right w:val="single" w:sz="4" w:space="0" w:color="auto"/>
            </w:tcBorders>
            <w:noWrap/>
            <w:vAlign w:val="center"/>
            <w:hideMark/>
          </w:tcPr>
          <w:p w14:paraId="2AF619F5" w14:textId="77777777" w:rsidR="00EC2822" w:rsidRPr="00D41179" w:rsidRDefault="00EC2822">
            <w:pPr>
              <w:jc w:val="center"/>
              <w:rPr>
                <w:rFonts w:ascii="Arial Narrow" w:hAnsi="Arial Narrow"/>
                <w:sz w:val="20"/>
                <w:szCs w:val="20"/>
              </w:rPr>
            </w:pPr>
            <w:r w:rsidRPr="00D41179">
              <w:rPr>
                <w:rFonts w:ascii="Arial Narrow" w:hAnsi="Arial Narrow"/>
                <w:sz w:val="20"/>
                <w:szCs w:val="20"/>
              </w:rPr>
              <w:t>141%</w:t>
            </w:r>
          </w:p>
        </w:tc>
      </w:tr>
      <w:tr w:rsidR="00EC2822" w:rsidRPr="00D41179" w14:paraId="58C4F72B" w14:textId="77777777">
        <w:trPr>
          <w:trHeight w:val="170"/>
        </w:trPr>
        <w:tc>
          <w:tcPr>
            <w:tcW w:w="898" w:type="pct"/>
            <w:tcBorders>
              <w:top w:val="nil"/>
              <w:left w:val="single" w:sz="4" w:space="0" w:color="auto"/>
              <w:bottom w:val="single" w:sz="4" w:space="0" w:color="auto"/>
              <w:right w:val="single" w:sz="4" w:space="0" w:color="auto"/>
            </w:tcBorders>
            <w:noWrap/>
            <w:vAlign w:val="center"/>
            <w:hideMark/>
          </w:tcPr>
          <w:p w14:paraId="6A00C3DB" w14:textId="77777777" w:rsidR="00EC2822" w:rsidRPr="00D41179" w:rsidRDefault="00EC2822">
            <w:pPr>
              <w:jc w:val="left"/>
              <w:rPr>
                <w:rFonts w:ascii="Arial Narrow" w:hAnsi="Arial Narrow"/>
                <w:sz w:val="20"/>
                <w:szCs w:val="20"/>
              </w:rPr>
            </w:pPr>
            <w:r w:rsidRPr="00D41179">
              <w:rPr>
                <w:rFonts w:ascii="Arial Narrow" w:hAnsi="Arial Narrow"/>
                <w:sz w:val="20"/>
                <w:szCs w:val="20"/>
              </w:rPr>
              <w:t>65-69</w:t>
            </w:r>
          </w:p>
        </w:tc>
        <w:tc>
          <w:tcPr>
            <w:tcW w:w="888" w:type="pct"/>
            <w:tcBorders>
              <w:top w:val="nil"/>
              <w:left w:val="nil"/>
              <w:bottom w:val="single" w:sz="4" w:space="0" w:color="auto"/>
              <w:right w:val="single" w:sz="4" w:space="0" w:color="auto"/>
            </w:tcBorders>
            <w:noWrap/>
            <w:vAlign w:val="center"/>
            <w:hideMark/>
          </w:tcPr>
          <w:p w14:paraId="3A668BC4" w14:textId="77777777" w:rsidR="00EC2822" w:rsidRPr="00D41179" w:rsidRDefault="00EC2822">
            <w:pPr>
              <w:jc w:val="center"/>
              <w:rPr>
                <w:rFonts w:ascii="Arial Narrow" w:hAnsi="Arial Narrow"/>
                <w:sz w:val="20"/>
                <w:szCs w:val="20"/>
              </w:rPr>
            </w:pPr>
            <w:r w:rsidRPr="00D41179">
              <w:rPr>
                <w:rFonts w:ascii="Arial Narrow" w:hAnsi="Arial Narrow"/>
                <w:sz w:val="20"/>
                <w:szCs w:val="20"/>
              </w:rPr>
              <w:t>11,045</w:t>
            </w:r>
          </w:p>
        </w:tc>
        <w:tc>
          <w:tcPr>
            <w:tcW w:w="1281" w:type="pct"/>
            <w:tcBorders>
              <w:top w:val="nil"/>
              <w:left w:val="nil"/>
              <w:bottom w:val="single" w:sz="4" w:space="0" w:color="auto"/>
              <w:right w:val="single" w:sz="4" w:space="0" w:color="auto"/>
            </w:tcBorders>
            <w:noWrap/>
            <w:vAlign w:val="center"/>
            <w:hideMark/>
          </w:tcPr>
          <w:p w14:paraId="0B0CA490" w14:textId="77777777" w:rsidR="00EC2822" w:rsidRPr="00D41179" w:rsidRDefault="00EC2822">
            <w:pPr>
              <w:jc w:val="center"/>
              <w:rPr>
                <w:rFonts w:ascii="Arial Narrow" w:hAnsi="Arial Narrow"/>
                <w:sz w:val="20"/>
                <w:szCs w:val="20"/>
              </w:rPr>
            </w:pPr>
            <w:r w:rsidRPr="00D41179">
              <w:rPr>
                <w:rFonts w:ascii="Arial Narrow" w:hAnsi="Arial Narrow"/>
                <w:sz w:val="20"/>
                <w:szCs w:val="20"/>
              </w:rPr>
              <w:t>8,069</w:t>
            </w:r>
          </w:p>
        </w:tc>
        <w:tc>
          <w:tcPr>
            <w:tcW w:w="967" w:type="pct"/>
            <w:tcBorders>
              <w:top w:val="nil"/>
              <w:left w:val="nil"/>
              <w:bottom w:val="single" w:sz="4" w:space="0" w:color="auto"/>
              <w:right w:val="single" w:sz="4" w:space="0" w:color="auto"/>
            </w:tcBorders>
            <w:noWrap/>
            <w:vAlign w:val="center"/>
            <w:hideMark/>
          </w:tcPr>
          <w:p w14:paraId="7F11F14A" w14:textId="77777777" w:rsidR="00EC2822" w:rsidRPr="00D41179" w:rsidRDefault="00EC2822">
            <w:pPr>
              <w:jc w:val="center"/>
              <w:rPr>
                <w:rFonts w:ascii="Arial Narrow" w:hAnsi="Arial Narrow"/>
                <w:sz w:val="20"/>
                <w:szCs w:val="20"/>
              </w:rPr>
            </w:pPr>
            <w:r w:rsidRPr="00D41179">
              <w:rPr>
                <w:rFonts w:ascii="Arial Narrow" w:hAnsi="Arial Narrow"/>
                <w:sz w:val="20"/>
                <w:szCs w:val="20"/>
              </w:rPr>
              <w:t>+2,975 (+37%)</w:t>
            </w:r>
          </w:p>
        </w:tc>
        <w:tc>
          <w:tcPr>
            <w:tcW w:w="965" w:type="pct"/>
            <w:tcBorders>
              <w:top w:val="nil"/>
              <w:left w:val="nil"/>
              <w:bottom w:val="single" w:sz="4" w:space="0" w:color="auto"/>
              <w:right w:val="single" w:sz="4" w:space="0" w:color="auto"/>
            </w:tcBorders>
            <w:noWrap/>
            <w:vAlign w:val="center"/>
            <w:hideMark/>
          </w:tcPr>
          <w:p w14:paraId="6E62A0F0" w14:textId="77777777" w:rsidR="00EC2822" w:rsidRPr="00D41179" w:rsidRDefault="00EC2822">
            <w:pPr>
              <w:jc w:val="center"/>
              <w:rPr>
                <w:rFonts w:ascii="Arial Narrow" w:hAnsi="Arial Narrow"/>
                <w:sz w:val="20"/>
                <w:szCs w:val="20"/>
              </w:rPr>
            </w:pPr>
            <w:r w:rsidRPr="00D41179">
              <w:rPr>
                <w:rFonts w:ascii="Arial Narrow" w:hAnsi="Arial Narrow"/>
                <w:sz w:val="20"/>
                <w:szCs w:val="20"/>
              </w:rPr>
              <w:t>-9%</w:t>
            </w:r>
          </w:p>
        </w:tc>
      </w:tr>
      <w:tr w:rsidR="00EC2822" w:rsidRPr="00D41179" w14:paraId="5C931180" w14:textId="77777777">
        <w:trPr>
          <w:trHeight w:val="170"/>
        </w:trPr>
        <w:tc>
          <w:tcPr>
            <w:tcW w:w="898" w:type="pct"/>
            <w:tcBorders>
              <w:top w:val="nil"/>
              <w:left w:val="single" w:sz="4" w:space="0" w:color="auto"/>
              <w:bottom w:val="single" w:sz="4" w:space="0" w:color="auto"/>
              <w:right w:val="single" w:sz="4" w:space="0" w:color="auto"/>
            </w:tcBorders>
            <w:noWrap/>
            <w:vAlign w:val="center"/>
            <w:hideMark/>
          </w:tcPr>
          <w:p w14:paraId="174B20B0" w14:textId="77777777" w:rsidR="00EC2822" w:rsidRPr="00D41179" w:rsidRDefault="00EC2822">
            <w:pPr>
              <w:jc w:val="left"/>
              <w:rPr>
                <w:rFonts w:ascii="Arial Narrow" w:hAnsi="Arial Narrow"/>
                <w:sz w:val="20"/>
                <w:szCs w:val="20"/>
              </w:rPr>
            </w:pPr>
            <w:r w:rsidRPr="00D41179">
              <w:rPr>
                <w:rFonts w:ascii="Arial Narrow" w:hAnsi="Arial Narrow"/>
                <w:sz w:val="20"/>
                <w:szCs w:val="20"/>
              </w:rPr>
              <w:t>70-79</w:t>
            </w:r>
          </w:p>
        </w:tc>
        <w:tc>
          <w:tcPr>
            <w:tcW w:w="888" w:type="pct"/>
            <w:tcBorders>
              <w:top w:val="nil"/>
              <w:left w:val="nil"/>
              <w:bottom w:val="single" w:sz="4" w:space="0" w:color="auto"/>
              <w:right w:val="single" w:sz="4" w:space="0" w:color="auto"/>
            </w:tcBorders>
            <w:noWrap/>
            <w:vAlign w:val="center"/>
            <w:hideMark/>
          </w:tcPr>
          <w:p w14:paraId="3831C147" w14:textId="77777777" w:rsidR="00EC2822" w:rsidRPr="00D41179" w:rsidRDefault="00EC2822">
            <w:pPr>
              <w:jc w:val="center"/>
              <w:rPr>
                <w:rFonts w:ascii="Arial Narrow" w:hAnsi="Arial Narrow"/>
                <w:sz w:val="20"/>
                <w:szCs w:val="20"/>
              </w:rPr>
            </w:pPr>
            <w:r w:rsidRPr="00D41179">
              <w:rPr>
                <w:rFonts w:ascii="Arial Narrow" w:hAnsi="Arial Narrow"/>
                <w:sz w:val="20"/>
                <w:szCs w:val="20"/>
              </w:rPr>
              <w:t>48,509</w:t>
            </w:r>
          </w:p>
        </w:tc>
        <w:tc>
          <w:tcPr>
            <w:tcW w:w="1281" w:type="pct"/>
            <w:tcBorders>
              <w:top w:val="nil"/>
              <w:left w:val="nil"/>
              <w:bottom w:val="single" w:sz="4" w:space="0" w:color="auto"/>
              <w:right w:val="single" w:sz="4" w:space="0" w:color="auto"/>
            </w:tcBorders>
            <w:noWrap/>
            <w:vAlign w:val="center"/>
            <w:hideMark/>
          </w:tcPr>
          <w:p w14:paraId="67D08341" w14:textId="77777777" w:rsidR="00EC2822" w:rsidRPr="00D41179" w:rsidRDefault="00EC2822">
            <w:pPr>
              <w:jc w:val="center"/>
              <w:rPr>
                <w:rFonts w:ascii="Arial Narrow" w:hAnsi="Arial Narrow"/>
                <w:sz w:val="20"/>
                <w:szCs w:val="20"/>
              </w:rPr>
            </w:pPr>
            <w:r w:rsidRPr="00D41179">
              <w:rPr>
                <w:rFonts w:ascii="Arial Narrow" w:hAnsi="Arial Narrow"/>
                <w:sz w:val="20"/>
                <w:szCs w:val="20"/>
              </w:rPr>
              <w:t>41,458</w:t>
            </w:r>
          </w:p>
        </w:tc>
        <w:tc>
          <w:tcPr>
            <w:tcW w:w="967" w:type="pct"/>
            <w:tcBorders>
              <w:top w:val="nil"/>
              <w:left w:val="nil"/>
              <w:bottom w:val="single" w:sz="4" w:space="0" w:color="auto"/>
              <w:right w:val="single" w:sz="4" w:space="0" w:color="auto"/>
            </w:tcBorders>
            <w:noWrap/>
            <w:vAlign w:val="center"/>
            <w:hideMark/>
          </w:tcPr>
          <w:p w14:paraId="454832E0" w14:textId="77777777" w:rsidR="00EC2822" w:rsidRPr="00D41179" w:rsidRDefault="00EC2822">
            <w:pPr>
              <w:jc w:val="center"/>
              <w:rPr>
                <w:rFonts w:ascii="Arial Narrow" w:hAnsi="Arial Narrow"/>
                <w:sz w:val="20"/>
                <w:szCs w:val="20"/>
              </w:rPr>
            </w:pPr>
            <w:r w:rsidRPr="00D41179">
              <w:rPr>
                <w:rFonts w:ascii="Arial Narrow" w:hAnsi="Arial Narrow"/>
                <w:sz w:val="20"/>
                <w:szCs w:val="20"/>
              </w:rPr>
              <w:t>+7,052 (+17%)</w:t>
            </w:r>
          </w:p>
        </w:tc>
        <w:tc>
          <w:tcPr>
            <w:tcW w:w="965" w:type="pct"/>
            <w:tcBorders>
              <w:top w:val="nil"/>
              <w:left w:val="nil"/>
              <w:bottom w:val="single" w:sz="4" w:space="0" w:color="auto"/>
              <w:right w:val="single" w:sz="4" w:space="0" w:color="auto"/>
            </w:tcBorders>
            <w:noWrap/>
            <w:vAlign w:val="center"/>
            <w:hideMark/>
          </w:tcPr>
          <w:p w14:paraId="7DD4822E" w14:textId="77777777" w:rsidR="00EC2822" w:rsidRPr="00D41179" w:rsidRDefault="00EC2822">
            <w:pPr>
              <w:jc w:val="center"/>
              <w:rPr>
                <w:rFonts w:ascii="Arial Narrow" w:hAnsi="Arial Narrow"/>
                <w:sz w:val="20"/>
                <w:szCs w:val="20"/>
              </w:rPr>
            </w:pPr>
            <w:r w:rsidRPr="00D41179">
              <w:rPr>
                <w:rFonts w:ascii="Arial Narrow" w:hAnsi="Arial Narrow"/>
                <w:sz w:val="20"/>
                <w:szCs w:val="20"/>
              </w:rPr>
              <w:t>-20%</w:t>
            </w:r>
          </w:p>
        </w:tc>
      </w:tr>
      <w:tr w:rsidR="00EC2822" w:rsidRPr="00D41179" w14:paraId="375ED173" w14:textId="77777777">
        <w:trPr>
          <w:trHeight w:val="170"/>
        </w:trPr>
        <w:tc>
          <w:tcPr>
            <w:tcW w:w="898" w:type="pct"/>
            <w:tcBorders>
              <w:top w:val="nil"/>
              <w:left w:val="single" w:sz="4" w:space="0" w:color="auto"/>
              <w:bottom w:val="single" w:sz="4" w:space="0" w:color="auto"/>
              <w:right w:val="single" w:sz="4" w:space="0" w:color="auto"/>
            </w:tcBorders>
            <w:noWrap/>
            <w:vAlign w:val="center"/>
            <w:hideMark/>
          </w:tcPr>
          <w:p w14:paraId="11133FD5" w14:textId="77777777" w:rsidR="00EC2822" w:rsidRPr="00D41179" w:rsidRDefault="00EC2822">
            <w:pPr>
              <w:jc w:val="left"/>
              <w:rPr>
                <w:rFonts w:ascii="Arial Narrow" w:hAnsi="Arial Narrow"/>
                <w:sz w:val="20"/>
                <w:szCs w:val="20"/>
              </w:rPr>
            </w:pPr>
            <w:r w:rsidRPr="00D41179">
              <w:rPr>
                <w:rFonts w:ascii="Arial Narrow" w:hAnsi="Arial Narrow"/>
                <w:sz w:val="20"/>
                <w:szCs w:val="20"/>
              </w:rPr>
              <w:t>80-89</w:t>
            </w:r>
          </w:p>
        </w:tc>
        <w:tc>
          <w:tcPr>
            <w:tcW w:w="888" w:type="pct"/>
            <w:tcBorders>
              <w:top w:val="nil"/>
              <w:left w:val="nil"/>
              <w:bottom w:val="single" w:sz="4" w:space="0" w:color="auto"/>
              <w:right w:val="single" w:sz="4" w:space="0" w:color="auto"/>
            </w:tcBorders>
            <w:noWrap/>
            <w:vAlign w:val="center"/>
            <w:hideMark/>
          </w:tcPr>
          <w:p w14:paraId="2A848A2C" w14:textId="77777777" w:rsidR="00EC2822" w:rsidRPr="00D41179" w:rsidRDefault="00EC2822">
            <w:pPr>
              <w:jc w:val="center"/>
              <w:rPr>
                <w:rFonts w:ascii="Arial Narrow" w:hAnsi="Arial Narrow"/>
                <w:sz w:val="20"/>
                <w:szCs w:val="20"/>
              </w:rPr>
            </w:pPr>
            <w:r w:rsidRPr="00D41179">
              <w:rPr>
                <w:rFonts w:ascii="Arial Narrow" w:hAnsi="Arial Narrow"/>
                <w:sz w:val="20"/>
                <w:szCs w:val="20"/>
              </w:rPr>
              <w:t>62,786</w:t>
            </w:r>
          </w:p>
        </w:tc>
        <w:tc>
          <w:tcPr>
            <w:tcW w:w="1281" w:type="pct"/>
            <w:tcBorders>
              <w:top w:val="nil"/>
              <w:left w:val="nil"/>
              <w:bottom w:val="single" w:sz="4" w:space="0" w:color="auto"/>
              <w:right w:val="single" w:sz="4" w:space="0" w:color="auto"/>
            </w:tcBorders>
            <w:noWrap/>
            <w:vAlign w:val="center"/>
            <w:hideMark/>
          </w:tcPr>
          <w:p w14:paraId="39B591E0" w14:textId="77777777" w:rsidR="00EC2822" w:rsidRPr="00D41179" w:rsidRDefault="00EC2822">
            <w:pPr>
              <w:jc w:val="center"/>
              <w:rPr>
                <w:rFonts w:ascii="Arial Narrow" w:hAnsi="Arial Narrow"/>
                <w:sz w:val="20"/>
                <w:szCs w:val="20"/>
              </w:rPr>
            </w:pPr>
            <w:r w:rsidRPr="00D41179">
              <w:rPr>
                <w:rFonts w:ascii="Arial Narrow" w:hAnsi="Arial Narrow"/>
                <w:sz w:val="20"/>
                <w:szCs w:val="20"/>
              </w:rPr>
              <w:t>59,570</w:t>
            </w:r>
          </w:p>
        </w:tc>
        <w:tc>
          <w:tcPr>
            <w:tcW w:w="967" w:type="pct"/>
            <w:tcBorders>
              <w:top w:val="nil"/>
              <w:left w:val="nil"/>
              <w:bottom w:val="single" w:sz="4" w:space="0" w:color="auto"/>
              <w:right w:val="single" w:sz="4" w:space="0" w:color="auto"/>
            </w:tcBorders>
            <w:noWrap/>
            <w:vAlign w:val="center"/>
            <w:hideMark/>
          </w:tcPr>
          <w:p w14:paraId="05AA1AB1" w14:textId="77777777" w:rsidR="00EC2822" w:rsidRPr="00D41179" w:rsidRDefault="00EC2822">
            <w:pPr>
              <w:jc w:val="center"/>
              <w:rPr>
                <w:rFonts w:ascii="Arial Narrow" w:hAnsi="Arial Narrow"/>
                <w:sz w:val="20"/>
                <w:szCs w:val="20"/>
              </w:rPr>
            </w:pPr>
            <w:r w:rsidRPr="00D41179">
              <w:rPr>
                <w:rFonts w:ascii="Arial Narrow" w:hAnsi="Arial Narrow"/>
                <w:sz w:val="20"/>
                <w:szCs w:val="20"/>
              </w:rPr>
              <w:t>+3,215 (+5%)</w:t>
            </w:r>
          </w:p>
        </w:tc>
        <w:tc>
          <w:tcPr>
            <w:tcW w:w="965" w:type="pct"/>
            <w:tcBorders>
              <w:top w:val="nil"/>
              <w:left w:val="nil"/>
              <w:bottom w:val="single" w:sz="4" w:space="0" w:color="auto"/>
              <w:right w:val="single" w:sz="4" w:space="0" w:color="auto"/>
            </w:tcBorders>
            <w:noWrap/>
            <w:vAlign w:val="center"/>
            <w:hideMark/>
          </w:tcPr>
          <w:p w14:paraId="69CEA362" w14:textId="77777777" w:rsidR="00EC2822" w:rsidRPr="00D41179" w:rsidRDefault="00EC2822">
            <w:pPr>
              <w:jc w:val="center"/>
              <w:rPr>
                <w:rFonts w:ascii="Arial Narrow" w:hAnsi="Arial Narrow"/>
                <w:sz w:val="20"/>
                <w:szCs w:val="20"/>
              </w:rPr>
            </w:pPr>
            <w:r w:rsidRPr="00D41179">
              <w:rPr>
                <w:rFonts w:ascii="Arial Narrow" w:hAnsi="Arial Narrow"/>
                <w:sz w:val="20"/>
                <w:szCs w:val="20"/>
              </w:rPr>
              <w:t>-9%</w:t>
            </w:r>
          </w:p>
        </w:tc>
      </w:tr>
      <w:tr w:rsidR="00EC2822" w:rsidRPr="00D41179" w14:paraId="3A8B0658" w14:textId="77777777">
        <w:trPr>
          <w:trHeight w:val="170"/>
        </w:trPr>
        <w:tc>
          <w:tcPr>
            <w:tcW w:w="898" w:type="pct"/>
            <w:tcBorders>
              <w:top w:val="nil"/>
              <w:left w:val="single" w:sz="4" w:space="0" w:color="auto"/>
              <w:bottom w:val="single" w:sz="4" w:space="0" w:color="auto"/>
              <w:right w:val="single" w:sz="4" w:space="0" w:color="auto"/>
            </w:tcBorders>
            <w:noWrap/>
            <w:vAlign w:val="center"/>
            <w:hideMark/>
          </w:tcPr>
          <w:p w14:paraId="4B96035E" w14:textId="77777777" w:rsidR="00EC2822" w:rsidRPr="00D41179" w:rsidRDefault="00EC2822">
            <w:pPr>
              <w:jc w:val="left"/>
              <w:rPr>
                <w:rFonts w:ascii="Arial Narrow" w:hAnsi="Arial Narrow"/>
                <w:sz w:val="20"/>
                <w:szCs w:val="20"/>
              </w:rPr>
            </w:pPr>
            <w:r w:rsidRPr="00D41179">
              <w:rPr>
                <w:rFonts w:ascii="Arial Narrow" w:hAnsi="Arial Narrow"/>
                <w:sz w:val="20"/>
                <w:szCs w:val="20"/>
              </w:rPr>
              <w:t>≥90</w:t>
            </w:r>
          </w:p>
        </w:tc>
        <w:tc>
          <w:tcPr>
            <w:tcW w:w="888" w:type="pct"/>
            <w:tcBorders>
              <w:top w:val="nil"/>
              <w:left w:val="nil"/>
              <w:bottom w:val="single" w:sz="4" w:space="0" w:color="auto"/>
              <w:right w:val="single" w:sz="4" w:space="0" w:color="auto"/>
            </w:tcBorders>
            <w:noWrap/>
            <w:vAlign w:val="center"/>
            <w:hideMark/>
          </w:tcPr>
          <w:p w14:paraId="550BF7C7" w14:textId="77777777" w:rsidR="00EC2822" w:rsidRPr="00D41179" w:rsidRDefault="00EC2822">
            <w:pPr>
              <w:jc w:val="center"/>
              <w:rPr>
                <w:rFonts w:ascii="Arial Narrow" w:hAnsi="Arial Narrow"/>
                <w:sz w:val="20"/>
                <w:szCs w:val="20"/>
              </w:rPr>
            </w:pPr>
            <w:r w:rsidRPr="00D41179">
              <w:rPr>
                <w:rFonts w:ascii="Arial Narrow" w:hAnsi="Arial Narrow"/>
                <w:sz w:val="20"/>
                <w:szCs w:val="20"/>
              </w:rPr>
              <w:t>20,591</w:t>
            </w:r>
          </w:p>
        </w:tc>
        <w:tc>
          <w:tcPr>
            <w:tcW w:w="1281" w:type="pct"/>
            <w:tcBorders>
              <w:top w:val="nil"/>
              <w:left w:val="nil"/>
              <w:bottom w:val="single" w:sz="4" w:space="0" w:color="auto"/>
              <w:right w:val="single" w:sz="4" w:space="0" w:color="auto"/>
            </w:tcBorders>
            <w:noWrap/>
            <w:vAlign w:val="center"/>
            <w:hideMark/>
          </w:tcPr>
          <w:p w14:paraId="472D63D6" w14:textId="77777777" w:rsidR="00EC2822" w:rsidRPr="00D41179" w:rsidRDefault="00EC2822">
            <w:pPr>
              <w:jc w:val="center"/>
              <w:rPr>
                <w:rFonts w:ascii="Arial Narrow" w:hAnsi="Arial Narrow"/>
                <w:sz w:val="20"/>
                <w:szCs w:val="20"/>
              </w:rPr>
            </w:pPr>
            <w:r w:rsidRPr="00D41179">
              <w:rPr>
                <w:rFonts w:ascii="Arial Narrow" w:hAnsi="Arial Narrow"/>
                <w:sz w:val="20"/>
                <w:szCs w:val="20"/>
              </w:rPr>
              <w:t>19,780</w:t>
            </w:r>
          </w:p>
        </w:tc>
        <w:tc>
          <w:tcPr>
            <w:tcW w:w="967" w:type="pct"/>
            <w:tcBorders>
              <w:top w:val="nil"/>
              <w:left w:val="nil"/>
              <w:bottom w:val="single" w:sz="4" w:space="0" w:color="auto"/>
              <w:right w:val="single" w:sz="4" w:space="0" w:color="auto"/>
            </w:tcBorders>
            <w:noWrap/>
            <w:vAlign w:val="center"/>
            <w:hideMark/>
          </w:tcPr>
          <w:p w14:paraId="335BDAB7" w14:textId="77777777" w:rsidR="00EC2822" w:rsidRPr="00D41179" w:rsidRDefault="00EC2822">
            <w:pPr>
              <w:jc w:val="center"/>
              <w:rPr>
                <w:rFonts w:ascii="Arial Narrow" w:hAnsi="Arial Narrow"/>
                <w:sz w:val="20"/>
                <w:szCs w:val="20"/>
              </w:rPr>
            </w:pPr>
            <w:r w:rsidRPr="00D41179">
              <w:rPr>
                <w:rFonts w:ascii="Arial Narrow" w:hAnsi="Arial Narrow"/>
                <w:sz w:val="20"/>
                <w:szCs w:val="20"/>
              </w:rPr>
              <w:t>+811 (+4%)</w:t>
            </w:r>
          </w:p>
        </w:tc>
        <w:tc>
          <w:tcPr>
            <w:tcW w:w="965" w:type="pct"/>
            <w:tcBorders>
              <w:top w:val="nil"/>
              <w:left w:val="nil"/>
              <w:bottom w:val="single" w:sz="4" w:space="0" w:color="auto"/>
              <w:right w:val="single" w:sz="4" w:space="0" w:color="auto"/>
            </w:tcBorders>
            <w:noWrap/>
            <w:vAlign w:val="center"/>
            <w:hideMark/>
          </w:tcPr>
          <w:p w14:paraId="65E26D61" w14:textId="77777777" w:rsidR="00EC2822" w:rsidRPr="00D41179" w:rsidRDefault="00EC2822">
            <w:pPr>
              <w:jc w:val="center"/>
              <w:rPr>
                <w:rFonts w:ascii="Arial Narrow" w:hAnsi="Arial Narrow"/>
                <w:sz w:val="20"/>
                <w:szCs w:val="20"/>
              </w:rPr>
            </w:pPr>
            <w:r w:rsidRPr="00D41179">
              <w:rPr>
                <w:rFonts w:ascii="Arial Narrow" w:hAnsi="Arial Narrow"/>
                <w:sz w:val="20"/>
                <w:szCs w:val="20"/>
              </w:rPr>
              <w:t>-2%</w:t>
            </w:r>
          </w:p>
        </w:tc>
      </w:tr>
      <w:tr w:rsidR="00EC2822" w:rsidRPr="00D41179" w14:paraId="5325B7CB" w14:textId="77777777">
        <w:trPr>
          <w:trHeight w:val="170"/>
        </w:trPr>
        <w:tc>
          <w:tcPr>
            <w:tcW w:w="898" w:type="pct"/>
            <w:tcBorders>
              <w:top w:val="nil"/>
              <w:left w:val="single" w:sz="4" w:space="0" w:color="auto"/>
              <w:bottom w:val="single" w:sz="4" w:space="0" w:color="auto"/>
              <w:right w:val="single" w:sz="4" w:space="0" w:color="auto"/>
            </w:tcBorders>
            <w:noWrap/>
            <w:vAlign w:val="center"/>
            <w:hideMark/>
          </w:tcPr>
          <w:p w14:paraId="027F2B39" w14:textId="77777777" w:rsidR="00EC2822" w:rsidRPr="00D41179" w:rsidRDefault="00EC2822">
            <w:pPr>
              <w:jc w:val="left"/>
              <w:rPr>
                <w:rFonts w:ascii="Arial Narrow" w:hAnsi="Arial Narrow"/>
                <w:b/>
                <w:bCs/>
                <w:sz w:val="20"/>
                <w:szCs w:val="20"/>
              </w:rPr>
            </w:pPr>
            <w:r w:rsidRPr="00D41179">
              <w:rPr>
                <w:rFonts w:ascii="Arial Narrow" w:hAnsi="Arial Narrow"/>
                <w:b/>
                <w:bCs/>
                <w:sz w:val="20"/>
                <w:szCs w:val="20"/>
              </w:rPr>
              <w:t>Total</w:t>
            </w:r>
          </w:p>
        </w:tc>
        <w:tc>
          <w:tcPr>
            <w:tcW w:w="888" w:type="pct"/>
            <w:tcBorders>
              <w:top w:val="nil"/>
              <w:left w:val="nil"/>
              <w:bottom w:val="single" w:sz="4" w:space="0" w:color="auto"/>
              <w:right w:val="single" w:sz="4" w:space="0" w:color="auto"/>
            </w:tcBorders>
            <w:noWrap/>
            <w:vAlign w:val="center"/>
            <w:hideMark/>
          </w:tcPr>
          <w:p w14:paraId="63A9E799" w14:textId="77777777" w:rsidR="00EC2822" w:rsidRPr="00D41179" w:rsidRDefault="00EC2822">
            <w:pPr>
              <w:jc w:val="center"/>
              <w:rPr>
                <w:rFonts w:ascii="Arial Narrow" w:hAnsi="Arial Narrow"/>
                <w:b/>
                <w:bCs/>
                <w:sz w:val="20"/>
                <w:szCs w:val="20"/>
              </w:rPr>
            </w:pPr>
            <w:r w:rsidRPr="00D41179">
              <w:rPr>
                <w:rFonts w:ascii="Arial Narrow" w:hAnsi="Arial Narrow"/>
                <w:b/>
                <w:bCs/>
                <w:sz w:val="20"/>
                <w:szCs w:val="20"/>
              </w:rPr>
              <w:t>147,505</w:t>
            </w:r>
          </w:p>
        </w:tc>
        <w:tc>
          <w:tcPr>
            <w:tcW w:w="1281" w:type="pct"/>
            <w:tcBorders>
              <w:top w:val="nil"/>
              <w:left w:val="nil"/>
              <w:bottom w:val="single" w:sz="4" w:space="0" w:color="auto"/>
              <w:right w:val="single" w:sz="4" w:space="0" w:color="auto"/>
            </w:tcBorders>
            <w:noWrap/>
            <w:vAlign w:val="center"/>
            <w:hideMark/>
          </w:tcPr>
          <w:p w14:paraId="0826B3C7" w14:textId="77777777" w:rsidR="00EC2822" w:rsidRPr="00D41179" w:rsidRDefault="00EC2822">
            <w:pPr>
              <w:jc w:val="center"/>
              <w:rPr>
                <w:rFonts w:ascii="Arial Narrow" w:hAnsi="Arial Narrow"/>
                <w:b/>
                <w:bCs/>
                <w:sz w:val="20"/>
                <w:szCs w:val="20"/>
              </w:rPr>
            </w:pPr>
            <w:r w:rsidRPr="00D41179">
              <w:rPr>
                <w:rFonts w:ascii="Arial Narrow" w:hAnsi="Arial Narrow"/>
                <w:b/>
                <w:bCs/>
                <w:sz w:val="20"/>
                <w:szCs w:val="20"/>
              </w:rPr>
              <w:t>181,911</w:t>
            </w:r>
          </w:p>
        </w:tc>
        <w:tc>
          <w:tcPr>
            <w:tcW w:w="967" w:type="pct"/>
            <w:tcBorders>
              <w:top w:val="nil"/>
              <w:left w:val="nil"/>
              <w:bottom w:val="single" w:sz="4" w:space="0" w:color="auto"/>
              <w:right w:val="single" w:sz="4" w:space="0" w:color="auto"/>
            </w:tcBorders>
            <w:noWrap/>
            <w:vAlign w:val="center"/>
            <w:hideMark/>
          </w:tcPr>
          <w:p w14:paraId="4FCB7F95" w14:textId="77777777" w:rsidR="00EC2822" w:rsidRPr="00D41179" w:rsidRDefault="00EC2822">
            <w:pPr>
              <w:jc w:val="center"/>
              <w:rPr>
                <w:rFonts w:ascii="Arial Narrow" w:hAnsi="Arial Narrow"/>
                <w:b/>
                <w:bCs/>
                <w:sz w:val="20"/>
                <w:szCs w:val="20"/>
              </w:rPr>
            </w:pPr>
            <w:r w:rsidRPr="00D41179">
              <w:rPr>
                <w:rFonts w:ascii="Arial Narrow" w:hAnsi="Arial Narrow"/>
                <w:b/>
                <w:bCs/>
                <w:sz w:val="20"/>
                <w:szCs w:val="20"/>
              </w:rPr>
              <w:t>-34,406 (-19%)</w:t>
            </w:r>
          </w:p>
        </w:tc>
        <w:tc>
          <w:tcPr>
            <w:tcW w:w="965" w:type="pct"/>
            <w:tcBorders>
              <w:top w:val="nil"/>
              <w:left w:val="nil"/>
              <w:bottom w:val="single" w:sz="4" w:space="0" w:color="auto"/>
              <w:right w:val="single" w:sz="4" w:space="0" w:color="auto"/>
            </w:tcBorders>
            <w:noWrap/>
            <w:vAlign w:val="center"/>
            <w:hideMark/>
          </w:tcPr>
          <w:p w14:paraId="4CEA4A00" w14:textId="77777777" w:rsidR="00EC2822" w:rsidRPr="00D41179" w:rsidRDefault="00EC2822">
            <w:pPr>
              <w:jc w:val="center"/>
              <w:rPr>
                <w:rFonts w:ascii="Arial Narrow" w:hAnsi="Arial Narrow"/>
                <w:b/>
                <w:bCs/>
                <w:sz w:val="20"/>
                <w:szCs w:val="20"/>
              </w:rPr>
            </w:pPr>
            <w:r w:rsidRPr="00D41179">
              <w:rPr>
                <w:rFonts w:ascii="Arial Narrow" w:hAnsi="Arial Narrow"/>
                <w:b/>
                <w:bCs/>
                <w:sz w:val="20"/>
                <w:szCs w:val="20"/>
              </w:rPr>
              <w:t>100%</w:t>
            </w:r>
          </w:p>
        </w:tc>
      </w:tr>
      <w:tr w:rsidR="00EC2822" w:rsidRPr="00D41179" w14:paraId="0FB16D97" w14:textId="77777777">
        <w:trPr>
          <w:trHeight w:val="170"/>
        </w:trPr>
        <w:tc>
          <w:tcPr>
            <w:tcW w:w="5000" w:type="pct"/>
            <w:gridSpan w:val="5"/>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6908BFC2" w14:textId="77777777" w:rsidR="00EC2822" w:rsidRPr="00D41179" w:rsidRDefault="00EC2822">
            <w:pPr>
              <w:jc w:val="left"/>
              <w:rPr>
                <w:rFonts w:ascii="Arial Narrow" w:hAnsi="Arial Narrow"/>
                <w:sz w:val="20"/>
                <w:szCs w:val="20"/>
              </w:rPr>
            </w:pPr>
            <w:r w:rsidRPr="00D41179">
              <w:rPr>
                <w:rFonts w:ascii="Arial Narrow" w:hAnsi="Arial Narrow"/>
                <w:sz w:val="20"/>
                <w:szCs w:val="20"/>
              </w:rPr>
              <w:t>PHN cases</w:t>
            </w:r>
          </w:p>
        </w:tc>
      </w:tr>
      <w:tr w:rsidR="00EC2822" w:rsidRPr="00D41179" w14:paraId="4269D58E" w14:textId="77777777">
        <w:trPr>
          <w:trHeight w:val="170"/>
        </w:trPr>
        <w:tc>
          <w:tcPr>
            <w:tcW w:w="898" w:type="pct"/>
            <w:tcBorders>
              <w:top w:val="nil"/>
              <w:left w:val="single" w:sz="4" w:space="0" w:color="auto"/>
              <w:bottom w:val="single" w:sz="4" w:space="0" w:color="auto"/>
              <w:right w:val="single" w:sz="4" w:space="0" w:color="auto"/>
            </w:tcBorders>
            <w:noWrap/>
            <w:vAlign w:val="center"/>
            <w:hideMark/>
          </w:tcPr>
          <w:p w14:paraId="24C5F3DA" w14:textId="77777777" w:rsidR="00EC2822" w:rsidRPr="00D41179" w:rsidRDefault="00EC2822">
            <w:pPr>
              <w:jc w:val="left"/>
              <w:rPr>
                <w:rFonts w:ascii="Arial Narrow" w:hAnsi="Arial Narrow"/>
                <w:sz w:val="20"/>
                <w:szCs w:val="20"/>
              </w:rPr>
            </w:pPr>
            <w:r w:rsidRPr="00D41179">
              <w:rPr>
                <w:rFonts w:ascii="Arial Narrow" w:hAnsi="Arial Narrow"/>
                <w:sz w:val="20"/>
                <w:szCs w:val="20"/>
              </w:rPr>
              <w:t>60-64</w:t>
            </w:r>
          </w:p>
        </w:tc>
        <w:tc>
          <w:tcPr>
            <w:tcW w:w="888" w:type="pct"/>
            <w:tcBorders>
              <w:top w:val="nil"/>
              <w:left w:val="nil"/>
              <w:bottom w:val="single" w:sz="4" w:space="0" w:color="auto"/>
              <w:right w:val="single" w:sz="4" w:space="0" w:color="auto"/>
            </w:tcBorders>
            <w:noWrap/>
            <w:vAlign w:val="center"/>
            <w:hideMark/>
          </w:tcPr>
          <w:p w14:paraId="5928BC4C" w14:textId="77777777" w:rsidR="00EC2822" w:rsidRPr="00D41179" w:rsidRDefault="00EC2822">
            <w:pPr>
              <w:jc w:val="center"/>
              <w:rPr>
                <w:rFonts w:ascii="Arial Narrow" w:hAnsi="Arial Narrow"/>
                <w:sz w:val="20"/>
                <w:szCs w:val="20"/>
              </w:rPr>
            </w:pPr>
            <w:r w:rsidRPr="00D41179">
              <w:rPr>
                <w:rFonts w:ascii="Arial Narrow" w:hAnsi="Arial Narrow"/>
                <w:sz w:val="20"/>
                <w:szCs w:val="20"/>
              </w:rPr>
              <w:t>668</w:t>
            </w:r>
          </w:p>
        </w:tc>
        <w:tc>
          <w:tcPr>
            <w:tcW w:w="1281" w:type="pct"/>
            <w:tcBorders>
              <w:top w:val="nil"/>
              <w:left w:val="nil"/>
              <w:bottom w:val="single" w:sz="4" w:space="0" w:color="auto"/>
              <w:right w:val="single" w:sz="4" w:space="0" w:color="auto"/>
            </w:tcBorders>
            <w:noWrap/>
            <w:vAlign w:val="center"/>
            <w:hideMark/>
          </w:tcPr>
          <w:p w14:paraId="0ACCA21A" w14:textId="77777777" w:rsidR="00EC2822" w:rsidRPr="00D41179" w:rsidRDefault="00EC2822">
            <w:pPr>
              <w:jc w:val="center"/>
              <w:rPr>
                <w:rFonts w:ascii="Arial Narrow" w:hAnsi="Arial Narrow"/>
                <w:sz w:val="20"/>
                <w:szCs w:val="20"/>
              </w:rPr>
            </w:pPr>
            <w:r w:rsidRPr="00D41179">
              <w:rPr>
                <w:rFonts w:ascii="Arial Narrow" w:hAnsi="Arial Narrow"/>
                <w:sz w:val="20"/>
                <w:szCs w:val="20"/>
              </w:rPr>
              <w:t>7,743</w:t>
            </w:r>
          </w:p>
        </w:tc>
        <w:tc>
          <w:tcPr>
            <w:tcW w:w="967" w:type="pct"/>
            <w:tcBorders>
              <w:top w:val="nil"/>
              <w:left w:val="nil"/>
              <w:bottom w:val="single" w:sz="4" w:space="0" w:color="auto"/>
              <w:right w:val="single" w:sz="4" w:space="0" w:color="auto"/>
            </w:tcBorders>
            <w:noWrap/>
            <w:vAlign w:val="center"/>
            <w:hideMark/>
          </w:tcPr>
          <w:p w14:paraId="677387E6" w14:textId="77777777" w:rsidR="00EC2822" w:rsidRPr="00D41179" w:rsidRDefault="00EC2822">
            <w:pPr>
              <w:jc w:val="center"/>
              <w:rPr>
                <w:rFonts w:ascii="Arial Narrow" w:hAnsi="Arial Narrow"/>
                <w:sz w:val="20"/>
                <w:szCs w:val="20"/>
              </w:rPr>
            </w:pPr>
            <w:r w:rsidRPr="00D41179">
              <w:rPr>
                <w:rFonts w:ascii="Arial Narrow" w:hAnsi="Arial Narrow"/>
                <w:sz w:val="20"/>
                <w:szCs w:val="20"/>
              </w:rPr>
              <w:t>-7,075 (-91%)</w:t>
            </w:r>
          </w:p>
        </w:tc>
        <w:tc>
          <w:tcPr>
            <w:tcW w:w="965" w:type="pct"/>
            <w:tcBorders>
              <w:top w:val="nil"/>
              <w:left w:val="nil"/>
              <w:bottom w:val="single" w:sz="4" w:space="0" w:color="auto"/>
              <w:right w:val="single" w:sz="4" w:space="0" w:color="auto"/>
            </w:tcBorders>
            <w:noWrap/>
            <w:vAlign w:val="center"/>
            <w:hideMark/>
          </w:tcPr>
          <w:p w14:paraId="56317532" w14:textId="77777777" w:rsidR="00EC2822" w:rsidRPr="00D41179" w:rsidRDefault="00EC2822">
            <w:pPr>
              <w:jc w:val="center"/>
              <w:rPr>
                <w:rFonts w:ascii="Arial Narrow" w:hAnsi="Arial Narrow"/>
                <w:sz w:val="20"/>
                <w:szCs w:val="20"/>
              </w:rPr>
            </w:pPr>
            <w:r w:rsidRPr="00D41179">
              <w:rPr>
                <w:rFonts w:ascii="Arial Narrow" w:hAnsi="Arial Narrow"/>
                <w:sz w:val="20"/>
                <w:szCs w:val="20"/>
              </w:rPr>
              <w:t>175%</w:t>
            </w:r>
          </w:p>
        </w:tc>
      </w:tr>
      <w:tr w:rsidR="00EC2822" w:rsidRPr="00D41179" w14:paraId="1790D285" w14:textId="77777777">
        <w:trPr>
          <w:trHeight w:val="170"/>
        </w:trPr>
        <w:tc>
          <w:tcPr>
            <w:tcW w:w="898" w:type="pct"/>
            <w:tcBorders>
              <w:top w:val="nil"/>
              <w:left w:val="single" w:sz="4" w:space="0" w:color="auto"/>
              <w:bottom w:val="single" w:sz="4" w:space="0" w:color="auto"/>
              <w:right w:val="single" w:sz="4" w:space="0" w:color="auto"/>
            </w:tcBorders>
            <w:noWrap/>
            <w:vAlign w:val="center"/>
            <w:hideMark/>
          </w:tcPr>
          <w:p w14:paraId="713292FB" w14:textId="77777777" w:rsidR="00EC2822" w:rsidRPr="00D41179" w:rsidRDefault="00EC2822">
            <w:pPr>
              <w:jc w:val="left"/>
              <w:rPr>
                <w:rFonts w:ascii="Arial Narrow" w:hAnsi="Arial Narrow"/>
                <w:sz w:val="20"/>
                <w:szCs w:val="20"/>
              </w:rPr>
            </w:pPr>
            <w:r w:rsidRPr="00D41179">
              <w:rPr>
                <w:rFonts w:ascii="Arial Narrow" w:hAnsi="Arial Narrow"/>
                <w:sz w:val="20"/>
                <w:szCs w:val="20"/>
              </w:rPr>
              <w:t>65-69</w:t>
            </w:r>
          </w:p>
        </w:tc>
        <w:tc>
          <w:tcPr>
            <w:tcW w:w="888" w:type="pct"/>
            <w:tcBorders>
              <w:top w:val="nil"/>
              <w:left w:val="nil"/>
              <w:bottom w:val="single" w:sz="4" w:space="0" w:color="auto"/>
              <w:right w:val="single" w:sz="4" w:space="0" w:color="auto"/>
            </w:tcBorders>
            <w:noWrap/>
            <w:vAlign w:val="center"/>
            <w:hideMark/>
          </w:tcPr>
          <w:p w14:paraId="3C3DA4B0" w14:textId="77777777" w:rsidR="00EC2822" w:rsidRPr="00D41179" w:rsidRDefault="00EC2822">
            <w:pPr>
              <w:jc w:val="center"/>
              <w:rPr>
                <w:rFonts w:ascii="Arial Narrow" w:hAnsi="Arial Narrow"/>
                <w:sz w:val="20"/>
                <w:szCs w:val="20"/>
              </w:rPr>
            </w:pPr>
            <w:r w:rsidRPr="00D41179">
              <w:rPr>
                <w:rFonts w:ascii="Arial Narrow" w:hAnsi="Arial Narrow"/>
                <w:sz w:val="20"/>
                <w:szCs w:val="20"/>
              </w:rPr>
              <w:t>1,613</w:t>
            </w:r>
          </w:p>
        </w:tc>
        <w:tc>
          <w:tcPr>
            <w:tcW w:w="1281" w:type="pct"/>
            <w:tcBorders>
              <w:top w:val="nil"/>
              <w:left w:val="nil"/>
              <w:bottom w:val="single" w:sz="4" w:space="0" w:color="auto"/>
              <w:right w:val="single" w:sz="4" w:space="0" w:color="auto"/>
            </w:tcBorders>
            <w:noWrap/>
            <w:vAlign w:val="center"/>
            <w:hideMark/>
          </w:tcPr>
          <w:p w14:paraId="23E3D75F" w14:textId="77777777" w:rsidR="00EC2822" w:rsidRPr="00D41179" w:rsidRDefault="00EC2822">
            <w:pPr>
              <w:jc w:val="center"/>
              <w:rPr>
                <w:rFonts w:ascii="Arial Narrow" w:hAnsi="Arial Narrow"/>
                <w:sz w:val="20"/>
                <w:szCs w:val="20"/>
              </w:rPr>
            </w:pPr>
            <w:r w:rsidRPr="00D41179">
              <w:rPr>
                <w:rFonts w:ascii="Arial Narrow" w:hAnsi="Arial Narrow"/>
                <w:sz w:val="20"/>
                <w:szCs w:val="20"/>
              </w:rPr>
              <w:t>1,178</w:t>
            </w:r>
          </w:p>
        </w:tc>
        <w:tc>
          <w:tcPr>
            <w:tcW w:w="967" w:type="pct"/>
            <w:tcBorders>
              <w:top w:val="nil"/>
              <w:left w:val="nil"/>
              <w:bottom w:val="single" w:sz="4" w:space="0" w:color="auto"/>
              <w:right w:val="single" w:sz="4" w:space="0" w:color="auto"/>
            </w:tcBorders>
            <w:noWrap/>
            <w:vAlign w:val="center"/>
            <w:hideMark/>
          </w:tcPr>
          <w:p w14:paraId="76CA0C68" w14:textId="77777777" w:rsidR="00EC2822" w:rsidRPr="00D41179" w:rsidRDefault="00EC2822">
            <w:pPr>
              <w:jc w:val="center"/>
              <w:rPr>
                <w:rFonts w:ascii="Arial Narrow" w:hAnsi="Arial Narrow"/>
                <w:sz w:val="20"/>
                <w:szCs w:val="20"/>
              </w:rPr>
            </w:pPr>
            <w:r w:rsidRPr="00D41179">
              <w:rPr>
                <w:rFonts w:ascii="Arial Narrow" w:hAnsi="Arial Narrow"/>
                <w:sz w:val="20"/>
                <w:szCs w:val="20"/>
              </w:rPr>
              <w:t>+434 (+37%)</w:t>
            </w:r>
          </w:p>
        </w:tc>
        <w:tc>
          <w:tcPr>
            <w:tcW w:w="965" w:type="pct"/>
            <w:tcBorders>
              <w:top w:val="nil"/>
              <w:left w:val="nil"/>
              <w:bottom w:val="single" w:sz="4" w:space="0" w:color="auto"/>
              <w:right w:val="single" w:sz="4" w:space="0" w:color="auto"/>
            </w:tcBorders>
            <w:noWrap/>
            <w:vAlign w:val="center"/>
            <w:hideMark/>
          </w:tcPr>
          <w:p w14:paraId="404AFB20" w14:textId="77777777" w:rsidR="00EC2822" w:rsidRPr="00D41179" w:rsidRDefault="00EC2822">
            <w:pPr>
              <w:jc w:val="center"/>
              <w:rPr>
                <w:rFonts w:ascii="Arial Narrow" w:hAnsi="Arial Narrow"/>
                <w:sz w:val="20"/>
                <w:szCs w:val="20"/>
              </w:rPr>
            </w:pPr>
            <w:r w:rsidRPr="00D41179">
              <w:rPr>
                <w:rFonts w:ascii="Arial Narrow" w:hAnsi="Arial Narrow"/>
                <w:sz w:val="20"/>
                <w:szCs w:val="20"/>
              </w:rPr>
              <w:t>-11%</w:t>
            </w:r>
          </w:p>
        </w:tc>
      </w:tr>
      <w:tr w:rsidR="00EC2822" w:rsidRPr="00D41179" w14:paraId="5B4FF3D9" w14:textId="77777777">
        <w:trPr>
          <w:trHeight w:val="170"/>
        </w:trPr>
        <w:tc>
          <w:tcPr>
            <w:tcW w:w="898" w:type="pct"/>
            <w:tcBorders>
              <w:top w:val="nil"/>
              <w:left w:val="single" w:sz="4" w:space="0" w:color="auto"/>
              <w:bottom w:val="single" w:sz="4" w:space="0" w:color="auto"/>
              <w:right w:val="single" w:sz="4" w:space="0" w:color="auto"/>
            </w:tcBorders>
            <w:noWrap/>
            <w:vAlign w:val="center"/>
            <w:hideMark/>
          </w:tcPr>
          <w:p w14:paraId="29E8EE44" w14:textId="77777777" w:rsidR="00EC2822" w:rsidRPr="00D41179" w:rsidRDefault="00EC2822">
            <w:pPr>
              <w:jc w:val="left"/>
              <w:rPr>
                <w:rFonts w:ascii="Arial Narrow" w:hAnsi="Arial Narrow"/>
                <w:sz w:val="20"/>
                <w:szCs w:val="20"/>
              </w:rPr>
            </w:pPr>
            <w:r w:rsidRPr="00D41179">
              <w:rPr>
                <w:rFonts w:ascii="Arial Narrow" w:hAnsi="Arial Narrow"/>
                <w:sz w:val="20"/>
                <w:szCs w:val="20"/>
              </w:rPr>
              <w:t>70-79</w:t>
            </w:r>
          </w:p>
        </w:tc>
        <w:tc>
          <w:tcPr>
            <w:tcW w:w="888" w:type="pct"/>
            <w:tcBorders>
              <w:top w:val="nil"/>
              <w:left w:val="nil"/>
              <w:bottom w:val="single" w:sz="4" w:space="0" w:color="auto"/>
              <w:right w:val="single" w:sz="4" w:space="0" w:color="auto"/>
            </w:tcBorders>
            <w:noWrap/>
            <w:vAlign w:val="center"/>
            <w:hideMark/>
          </w:tcPr>
          <w:p w14:paraId="68097826" w14:textId="77777777" w:rsidR="00EC2822" w:rsidRPr="00D41179" w:rsidRDefault="00EC2822">
            <w:pPr>
              <w:jc w:val="center"/>
              <w:rPr>
                <w:rFonts w:ascii="Arial Narrow" w:hAnsi="Arial Narrow"/>
                <w:sz w:val="20"/>
                <w:szCs w:val="20"/>
              </w:rPr>
            </w:pPr>
            <w:r w:rsidRPr="00D41179">
              <w:rPr>
                <w:rFonts w:ascii="Arial Narrow" w:hAnsi="Arial Narrow"/>
                <w:sz w:val="20"/>
                <w:szCs w:val="20"/>
              </w:rPr>
              <w:t>10,779</w:t>
            </w:r>
          </w:p>
        </w:tc>
        <w:tc>
          <w:tcPr>
            <w:tcW w:w="1281" w:type="pct"/>
            <w:tcBorders>
              <w:top w:val="nil"/>
              <w:left w:val="nil"/>
              <w:bottom w:val="single" w:sz="4" w:space="0" w:color="auto"/>
              <w:right w:val="single" w:sz="4" w:space="0" w:color="auto"/>
            </w:tcBorders>
            <w:noWrap/>
            <w:vAlign w:val="center"/>
            <w:hideMark/>
          </w:tcPr>
          <w:p w14:paraId="4E5334A7" w14:textId="77777777" w:rsidR="00EC2822" w:rsidRPr="00D41179" w:rsidRDefault="00EC2822">
            <w:pPr>
              <w:jc w:val="center"/>
              <w:rPr>
                <w:rFonts w:ascii="Arial Narrow" w:hAnsi="Arial Narrow"/>
                <w:sz w:val="20"/>
                <w:szCs w:val="20"/>
              </w:rPr>
            </w:pPr>
            <w:r w:rsidRPr="00D41179">
              <w:rPr>
                <w:rFonts w:ascii="Arial Narrow" w:hAnsi="Arial Narrow"/>
                <w:sz w:val="20"/>
                <w:szCs w:val="20"/>
              </w:rPr>
              <w:t>9,212</w:t>
            </w:r>
          </w:p>
        </w:tc>
        <w:tc>
          <w:tcPr>
            <w:tcW w:w="967" w:type="pct"/>
            <w:tcBorders>
              <w:top w:val="nil"/>
              <w:left w:val="nil"/>
              <w:bottom w:val="single" w:sz="4" w:space="0" w:color="auto"/>
              <w:right w:val="single" w:sz="4" w:space="0" w:color="auto"/>
            </w:tcBorders>
            <w:noWrap/>
            <w:vAlign w:val="center"/>
            <w:hideMark/>
          </w:tcPr>
          <w:p w14:paraId="6917C541" w14:textId="77777777" w:rsidR="00EC2822" w:rsidRPr="00D41179" w:rsidRDefault="00EC2822">
            <w:pPr>
              <w:jc w:val="center"/>
              <w:rPr>
                <w:rFonts w:ascii="Arial Narrow" w:hAnsi="Arial Narrow"/>
                <w:sz w:val="20"/>
                <w:szCs w:val="20"/>
              </w:rPr>
            </w:pPr>
            <w:r w:rsidRPr="00D41179">
              <w:rPr>
                <w:rFonts w:ascii="Arial Narrow" w:hAnsi="Arial Narrow"/>
                <w:sz w:val="20"/>
                <w:szCs w:val="20"/>
              </w:rPr>
              <w:t>+1,567 (+17%)</w:t>
            </w:r>
          </w:p>
        </w:tc>
        <w:tc>
          <w:tcPr>
            <w:tcW w:w="965" w:type="pct"/>
            <w:tcBorders>
              <w:top w:val="nil"/>
              <w:left w:val="nil"/>
              <w:bottom w:val="single" w:sz="4" w:space="0" w:color="auto"/>
              <w:right w:val="single" w:sz="4" w:space="0" w:color="auto"/>
            </w:tcBorders>
            <w:noWrap/>
            <w:vAlign w:val="center"/>
            <w:hideMark/>
          </w:tcPr>
          <w:p w14:paraId="4FF73F9B" w14:textId="77777777" w:rsidR="00EC2822" w:rsidRPr="00D41179" w:rsidRDefault="00EC2822">
            <w:pPr>
              <w:jc w:val="center"/>
              <w:rPr>
                <w:rFonts w:ascii="Arial Narrow" w:hAnsi="Arial Narrow"/>
                <w:sz w:val="20"/>
                <w:szCs w:val="20"/>
              </w:rPr>
            </w:pPr>
            <w:r w:rsidRPr="00D41179">
              <w:rPr>
                <w:rFonts w:ascii="Arial Narrow" w:hAnsi="Arial Narrow"/>
                <w:sz w:val="20"/>
                <w:szCs w:val="20"/>
              </w:rPr>
              <w:t>-39%</w:t>
            </w:r>
          </w:p>
        </w:tc>
      </w:tr>
      <w:tr w:rsidR="00EC2822" w:rsidRPr="00D41179" w14:paraId="169E1B2B" w14:textId="77777777">
        <w:trPr>
          <w:trHeight w:val="170"/>
        </w:trPr>
        <w:tc>
          <w:tcPr>
            <w:tcW w:w="898" w:type="pct"/>
            <w:tcBorders>
              <w:top w:val="nil"/>
              <w:left w:val="single" w:sz="4" w:space="0" w:color="auto"/>
              <w:bottom w:val="single" w:sz="4" w:space="0" w:color="auto"/>
              <w:right w:val="single" w:sz="4" w:space="0" w:color="auto"/>
            </w:tcBorders>
            <w:noWrap/>
            <w:vAlign w:val="center"/>
            <w:hideMark/>
          </w:tcPr>
          <w:p w14:paraId="254AC42B" w14:textId="77777777" w:rsidR="00EC2822" w:rsidRPr="00D41179" w:rsidRDefault="00EC2822">
            <w:pPr>
              <w:jc w:val="left"/>
              <w:rPr>
                <w:rFonts w:ascii="Arial Narrow" w:hAnsi="Arial Narrow"/>
                <w:sz w:val="20"/>
                <w:szCs w:val="20"/>
              </w:rPr>
            </w:pPr>
            <w:r w:rsidRPr="00D41179">
              <w:rPr>
                <w:rFonts w:ascii="Arial Narrow" w:hAnsi="Arial Narrow"/>
                <w:sz w:val="20"/>
                <w:szCs w:val="20"/>
              </w:rPr>
              <w:t>80-89</w:t>
            </w:r>
          </w:p>
        </w:tc>
        <w:tc>
          <w:tcPr>
            <w:tcW w:w="888" w:type="pct"/>
            <w:tcBorders>
              <w:top w:val="nil"/>
              <w:left w:val="nil"/>
              <w:bottom w:val="single" w:sz="4" w:space="0" w:color="auto"/>
              <w:right w:val="single" w:sz="4" w:space="0" w:color="auto"/>
            </w:tcBorders>
            <w:noWrap/>
            <w:vAlign w:val="center"/>
            <w:hideMark/>
          </w:tcPr>
          <w:p w14:paraId="40547485" w14:textId="77777777" w:rsidR="00EC2822" w:rsidRPr="00D41179" w:rsidRDefault="00EC2822">
            <w:pPr>
              <w:jc w:val="center"/>
              <w:rPr>
                <w:rFonts w:ascii="Arial Narrow" w:hAnsi="Arial Narrow"/>
                <w:sz w:val="20"/>
                <w:szCs w:val="20"/>
              </w:rPr>
            </w:pPr>
            <w:r w:rsidRPr="00D41179">
              <w:rPr>
                <w:rFonts w:ascii="Arial Narrow" w:hAnsi="Arial Narrow"/>
                <w:sz w:val="20"/>
                <w:szCs w:val="20"/>
              </w:rPr>
              <w:t>16,092</w:t>
            </w:r>
          </w:p>
        </w:tc>
        <w:tc>
          <w:tcPr>
            <w:tcW w:w="1281" w:type="pct"/>
            <w:tcBorders>
              <w:top w:val="nil"/>
              <w:left w:val="nil"/>
              <w:bottom w:val="single" w:sz="4" w:space="0" w:color="auto"/>
              <w:right w:val="single" w:sz="4" w:space="0" w:color="auto"/>
            </w:tcBorders>
            <w:noWrap/>
            <w:vAlign w:val="center"/>
            <w:hideMark/>
          </w:tcPr>
          <w:p w14:paraId="0306F66D" w14:textId="77777777" w:rsidR="00EC2822" w:rsidRPr="00D41179" w:rsidRDefault="00EC2822">
            <w:pPr>
              <w:jc w:val="center"/>
              <w:rPr>
                <w:rFonts w:ascii="Arial Narrow" w:hAnsi="Arial Narrow"/>
                <w:sz w:val="20"/>
                <w:szCs w:val="20"/>
              </w:rPr>
            </w:pPr>
            <w:r w:rsidRPr="00D41179">
              <w:rPr>
                <w:rFonts w:ascii="Arial Narrow" w:hAnsi="Arial Narrow"/>
                <w:sz w:val="20"/>
                <w:szCs w:val="20"/>
              </w:rPr>
              <w:t>15,268</w:t>
            </w:r>
          </w:p>
        </w:tc>
        <w:tc>
          <w:tcPr>
            <w:tcW w:w="967" w:type="pct"/>
            <w:tcBorders>
              <w:top w:val="nil"/>
              <w:left w:val="nil"/>
              <w:bottom w:val="single" w:sz="4" w:space="0" w:color="auto"/>
              <w:right w:val="single" w:sz="4" w:space="0" w:color="auto"/>
            </w:tcBorders>
            <w:noWrap/>
            <w:vAlign w:val="center"/>
            <w:hideMark/>
          </w:tcPr>
          <w:p w14:paraId="3D285A7C" w14:textId="77777777" w:rsidR="00EC2822" w:rsidRPr="00D41179" w:rsidRDefault="00EC2822">
            <w:pPr>
              <w:jc w:val="center"/>
              <w:rPr>
                <w:rFonts w:ascii="Arial Narrow" w:hAnsi="Arial Narrow"/>
                <w:sz w:val="20"/>
                <w:szCs w:val="20"/>
              </w:rPr>
            </w:pPr>
            <w:r w:rsidRPr="00D41179">
              <w:rPr>
                <w:rFonts w:ascii="Arial Narrow" w:hAnsi="Arial Narrow"/>
                <w:sz w:val="20"/>
                <w:szCs w:val="20"/>
              </w:rPr>
              <w:t>+824 (+5%)</w:t>
            </w:r>
          </w:p>
        </w:tc>
        <w:tc>
          <w:tcPr>
            <w:tcW w:w="965" w:type="pct"/>
            <w:tcBorders>
              <w:top w:val="nil"/>
              <w:left w:val="nil"/>
              <w:bottom w:val="single" w:sz="4" w:space="0" w:color="auto"/>
              <w:right w:val="single" w:sz="4" w:space="0" w:color="auto"/>
            </w:tcBorders>
            <w:noWrap/>
            <w:vAlign w:val="center"/>
            <w:hideMark/>
          </w:tcPr>
          <w:p w14:paraId="50242B4D" w14:textId="77777777" w:rsidR="00EC2822" w:rsidRPr="00D41179" w:rsidRDefault="00EC2822">
            <w:pPr>
              <w:jc w:val="center"/>
              <w:rPr>
                <w:rFonts w:ascii="Arial Narrow" w:hAnsi="Arial Narrow"/>
                <w:sz w:val="20"/>
                <w:szCs w:val="20"/>
              </w:rPr>
            </w:pPr>
            <w:r w:rsidRPr="00D41179">
              <w:rPr>
                <w:rFonts w:ascii="Arial Narrow" w:hAnsi="Arial Narrow"/>
                <w:sz w:val="20"/>
                <w:szCs w:val="20"/>
              </w:rPr>
              <w:t>-20%</w:t>
            </w:r>
          </w:p>
        </w:tc>
      </w:tr>
      <w:tr w:rsidR="00EC2822" w:rsidRPr="00D41179" w14:paraId="3AF240C2" w14:textId="77777777">
        <w:trPr>
          <w:trHeight w:val="170"/>
        </w:trPr>
        <w:tc>
          <w:tcPr>
            <w:tcW w:w="898" w:type="pct"/>
            <w:tcBorders>
              <w:top w:val="nil"/>
              <w:left w:val="single" w:sz="4" w:space="0" w:color="auto"/>
              <w:bottom w:val="single" w:sz="4" w:space="0" w:color="auto"/>
              <w:right w:val="single" w:sz="4" w:space="0" w:color="auto"/>
            </w:tcBorders>
            <w:noWrap/>
            <w:vAlign w:val="center"/>
            <w:hideMark/>
          </w:tcPr>
          <w:p w14:paraId="4A84ED34" w14:textId="77777777" w:rsidR="00EC2822" w:rsidRPr="00D41179" w:rsidRDefault="00EC2822">
            <w:pPr>
              <w:jc w:val="left"/>
              <w:rPr>
                <w:rFonts w:ascii="Arial Narrow" w:hAnsi="Arial Narrow"/>
                <w:sz w:val="20"/>
                <w:szCs w:val="20"/>
              </w:rPr>
            </w:pPr>
            <w:r w:rsidRPr="00D41179">
              <w:rPr>
                <w:rFonts w:ascii="Arial Narrow" w:hAnsi="Arial Narrow"/>
                <w:sz w:val="20"/>
                <w:szCs w:val="20"/>
              </w:rPr>
              <w:t>≥90</w:t>
            </w:r>
          </w:p>
        </w:tc>
        <w:tc>
          <w:tcPr>
            <w:tcW w:w="888" w:type="pct"/>
            <w:tcBorders>
              <w:top w:val="nil"/>
              <w:left w:val="nil"/>
              <w:bottom w:val="single" w:sz="4" w:space="0" w:color="auto"/>
              <w:right w:val="single" w:sz="4" w:space="0" w:color="auto"/>
            </w:tcBorders>
            <w:noWrap/>
            <w:vAlign w:val="center"/>
            <w:hideMark/>
          </w:tcPr>
          <w:p w14:paraId="688CC0A6" w14:textId="77777777" w:rsidR="00EC2822" w:rsidRPr="00D41179" w:rsidRDefault="00EC2822">
            <w:pPr>
              <w:jc w:val="center"/>
              <w:rPr>
                <w:rFonts w:ascii="Arial Narrow" w:hAnsi="Arial Narrow"/>
                <w:sz w:val="20"/>
                <w:szCs w:val="20"/>
              </w:rPr>
            </w:pPr>
            <w:r w:rsidRPr="00D41179">
              <w:rPr>
                <w:rFonts w:ascii="Arial Narrow" w:hAnsi="Arial Narrow"/>
                <w:sz w:val="20"/>
                <w:szCs w:val="20"/>
              </w:rPr>
              <w:t>5,277</w:t>
            </w:r>
          </w:p>
        </w:tc>
        <w:tc>
          <w:tcPr>
            <w:tcW w:w="1281" w:type="pct"/>
            <w:tcBorders>
              <w:top w:val="nil"/>
              <w:left w:val="nil"/>
              <w:bottom w:val="single" w:sz="4" w:space="0" w:color="auto"/>
              <w:right w:val="single" w:sz="4" w:space="0" w:color="auto"/>
            </w:tcBorders>
            <w:noWrap/>
            <w:vAlign w:val="center"/>
            <w:hideMark/>
          </w:tcPr>
          <w:p w14:paraId="7AC79B8F" w14:textId="77777777" w:rsidR="00EC2822" w:rsidRPr="00D41179" w:rsidRDefault="00EC2822">
            <w:pPr>
              <w:jc w:val="center"/>
              <w:rPr>
                <w:rFonts w:ascii="Arial Narrow" w:hAnsi="Arial Narrow"/>
                <w:sz w:val="20"/>
                <w:szCs w:val="20"/>
              </w:rPr>
            </w:pPr>
            <w:r w:rsidRPr="00D41179">
              <w:rPr>
                <w:rFonts w:ascii="Arial Narrow" w:hAnsi="Arial Narrow"/>
                <w:sz w:val="20"/>
                <w:szCs w:val="20"/>
              </w:rPr>
              <w:t>5,070</w:t>
            </w:r>
          </w:p>
        </w:tc>
        <w:tc>
          <w:tcPr>
            <w:tcW w:w="967" w:type="pct"/>
            <w:tcBorders>
              <w:top w:val="nil"/>
              <w:left w:val="nil"/>
              <w:bottom w:val="single" w:sz="4" w:space="0" w:color="auto"/>
              <w:right w:val="single" w:sz="4" w:space="0" w:color="auto"/>
            </w:tcBorders>
            <w:noWrap/>
            <w:vAlign w:val="center"/>
            <w:hideMark/>
          </w:tcPr>
          <w:p w14:paraId="56A7B56F" w14:textId="77777777" w:rsidR="00EC2822" w:rsidRPr="00D41179" w:rsidRDefault="00EC2822">
            <w:pPr>
              <w:jc w:val="center"/>
              <w:rPr>
                <w:rFonts w:ascii="Arial Narrow" w:hAnsi="Arial Narrow"/>
                <w:sz w:val="20"/>
                <w:szCs w:val="20"/>
              </w:rPr>
            </w:pPr>
            <w:r w:rsidRPr="00D41179">
              <w:rPr>
                <w:rFonts w:ascii="Arial Narrow" w:hAnsi="Arial Narrow"/>
                <w:sz w:val="20"/>
                <w:szCs w:val="20"/>
              </w:rPr>
              <w:t>+208 (+4%)</w:t>
            </w:r>
          </w:p>
        </w:tc>
        <w:tc>
          <w:tcPr>
            <w:tcW w:w="965" w:type="pct"/>
            <w:tcBorders>
              <w:top w:val="nil"/>
              <w:left w:val="nil"/>
              <w:bottom w:val="single" w:sz="4" w:space="0" w:color="auto"/>
              <w:right w:val="single" w:sz="4" w:space="0" w:color="auto"/>
            </w:tcBorders>
            <w:noWrap/>
            <w:vAlign w:val="center"/>
            <w:hideMark/>
          </w:tcPr>
          <w:p w14:paraId="7AE84028" w14:textId="77777777" w:rsidR="00EC2822" w:rsidRPr="00D41179" w:rsidRDefault="00EC2822">
            <w:pPr>
              <w:jc w:val="center"/>
              <w:rPr>
                <w:rFonts w:ascii="Arial Narrow" w:hAnsi="Arial Narrow"/>
                <w:sz w:val="20"/>
                <w:szCs w:val="20"/>
              </w:rPr>
            </w:pPr>
            <w:r w:rsidRPr="00D41179">
              <w:rPr>
                <w:rFonts w:ascii="Arial Narrow" w:hAnsi="Arial Narrow"/>
                <w:sz w:val="20"/>
                <w:szCs w:val="20"/>
              </w:rPr>
              <w:t>-5%</w:t>
            </w:r>
          </w:p>
        </w:tc>
      </w:tr>
      <w:tr w:rsidR="00EC2822" w:rsidRPr="00D41179" w14:paraId="23502CC7" w14:textId="77777777">
        <w:trPr>
          <w:trHeight w:val="170"/>
        </w:trPr>
        <w:tc>
          <w:tcPr>
            <w:tcW w:w="898" w:type="pct"/>
            <w:tcBorders>
              <w:top w:val="nil"/>
              <w:left w:val="single" w:sz="4" w:space="0" w:color="auto"/>
              <w:bottom w:val="single" w:sz="4" w:space="0" w:color="auto"/>
              <w:right w:val="single" w:sz="4" w:space="0" w:color="auto"/>
            </w:tcBorders>
            <w:noWrap/>
            <w:vAlign w:val="center"/>
            <w:hideMark/>
          </w:tcPr>
          <w:p w14:paraId="7AAB2079" w14:textId="77777777" w:rsidR="00EC2822" w:rsidRPr="00D41179" w:rsidRDefault="00EC2822">
            <w:pPr>
              <w:jc w:val="left"/>
              <w:rPr>
                <w:rFonts w:ascii="Arial Narrow" w:hAnsi="Arial Narrow"/>
                <w:b/>
                <w:bCs/>
                <w:sz w:val="20"/>
                <w:szCs w:val="20"/>
              </w:rPr>
            </w:pPr>
            <w:r w:rsidRPr="00D41179">
              <w:rPr>
                <w:rFonts w:ascii="Arial Narrow" w:hAnsi="Arial Narrow"/>
                <w:b/>
                <w:bCs/>
                <w:sz w:val="20"/>
                <w:szCs w:val="20"/>
              </w:rPr>
              <w:t>Total</w:t>
            </w:r>
          </w:p>
        </w:tc>
        <w:tc>
          <w:tcPr>
            <w:tcW w:w="888" w:type="pct"/>
            <w:tcBorders>
              <w:top w:val="nil"/>
              <w:left w:val="nil"/>
              <w:bottom w:val="single" w:sz="4" w:space="0" w:color="auto"/>
              <w:right w:val="single" w:sz="4" w:space="0" w:color="auto"/>
            </w:tcBorders>
            <w:noWrap/>
            <w:vAlign w:val="center"/>
            <w:hideMark/>
          </w:tcPr>
          <w:p w14:paraId="1209C589" w14:textId="77777777" w:rsidR="00EC2822" w:rsidRPr="00D41179" w:rsidRDefault="00EC2822">
            <w:pPr>
              <w:jc w:val="center"/>
              <w:rPr>
                <w:rFonts w:ascii="Arial Narrow" w:hAnsi="Arial Narrow"/>
                <w:b/>
                <w:bCs/>
                <w:sz w:val="20"/>
                <w:szCs w:val="20"/>
              </w:rPr>
            </w:pPr>
            <w:r w:rsidRPr="00D41179">
              <w:rPr>
                <w:rFonts w:ascii="Arial Narrow" w:hAnsi="Arial Narrow"/>
                <w:b/>
                <w:bCs/>
                <w:sz w:val="20"/>
                <w:szCs w:val="20"/>
              </w:rPr>
              <w:t>34,429</w:t>
            </w:r>
          </w:p>
        </w:tc>
        <w:tc>
          <w:tcPr>
            <w:tcW w:w="1281" w:type="pct"/>
            <w:tcBorders>
              <w:top w:val="nil"/>
              <w:left w:val="nil"/>
              <w:bottom w:val="single" w:sz="4" w:space="0" w:color="auto"/>
              <w:right w:val="single" w:sz="4" w:space="0" w:color="auto"/>
            </w:tcBorders>
            <w:noWrap/>
            <w:vAlign w:val="center"/>
            <w:hideMark/>
          </w:tcPr>
          <w:p w14:paraId="1BEBCAC0" w14:textId="77777777" w:rsidR="00EC2822" w:rsidRPr="00D41179" w:rsidRDefault="00EC2822">
            <w:pPr>
              <w:jc w:val="center"/>
              <w:rPr>
                <w:rFonts w:ascii="Arial Narrow" w:hAnsi="Arial Narrow"/>
                <w:b/>
                <w:bCs/>
                <w:sz w:val="20"/>
                <w:szCs w:val="20"/>
              </w:rPr>
            </w:pPr>
            <w:r w:rsidRPr="00D41179">
              <w:rPr>
                <w:rFonts w:ascii="Arial Narrow" w:hAnsi="Arial Narrow"/>
                <w:b/>
                <w:bCs/>
                <w:sz w:val="20"/>
                <w:szCs w:val="20"/>
              </w:rPr>
              <w:t>38,470</w:t>
            </w:r>
          </w:p>
        </w:tc>
        <w:tc>
          <w:tcPr>
            <w:tcW w:w="967" w:type="pct"/>
            <w:tcBorders>
              <w:top w:val="nil"/>
              <w:left w:val="nil"/>
              <w:bottom w:val="single" w:sz="4" w:space="0" w:color="auto"/>
              <w:right w:val="single" w:sz="4" w:space="0" w:color="auto"/>
            </w:tcBorders>
            <w:noWrap/>
            <w:vAlign w:val="center"/>
            <w:hideMark/>
          </w:tcPr>
          <w:p w14:paraId="3FCDE125" w14:textId="77777777" w:rsidR="00EC2822" w:rsidRPr="00D41179" w:rsidRDefault="00EC2822">
            <w:pPr>
              <w:jc w:val="center"/>
              <w:rPr>
                <w:rFonts w:ascii="Arial Narrow" w:hAnsi="Arial Narrow"/>
                <w:b/>
                <w:bCs/>
                <w:sz w:val="20"/>
                <w:szCs w:val="20"/>
              </w:rPr>
            </w:pPr>
            <w:r w:rsidRPr="00D41179">
              <w:rPr>
                <w:rFonts w:ascii="Arial Narrow" w:hAnsi="Arial Narrow"/>
                <w:b/>
                <w:bCs/>
                <w:sz w:val="20"/>
                <w:szCs w:val="20"/>
              </w:rPr>
              <w:t>-4,042 (-11%)</w:t>
            </w:r>
          </w:p>
        </w:tc>
        <w:tc>
          <w:tcPr>
            <w:tcW w:w="965" w:type="pct"/>
            <w:tcBorders>
              <w:top w:val="nil"/>
              <w:left w:val="nil"/>
              <w:bottom w:val="single" w:sz="4" w:space="0" w:color="auto"/>
              <w:right w:val="single" w:sz="4" w:space="0" w:color="auto"/>
            </w:tcBorders>
            <w:noWrap/>
            <w:vAlign w:val="center"/>
            <w:hideMark/>
          </w:tcPr>
          <w:p w14:paraId="58432786" w14:textId="77777777" w:rsidR="00EC2822" w:rsidRPr="00D41179" w:rsidRDefault="00EC2822">
            <w:pPr>
              <w:jc w:val="center"/>
              <w:rPr>
                <w:rFonts w:ascii="Arial Narrow" w:hAnsi="Arial Narrow"/>
                <w:b/>
                <w:bCs/>
                <w:sz w:val="20"/>
                <w:szCs w:val="20"/>
              </w:rPr>
            </w:pPr>
            <w:r w:rsidRPr="00D41179">
              <w:rPr>
                <w:rFonts w:ascii="Arial Narrow" w:hAnsi="Arial Narrow"/>
                <w:b/>
                <w:bCs/>
                <w:sz w:val="20"/>
                <w:szCs w:val="20"/>
              </w:rPr>
              <w:t>100%</w:t>
            </w:r>
          </w:p>
        </w:tc>
      </w:tr>
      <w:tr w:rsidR="00EC2822" w:rsidRPr="00D41179" w14:paraId="0A7B1534" w14:textId="77777777">
        <w:trPr>
          <w:trHeight w:val="170"/>
        </w:trPr>
        <w:tc>
          <w:tcPr>
            <w:tcW w:w="5000" w:type="pct"/>
            <w:gridSpan w:val="5"/>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55D293C0" w14:textId="77777777" w:rsidR="00EC2822" w:rsidRPr="00D41179" w:rsidRDefault="00EC2822">
            <w:pPr>
              <w:jc w:val="left"/>
              <w:rPr>
                <w:rFonts w:ascii="Arial Narrow" w:hAnsi="Arial Narrow"/>
                <w:sz w:val="20"/>
                <w:szCs w:val="20"/>
              </w:rPr>
            </w:pPr>
            <w:r w:rsidRPr="00D41179">
              <w:rPr>
                <w:rFonts w:ascii="Arial Narrow" w:hAnsi="Arial Narrow"/>
                <w:sz w:val="20"/>
                <w:szCs w:val="20"/>
              </w:rPr>
              <w:t>Non-PHN complications</w:t>
            </w:r>
          </w:p>
        </w:tc>
      </w:tr>
      <w:tr w:rsidR="00EC2822" w:rsidRPr="00D41179" w14:paraId="2872BB1D" w14:textId="77777777">
        <w:trPr>
          <w:trHeight w:val="170"/>
        </w:trPr>
        <w:tc>
          <w:tcPr>
            <w:tcW w:w="898" w:type="pct"/>
            <w:tcBorders>
              <w:top w:val="nil"/>
              <w:left w:val="single" w:sz="4" w:space="0" w:color="auto"/>
              <w:bottom w:val="single" w:sz="4" w:space="0" w:color="auto"/>
              <w:right w:val="single" w:sz="4" w:space="0" w:color="auto"/>
            </w:tcBorders>
            <w:noWrap/>
            <w:vAlign w:val="center"/>
            <w:hideMark/>
          </w:tcPr>
          <w:p w14:paraId="2EE9274F" w14:textId="77777777" w:rsidR="00EC2822" w:rsidRPr="00D41179" w:rsidRDefault="00EC2822">
            <w:pPr>
              <w:jc w:val="left"/>
              <w:rPr>
                <w:rFonts w:ascii="Arial Narrow" w:hAnsi="Arial Narrow"/>
                <w:sz w:val="20"/>
                <w:szCs w:val="20"/>
              </w:rPr>
            </w:pPr>
            <w:r w:rsidRPr="00D41179">
              <w:rPr>
                <w:rFonts w:ascii="Arial Narrow" w:hAnsi="Arial Narrow"/>
                <w:sz w:val="20"/>
                <w:szCs w:val="20"/>
              </w:rPr>
              <w:t>60-64</w:t>
            </w:r>
          </w:p>
        </w:tc>
        <w:tc>
          <w:tcPr>
            <w:tcW w:w="888" w:type="pct"/>
            <w:tcBorders>
              <w:top w:val="nil"/>
              <w:left w:val="nil"/>
              <w:bottom w:val="single" w:sz="4" w:space="0" w:color="auto"/>
              <w:right w:val="single" w:sz="4" w:space="0" w:color="auto"/>
            </w:tcBorders>
            <w:noWrap/>
            <w:vAlign w:val="center"/>
            <w:hideMark/>
          </w:tcPr>
          <w:p w14:paraId="4195DD1D" w14:textId="77777777" w:rsidR="00EC2822" w:rsidRPr="00D41179" w:rsidRDefault="00EC2822">
            <w:pPr>
              <w:jc w:val="center"/>
              <w:rPr>
                <w:rFonts w:ascii="Arial Narrow" w:hAnsi="Arial Narrow"/>
                <w:sz w:val="20"/>
                <w:szCs w:val="20"/>
              </w:rPr>
            </w:pPr>
            <w:r w:rsidRPr="00D41179">
              <w:rPr>
                <w:rFonts w:ascii="Arial Narrow" w:hAnsi="Arial Narrow"/>
                <w:sz w:val="20"/>
                <w:szCs w:val="20"/>
              </w:rPr>
              <w:t>451</w:t>
            </w:r>
          </w:p>
        </w:tc>
        <w:tc>
          <w:tcPr>
            <w:tcW w:w="1281" w:type="pct"/>
            <w:tcBorders>
              <w:top w:val="nil"/>
              <w:left w:val="nil"/>
              <w:bottom w:val="single" w:sz="4" w:space="0" w:color="auto"/>
              <w:right w:val="single" w:sz="4" w:space="0" w:color="auto"/>
            </w:tcBorders>
            <w:noWrap/>
            <w:vAlign w:val="center"/>
            <w:hideMark/>
          </w:tcPr>
          <w:p w14:paraId="2D506C17" w14:textId="77777777" w:rsidR="00EC2822" w:rsidRPr="00D41179" w:rsidRDefault="00EC2822">
            <w:pPr>
              <w:jc w:val="center"/>
              <w:rPr>
                <w:rFonts w:ascii="Arial Narrow" w:hAnsi="Arial Narrow"/>
                <w:sz w:val="20"/>
                <w:szCs w:val="20"/>
              </w:rPr>
            </w:pPr>
            <w:r w:rsidRPr="00D41179">
              <w:rPr>
                <w:rFonts w:ascii="Arial Narrow" w:hAnsi="Arial Narrow"/>
                <w:sz w:val="20"/>
                <w:szCs w:val="20"/>
              </w:rPr>
              <w:t>5,228</w:t>
            </w:r>
          </w:p>
        </w:tc>
        <w:tc>
          <w:tcPr>
            <w:tcW w:w="967" w:type="pct"/>
            <w:tcBorders>
              <w:top w:val="nil"/>
              <w:left w:val="nil"/>
              <w:bottom w:val="single" w:sz="4" w:space="0" w:color="auto"/>
              <w:right w:val="single" w:sz="4" w:space="0" w:color="auto"/>
            </w:tcBorders>
            <w:noWrap/>
            <w:vAlign w:val="center"/>
            <w:hideMark/>
          </w:tcPr>
          <w:p w14:paraId="014F7DEF" w14:textId="77777777" w:rsidR="00EC2822" w:rsidRPr="00D41179" w:rsidRDefault="00EC2822">
            <w:pPr>
              <w:jc w:val="center"/>
              <w:rPr>
                <w:rFonts w:ascii="Arial Narrow" w:hAnsi="Arial Narrow"/>
                <w:sz w:val="20"/>
                <w:szCs w:val="20"/>
              </w:rPr>
            </w:pPr>
            <w:r w:rsidRPr="00D41179">
              <w:rPr>
                <w:rFonts w:ascii="Arial Narrow" w:hAnsi="Arial Narrow"/>
                <w:sz w:val="20"/>
                <w:szCs w:val="20"/>
              </w:rPr>
              <w:t>-4,777 (-91%)</w:t>
            </w:r>
          </w:p>
        </w:tc>
        <w:tc>
          <w:tcPr>
            <w:tcW w:w="965" w:type="pct"/>
            <w:tcBorders>
              <w:top w:val="nil"/>
              <w:left w:val="nil"/>
              <w:bottom w:val="single" w:sz="4" w:space="0" w:color="auto"/>
              <w:right w:val="single" w:sz="4" w:space="0" w:color="auto"/>
            </w:tcBorders>
            <w:noWrap/>
            <w:vAlign w:val="center"/>
            <w:hideMark/>
          </w:tcPr>
          <w:p w14:paraId="619EE98D" w14:textId="77777777" w:rsidR="00EC2822" w:rsidRPr="00D41179" w:rsidRDefault="00EC2822">
            <w:pPr>
              <w:jc w:val="center"/>
              <w:rPr>
                <w:rFonts w:ascii="Arial Narrow" w:hAnsi="Arial Narrow"/>
                <w:sz w:val="20"/>
                <w:szCs w:val="20"/>
              </w:rPr>
            </w:pPr>
            <w:r w:rsidRPr="00D41179">
              <w:rPr>
                <w:rFonts w:ascii="Arial Narrow" w:hAnsi="Arial Narrow"/>
                <w:sz w:val="20"/>
                <w:szCs w:val="20"/>
              </w:rPr>
              <w:t>174%</w:t>
            </w:r>
          </w:p>
        </w:tc>
      </w:tr>
      <w:tr w:rsidR="00EC2822" w:rsidRPr="00D41179" w14:paraId="7EC29E40" w14:textId="77777777">
        <w:trPr>
          <w:trHeight w:val="170"/>
        </w:trPr>
        <w:tc>
          <w:tcPr>
            <w:tcW w:w="898" w:type="pct"/>
            <w:tcBorders>
              <w:top w:val="nil"/>
              <w:left w:val="single" w:sz="4" w:space="0" w:color="auto"/>
              <w:bottom w:val="single" w:sz="4" w:space="0" w:color="auto"/>
              <w:right w:val="single" w:sz="4" w:space="0" w:color="auto"/>
            </w:tcBorders>
            <w:noWrap/>
            <w:vAlign w:val="center"/>
            <w:hideMark/>
          </w:tcPr>
          <w:p w14:paraId="54811443" w14:textId="77777777" w:rsidR="00EC2822" w:rsidRPr="00D41179" w:rsidRDefault="00EC2822">
            <w:pPr>
              <w:jc w:val="left"/>
              <w:rPr>
                <w:rFonts w:ascii="Arial Narrow" w:hAnsi="Arial Narrow"/>
                <w:sz w:val="20"/>
                <w:szCs w:val="20"/>
              </w:rPr>
            </w:pPr>
            <w:r w:rsidRPr="00D41179">
              <w:rPr>
                <w:rFonts w:ascii="Arial Narrow" w:hAnsi="Arial Narrow"/>
                <w:sz w:val="20"/>
                <w:szCs w:val="20"/>
              </w:rPr>
              <w:t>65-69</w:t>
            </w:r>
          </w:p>
        </w:tc>
        <w:tc>
          <w:tcPr>
            <w:tcW w:w="888" w:type="pct"/>
            <w:tcBorders>
              <w:top w:val="nil"/>
              <w:left w:val="nil"/>
              <w:bottom w:val="single" w:sz="4" w:space="0" w:color="auto"/>
              <w:right w:val="single" w:sz="4" w:space="0" w:color="auto"/>
            </w:tcBorders>
            <w:noWrap/>
            <w:vAlign w:val="center"/>
            <w:hideMark/>
          </w:tcPr>
          <w:p w14:paraId="76F3282D" w14:textId="77777777" w:rsidR="00EC2822" w:rsidRPr="00D41179" w:rsidRDefault="00EC2822">
            <w:pPr>
              <w:jc w:val="center"/>
              <w:rPr>
                <w:rFonts w:ascii="Arial Narrow" w:hAnsi="Arial Narrow"/>
                <w:sz w:val="20"/>
                <w:szCs w:val="20"/>
              </w:rPr>
            </w:pPr>
            <w:r w:rsidRPr="00D41179">
              <w:rPr>
                <w:rFonts w:ascii="Arial Narrow" w:hAnsi="Arial Narrow"/>
                <w:sz w:val="20"/>
                <w:szCs w:val="20"/>
              </w:rPr>
              <w:t>1,089</w:t>
            </w:r>
          </w:p>
        </w:tc>
        <w:tc>
          <w:tcPr>
            <w:tcW w:w="1281" w:type="pct"/>
            <w:tcBorders>
              <w:top w:val="nil"/>
              <w:left w:val="nil"/>
              <w:bottom w:val="single" w:sz="4" w:space="0" w:color="auto"/>
              <w:right w:val="single" w:sz="4" w:space="0" w:color="auto"/>
            </w:tcBorders>
            <w:noWrap/>
            <w:vAlign w:val="center"/>
            <w:hideMark/>
          </w:tcPr>
          <w:p w14:paraId="69593E61" w14:textId="77777777" w:rsidR="00EC2822" w:rsidRPr="00D41179" w:rsidRDefault="00EC2822">
            <w:pPr>
              <w:jc w:val="center"/>
              <w:rPr>
                <w:rFonts w:ascii="Arial Narrow" w:hAnsi="Arial Narrow"/>
                <w:sz w:val="20"/>
                <w:szCs w:val="20"/>
              </w:rPr>
            </w:pPr>
            <w:r w:rsidRPr="00D41179">
              <w:rPr>
                <w:rFonts w:ascii="Arial Narrow" w:hAnsi="Arial Narrow"/>
                <w:sz w:val="20"/>
                <w:szCs w:val="20"/>
              </w:rPr>
              <w:t>795</w:t>
            </w:r>
          </w:p>
        </w:tc>
        <w:tc>
          <w:tcPr>
            <w:tcW w:w="967" w:type="pct"/>
            <w:tcBorders>
              <w:top w:val="nil"/>
              <w:left w:val="nil"/>
              <w:bottom w:val="single" w:sz="4" w:space="0" w:color="auto"/>
              <w:right w:val="single" w:sz="4" w:space="0" w:color="auto"/>
            </w:tcBorders>
            <w:noWrap/>
            <w:vAlign w:val="center"/>
            <w:hideMark/>
          </w:tcPr>
          <w:p w14:paraId="1FBB0EFE" w14:textId="77777777" w:rsidR="00EC2822" w:rsidRPr="00D41179" w:rsidRDefault="00EC2822">
            <w:pPr>
              <w:jc w:val="center"/>
              <w:rPr>
                <w:rFonts w:ascii="Arial Narrow" w:hAnsi="Arial Narrow"/>
                <w:sz w:val="20"/>
                <w:szCs w:val="20"/>
              </w:rPr>
            </w:pPr>
            <w:r w:rsidRPr="00D41179">
              <w:rPr>
                <w:rFonts w:ascii="Arial Narrow" w:hAnsi="Arial Narrow"/>
                <w:sz w:val="20"/>
                <w:szCs w:val="20"/>
              </w:rPr>
              <w:t>+293 (+37%)</w:t>
            </w:r>
          </w:p>
        </w:tc>
        <w:tc>
          <w:tcPr>
            <w:tcW w:w="965" w:type="pct"/>
            <w:tcBorders>
              <w:top w:val="nil"/>
              <w:left w:val="nil"/>
              <w:bottom w:val="single" w:sz="4" w:space="0" w:color="auto"/>
              <w:right w:val="single" w:sz="4" w:space="0" w:color="auto"/>
            </w:tcBorders>
            <w:noWrap/>
            <w:vAlign w:val="center"/>
            <w:hideMark/>
          </w:tcPr>
          <w:p w14:paraId="663AF47F" w14:textId="77777777" w:rsidR="00EC2822" w:rsidRPr="00D41179" w:rsidRDefault="00EC2822">
            <w:pPr>
              <w:jc w:val="center"/>
              <w:rPr>
                <w:rFonts w:ascii="Arial Narrow" w:hAnsi="Arial Narrow"/>
                <w:sz w:val="20"/>
                <w:szCs w:val="20"/>
              </w:rPr>
            </w:pPr>
            <w:r w:rsidRPr="00D41179">
              <w:rPr>
                <w:rFonts w:ascii="Arial Narrow" w:hAnsi="Arial Narrow"/>
                <w:sz w:val="20"/>
                <w:szCs w:val="20"/>
              </w:rPr>
              <w:t>-11%</w:t>
            </w:r>
          </w:p>
        </w:tc>
      </w:tr>
      <w:tr w:rsidR="00EC2822" w:rsidRPr="00D41179" w14:paraId="32D26FB4" w14:textId="77777777">
        <w:trPr>
          <w:trHeight w:val="170"/>
        </w:trPr>
        <w:tc>
          <w:tcPr>
            <w:tcW w:w="898" w:type="pct"/>
            <w:tcBorders>
              <w:top w:val="nil"/>
              <w:left w:val="single" w:sz="4" w:space="0" w:color="auto"/>
              <w:bottom w:val="single" w:sz="4" w:space="0" w:color="auto"/>
              <w:right w:val="single" w:sz="4" w:space="0" w:color="auto"/>
            </w:tcBorders>
            <w:noWrap/>
            <w:vAlign w:val="center"/>
            <w:hideMark/>
          </w:tcPr>
          <w:p w14:paraId="0B3DEF98" w14:textId="77777777" w:rsidR="00EC2822" w:rsidRPr="00D41179" w:rsidRDefault="00EC2822">
            <w:pPr>
              <w:jc w:val="left"/>
              <w:rPr>
                <w:rFonts w:ascii="Arial Narrow" w:hAnsi="Arial Narrow"/>
                <w:sz w:val="20"/>
                <w:szCs w:val="20"/>
              </w:rPr>
            </w:pPr>
            <w:r w:rsidRPr="00D41179">
              <w:rPr>
                <w:rFonts w:ascii="Arial Narrow" w:hAnsi="Arial Narrow"/>
                <w:sz w:val="20"/>
                <w:szCs w:val="20"/>
              </w:rPr>
              <w:t>70-79</w:t>
            </w:r>
          </w:p>
        </w:tc>
        <w:tc>
          <w:tcPr>
            <w:tcW w:w="888" w:type="pct"/>
            <w:tcBorders>
              <w:top w:val="nil"/>
              <w:left w:val="nil"/>
              <w:bottom w:val="single" w:sz="4" w:space="0" w:color="auto"/>
              <w:right w:val="single" w:sz="4" w:space="0" w:color="auto"/>
            </w:tcBorders>
            <w:noWrap/>
            <w:vAlign w:val="center"/>
            <w:hideMark/>
          </w:tcPr>
          <w:p w14:paraId="621D54BC" w14:textId="77777777" w:rsidR="00EC2822" w:rsidRPr="00D41179" w:rsidRDefault="00EC2822">
            <w:pPr>
              <w:jc w:val="center"/>
              <w:rPr>
                <w:rFonts w:ascii="Arial Narrow" w:hAnsi="Arial Narrow"/>
                <w:sz w:val="20"/>
                <w:szCs w:val="20"/>
              </w:rPr>
            </w:pPr>
            <w:r w:rsidRPr="00D41179">
              <w:rPr>
                <w:rFonts w:ascii="Arial Narrow" w:hAnsi="Arial Narrow"/>
                <w:sz w:val="20"/>
                <w:szCs w:val="20"/>
              </w:rPr>
              <w:t>7,099</w:t>
            </w:r>
          </w:p>
        </w:tc>
        <w:tc>
          <w:tcPr>
            <w:tcW w:w="1281" w:type="pct"/>
            <w:tcBorders>
              <w:top w:val="nil"/>
              <w:left w:val="nil"/>
              <w:bottom w:val="single" w:sz="4" w:space="0" w:color="auto"/>
              <w:right w:val="single" w:sz="4" w:space="0" w:color="auto"/>
            </w:tcBorders>
            <w:noWrap/>
            <w:vAlign w:val="center"/>
            <w:hideMark/>
          </w:tcPr>
          <w:p w14:paraId="1A48AB2F" w14:textId="77777777" w:rsidR="00EC2822" w:rsidRPr="00D41179" w:rsidRDefault="00EC2822">
            <w:pPr>
              <w:jc w:val="center"/>
              <w:rPr>
                <w:rFonts w:ascii="Arial Narrow" w:hAnsi="Arial Narrow"/>
                <w:sz w:val="20"/>
                <w:szCs w:val="20"/>
              </w:rPr>
            </w:pPr>
            <w:r w:rsidRPr="00D41179">
              <w:rPr>
                <w:rFonts w:ascii="Arial Narrow" w:hAnsi="Arial Narrow"/>
                <w:sz w:val="20"/>
                <w:szCs w:val="20"/>
              </w:rPr>
              <w:t>6,067</w:t>
            </w:r>
          </w:p>
        </w:tc>
        <w:tc>
          <w:tcPr>
            <w:tcW w:w="967" w:type="pct"/>
            <w:tcBorders>
              <w:top w:val="nil"/>
              <w:left w:val="nil"/>
              <w:bottom w:val="single" w:sz="4" w:space="0" w:color="auto"/>
              <w:right w:val="single" w:sz="4" w:space="0" w:color="auto"/>
            </w:tcBorders>
            <w:noWrap/>
            <w:vAlign w:val="center"/>
            <w:hideMark/>
          </w:tcPr>
          <w:p w14:paraId="70DBD95A" w14:textId="77777777" w:rsidR="00EC2822" w:rsidRPr="00D41179" w:rsidRDefault="00EC2822">
            <w:pPr>
              <w:jc w:val="center"/>
              <w:rPr>
                <w:rFonts w:ascii="Arial Narrow" w:hAnsi="Arial Narrow"/>
                <w:sz w:val="20"/>
                <w:szCs w:val="20"/>
              </w:rPr>
            </w:pPr>
            <w:r w:rsidRPr="00D41179">
              <w:rPr>
                <w:rFonts w:ascii="Arial Narrow" w:hAnsi="Arial Narrow"/>
                <w:sz w:val="20"/>
                <w:szCs w:val="20"/>
              </w:rPr>
              <w:t>+1,032 (+17%)</w:t>
            </w:r>
          </w:p>
        </w:tc>
        <w:tc>
          <w:tcPr>
            <w:tcW w:w="965" w:type="pct"/>
            <w:tcBorders>
              <w:top w:val="nil"/>
              <w:left w:val="nil"/>
              <w:bottom w:val="single" w:sz="4" w:space="0" w:color="auto"/>
              <w:right w:val="single" w:sz="4" w:space="0" w:color="auto"/>
            </w:tcBorders>
            <w:noWrap/>
            <w:vAlign w:val="center"/>
            <w:hideMark/>
          </w:tcPr>
          <w:p w14:paraId="3D2E4323" w14:textId="77777777" w:rsidR="00EC2822" w:rsidRPr="00D41179" w:rsidRDefault="00EC2822">
            <w:pPr>
              <w:jc w:val="center"/>
              <w:rPr>
                <w:rFonts w:ascii="Arial Narrow" w:hAnsi="Arial Narrow"/>
                <w:sz w:val="20"/>
                <w:szCs w:val="20"/>
              </w:rPr>
            </w:pPr>
            <w:r w:rsidRPr="00D41179">
              <w:rPr>
                <w:rFonts w:ascii="Arial Narrow" w:hAnsi="Arial Narrow"/>
                <w:sz w:val="20"/>
                <w:szCs w:val="20"/>
              </w:rPr>
              <w:t>-38%</w:t>
            </w:r>
          </w:p>
        </w:tc>
      </w:tr>
      <w:tr w:rsidR="00EC2822" w:rsidRPr="00D41179" w14:paraId="2FF2CD6C" w14:textId="77777777">
        <w:trPr>
          <w:trHeight w:val="170"/>
        </w:trPr>
        <w:tc>
          <w:tcPr>
            <w:tcW w:w="898" w:type="pct"/>
            <w:tcBorders>
              <w:top w:val="nil"/>
              <w:left w:val="single" w:sz="4" w:space="0" w:color="auto"/>
              <w:bottom w:val="single" w:sz="4" w:space="0" w:color="auto"/>
              <w:right w:val="single" w:sz="4" w:space="0" w:color="auto"/>
            </w:tcBorders>
            <w:noWrap/>
            <w:vAlign w:val="center"/>
            <w:hideMark/>
          </w:tcPr>
          <w:p w14:paraId="4E142C00" w14:textId="77777777" w:rsidR="00EC2822" w:rsidRPr="00D41179" w:rsidRDefault="00EC2822">
            <w:pPr>
              <w:jc w:val="left"/>
              <w:rPr>
                <w:rFonts w:ascii="Arial Narrow" w:hAnsi="Arial Narrow"/>
                <w:sz w:val="20"/>
                <w:szCs w:val="20"/>
              </w:rPr>
            </w:pPr>
            <w:r w:rsidRPr="00D41179">
              <w:rPr>
                <w:rFonts w:ascii="Arial Narrow" w:hAnsi="Arial Narrow"/>
                <w:sz w:val="20"/>
                <w:szCs w:val="20"/>
              </w:rPr>
              <w:t>80-89</w:t>
            </w:r>
          </w:p>
        </w:tc>
        <w:tc>
          <w:tcPr>
            <w:tcW w:w="888" w:type="pct"/>
            <w:tcBorders>
              <w:top w:val="nil"/>
              <w:left w:val="nil"/>
              <w:bottom w:val="single" w:sz="4" w:space="0" w:color="auto"/>
              <w:right w:val="single" w:sz="4" w:space="0" w:color="auto"/>
            </w:tcBorders>
            <w:noWrap/>
            <w:vAlign w:val="center"/>
            <w:hideMark/>
          </w:tcPr>
          <w:p w14:paraId="76E8CD25" w14:textId="77777777" w:rsidR="00EC2822" w:rsidRPr="00D41179" w:rsidRDefault="00EC2822">
            <w:pPr>
              <w:jc w:val="center"/>
              <w:rPr>
                <w:rFonts w:ascii="Arial Narrow" w:hAnsi="Arial Narrow"/>
                <w:sz w:val="20"/>
                <w:szCs w:val="20"/>
              </w:rPr>
            </w:pPr>
            <w:r w:rsidRPr="00D41179">
              <w:rPr>
                <w:rFonts w:ascii="Arial Narrow" w:hAnsi="Arial Narrow"/>
                <w:sz w:val="20"/>
                <w:szCs w:val="20"/>
              </w:rPr>
              <w:t>10,976</w:t>
            </w:r>
          </w:p>
        </w:tc>
        <w:tc>
          <w:tcPr>
            <w:tcW w:w="1281" w:type="pct"/>
            <w:tcBorders>
              <w:top w:val="nil"/>
              <w:left w:val="nil"/>
              <w:bottom w:val="single" w:sz="4" w:space="0" w:color="auto"/>
              <w:right w:val="single" w:sz="4" w:space="0" w:color="auto"/>
            </w:tcBorders>
            <w:noWrap/>
            <w:vAlign w:val="center"/>
            <w:hideMark/>
          </w:tcPr>
          <w:p w14:paraId="5C12F9C7" w14:textId="77777777" w:rsidR="00EC2822" w:rsidRPr="00D41179" w:rsidRDefault="00EC2822">
            <w:pPr>
              <w:jc w:val="center"/>
              <w:rPr>
                <w:rFonts w:ascii="Arial Narrow" w:hAnsi="Arial Narrow"/>
                <w:sz w:val="20"/>
                <w:szCs w:val="20"/>
              </w:rPr>
            </w:pPr>
            <w:r w:rsidRPr="00D41179">
              <w:rPr>
                <w:rFonts w:ascii="Arial Narrow" w:hAnsi="Arial Narrow"/>
                <w:sz w:val="20"/>
                <w:szCs w:val="20"/>
              </w:rPr>
              <w:t>10,413</w:t>
            </w:r>
          </w:p>
        </w:tc>
        <w:tc>
          <w:tcPr>
            <w:tcW w:w="967" w:type="pct"/>
            <w:tcBorders>
              <w:top w:val="nil"/>
              <w:left w:val="nil"/>
              <w:bottom w:val="single" w:sz="4" w:space="0" w:color="auto"/>
              <w:right w:val="single" w:sz="4" w:space="0" w:color="auto"/>
            </w:tcBorders>
            <w:noWrap/>
            <w:vAlign w:val="center"/>
            <w:hideMark/>
          </w:tcPr>
          <w:p w14:paraId="5F05325D" w14:textId="77777777" w:rsidR="00EC2822" w:rsidRPr="00D41179" w:rsidRDefault="00EC2822">
            <w:pPr>
              <w:jc w:val="center"/>
              <w:rPr>
                <w:rFonts w:ascii="Arial Narrow" w:hAnsi="Arial Narrow"/>
                <w:sz w:val="20"/>
                <w:szCs w:val="20"/>
              </w:rPr>
            </w:pPr>
            <w:r w:rsidRPr="00D41179">
              <w:rPr>
                <w:rFonts w:ascii="Arial Narrow" w:hAnsi="Arial Narrow"/>
                <w:sz w:val="20"/>
                <w:szCs w:val="20"/>
              </w:rPr>
              <w:t>+562 (+5%)</w:t>
            </w:r>
          </w:p>
        </w:tc>
        <w:tc>
          <w:tcPr>
            <w:tcW w:w="965" w:type="pct"/>
            <w:tcBorders>
              <w:top w:val="nil"/>
              <w:left w:val="nil"/>
              <w:bottom w:val="single" w:sz="4" w:space="0" w:color="auto"/>
              <w:right w:val="single" w:sz="4" w:space="0" w:color="auto"/>
            </w:tcBorders>
            <w:noWrap/>
            <w:vAlign w:val="center"/>
            <w:hideMark/>
          </w:tcPr>
          <w:p w14:paraId="656A0947" w14:textId="77777777" w:rsidR="00EC2822" w:rsidRPr="00D41179" w:rsidRDefault="00EC2822">
            <w:pPr>
              <w:jc w:val="center"/>
              <w:rPr>
                <w:rFonts w:ascii="Arial Narrow" w:hAnsi="Arial Narrow"/>
                <w:sz w:val="20"/>
                <w:szCs w:val="20"/>
              </w:rPr>
            </w:pPr>
            <w:r w:rsidRPr="00D41179">
              <w:rPr>
                <w:rFonts w:ascii="Arial Narrow" w:hAnsi="Arial Narrow"/>
                <w:sz w:val="20"/>
                <w:szCs w:val="20"/>
              </w:rPr>
              <w:t>-20%</w:t>
            </w:r>
          </w:p>
        </w:tc>
      </w:tr>
      <w:tr w:rsidR="00EC2822" w:rsidRPr="00D41179" w14:paraId="0A81C050" w14:textId="77777777">
        <w:trPr>
          <w:trHeight w:val="170"/>
        </w:trPr>
        <w:tc>
          <w:tcPr>
            <w:tcW w:w="898" w:type="pct"/>
            <w:tcBorders>
              <w:top w:val="nil"/>
              <w:left w:val="single" w:sz="4" w:space="0" w:color="auto"/>
              <w:bottom w:val="single" w:sz="4" w:space="0" w:color="auto"/>
              <w:right w:val="single" w:sz="4" w:space="0" w:color="auto"/>
            </w:tcBorders>
            <w:noWrap/>
            <w:vAlign w:val="center"/>
            <w:hideMark/>
          </w:tcPr>
          <w:p w14:paraId="10BF7FE7" w14:textId="77777777" w:rsidR="00EC2822" w:rsidRPr="00D41179" w:rsidRDefault="00EC2822">
            <w:pPr>
              <w:jc w:val="left"/>
              <w:rPr>
                <w:rFonts w:ascii="Arial Narrow" w:hAnsi="Arial Narrow"/>
                <w:sz w:val="20"/>
                <w:szCs w:val="20"/>
              </w:rPr>
            </w:pPr>
            <w:r w:rsidRPr="00D41179">
              <w:rPr>
                <w:rFonts w:ascii="Arial Narrow" w:hAnsi="Arial Narrow"/>
                <w:sz w:val="20"/>
                <w:szCs w:val="20"/>
              </w:rPr>
              <w:t>≥90</w:t>
            </w:r>
          </w:p>
        </w:tc>
        <w:tc>
          <w:tcPr>
            <w:tcW w:w="888" w:type="pct"/>
            <w:tcBorders>
              <w:top w:val="nil"/>
              <w:left w:val="nil"/>
              <w:bottom w:val="single" w:sz="4" w:space="0" w:color="auto"/>
              <w:right w:val="single" w:sz="4" w:space="0" w:color="auto"/>
            </w:tcBorders>
            <w:noWrap/>
            <w:vAlign w:val="center"/>
            <w:hideMark/>
          </w:tcPr>
          <w:p w14:paraId="1D9A8854" w14:textId="77777777" w:rsidR="00EC2822" w:rsidRPr="00D41179" w:rsidRDefault="00EC2822">
            <w:pPr>
              <w:jc w:val="center"/>
              <w:rPr>
                <w:rFonts w:ascii="Arial Narrow" w:hAnsi="Arial Narrow"/>
                <w:sz w:val="20"/>
                <w:szCs w:val="20"/>
              </w:rPr>
            </w:pPr>
            <w:r w:rsidRPr="00D41179">
              <w:rPr>
                <w:rFonts w:ascii="Arial Narrow" w:hAnsi="Arial Narrow"/>
                <w:sz w:val="20"/>
                <w:szCs w:val="20"/>
              </w:rPr>
              <w:t>3,599</w:t>
            </w:r>
          </w:p>
        </w:tc>
        <w:tc>
          <w:tcPr>
            <w:tcW w:w="1281" w:type="pct"/>
            <w:tcBorders>
              <w:top w:val="nil"/>
              <w:left w:val="nil"/>
              <w:bottom w:val="single" w:sz="4" w:space="0" w:color="auto"/>
              <w:right w:val="single" w:sz="4" w:space="0" w:color="auto"/>
            </w:tcBorders>
            <w:noWrap/>
            <w:vAlign w:val="center"/>
            <w:hideMark/>
          </w:tcPr>
          <w:p w14:paraId="4C6CB5F6" w14:textId="77777777" w:rsidR="00EC2822" w:rsidRPr="00D41179" w:rsidRDefault="00EC2822">
            <w:pPr>
              <w:jc w:val="center"/>
              <w:rPr>
                <w:rFonts w:ascii="Arial Narrow" w:hAnsi="Arial Narrow"/>
                <w:sz w:val="20"/>
                <w:szCs w:val="20"/>
              </w:rPr>
            </w:pPr>
            <w:r w:rsidRPr="00D41179">
              <w:rPr>
                <w:rFonts w:ascii="Arial Narrow" w:hAnsi="Arial Narrow"/>
                <w:sz w:val="20"/>
                <w:szCs w:val="20"/>
              </w:rPr>
              <w:t>3,458</w:t>
            </w:r>
          </w:p>
        </w:tc>
        <w:tc>
          <w:tcPr>
            <w:tcW w:w="967" w:type="pct"/>
            <w:tcBorders>
              <w:top w:val="nil"/>
              <w:left w:val="nil"/>
              <w:bottom w:val="single" w:sz="4" w:space="0" w:color="auto"/>
              <w:right w:val="single" w:sz="4" w:space="0" w:color="auto"/>
            </w:tcBorders>
            <w:noWrap/>
            <w:vAlign w:val="center"/>
            <w:hideMark/>
          </w:tcPr>
          <w:p w14:paraId="018D8818" w14:textId="77777777" w:rsidR="00EC2822" w:rsidRPr="00D41179" w:rsidRDefault="00EC2822">
            <w:pPr>
              <w:jc w:val="center"/>
              <w:rPr>
                <w:rFonts w:ascii="Arial Narrow" w:hAnsi="Arial Narrow"/>
                <w:sz w:val="20"/>
                <w:szCs w:val="20"/>
              </w:rPr>
            </w:pPr>
            <w:r w:rsidRPr="00D41179">
              <w:rPr>
                <w:rFonts w:ascii="Arial Narrow" w:hAnsi="Arial Narrow"/>
                <w:sz w:val="20"/>
                <w:szCs w:val="20"/>
              </w:rPr>
              <w:t>+142 (+4%)</w:t>
            </w:r>
          </w:p>
        </w:tc>
        <w:tc>
          <w:tcPr>
            <w:tcW w:w="965" w:type="pct"/>
            <w:tcBorders>
              <w:top w:val="nil"/>
              <w:left w:val="nil"/>
              <w:bottom w:val="single" w:sz="4" w:space="0" w:color="auto"/>
              <w:right w:val="single" w:sz="4" w:space="0" w:color="auto"/>
            </w:tcBorders>
            <w:noWrap/>
            <w:vAlign w:val="center"/>
            <w:hideMark/>
          </w:tcPr>
          <w:p w14:paraId="2DAABF83" w14:textId="77777777" w:rsidR="00EC2822" w:rsidRPr="00D41179" w:rsidRDefault="00EC2822">
            <w:pPr>
              <w:jc w:val="center"/>
              <w:rPr>
                <w:rFonts w:ascii="Arial Narrow" w:hAnsi="Arial Narrow"/>
                <w:sz w:val="20"/>
                <w:szCs w:val="20"/>
              </w:rPr>
            </w:pPr>
            <w:r w:rsidRPr="00D41179">
              <w:rPr>
                <w:rFonts w:ascii="Arial Narrow" w:hAnsi="Arial Narrow"/>
                <w:sz w:val="20"/>
                <w:szCs w:val="20"/>
              </w:rPr>
              <w:t>-5%</w:t>
            </w:r>
          </w:p>
        </w:tc>
      </w:tr>
      <w:tr w:rsidR="00EC2822" w:rsidRPr="00D41179" w14:paraId="484295DA" w14:textId="77777777">
        <w:trPr>
          <w:trHeight w:val="170"/>
        </w:trPr>
        <w:tc>
          <w:tcPr>
            <w:tcW w:w="898" w:type="pct"/>
            <w:tcBorders>
              <w:top w:val="nil"/>
              <w:left w:val="single" w:sz="4" w:space="0" w:color="auto"/>
              <w:bottom w:val="single" w:sz="4" w:space="0" w:color="auto"/>
              <w:right w:val="single" w:sz="4" w:space="0" w:color="auto"/>
            </w:tcBorders>
            <w:noWrap/>
            <w:vAlign w:val="center"/>
            <w:hideMark/>
          </w:tcPr>
          <w:p w14:paraId="2EBB7320" w14:textId="77777777" w:rsidR="00EC2822" w:rsidRPr="00D41179" w:rsidRDefault="00EC2822">
            <w:pPr>
              <w:jc w:val="left"/>
              <w:rPr>
                <w:rFonts w:ascii="Arial Narrow" w:hAnsi="Arial Narrow"/>
                <w:b/>
                <w:bCs/>
                <w:sz w:val="20"/>
                <w:szCs w:val="20"/>
              </w:rPr>
            </w:pPr>
            <w:r w:rsidRPr="00D41179">
              <w:rPr>
                <w:rFonts w:ascii="Arial Narrow" w:hAnsi="Arial Narrow"/>
                <w:b/>
                <w:bCs/>
                <w:sz w:val="20"/>
                <w:szCs w:val="20"/>
              </w:rPr>
              <w:t>Total</w:t>
            </w:r>
          </w:p>
        </w:tc>
        <w:tc>
          <w:tcPr>
            <w:tcW w:w="888" w:type="pct"/>
            <w:tcBorders>
              <w:top w:val="nil"/>
              <w:left w:val="nil"/>
              <w:bottom w:val="single" w:sz="4" w:space="0" w:color="auto"/>
              <w:right w:val="single" w:sz="4" w:space="0" w:color="auto"/>
            </w:tcBorders>
            <w:noWrap/>
            <w:vAlign w:val="center"/>
            <w:hideMark/>
          </w:tcPr>
          <w:p w14:paraId="683C5B57" w14:textId="77777777" w:rsidR="00EC2822" w:rsidRPr="00D41179" w:rsidRDefault="00EC2822">
            <w:pPr>
              <w:jc w:val="center"/>
              <w:rPr>
                <w:rFonts w:ascii="Arial Narrow" w:hAnsi="Arial Narrow"/>
                <w:b/>
                <w:bCs/>
                <w:sz w:val="20"/>
                <w:szCs w:val="20"/>
              </w:rPr>
            </w:pPr>
            <w:r w:rsidRPr="00D41179">
              <w:rPr>
                <w:rFonts w:ascii="Arial Narrow" w:hAnsi="Arial Narrow"/>
                <w:b/>
                <w:bCs/>
                <w:sz w:val="20"/>
                <w:szCs w:val="20"/>
              </w:rPr>
              <w:t>23,214</w:t>
            </w:r>
          </w:p>
        </w:tc>
        <w:tc>
          <w:tcPr>
            <w:tcW w:w="1281" w:type="pct"/>
            <w:tcBorders>
              <w:top w:val="nil"/>
              <w:left w:val="nil"/>
              <w:bottom w:val="single" w:sz="4" w:space="0" w:color="auto"/>
              <w:right w:val="single" w:sz="4" w:space="0" w:color="auto"/>
            </w:tcBorders>
            <w:noWrap/>
            <w:vAlign w:val="center"/>
            <w:hideMark/>
          </w:tcPr>
          <w:p w14:paraId="6E891073" w14:textId="77777777" w:rsidR="00EC2822" w:rsidRPr="00D41179" w:rsidRDefault="00EC2822">
            <w:pPr>
              <w:jc w:val="center"/>
              <w:rPr>
                <w:rFonts w:ascii="Arial Narrow" w:hAnsi="Arial Narrow"/>
                <w:b/>
                <w:bCs/>
                <w:sz w:val="20"/>
                <w:szCs w:val="20"/>
              </w:rPr>
            </w:pPr>
            <w:r w:rsidRPr="00D41179">
              <w:rPr>
                <w:rFonts w:ascii="Arial Narrow" w:hAnsi="Arial Narrow"/>
                <w:b/>
                <w:bCs/>
                <w:sz w:val="20"/>
                <w:szCs w:val="20"/>
              </w:rPr>
              <w:t>25,962</w:t>
            </w:r>
          </w:p>
        </w:tc>
        <w:tc>
          <w:tcPr>
            <w:tcW w:w="967" w:type="pct"/>
            <w:tcBorders>
              <w:top w:val="nil"/>
              <w:left w:val="nil"/>
              <w:bottom w:val="single" w:sz="4" w:space="0" w:color="auto"/>
              <w:right w:val="single" w:sz="4" w:space="0" w:color="auto"/>
            </w:tcBorders>
            <w:noWrap/>
            <w:vAlign w:val="center"/>
            <w:hideMark/>
          </w:tcPr>
          <w:p w14:paraId="1B490D55" w14:textId="77777777" w:rsidR="00EC2822" w:rsidRPr="00D41179" w:rsidRDefault="00EC2822">
            <w:pPr>
              <w:jc w:val="center"/>
              <w:rPr>
                <w:rFonts w:ascii="Arial Narrow" w:hAnsi="Arial Narrow"/>
                <w:b/>
                <w:bCs/>
                <w:sz w:val="20"/>
                <w:szCs w:val="20"/>
              </w:rPr>
            </w:pPr>
            <w:r w:rsidRPr="00D41179">
              <w:rPr>
                <w:rFonts w:ascii="Arial Narrow" w:hAnsi="Arial Narrow"/>
                <w:b/>
                <w:bCs/>
                <w:sz w:val="20"/>
                <w:szCs w:val="20"/>
              </w:rPr>
              <w:t>-2,748 (-11%)</w:t>
            </w:r>
          </w:p>
        </w:tc>
        <w:tc>
          <w:tcPr>
            <w:tcW w:w="965" w:type="pct"/>
            <w:tcBorders>
              <w:top w:val="nil"/>
              <w:left w:val="nil"/>
              <w:bottom w:val="single" w:sz="4" w:space="0" w:color="auto"/>
              <w:right w:val="single" w:sz="4" w:space="0" w:color="auto"/>
            </w:tcBorders>
            <w:noWrap/>
            <w:vAlign w:val="center"/>
            <w:hideMark/>
          </w:tcPr>
          <w:p w14:paraId="5C912B9A" w14:textId="77777777" w:rsidR="00EC2822" w:rsidRPr="00D41179" w:rsidRDefault="00EC2822">
            <w:pPr>
              <w:jc w:val="center"/>
              <w:rPr>
                <w:rFonts w:ascii="Arial Narrow" w:hAnsi="Arial Narrow"/>
                <w:b/>
                <w:bCs/>
                <w:sz w:val="20"/>
                <w:szCs w:val="20"/>
              </w:rPr>
            </w:pPr>
            <w:r w:rsidRPr="00D41179">
              <w:rPr>
                <w:rFonts w:ascii="Arial Narrow" w:hAnsi="Arial Narrow"/>
                <w:b/>
                <w:bCs/>
                <w:sz w:val="20"/>
                <w:szCs w:val="20"/>
              </w:rPr>
              <w:t>100%</w:t>
            </w:r>
          </w:p>
        </w:tc>
      </w:tr>
    </w:tbl>
    <w:p w14:paraId="1715F18F" w14:textId="77777777" w:rsidR="00EC1414" w:rsidRPr="00D41179" w:rsidRDefault="00EC1414" w:rsidP="00EC1414">
      <w:pPr>
        <w:keepLines/>
        <w:spacing w:after="120"/>
        <w:contextualSpacing/>
        <w:jc w:val="left"/>
        <w:rPr>
          <w:rFonts w:ascii="Arial Narrow" w:hAnsi="Arial Narrow"/>
          <w:iCs/>
          <w:snapToGrid w:val="0"/>
          <w:sz w:val="18"/>
          <w:szCs w:val="22"/>
        </w:rPr>
      </w:pPr>
      <w:r w:rsidRPr="00D41179">
        <w:rPr>
          <w:rFonts w:ascii="Arial Narrow" w:hAnsi="Arial Narrow"/>
          <w:iCs/>
          <w:snapToGrid w:val="0"/>
          <w:sz w:val="18"/>
          <w:szCs w:val="22"/>
        </w:rPr>
        <w:t xml:space="preserve">Source: Table 3-77, p302 of the submission, </w:t>
      </w:r>
      <w:r w:rsidRPr="00D41179">
        <w:rPr>
          <w:rFonts w:ascii="Arial Narrow" w:hAnsi="Arial Narrow"/>
          <w:bCs/>
          <w:iCs/>
          <w:snapToGrid w:val="0"/>
          <w:sz w:val="18"/>
          <w:szCs w:val="22"/>
        </w:rPr>
        <w:t>edited to reflect 5% discount rate using Attachment 10a. 60-64 YOA – ZONA CEA</w:t>
      </w:r>
    </w:p>
    <w:p w14:paraId="3FE0B6D1" w14:textId="59708E1B" w:rsidR="00EC1414" w:rsidRPr="00D41179" w:rsidRDefault="00EC1414" w:rsidP="00EC1414">
      <w:pPr>
        <w:keepLines/>
        <w:spacing w:after="120"/>
        <w:contextualSpacing/>
        <w:jc w:val="left"/>
        <w:rPr>
          <w:rFonts w:ascii="Arial Narrow" w:hAnsi="Arial Narrow"/>
          <w:iCs/>
          <w:snapToGrid w:val="0"/>
          <w:sz w:val="18"/>
          <w:szCs w:val="22"/>
        </w:rPr>
      </w:pPr>
      <w:r w:rsidRPr="00D41179">
        <w:rPr>
          <w:rFonts w:ascii="Arial Narrow" w:hAnsi="Arial Narrow"/>
          <w:iCs/>
          <w:snapToGrid w:val="0"/>
          <w:sz w:val="18"/>
          <w:szCs w:val="22"/>
        </w:rPr>
        <w:t>abs.</w:t>
      </w:r>
      <w:r w:rsidR="003B5DA1" w:rsidRPr="00D41179">
        <w:rPr>
          <w:rFonts w:ascii="Arial Narrow" w:hAnsi="Arial Narrow"/>
          <w:iCs/>
          <w:snapToGrid w:val="0"/>
          <w:sz w:val="18"/>
          <w:szCs w:val="22"/>
        </w:rPr>
        <w:t xml:space="preserve"> = </w:t>
      </w:r>
      <w:r w:rsidRPr="00D41179">
        <w:rPr>
          <w:rFonts w:ascii="Arial Narrow" w:hAnsi="Arial Narrow"/>
          <w:iCs/>
          <w:snapToGrid w:val="0"/>
          <w:sz w:val="18"/>
          <w:szCs w:val="22"/>
        </w:rPr>
        <w:t>absolute; AE</w:t>
      </w:r>
      <w:r w:rsidR="003B5DA1" w:rsidRPr="00D41179">
        <w:rPr>
          <w:rFonts w:ascii="Arial Narrow" w:hAnsi="Arial Narrow"/>
          <w:iCs/>
          <w:snapToGrid w:val="0"/>
          <w:sz w:val="18"/>
          <w:szCs w:val="22"/>
        </w:rPr>
        <w:t xml:space="preserve"> = </w:t>
      </w:r>
      <w:r w:rsidRPr="00D41179">
        <w:rPr>
          <w:rFonts w:ascii="Arial Narrow" w:hAnsi="Arial Narrow"/>
          <w:iCs/>
          <w:snapToGrid w:val="0"/>
          <w:sz w:val="18"/>
          <w:szCs w:val="22"/>
        </w:rPr>
        <w:t>adverse event; HZ</w:t>
      </w:r>
      <w:r w:rsidR="003B5DA1" w:rsidRPr="00D41179">
        <w:rPr>
          <w:rFonts w:ascii="Arial Narrow" w:hAnsi="Arial Narrow"/>
          <w:iCs/>
          <w:snapToGrid w:val="0"/>
          <w:sz w:val="18"/>
          <w:szCs w:val="22"/>
        </w:rPr>
        <w:t xml:space="preserve"> = </w:t>
      </w:r>
      <w:r w:rsidRPr="00D41179">
        <w:rPr>
          <w:rFonts w:ascii="Arial Narrow" w:hAnsi="Arial Narrow"/>
          <w:iCs/>
          <w:snapToGrid w:val="0"/>
          <w:sz w:val="18"/>
          <w:szCs w:val="22"/>
        </w:rPr>
        <w:t>herpes zoster; incr.</w:t>
      </w:r>
      <w:r w:rsidR="003B5DA1" w:rsidRPr="00D41179">
        <w:rPr>
          <w:rFonts w:ascii="Arial Narrow" w:hAnsi="Arial Narrow"/>
          <w:iCs/>
          <w:snapToGrid w:val="0"/>
          <w:sz w:val="18"/>
          <w:szCs w:val="22"/>
        </w:rPr>
        <w:t xml:space="preserve"> = </w:t>
      </w:r>
      <w:r w:rsidRPr="00D41179">
        <w:rPr>
          <w:rFonts w:ascii="Arial Narrow" w:hAnsi="Arial Narrow"/>
          <w:iCs/>
          <w:snapToGrid w:val="0"/>
          <w:sz w:val="18"/>
          <w:szCs w:val="22"/>
        </w:rPr>
        <w:t>incremental; PHN</w:t>
      </w:r>
      <w:r w:rsidR="003B5DA1" w:rsidRPr="00D41179">
        <w:rPr>
          <w:rFonts w:ascii="Arial Narrow" w:hAnsi="Arial Narrow"/>
          <w:iCs/>
          <w:snapToGrid w:val="0"/>
          <w:sz w:val="18"/>
          <w:szCs w:val="22"/>
        </w:rPr>
        <w:t xml:space="preserve"> = </w:t>
      </w:r>
      <w:r w:rsidRPr="00D41179">
        <w:rPr>
          <w:rFonts w:ascii="Arial Narrow" w:hAnsi="Arial Narrow"/>
          <w:iCs/>
          <w:snapToGrid w:val="0"/>
          <w:sz w:val="18"/>
          <w:szCs w:val="22"/>
        </w:rPr>
        <w:t>post-herpetic neuralgia; rel.</w:t>
      </w:r>
      <w:r w:rsidR="003B5DA1" w:rsidRPr="00D41179">
        <w:rPr>
          <w:rFonts w:ascii="Arial Narrow" w:hAnsi="Arial Narrow"/>
          <w:iCs/>
          <w:snapToGrid w:val="0"/>
          <w:sz w:val="18"/>
          <w:szCs w:val="22"/>
        </w:rPr>
        <w:t xml:space="preserve"> = </w:t>
      </w:r>
      <w:r w:rsidRPr="00D41179">
        <w:rPr>
          <w:rFonts w:ascii="Arial Narrow" w:hAnsi="Arial Narrow"/>
          <w:iCs/>
          <w:snapToGrid w:val="0"/>
          <w:sz w:val="18"/>
          <w:szCs w:val="22"/>
        </w:rPr>
        <w:t>relative; RZV</w:t>
      </w:r>
      <w:r w:rsidR="003B5DA1" w:rsidRPr="00D41179">
        <w:rPr>
          <w:rFonts w:ascii="Arial Narrow" w:hAnsi="Arial Narrow"/>
          <w:iCs/>
          <w:snapToGrid w:val="0"/>
          <w:sz w:val="18"/>
          <w:szCs w:val="22"/>
        </w:rPr>
        <w:t xml:space="preserve"> = </w:t>
      </w:r>
      <w:r w:rsidRPr="00D41179">
        <w:rPr>
          <w:rFonts w:ascii="Arial Narrow" w:hAnsi="Arial Narrow"/>
          <w:iCs/>
          <w:snapToGrid w:val="0"/>
          <w:sz w:val="18"/>
          <w:szCs w:val="22"/>
        </w:rPr>
        <w:t>recombinant zoster vaccine; Δ</w:t>
      </w:r>
      <w:r w:rsidR="003B5DA1" w:rsidRPr="00D41179">
        <w:rPr>
          <w:rFonts w:ascii="Arial Narrow" w:hAnsi="Arial Narrow"/>
          <w:iCs/>
          <w:snapToGrid w:val="0"/>
          <w:sz w:val="18"/>
          <w:szCs w:val="22"/>
        </w:rPr>
        <w:t xml:space="preserve"> = </w:t>
      </w:r>
      <w:r w:rsidRPr="00D41179">
        <w:rPr>
          <w:rFonts w:ascii="Arial Narrow" w:hAnsi="Arial Narrow"/>
          <w:iCs/>
          <w:snapToGrid w:val="0"/>
          <w:sz w:val="18"/>
          <w:szCs w:val="22"/>
        </w:rPr>
        <w:t>delta / difference.</w:t>
      </w:r>
    </w:p>
    <w:p w14:paraId="2A58029B" w14:textId="66BF94F4" w:rsidR="00CC5797" w:rsidRPr="00D41179" w:rsidRDefault="00CC5797" w:rsidP="00CC5797">
      <w:pPr>
        <w:pStyle w:val="3-BodyText"/>
        <w:rPr>
          <w:i/>
          <w:iCs/>
          <w:color w:val="000000" w:themeColor="text1"/>
        </w:rPr>
      </w:pPr>
      <w:bookmarkStart w:id="61" w:name="_Ref211604190"/>
      <w:r w:rsidRPr="00D41179">
        <w:rPr>
          <w:color w:val="000000" w:themeColor="text1"/>
        </w:rPr>
        <w:t>Disaggregated results from the economic model demonstrate that all the health benefits of bringing forward RZV vaccination to age 60 are accrued in those aged 60-64 (i.e. 48,459 fewer HZ cases per million people vaccinated). However, for all age groups 65 and above, earlier vaccination led to worse health outcomes (i.e. 14,053 additional HZ cases in those aged 65-100).</w:t>
      </w:r>
      <w:r w:rsidR="004C63CC" w:rsidRPr="00D41179">
        <w:rPr>
          <w:i/>
          <w:iCs/>
          <w:color w:val="000000" w:themeColor="text1"/>
        </w:rPr>
        <w:t xml:space="preserve"> </w:t>
      </w:r>
      <w:r w:rsidR="004C63CC" w:rsidRPr="00D41179">
        <w:rPr>
          <w:color w:val="000000" w:themeColor="text1"/>
        </w:rPr>
        <w:t>T</w:t>
      </w:r>
      <w:r w:rsidRPr="00D41179">
        <w:rPr>
          <w:color w:val="000000" w:themeColor="text1"/>
        </w:rPr>
        <w:t xml:space="preserve">he ESC </w:t>
      </w:r>
      <w:r w:rsidR="004C63CC" w:rsidRPr="00D41179">
        <w:rPr>
          <w:color w:val="000000" w:themeColor="text1"/>
        </w:rPr>
        <w:t xml:space="preserve">also </w:t>
      </w:r>
      <w:r w:rsidRPr="00D41179">
        <w:rPr>
          <w:color w:val="000000" w:themeColor="text1"/>
        </w:rPr>
        <w:t xml:space="preserve">noted there would be an additional </w:t>
      </w:r>
      <w:r w:rsidR="002E50F6" w:rsidRPr="00D41179">
        <w:rPr>
          <w:color w:val="000000" w:themeColor="text1"/>
        </w:rPr>
        <w:t xml:space="preserve">4,027 HZ cases in individuals </w:t>
      </w:r>
      <w:r w:rsidR="003A33BE" w:rsidRPr="00D41179">
        <w:rPr>
          <w:color w:val="000000" w:themeColor="text1"/>
        </w:rPr>
        <w:t xml:space="preserve">aged </w:t>
      </w:r>
      <w:r w:rsidR="002E50F6" w:rsidRPr="00D41179">
        <w:rPr>
          <w:rFonts w:cstheme="minorHAnsi"/>
          <w:color w:val="000000" w:themeColor="text1"/>
        </w:rPr>
        <w:t>≥</w:t>
      </w:r>
      <w:r w:rsidR="002E50F6" w:rsidRPr="00D41179">
        <w:rPr>
          <w:color w:val="000000" w:themeColor="text1"/>
        </w:rPr>
        <w:t xml:space="preserve"> 80 </w:t>
      </w:r>
      <w:r w:rsidR="003A33BE" w:rsidRPr="00D41179">
        <w:rPr>
          <w:color w:val="000000" w:themeColor="text1"/>
        </w:rPr>
        <w:t>years</w:t>
      </w:r>
      <w:r w:rsidR="007E5193" w:rsidRPr="00D41179">
        <w:rPr>
          <w:color w:val="000000" w:themeColor="text1"/>
        </w:rPr>
        <w:t xml:space="preserve"> if individuals were vaccinated at 60 YOA</w:t>
      </w:r>
      <w:r w:rsidR="003A33BE" w:rsidRPr="00D41179">
        <w:rPr>
          <w:color w:val="000000" w:themeColor="text1"/>
        </w:rPr>
        <w:t>.</w:t>
      </w:r>
      <w:r w:rsidR="00D41179" w:rsidRPr="00D41179">
        <w:rPr>
          <w:i/>
          <w:iCs/>
          <w:color w:val="000000" w:themeColor="text1"/>
        </w:rPr>
        <w:t xml:space="preserve"> </w:t>
      </w:r>
      <w:r w:rsidR="00AD4606" w:rsidRPr="00D41179">
        <w:rPr>
          <w:color w:val="000000" w:themeColor="text1"/>
        </w:rPr>
        <w:t>The pre-PBAC response noted the submission has weighed up the trade-offs of bringing forward vaccination to 60 YOA with substantial overall public health benefits apparent, with certainty of upfront prevention of HZ burden versus a future potential of increased cases at older ages.</w:t>
      </w:r>
    </w:p>
    <w:p w14:paraId="19BB73C1" w14:textId="6C0D1646" w:rsidR="00046192" w:rsidRPr="00D41179" w:rsidRDefault="00046192" w:rsidP="00117032">
      <w:pPr>
        <w:pStyle w:val="3-BodyText"/>
        <w:rPr>
          <w:color w:val="000000" w:themeColor="text1"/>
        </w:rPr>
      </w:pPr>
      <w:bookmarkStart w:id="62" w:name="_Ref211839009"/>
      <w:bookmarkStart w:id="63" w:name="_Ref222927566"/>
      <w:r w:rsidRPr="00D41179">
        <w:rPr>
          <w:color w:val="000000" w:themeColor="text1"/>
        </w:rPr>
        <w:t xml:space="preserve">The PSCR provided a revised economic model that (i) </w:t>
      </w:r>
      <w:r w:rsidR="00FE0557" w:rsidRPr="00D41179">
        <w:rPr>
          <w:color w:val="000000" w:themeColor="text1"/>
        </w:rPr>
        <w:t xml:space="preserve">reduced 2 dose compliance in individuals aged 60 to 64 years </w:t>
      </w:r>
      <w:r w:rsidR="00D25544" w:rsidRPr="00D41179">
        <w:rPr>
          <w:color w:val="000000" w:themeColor="text1"/>
        </w:rPr>
        <w:t>to 80.3% (from 82.0%</w:t>
      </w:r>
      <w:r w:rsidR="00E47B90" w:rsidRPr="00D41179">
        <w:rPr>
          <w:color w:val="000000" w:themeColor="text1"/>
        </w:rPr>
        <w:t xml:space="preserve"> in the base case</w:t>
      </w:r>
      <w:r w:rsidR="00D25544" w:rsidRPr="00D41179">
        <w:rPr>
          <w:color w:val="000000" w:themeColor="text1"/>
        </w:rPr>
        <w:t xml:space="preserve">) and (ii) </w:t>
      </w:r>
      <w:r w:rsidR="00731688" w:rsidRPr="00D41179">
        <w:rPr>
          <w:color w:val="000000" w:themeColor="text1"/>
        </w:rPr>
        <w:t xml:space="preserve">changed the proportion of QALY losses </w:t>
      </w:r>
      <w:r w:rsidR="00945628" w:rsidRPr="00D41179">
        <w:rPr>
          <w:color w:val="000000" w:themeColor="text1"/>
        </w:rPr>
        <w:t xml:space="preserve">in vaccinated vs unvaccinated </w:t>
      </w:r>
      <w:r w:rsidR="00E47B90" w:rsidRPr="00D41179">
        <w:rPr>
          <w:color w:val="000000" w:themeColor="text1"/>
        </w:rPr>
        <w:t xml:space="preserve">HZ cases to 44.7% (from 35.5% in the base case). This increased the ICER from </w:t>
      </w:r>
      <w:r w:rsidR="002A0417" w:rsidRPr="00D41179">
        <w:rPr>
          <w:color w:val="000000" w:themeColor="text1"/>
        </w:rPr>
        <w:t>$</w:t>
      </w:r>
      <w:r w:rsidR="006C3300" w:rsidRPr="00D41179">
        <w:rPr>
          <w:color w:val="000000" w:themeColor="text1"/>
        </w:rPr>
        <w:t>15,000 to &lt; $25,000</w:t>
      </w:r>
      <w:r w:rsidR="00C17A28" w:rsidRPr="00D41179">
        <w:rPr>
          <w:color w:val="000000" w:themeColor="text1"/>
        </w:rPr>
        <w:t xml:space="preserve"> (using a discount rate of 5%)</w:t>
      </w:r>
      <w:r w:rsidR="002A0417" w:rsidRPr="00D41179">
        <w:rPr>
          <w:color w:val="000000" w:themeColor="text1"/>
        </w:rPr>
        <w:t xml:space="preserve"> to $</w:t>
      </w:r>
      <w:r w:rsidR="006C3300" w:rsidRPr="00D41179">
        <w:rPr>
          <w:color w:val="000000" w:themeColor="text1"/>
        </w:rPr>
        <w:t>25,000 to &lt; $35,000</w:t>
      </w:r>
      <w:r w:rsidR="00B16E83">
        <w:rPr>
          <w:color w:val="000000" w:themeColor="text1"/>
        </w:rPr>
        <w:t xml:space="preserve"> </w:t>
      </w:r>
      <w:r w:rsidR="002A0417" w:rsidRPr="00D41179">
        <w:rPr>
          <w:color w:val="000000" w:themeColor="text1"/>
        </w:rPr>
        <w:t>p</w:t>
      </w:r>
      <w:r w:rsidR="005555DE" w:rsidRPr="00D41179">
        <w:rPr>
          <w:color w:val="000000" w:themeColor="text1"/>
        </w:rPr>
        <w:t>er</w:t>
      </w:r>
      <w:r w:rsidR="002A0417" w:rsidRPr="00D41179">
        <w:rPr>
          <w:color w:val="000000" w:themeColor="text1"/>
        </w:rPr>
        <w:t xml:space="preserve"> QALY.</w:t>
      </w:r>
      <w:bookmarkEnd w:id="62"/>
      <w:r w:rsidR="002A0417" w:rsidRPr="00D41179">
        <w:rPr>
          <w:color w:val="000000" w:themeColor="text1"/>
        </w:rPr>
        <w:t xml:space="preserve"> </w:t>
      </w:r>
      <w:bookmarkEnd w:id="61"/>
      <w:r w:rsidR="00C17A28" w:rsidRPr="00D41179">
        <w:rPr>
          <w:color w:val="000000" w:themeColor="text1"/>
        </w:rPr>
        <w:t>The ICER using a discount rate of 3.5% was $</w:t>
      </w:r>
      <w:r w:rsidR="006C3300" w:rsidRPr="00D41179">
        <w:rPr>
          <w:color w:val="000000" w:themeColor="text1"/>
        </w:rPr>
        <w:t>15,000 to &lt; $25,000</w:t>
      </w:r>
      <w:r w:rsidR="00C17A28" w:rsidRPr="00D41179">
        <w:rPr>
          <w:color w:val="000000" w:themeColor="text1"/>
        </w:rPr>
        <w:t xml:space="preserve"> per QALY (compared to $</w:t>
      </w:r>
      <w:r w:rsidR="006C3300" w:rsidRPr="00D41179">
        <w:rPr>
          <w:color w:val="000000" w:themeColor="text1"/>
        </w:rPr>
        <w:t>15,000 to &lt; $25,000</w:t>
      </w:r>
      <w:r w:rsidR="00C17A28" w:rsidRPr="00D41179">
        <w:rPr>
          <w:color w:val="000000" w:themeColor="text1"/>
        </w:rPr>
        <w:t xml:space="preserve"> per QALY in the model provided in the submission).</w:t>
      </w:r>
      <w:r w:rsidR="00D41179" w:rsidRPr="00D41179">
        <w:rPr>
          <w:color w:val="000000" w:themeColor="text1"/>
        </w:rPr>
        <w:t xml:space="preserve"> </w:t>
      </w:r>
      <w:r w:rsidR="003E2401" w:rsidRPr="00D41179">
        <w:rPr>
          <w:color w:val="000000" w:themeColor="text1"/>
        </w:rPr>
        <w:t>The ESC noted this model has not been evaluated.</w:t>
      </w:r>
      <w:bookmarkEnd w:id="63"/>
      <w:r w:rsidR="003E2401" w:rsidRPr="00D41179">
        <w:rPr>
          <w:color w:val="000000" w:themeColor="text1"/>
        </w:rPr>
        <w:t xml:space="preserve"> </w:t>
      </w:r>
    </w:p>
    <w:p w14:paraId="47F186AA" w14:textId="69B15B04" w:rsidR="00117032" w:rsidRPr="00D41179" w:rsidRDefault="00117032" w:rsidP="00117032">
      <w:pPr>
        <w:pStyle w:val="3-BodyText"/>
        <w:rPr>
          <w:color w:val="000000" w:themeColor="text1"/>
        </w:rPr>
      </w:pPr>
      <w:r w:rsidRPr="00D41179">
        <w:rPr>
          <w:color w:val="000000" w:themeColor="text1"/>
        </w:rPr>
        <w:t xml:space="preserve">The results of key sensitivity analyses compiled during the evaluation are presented in </w:t>
      </w:r>
      <w:r w:rsidR="00000174" w:rsidRPr="00D41179">
        <w:rPr>
          <w:color w:val="000000" w:themeColor="text1"/>
        </w:rPr>
        <w:fldChar w:fldCharType="begin"/>
      </w:r>
      <w:r w:rsidR="00000174" w:rsidRPr="00D41179">
        <w:rPr>
          <w:color w:val="000000" w:themeColor="text1"/>
        </w:rPr>
        <w:instrText xml:space="preserve"> REF _Ref207878971 \h  \* MERGEFORMAT </w:instrText>
      </w:r>
      <w:r w:rsidR="00000174" w:rsidRPr="00D41179">
        <w:rPr>
          <w:color w:val="000000" w:themeColor="text1"/>
        </w:rPr>
      </w:r>
      <w:r w:rsidR="00000174" w:rsidRPr="00D41179">
        <w:rPr>
          <w:color w:val="000000" w:themeColor="text1"/>
        </w:rPr>
        <w:fldChar w:fldCharType="separate"/>
      </w:r>
      <w:r w:rsidR="00E7345C" w:rsidRPr="00D41179">
        <w:rPr>
          <w:color w:val="000000" w:themeColor="text1"/>
        </w:rPr>
        <w:t>Table 15</w:t>
      </w:r>
      <w:r w:rsidR="00000174" w:rsidRPr="00D41179">
        <w:fldChar w:fldCharType="end"/>
      </w:r>
      <w:r w:rsidR="00000174" w:rsidRPr="00D41179">
        <w:rPr>
          <w:b/>
          <w:bCs/>
          <w:color w:val="000000" w:themeColor="text1"/>
        </w:rPr>
        <w:t xml:space="preserve"> </w:t>
      </w:r>
      <w:r w:rsidRPr="00D41179">
        <w:rPr>
          <w:color w:val="000000" w:themeColor="text1"/>
        </w:rPr>
        <w:t xml:space="preserve">below. </w:t>
      </w:r>
    </w:p>
    <w:p w14:paraId="1E2D6162" w14:textId="42E8F3F4" w:rsidR="00117032" w:rsidRPr="00D41179" w:rsidRDefault="00117032" w:rsidP="00987835">
      <w:pPr>
        <w:pStyle w:val="Caption"/>
        <w:keepNext w:val="0"/>
        <w:keepLines w:val="0"/>
        <w:widowControl w:val="0"/>
        <w:rPr>
          <w:b w:val="0"/>
        </w:rPr>
      </w:pPr>
      <w:bookmarkStart w:id="64" w:name="_Ref207727182"/>
      <w:bookmarkStart w:id="65" w:name="_Ref207878971"/>
      <w:r w:rsidRPr="00D41179">
        <w:rPr>
          <w:rStyle w:val="CommentReference"/>
          <w:b/>
          <w:szCs w:val="24"/>
        </w:rPr>
        <w:lastRenderedPageBreak/>
        <w:t>Table</w:t>
      </w:r>
      <w:bookmarkEnd w:id="64"/>
      <w:r w:rsidR="00015D85" w:rsidRPr="00D41179">
        <w:rPr>
          <w:rStyle w:val="CommentReference"/>
          <w:b/>
          <w:szCs w:val="24"/>
        </w:rPr>
        <w:t xml:space="preserve"> </w:t>
      </w:r>
      <w:r w:rsidR="00015D85" w:rsidRPr="00D41179">
        <w:rPr>
          <w:rStyle w:val="CommentReference"/>
          <w:b/>
          <w:bCs w:val="0"/>
          <w:szCs w:val="24"/>
        </w:rPr>
        <w:fldChar w:fldCharType="begin"/>
      </w:r>
      <w:r w:rsidR="00015D85" w:rsidRPr="00D41179">
        <w:rPr>
          <w:rStyle w:val="CommentReference"/>
          <w:b/>
          <w:bCs w:val="0"/>
          <w:szCs w:val="24"/>
        </w:rPr>
        <w:instrText xml:space="preserve"> SEQ Table \* ARABIC </w:instrText>
      </w:r>
      <w:r w:rsidR="00015D85" w:rsidRPr="00D41179">
        <w:rPr>
          <w:rStyle w:val="CommentReference"/>
          <w:b/>
          <w:bCs w:val="0"/>
          <w:szCs w:val="24"/>
        </w:rPr>
        <w:fldChar w:fldCharType="separate"/>
      </w:r>
      <w:r w:rsidR="00C17A28" w:rsidRPr="00D41179">
        <w:rPr>
          <w:rStyle w:val="CommentReference"/>
          <w:b/>
          <w:bCs w:val="0"/>
          <w:noProof/>
          <w:szCs w:val="24"/>
        </w:rPr>
        <w:t>15</w:t>
      </w:r>
      <w:r w:rsidR="00015D85" w:rsidRPr="00D41179">
        <w:rPr>
          <w:rStyle w:val="CommentReference"/>
          <w:b/>
          <w:bCs w:val="0"/>
          <w:szCs w:val="24"/>
        </w:rPr>
        <w:fldChar w:fldCharType="end"/>
      </w:r>
      <w:bookmarkEnd w:id="65"/>
      <w:r w:rsidRPr="00D41179">
        <w:rPr>
          <w:rStyle w:val="CommentReference"/>
          <w:b/>
          <w:bCs w:val="0"/>
          <w:szCs w:val="24"/>
        </w:rPr>
        <w:t>:</w:t>
      </w:r>
      <w:r w:rsidRPr="00D41179">
        <w:rPr>
          <w:rStyle w:val="CommentReference"/>
          <w:b/>
          <w:szCs w:val="24"/>
        </w:rPr>
        <w:t xml:space="preserve"> Results of sensitivity analyses</w:t>
      </w:r>
    </w:p>
    <w:tbl>
      <w:tblPr>
        <w:tblW w:w="94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15: Results of sensitivity analyses"/>
      </w:tblPr>
      <w:tblGrid>
        <w:gridCol w:w="2976"/>
        <w:gridCol w:w="1849"/>
        <w:gridCol w:w="1376"/>
        <w:gridCol w:w="1638"/>
        <w:gridCol w:w="1614"/>
      </w:tblGrid>
      <w:tr w:rsidR="00117032" w:rsidRPr="00D41179" w14:paraId="296FC39E" w14:textId="77777777">
        <w:trPr>
          <w:trHeight w:val="453"/>
          <w:tblHeader/>
        </w:trPr>
        <w:tc>
          <w:tcPr>
            <w:tcW w:w="2976" w:type="dxa"/>
          </w:tcPr>
          <w:p w14:paraId="472C7889" w14:textId="77777777" w:rsidR="00117032" w:rsidRPr="00D41179" w:rsidRDefault="00117032" w:rsidP="00294858">
            <w:pPr>
              <w:pStyle w:val="In-tableHeading"/>
            </w:pPr>
            <w:r w:rsidRPr="00D41179">
              <w:t>Analyses</w:t>
            </w:r>
          </w:p>
        </w:tc>
        <w:tc>
          <w:tcPr>
            <w:tcW w:w="1849" w:type="dxa"/>
          </w:tcPr>
          <w:p w14:paraId="10190B98" w14:textId="77777777" w:rsidR="00117032" w:rsidRPr="00D41179" w:rsidRDefault="00117032" w:rsidP="00294858">
            <w:pPr>
              <w:pStyle w:val="In-tableHeading"/>
            </w:pPr>
            <w:r w:rsidRPr="00D41179">
              <w:t>Incremental cost</w:t>
            </w:r>
          </w:p>
        </w:tc>
        <w:tc>
          <w:tcPr>
            <w:tcW w:w="1376" w:type="dxa"/>
          </w:tcPr>
          <w:p w14:paraId="2BDE884F" w14:textId="77777777" w:rsidR="00117032" w:rsidRPr="00D41179" w:rsidRDefault="00117032" w:rsidP="00294858">
            <w:pPr>
              <w:pStyle w:val="In-tableHeading"/>
            </w:pPr>
            <w:r w:rsidRPr="00D41179">
              <w:t>Incremental QALY</w:t>
            </w:r>
          </w:p>
        </w:tc>
        <w:tc>
          <w:tcPr>
            <w:tcW w:w="1638" w:type="dxa"/>
          </w:tcPr>
          <w:p w14:paraId="131FFA1F" w14:textId="77777777" w:rsidR="00117032" w:rsidRPr="00D41179" w:rsidRDefault="00117032" w:rsidP="00294858">
            <w:pPr>
              <w:pStyle w:val="In-tableHeading"/>
            </w:pPr>
            <w:r w:rsidRPr="00D41179">
              <w:t>ICER</w:t>
            </w:r>
          </w:p>
        </w:tc>
        <w:tc>
          <w:tcPr>
            <w:tcW w:w="1614" w:type="dxa"/>
          </w:tcPr>
          <w:p w14:paraId="4CCB2C4F" w14:textId="20AB54E0" w:rsidR="00117032" w:rsidRPr="00D41179" w:rsidRDefault="00117032" w:rsidP="00294858">
            <w:pPr>
              <w:pStyle w:val="In-tableHeading"/>
            </w:pPr>
            <w:r w:rsidRPr="00D41179">
              <w:t>%</w:t>
            </w:r>
            <w:r w:rsidR="00DA4016" w:rsidRPr="00D41179">
              <w:t xml:space="preserve"> </w:t>
            </w:r>
            <w:r w:rsidRPr="00D41179">
              <w:t>change from base-case</w:t>
            </w:r>
          </w:p>
        </w:tc>
      </w:tr>
      <w:tr w:rsidR="00117032" w:rsidRPr="00D41179" w14:paraId="2494314C" w14:textId="77777777">
        <w:trPr>
          <w:trHeight w:val="247"/>
        </w:trPr>
        <w:tc>
          <w:tcPr>
            <w:tcW w:w="2976" w:type="dxa"/>
          </w:tcPr>
          <w:p w14:paraId="3FB053F9" w14:textId="77777777" w:rsidR="00117032" w:rsidRPr="00D41179" w:rsidRDefault="00117032" w:rsidP="00F95692">
            <w:pPr>
              <w:pStyle w:val="TableText0"/>
            </w:pPr>
            <w:r w:rsidRPr="00D41179">
              <w:t>Base case</w:t>
            </w:r>
          </w:p>
        </w:tc>
        <w:tc>
          <w:tcPr>
            <w:tcW w:w="1849" w:type="dxa"/>
          </w:tcPr>
          <w:p w14:paraId="6A924D8C" w14:textId="2D6DEC5F" w:rsidR="00117032" w:rsidRPr="00D41179" w:rsidRDefault="00117032" w:rsidP="00F95692">
            <w:pPr>
              <w:pStyle w:val="TableText0"/>
            </w:pPr>
            <w:r w:rsidRPr="00D41179">
              <w:t>$</w:t>
            </w:r>
            <w:r w:rsidR="000E1EB2" w:rsidRPr="000E1EB2">
              <w:rPr>
                <w:sz w:val="2"/>
                <w:highlight w:val="black"/>
              </w:rPr>
              <w:t>redacted content</w:t>
            </w:r>
          </w:p>
        </w:tc>
        <w:tc>
          <w:tcPr>
            <w:tcW w:w="1376" w:type="dxa"/>
          </w:tcPr>
          <w:p w14:paraId="09B5E8C0" w14:textId="77777777" w:rsidR="00117032" w:rsidRPr="00D41179" w:rsidRDefault="00117032" w:rsidP="00F95692">
            <w:pPr>
              <w:pStyle w:val="TableText0"/>
            </w:pPr>
            <w:r w:rsidRPr="00D41179">
              <w:t>1,698</w:t>
            </w:r>
          </w:p>
        </w:tc>
        <w:tc>
          <w:tcPr>
            <w:tcW w:w="1638" w:type="dxa"/>
          </w:tcPr>
          <w:p w14:paraId="22AECF04" w14:textId="5C476054" w:rsidR="00117032" w:rsidRPr="00D41179" w:rsidRDefault="00117032" w:rsidP="00F95692">
            <w:pPr>
              <w:pStyle w:val="TableText0"/>
              <w:rPr>
                <w:vertAlign w:val="superscript"/>
              </w:rPr>
            </w:pPr>
            <w:r w:rsidRPr="00D41179">
              <w:t>$</w:t>
            </w:r>
            <w:r w:rsidR="000E1EB2" w:rsidRPr="000E1EB2">
              <w:rPr>
                <w:sz w:val="2"/>
                <w:highlight w:val="black"/>
              </w:rPr>
              <w:t>redacted content</w:t>
            </w:r>
            <w:r w:rsidR="00E937D7" w:rsidRPr="00D41179">
              <w:rPr>
                <w:vertAlign w:val="superscript"/>
              </w:rPr>
              <w:t>1</w:t>
            </w:r>
          </w:p>
        </w:tc>
        <w:tc>
          <w:tcPr>
            <w:tcW w:w="1614" w:type="dxa"/>
          </w:tcPr>
          <w:p w14:paraId="274887F3" w14:textId="77777777" w:rsidR="00117032" w:rsidRPr="00D41179" w:rsidRDefault="00117032" w:rsidP="00F95692">
            <w:pPr>
              <w:pStyle w:val="TableText0"/>
            </w:pPr>
            <w:r w:rsidRPr="00D41179">
              <w:t>-</w:t>
            </w:r>
          </w:p>
        </w:tc>
      </w:tr>
      <w:tr w:rsidR="00117032" w:rsidRPr="00D41179" w14:paraId="389930F2" w14:textId="77777777">
        <w:trPr>
          <w:trHeight w:val="157"/>
        </w:trPr>
        <w:tc>
          <w:tcPr>
            <w:tcW w:w="9453" w:type="dxa"/>
            <w:gridSpan w:val="5"/>
          </w:tcPr>
          <w:p w14:paraId="6433F70A" w14:textId="77777777" w:rsidR="00117032" w:rsidRPr="00D41179" w:rsidRDefault="00117032" w:rsidP="00F95692">
            <w:pPr>
              <w:pStyle w:val="TableText0"/>
            </w:pPr>
            <w:r w:rsidRPr="00D41179">
              <w:t>Discount rate (base case 5% costs and outcomes)</w:t>
            </w:r>
          </w:p>
        </w:tc>
      </w:tr>
      <w:tr w:rsidR="00117032" w:rsidRPr="00D41179" w14:paraId="3EF2A88E" w14:textId="77777777">
        <w:trPr>
          <w:trHeight w:val="487"/>
        </w:trPr>
        <w:tc>
          <w:tcPr>
            <w:tcW w:w="2976" w:type="dxa"/>
          </w:tcPr>
          <w:p w14:paraId="67F7867C" w14:textId="77777777" w:rsidR="00117032" w:rsidRPr="00D41179" w:rsidRDefault="00117032" w:rsidP="00F95692">
            <w:pPr>
              <w:pStyle w:val="TableText0"/>
              <w:numPr>
                <w:ilvl w:val="0"/>
                <w:numId w:val="15"/>
              </w:numPr>
            </w:pPr>
            <w:r w:rsidRPr="00D41179">
              <w:t>0% costs and outcomes</w:t>
            </w:r>
          </w:p>
          <w:p w14:paraId="1DEF2355" w14:textId="77777777" w:rsidR="00117032" w:rsidRPr="00D41179" w:rsidRDefault="00117032" w:rsidP="00F95692">
            <w:pPr>
              <w:pStyle w:val="TableText0"/>
              <w:numPr>
                <w:ilvl w:val="0"/>
                <w:numId w:val="15"/>
              </w:numPr>
            </w:pPr>
            <w:r w:rsidRPr="00D41179">
              <w:t>3.5% costs and outcomes</w:t>
            </w:r>
          </w:p>
        </w:tc>
        <w:tc>
          <w:tcPr>
            <w:tcW w:w="1849" w:type="dxa"/>
          </w:tcPr>
          <w:p w14:paraId="7A2B3703" w14:textId="00F0B894" w:rsidR="00117032" w:rsidRPr="00D41179" w:rsidRDefault="00117032" w:rsidP="00BE04B8">
            <w:pPr>
              <w:widowControl w:val="0"/>
              <w:jc w:val="left"/>
              <w:rPr>
                <w:rFonts w:ascii="Arial Narrow" w:hAnsi="Arial Narrow"/>
                <w:sz w:val="20"/>
                <w:szCs w:val="20"/>
              </w:rPr>
            </w:pPr>
            <w:r w:rsidRPr="00D41179">
              <w:rPr>
                <w:rFonts w:ascii="Arial Narrow" w:hAnsi="Arial Narrow"/>
                <w:sz w:val="20"/>
                <w:szCs w:val="20"/>
              </w:rPr>
              <w:t>-$</w:t>
            </w:r>
            <w:r w:rsidR="000E1EB2" w:rsidRPr="000E1EB2">
              <w:rPr>
                <w:rFonts w:ascii="Arial Narrow" w:hAnsi="Arial Narrow"/>
                <w:sz w:val="2"/>
                <w:szCs w:val="20"/>
                <w:highlight w:val="black"/>
              </w:rPr>
              <w:t>redacted content</w:t>
            </w:r>
          </w:p>
          <w:p w14:paraId="66EA64B3" w14:textId="605F5870" w:rsidR="00117032" w:rsidRPr="00D41179" w:rsidRDefault="00117032" w:rsidP="00F95692">
            <w:pPr>
              <w:pStyle w:val="TableText0"/>
            </w:pPr>
            <w:r w:rsidRPr="00D41179">
              <w:t>$</w:t>
            </w:r>
            <w:r w:rsidR="000E1EB2" w:rsidRPr="000E1EB2">
              <w:rPr>
                <w:sz w:val="2"/>
                <w:highlight w:val="black"/>
              </w:rPr>
              <w:t>redacted content</w:t>
            </w:r>
          </w:p>
        </w:tc>
        <w:tc>
          <w:tcPr>
            <w:tcW w:w="1376" w:type="dxa"/>
          </w:tcPr>
          <w:p w14:paraId="4926158C" w14:textId="77777777" w:rsidR="00117032" w:rsidRPr="00D41179" w:rsidRDefault="00117032" w:rsidP="00BE04B8">
            <w:pPr>
              <w:widowControl w:val="0"/>
              <w:jc w:val="left"/>
              <w:rPr>
                <w:rFonts w:ascii="Arial Narrow" w:hAnsi="Arial Narrow"/>
                <w:sz w:val="20"/>
                <w:szCs w:val="20"/>
              </w:rPr>
            </w:pPr>
            <w:r w:rsidRPr="00D41179">
              <w:rPr>
                <w:rFonts w:ascii="Arial Narrow" w:hAnsi="Arial Narrow"/>
                <w:sz w:val="20"/>
                <w:szCs w:val="20"/>
              </w:rPr>
              <w:t>1,413</w:t>
            </w:r>
          </w:p>
          <w:p w14:paraId="551572A0" w14:textId="77777777" w:rsidR="00117032" w:rsidRPr="00D41179" w:rsidRDefault="00117032" w:rsidP="00F95692">
            <w:pPr>
              <w:pStyle w:val="TableText0"/>
            </w:pPr>
            <w:r w:rsidRPr="00D41179">
              <w:t>1,655</w:t>
            </w:r>
          </w:p>
        </w:tc>
        <w:tc>
          <w:tcPr>
            <w:tcW w:w="1638" w:type="dxa"/>
          </w:tcPr>
          <w:p w14:paraId="32DB4B01" w14:textId="77777777" w:rsidR="00117032" w:rsidRPr="00D41179" w:rsidRDefault="00117032" w:rsidP="00F95692">
            <w:pPr>
              <w:pStyle w:val="TableText0"/>
            </w:pPr>
            <w:r w:rsidRPr="00D41179">
              <w:t>Dominant</w:t>
            </w:r>
          </w:p>
          <w:p w14:paraId="21D927E7" w14:textId="1383FAA5" w:rsidR="00117032" w:rsidRPr="00D41179" w:rsidRDefault="00117032" w:rsidP="00F95692">
            <w:pPr>
              <w:pStyle w:val="TableText0"/>
              <w:rPr>
                <w:vertAlign w:val="superscript"/>
              </w:rPr>
            </w:pPr>
            <w:r w:rsidRPr="00D41179">
              <w:t>$</w:t>
            </w:r>
            <w:r w:rsidR="000E1EB2" w:rsidRPr="000E1EB2">
              <w:rPr>
                <w:sz w:val="2"/>
                <w:highlight w:val="black"/>
              </w:rPr>
              <w:t>redacted content</w:t>
            </w:r>
            <w:r w:rsidR="00E937D7" w:rsidRPr="00D41179">
              <w:rPr>
                <w:vertAlign w:val="superscript"/>
              </w:rPr>
              <w:t>1</w:t>
            </w:r>
          </w:p>
        </w:tc>
        <w:tc>
          <w:tcPr>
            <w:tcW w:w="1614" w:type="dxa"/>
          </w:tcPr>
          <w:p w14:paraId="22DC87C9" w14:textId="77777777" w:rsidR="00117032" w:rsidRPr="00D41179" w:rsidRDefault="00117032" w:rsidP="00F95692">
            <w:pPr>
              <w:pStyle w:val="TableText0"/>
            </w:pPr>
            <w:r w:rsidRPr="00D41179">
              <w:t>-</w:t>
            </w:r>
          </w:p>
          <w:p w14:paraId="0151ECB6" w14:textId="503CA4B6" w:rsidR="00117032" w:rsidRPr="00D41179" w:rsidRDefault="00117032" w:rsidP="00F95692">
            <w:pPr>
              <w:pStyle w:val="TableText0"/>
            </w:pPr>
            <w:r w:rsidRPr="00D41179">
              <w:t>-</w:t>
            </w:r>
            <w:r w:rsidR="000E1EB2" w:rsidRPr="000E1EB2">
              <w:rPr>
                <w:sz w:val="2"/>
                <w:highlight w:val="black"/>
              </w:rPr>
              <w:t>redacted content</w:t>
            </w:r>
            <w:r w:rsidRPr="00D41179">
              <w:t>%</w:t>
            </w:r>
          </w:p>
        </w:tc>
      </w:tr>
      <w:tr w:rsidR="00117032" w:rsidRPr="00D41179" w14:paraId="73026BB4" w14:textId="77777777">
        <w:trPr>
          <w:trHeight w:val="266"/>
        </w:trPr>
        <w:tc>
          <w:tcPr>
            <w:tcW w:w="9453" w:type="dxa"/>
            <w:gridSpan w:val="5"/>
          </w:tcPr>
          <w:p w14:paraId="7E393064" w14:textId="77777777" w:rsidR="00117032" w:rsidRPr="00D41179" w:rsidRDefault="00117032" w:rsidP="00F95692">
            <w:pPr>
              <w:pStyle w:val="TableText0"/>
            </w:pPr>
            <w:r w:rsidRPr="00D41179">
              <w:t>Incidence rates HZ (base case pooled MacIntyre (2015) and Qian (2021))</w:t>
            </w:r>
          </w:p>
        </w:tc>
      </w:tr>
      <w:tr w:rsidR="00117032" w:rsidRPr="00D41179" w14:paraId="7300A8FD" w14:textId="77777777">
        <w:trPr>
          <w:trHeight w:val="487"/>
        </w:trPr>
        <w:tc>
          <w:tcPr>
            <w:tcW w:w="2976" w:type="dxa"/>
          </w:tcPr>
          <w:p w14:paraId="3EEAD080" w14:textId="5B33DF78" w:rsidR="00117032" w:rsidRPr="00D41179" w:rsidRDefault="00117032" w:rsidP="00F95692">
            <w:pPr>
              <w:pStyle w:val="TableText0"/>
              <w:numPr>
                <w:ilvl w:val="0"/>
                <w:numId w:val="15"/>
              </w:numPr>
            </w:pPr>
            <w:r w:rsidRPr="00D41179">
              <w:t>Rates from Qian (2021)</w:t>
            </w:r>
          </w:p>
          <w:p w14:paraId="514D9EEF" w14:textId="46A59620" w:rsidR="00117032" w:rsidRPr="00D41179" w:rsidRDefault="00117032" w:rsidP="00F95692">
            <w:pPr>
              <w:pStyle w:val="TableText0"/>
              <w:numPr>
                <w:ilvl w:val="0"/>
                <w:numId w:val="15"/>
              </w:numPr>
            </w:pPr>
            <w:r w:rsidRPr="00D41179">
              <w:t>Rates from MacIntyre (2015)</w:t>
            </w:r>
            <w:r w:rsidR="000F7410" w:rsidRPr="00D41179">
              <w:t>(</w:t>
            </w:r>
            <w:r w:rsidR="00902D92" w:rsidRPr="00D41179">
              <w:t xml:space="preserve">1.259% for 60-64, 1.489% for 65-69, 1.531% for </w:t>
            </w:r>
            <w:r w:rsidR="00405763" w:rsidRPr="00D41179">
              <w:t>70-79</w:t>
            </w:r>
            <w:r w:rsidR="00322165" w:rsidRPr="00D41179">
              <w:t>, 1.989% for ≥80)</w:t>
            </w:r>
          </w:p>
        </w:tc>
        <w:tc>
          <w:tcPr>
            <w:tcW w:w="1849" w:type="dxa"/>
          </w:tcPr>
          <w:p w14:paraId="29D707E6" w14:textId="102637A0" w:rsidR="00117032" w:rsidRPr="00D41179" w:rsidRDefault="00117032" w:rsidP="00BE04B8">
            <w:pPr>
              <w:widowControl w:val="0"/>
              <w:jc w:val="left"/>
              <w:rPr>
                <w:rFonts w:ascii="Arial Narrow" w:hAnsi="Arial Narrow"/>
                <w:sz w:val="20"/>
                <w:szCs w:val="20"/>
              </w:rPr>
            </w:pPr>
            <w:r w:rsidRPr="00D41179">
              <w:rPr>
                <w:rFonts w:ascii="Arial Narrow" w:hAnsi="Arial Narrow"/>
                <w:sz w:val="20"/>
                <w:szCs w:val="20"/>
              </w:rPr>
              <w:t>$</w:t>
            </w:r>
            <w:r w:rsidR="000E1EB2" w:rsidRPr="000E1EB2">
              <w:rPr>
                <w:rFonts w:ascii="Arial Narrow" w:hAnsi="Arial Narrow"/>
                <w:sz w:val="2"/>
                <w:szCs w:val="20"/>
                <w:highlight w:val="black"/>
              </w:rPr>
              <w:t>redacted content</w:t>
            </w:r>
          </w:p>
          <w:p w14:paraId="3956CA90" w14:textId="56CC6D19" w:rsidR="00117032" w:rsidRPr="00D41179" w:rsidRDefault="00117032" w:rsidP="00BE04B8">
            <w:pPr>
              <w:widowControl w:val="0"/>
              <w:jc w:val="left"/>
              <w:rPr>
                <w:rFonts w:ascii="Arial Narrow" w:hAnsi="Arial Narrow"/>
                <w:sz w:val="20"/>
                <w:szCs w:val="20"/>
              </w:rPr>
            </w:pPr>
            <w:r w:rsidRPr="00D41179">
              <w:rPr>
                <w:rFonts w:ascii="Arial Narrow" w:hAnsi="Arial Narrow"/>
                <w:sz w:val="20"/>
                <w:szCs w:val="20"/>
              </w:rPr>
              <w:t>$</w:t>
            </w:r>
            <w:r w:rsidR="000E1EB2" w:rsidRPr="000E1EB2">
              <w:rPr>
                <w:rFonts w:ascii="Arial Narrow" w:hAnsi="Arial Narrow"/>
                <w:sz w:val="2"/>
                <w:szCs w:val="20"/>
                <w:highlight w:val="black"/>
              </w:rPr>
              <w:t>redacted content</w:t>
            </w:r>
          </w:p>
        </w:tc>
        <w:tc>
          <w:tcPr>
            <w:tcW w:w="1376" w:type="dxa"/>
          </w:tcPr>
          <w:p w14:paraId="51A5BF24" w14:textId="77777777" w:rsidR="00117032" w:rsidRPr="00D41179" w:rsidRDefault="00117032" w:rsidP="00BE04B8">
            <w:pPr>
              <w:widowControl w:val="0"/>
              <w:jc w:val="left"/>
              <w:rPr>
                <w:rFonts w:ascii="Arial Narrow" w:hAnsi="Arial Narrow"/>
                <w:sz w:val="20"/>
                <w:szCs w:val="20"/>
              </w:rPr>
            </w:pPr>
            <w:r w:rsidRPr="00D41179">
              <w:rPr>
                <w:rFonts w:ascii="Arial Narrow" w:hAnsi="Arial Narrow"/>
                <w:sz w:val="20"/>
                <w:szCs w:val="20"/>
              </w:rPr>
              <w:t>1,390</w:t>
            </w:r>
          </w:p>
          <w:p w14:paraId="5EA2B732" w14:textId="3E259781" w:rsidR="00117032" w:rsidRPr="00D41179" w:rsidRDefault="00117032" w:rsidP="00BE04B8">
            <w:pPr>
              <w:widowControl w:val="0"/>
              <w:jc w:val="left"/>
              <w:rPr>
                <w:rFonts w:ascii="Arial Narrow" w:hAnsi="Arial Narrow"/>
                <w:sz w:val="20"/>
                <w:szCs w:val="20"/>
              </w:rPr>
            </w:pPr>
            <w:r w:rsidRPr="00D41179">
              <w:rPr>
                <w:rFonts w:ascii="Arial Narrow" w:hAnsi="Arial Narrow"/>
                <w:sz w:val="20"/>
                <w:szCs w:val="20"/>
              </w:rPr>
              <w:t>1,978</w:t>
            </w:r>
          </w:p>
        </w:tc>
        <w:tc>
          <w:tcPr>
            <w:tcW w:w="1638" w:type="dxa"/>
          </w:tcPr>
          <w:p w14:paraId="235AE151" w14:textId="4FF8176B" w:rsidR="00117032" w:rsidRPr="00D41179" w:rsidRDefault="00117032" w:rsidP="00F95692">
            <w:pPr>
              <w:pStyle w:val="TableText0"/>
              <w:rPr>
                <w:vertAlign w:val="superscript"/>
              </w:rPr>
            </w:pPr>
            <w:r w:rsidRPr="00D41179">
              <w:t>$</w:t>
            </w:r>
            <w:r w:rsidR="000E1EB2" w:rsidRPr="000E1EB2">
              <w:rPr>
                <w:sz w:val="2"/>
                <w:highlight w:val="black"/>
              </w:rPr>
              <w:t>redacted content</w:t>
            </w:r>
            <w:r w:rsidR="00E937D7" w:rsidRPr="00D41179">
              <w:rPr>
                <w:vertAlign w:val="superscript"/>
              </w:rPr>
              <w:t>2</w:t>
            </w:r>
          </w:p>
          <w:p w14:paraId="7082A655" w14:textId="5B7E2F33" w:rsidR="00117032" w:rsidRPr="00D41179" w:rsidRDefault="00117032" w:rsidP="00F95692">
            <w:pPr>
              <w:pStyle w:val="TableText0"/>
              <w:rPr>
                <w:vertAlign w:val="superscript"/>
              </w:rPr>
            </w:pPr>
            <w:r w:rsidRPr="00D41179">
              <w:t>$</w:t>
            </w:r>
            <w:r w:rsidR="000E1EB2" w:rsidRPr="000E1EB2">
              <w:rPr>
                <w:sz w:val="2"/>
                <w:highlight w:val="black"/>
              </w:rPr>
              <w:t>redacted content</w:t>
            </w:r>
            <w:r w:rsidR="00E937D7" w:rsidRPr="00D41179">
              <w:rPr>
                <w:vertAlign w:val="superscript"/>
              </w:rPr>
              <w:t>1</w:t>
            </w:r>
          </w:p>
        </w:tc>
        <w:tc>
          <w:tcPr>
            <w:tcW w:w="1614" w:type="dxa"/>
          </w:tcPr>
          <w:p w14:paraId="5F33F6C6" w14:textId="0E39FB7A" w:rsidR="00117032" w:rsidRPr="00D41179" w:rsidRDefault="00117032" w:rsidP="00F95692">
            <w:pPr>
              <w:pStyle w:val="TableText0"/>
            </w:pPr>
            <w:r w:rsidRPr="00D41179">
              <w:t>+</w:t>
            </w:r>
            <w:r w:rsidR="000E1EB2" w:rsidRPr="000E1EB2">
              <w:rPr>
                <w:sz w:val="2"/>
                <w:highlight w:val="black"/>
              </w:rPr>
              <w:t>redacted content</w:t>
            </w:r>
            <w:r w:rsidRPr="00D41179">
              <w:t>%</w:t>
            </w:r>
          </w:p>
          <w:p w14:paraId="678EF959" w14:textId="4D21EA2E" w:rsidR="00117032" w:rsidRPr="00D41179" w:rsidRDefault="00117032" w:rsidP="00F95692">
            <w:pPr>
              <w:pStyle w:val="TableText0"/>
            </w:pPr>
            <w:r w:rsidRPr="00D41179">
              <w:t>-</w:t>
            </w:r>
            <w:r w:rsidR="000E1EB2" w:rsidRPr="000E1EB2">
              <w:rPr>
                <w:sz w:val="2"/>
                <w:highlight w:val="black"/>
              </w:rPr>
              <w:t>redacted content</w:t>
            </w:r>
            <w:r w:rsidRPr="00D41179">
              <w:t>%</w:t>
            </w:r>
          </w:p>
        </w:tc>
      </w:tr>
      <w:tr w:rsidR="00117032" w:rsidRPr="00D41179" w14:paraId="2B22D0EC" w14:textId="46CE5D5D">
        <w:trPr>
          <w:trHeight w:val="266"/>
        </w:trPr>
        <w:tc>
          <w:tcPr>
            <w:tcW w:w="9453" w:type="dxa"/>
            <w:gridSpan w:val="5"/>
          </w:tcPr>
          <w:p w14:paraId="7B5FF40F" w14:textId="58C98A60" w:rsidR="00117032" w:rsidRPr="00D41179" w:rsidRDefault="00117032" w:rsidP="00F95692">
            <w:pPr>
              <w:pStyle w:val="TableText0"/>
            </w:pPr>
            <w:r w:rsidRPr="00D41179">
              <w:t>Initial 2-dose VE (base case 97.8% for 50-69, 99.4</w:t>
            </w:r>
            <w:r w:rsidR="008B75B2" w:rsidRPr="00D41179">
              <w:t>%</w:t>
            </w:r>
            <w:r w:rsidRPr="00D41179">
              <w:t xml:space="preserve"> for 70+)</w:t>
            </w:r>
          </w:p>
        </w:tc>
      </w:tr>
      <w:tr w:rsidR="00117032" w:rsidRPr="00D41179" w14:paraId="25F75FD3" w14:textId="037F7819" w:rsidTr="007E5193">
        <w:trPr>
          <w:trHeight w:val="557"/>
        </w:trPr>
        <w:tc>
          <w:tcPr>
            <w:tcW w:w="2976" w:type="dxa"/>
          </w:tcPr>
          <w:p w14:paraId="71B5AFBE" w14:textId="465F9387" w:rsidR="00117032" w:rsidRPr="00D41179" w:rsidRDefault="00117032" w:rsidP="00F95692">
            <w:pPr>
              <w:pStyle w:val="TableText0"/>
              <w:numPr>
                <w:ilvl w:val="0"/>
                <w:numId w:val="4"/>
              </w:numPr>
            </w:pPr>
            <w:r w:rsidRPr="00D41179">
              <w:t>Lower bound 95% CI</w:t>
            </w:r>
          </w:p>
          <w:p w14:paraId="1C1B3D10" w14:textId="51773E0D" w:rsidR="00117032" w:rsidRPr="00D41179" w:rsidRDefault="00117032" w:rsidP="00F95692">
            <w:pPr>
              <w:pStyle w:val="TableText0"/>
              <w:numPr>
                <w:ilvl w:val="0"/>
                <w:numId w:val="4"/>
              </w:numPr>
            </w:pPr>
            <w:r w:rsidRPr="00D41179">
              <w:t>Upper bound 95% CI</w:t>
            </w:r>
            <w:r w:rsidR="007E5193" w:rsidRPr="00D41179">
              <w:t xml:space="preserve"> </w:t>
            </w:r>
          </w:p>
        </w:tc>
        <w:tc>
          <w:tcPr>
            <w:tcW w:w="1849" w:type="dxa"/>
          </w:tcPr>
          <w:p w14:paraId="5C0258FD" w14:textId="0CD3CAB2" w:rsidR="00117032" w:rsidRPr="00D41179" w:rsidRDefault="00117032" w:rsidP="00F95692">
            <w:pPr>
              <w:pStyle w:val="TableText0"/>
            </w:pPr>
            <w:r w:rsidRPr="00D41179">
              <w:t>$</w:t>
            </w:r>
            <w:r w:rsidR="000E1EB2" w:rsidRPr="000E1EB2">
              <w:rPr>
                <w:sz w:val="2"/>
                <w:highlight w:val="black"/>
              </w:rPr>
              <w:t>redacted content</w:t>
            </w:r>
          </w:p>
          <w:p w14:paraId="2B188FD9" w14:textId="73A1810B" w:rsidR="00117032" w:rsidRPr="00D41179" w:rsidRDefault="00117032" w:rsidP="00F95692">
            <w:pPr>
              <w:pStyle w:val="TableText0"/>
            </w:pPr>
            <w:r w:rsidRPr="00D41179">
              <w:t>$</w:t>
            </w:r>
            <w:r w:rsidR="000E1EB2" w:rsidRPr="000E1EB2">
              <w:rPr>
                <w:sz w:val="2"/>
                <w:highlight w:val="black"/>
              </w:rPr>
              <w:t>redacted content</w:t>
            </w:r>
          </w:p>
        </w:tc>
        <w:tc>
          <w:tcPr>
            <w:tcW w:w="1376" w:type="dxa"/>
          </w:tcPr>
          <w:p w14:paraId="6853447B" w14:textId="7BCFCB2E" w:rsidR="00117032" w:rsidRPr="00D41179" w:rsidRDefault="00117032" w:rsidP="00F95692">
            <w:pPr>
              <w:pStyle w:val="TableText0"/>
            </w:pPr>
            <w:r w:rsidRPr="00D41179">
              <w:t>1,605</w:t>
            </w:r>
          </w:p>
          <w:p w14:paraId="3D76DC2A" w14:textId="602CCAE6" w:rsidR="00117032" w:rsidRPr="00D41179" w:rsidRDefault="00117032" w:rsidP="00F95692">
            <w:pPr>
              <w:pStyle w:val="TableText0"/>
            </w:pPr>
            <w:r w:rsidRPr="00D41179">
              <w:t>1,741</w:t>
            </w:r>
          </w:p>
        </w:tc>
        <w:tc>
          <w:tcPr>
            <w:tcW w:w="1638" w:type="dxa"/>
          </w:tcPr>
          <w:p w14:paraId="13E91047" w14:textId="5E58ACD4" w:rsidR="00117032" w:rsidRPr="00D41179" w:rsidRDefault="00117032" w:rsidP="00F95692">
            <w:pPr>
              <w:pStyle w:val="TableText0"/>
              <w:rPr>
                <w:vertAlign w:val="superscript"/>
              </w:rPr>
            </w:pPr>
            <w:r w:rsidRPr="00D41179">
              <w:t>$</w:t>
            </w:r>
            <w:r w:rsidR="000E1EB2" w:rsidRPr="000E1EB2">
              <w:rPr>
                <w:sz w:val="2"/>
                <w:highlight w:val="black"/>
              </w:rPr>
              <w:t>redacted content</w:t>
            </w:r>
            <w:r w:rsidR="00E937D7" w:rsidRPr="00D41179">
              <w:rPr>
                <w:vertAlign w:val="superscript"/>
              </w:rPr>
              <w:t>2</w:t>
            </w:r>
          </w:p>
          <w:p w14:paraId="6E69A701" w14:textId="7AA29C02" w:rsidR="00117032" w:rsidRPr="00D41179" w:rsidRDefault="00117032" w:rsidP="00F95692">
            <w:pPr>
              <w:pStyle w:val="TableText0"/>
              <w:rPr>
                <w:vertAlign w:val="superscript"/>
              </w:rPr>
            </w:pPr>
            <w:r w:rsidRPr="00D41179">
              <w:t>$</w:t>
            </w:r>
            <w:r w:rsidR="000E1EB2" w:rsidRPr="000E1EB2">
              <w:rPr>
                <w:sz w:val="2"/>
                <w:highlight w:val="black"/>
              </w:rPr>
              <w:t>redacted content</w:t>
            </w:r>
            <w:r w:rsidR="00E937D7" w:rsidRPr="00D41179">
              <w:rPr>
                <w:vertAlign w:val="superscript"/>
              </w:rPr>
              <w:t>1</w:t>
            </w:r>
          </w:p>
        </w:tc>
        <w:tc>
          <w:tcPr>
            <w:tcW w:w="1614" w:type="dxa"/>
          </w:tcPr>
          <w:p w14:paraId="6638D1CA" w14:textId="2361F16B" w:rsidR="00117032" w:rsidRPr="00D41179" w:rsidRDefault="00117032" w:rsidP="00F95692">
            <w:pPr>
              <w:pStyle w:val="TableText0"/>
            </w:pPr>
            <w:r w:rsidRPr="00D41179">
              <w:t>+</w:t>
            </w:r>
            <w:r w:rsidR="000E1EB2" w:rsidRPr="000E1EB2">
              <w:rPr>
                <w:sz w:val="2"/>
                <w:highlight w:val="black"/>
              </w:rPr>
              <w:t>redacted content</w:t>
            </w:r>
            <w:r w:rsidRPr="00D41179">
              <w:t>%</w:t>
            </w:r>
          </w:p>
          <w:p w14:paraId="06312224" w14:textId="227B9C82" w:rsidR="00117032" w:rsidRPr="00D41179" w:rsidRDefault="00117032" w:rsidP="00F95692">
            <w:pPr>
              <w:pStyle w:val="TableText0"/>
            </w:pPr>
            <w:r w:rsidRPr="00D41179">
              <w:t>-</w:t>
            </w:r>
            <w:r w:rsidR="000E1EB2" w:rsidRPr="000E1EB2">
              <w:rPr>
                <w:sz w:val="2"/>
                <w:highlight w:val="black"/>
              </w:rPr>
              <w:t>redacted content</w:t>
            </w:r>
            <w:r w:rsidRPr="00D41179">
              <w:t>%</w:t>
            </w:r>
          </w:p>
        </w:tc>
      </w:tr>
      <w:tr w:rsidR="00117032" w:rsidRPr="00D41179" w14:paraId="61DEEBB3" w14:textId="77777777">
        <w:trPr>
          <w:trHeight w:val="189"/>
        </w:trPr>
        <w:tc>
          <w:tcPr>
            <w:tcW w:w="9453" w:type="dxa"/>
            <w:gridSpan w:val="5"/>
          </w:tcPr>
          <w:p w14:paraId="1E23E397" w14:textId="77777777" w:rsidR="00117032" w:rsidRPr="00D41179" w:rsidRDefault="00117032" w:rsidP="00F95692">
            <w:pPr>
              <w:pStyle w:val="TableText0"/>
            </w:pPr>
            <w:r w:rsidRPr="00D41179">
              <w:t>VE waning – 2-dose (base case 1.2% for 50-69, 3.1% for 70+)</w:t>
            </w:r>
          </w:p>
        </w:tc>
      </w:tr>
      <w:tr w:rsidR="00117032" w:rsidRPr="00D41179" w14:paraId="643D27A2" w14:textId="77777777">
        <w:trPr>
          <w:trHeight w:val="691"/>
        </w:trPr>
        <w:tc>
          <w:tcPr>
            <w:tcW w:w="2976" w:type="dxa"/>
          </w:tcPr>
          <w:p w14:paraId="400515AF" w14:textId="2CBAAC20" w:rsidR="00117032" w:rsidRPr="00D41179" w:rsidRDefault="00117032" w:rsidP="00F95692">
            <w:pPr>
              <w:pStyle w:val="TableText0"/>
              <w:numPr>
                <w:ilvl w:val="0"/>
                <w:numId w:val="5"/>
              </w:numPr>
            </w:pPr>
            <w:r w:rsidRPr="00D41179">
              <w:t>Lower bound 95% CI</w:t>
            </w:r>
          </w:p>
          <w:p w14:paraId="1E1DA462" w14:textId="4E5134EB" w:rsidR="00117032" w:rsidRPr="00D41179" w:rsidRDefault="00117032" w:rsidP="00F95692">
            <w:pPr>
              <w:pStyle w:val="TableText0"/>
              <w:numPr>
                <w:ilvl w:val="0"/>
                <w:numId w:val="5"/>
              </w:numPr>
            </w:pPr>
            <w:r w:rsidRPr="00D41179">
              <w:t>Upper bound 95% CI</w:t>
            </w:r>
          </w:p>
          <w:p w14:paraId="7237F3DA" w14:textId="46AD46A2" w:rsidR="00117032" w:rsidRPr="00D41179" w:rsidRDefault="00117032" w:rsidP="00F95692">
            <w:pPr>
              <w:pStyle w:val="TableText0"/>
              <w:numPr>
                <w:ilvl w:val="0"/>
                <w:numId w:val="5"/>
              </w:numPr>
            </w:pPr>
            <w:r w:rsidRPr="00D41179">
              <w:t>Values in previous submission (1.5% for 50-69,</w:t>
            </w:r>
            <w:r w:rsidR="00CB4972" w:rsidRPr="00D41179">
              <w:t xml:space="preserve"> </w:t>
            </w:r>
            <w:r w:rsidRPr="00D41179">
              <w:t>2.3% for 70+)</w:t>
            </w:r>
          </w:p>
          <w:p w14:paraId="6792F17F" w14:textId="77777777" w:rsidR="00117032" w:rsidRPr="00D41179" w:rsidRDefault="00117032" w:rsidP="00F95692">
            <w:pPr>
              <w:pStyle w:val="TableText0"/>
              <w:numPr>
                <w:ilvl w:val="0"/>
                <w:numId w:val="5"/>
              </w:numPr>
            </w:pPr>
            <w:r w:rsidRPr="00D41179">
              <w:t>Waning rate for 50-69 for whole cohort</w:t>
            </w:r>
          </w:p>
          <w:p w14:paraId="0B47865B" w14:textId="77777777" w:rsidR="00117032" w:rsidRPr="00D41179" w:rsidRDefault="00117032" w:rsidP="00F95692">
            <w:pPr>
              <w:pStyle w:val="TableText0"/>
              <w:numPr>
                <w:ilvl w:val="0"/>
                <w:numId w:val="5"/>
              </w:numPr>
            </w:pPr>
            <w:r w:rsidRPr="00D41179">
              <w:t>Waning rate for 70+ for whole cohort</w:t>
            </w:r>
          </w:p>
          <w:p w14:paraId="51FA1624" w14:textId="77777777" w:rsidR="00117032" w:rsidRPr="00D41179" w:rsidRDefault="00117032" w:rsidP="00F95692">
            <w:pPr>
              <w:pStyle w:val="TableText0"/>
              <w:numPr>
                <w:ilvl w:val="0"/>
                <w:numId w:val="5"/>
              </w:numPr>
            </w:pPr>
            <w:r w:rsidRPr="00D41179">
              <w:t xml:space="preserve">Midpoint (2.15%) of cohort rate applied to whole cohort </w:t>
            </w:r>
          </w:p>
        </w:tc>
        <w:tc>
          <w:tcPr>
            <w:tcW w:w="1849" w:type="dxa"/>
          </w:tcPr>
          <w:p w14:paraId="02304F0E" w14:textId="79F68E3E" w:rsidR="00117032" w:rsidRPr="00D41179" w:rsidRDefault="00117032" w:rsidP="00F95692">
            <w:pPr>
              <w:pStyle w:val="TableText0"/>
            </w:pPr>
            <w:r w:rsidRPr="00D41179">
              <w:t>$</w:t>
            </w:r>
            <w:r w:rsidR="000E1EB2" w:rsidRPr="000E1EB2">
              <w:rPr>
                <w:sz w:val="2"/>
                <w:highlight w:val="black"/>
              </w:rPr>
              <w:t>redacted content</w:t>
            </w:r>
          </w:p>
          <w:p w14:paraId="125575C0" w14:textId="7D3E8A97" w:rsidR="00117032" w:rsidRPr="00D41179" w:rsidRDefault="00117032" w:rsidP="00F95692">
            <w:pPr>
              <w:pStyle w:val="TableText0"/>
            </w:pPr>
            <w:r w:rsidRPr="00D41179">
              <w:t>$</w:t>
            </w:r>
            <w:r w:rsidR="000E1EB2" w:rsidRPr="000E1EB2">
              <w:rPr>
                <w:sz w:val="2"/>
                <w:highlight w:val="black"/>
              </w:rPr>
              <w:t>redacted content</w:t>
            </w:r>
          </w:p>
          <w:p w14:paraId="7392F9ED" w14:textId="367EBABF" w:rsidR="00117032" w:rsidRPr="00D41179" w:rsidRDefault="00117032" w:rsidP="00F95692">
            <w:pPr>
              <w:pStyle w:val="TableText0"/>
            </w:pPr>
            <w:r w:rsidRPr="00D41179">
              <w:t>$</w:t>
            </w:r>
            <w:r w:rsidR="000E1EB2" w:rsidRPr="000E1EB2">
              <w:rPr>
                <w:sz w:val="2"/>
                <w:highlight w:val="black"/>
              </w:rPr>
              <w:t>redacted content</w:t>
            </w:r>
          </w:p>
          <w:p w14:paraId="688AEC43" w14:textId="77777777" w:rsidR="00117032" w:rsidRPr="00D41179" w:rsidRDefault="00117032" w:rsidP="00F95692">
            <w:pPr>
              <w:pStyle w:val="TableText0"/>
            </w:pPr>
          </w:p>
          <w:p w14:paraId="3496A739" w14:textId="77777777" w:rsidR="00117032" w:rsidRPr="00D41179" w:rsidRDefault="00117032" w:rsidP="00F95692">
            <w:pPr>
              <w:pStyle w:val="TableText0"/>
            </w:pPr>
          </w:p>
          <w:p w14:paraId="129A0A3B" w14:textId="3EDD6E07" w:rsidR="00117032" w:rsidRPr="00D41179" w:rsidRDefault="00117032" w:rsidP="00F95692">
            <w:pPr>
              <w:pStyle w:val="TableText0"/>
            </w:pPr>
            <w:r w:rsidRPr="00D41179">
              <w:t>$</w:t>
            </w:r>
            <w:r w:rsidR="000E1EB2" w:rsidRPr="000E1EB2">
              <w:rPr>
                <w:sz w:val="2"/>
                <w:highlight w:val="black"/>
              </w:rPr>
              <w:t>redacted content</w:t>
            </w:r>
          </w:p>
          <w:p w14:paraId="3A8728B7" w14:textId="77777777" w:rsidR="00117032" w:rsidRPr="00D41179" w:rsidRDefault="00117032" w:rsidP="00F95692">
            <w:pPr>
              <w:pStyle w:val="TableText0"/>
            </w:pPr>
          </w:p>
          <w:p w14:paraId="6E31BF8E" w14:textId="687A0078" w:rsidR="00117032" w:rsidRPr="00D41179" w:rsidRDefault="00117032" w:rsidP="00F95692">
            <w:pPr>
              <w:pStyle w:val="TableText0"/>
            </w:pPr>
            <w:r w:rsidRPr="00D41179">
              <w:t>$</w:t>
            </w:r>
            <w:r w:rsidR="000E1EB2" w:rsidRPr="000E1EB2">
              <w:rPr>
                <w:sz w:val="2"/>
                <w:highlight w:val="black"/>
              </w:rPr>
              <w:t>redacted content</w:t>
            </w:r>
          </w:p>
          <w:p w14:paraId="058EAAF1" w14:textId="77777777" w:rsidR="00117032" w:rsidRPr="00D41179" w:rsidRDefault="00117032" w:rsidP="00F95692">
            <w:pPr>
              <w:pStyle w:val="TableText0"/>
            </w:pPr>
          </w:p>
          <w:p w14:paraId="4D4098DF" w14:textId="24C11D97" w:rsidR="00117032" w:rsidRPr="00D41179" w:rsidRDefault="00117032" w:rsidP="00F95692">
            <w:pPr>
              <w:pStyle w:val="TableText0"/>
            </w:pPr>
            <w:r w:rsidRPr="00D41179">
              <w:t>$</w:t>
            </w:r>
            <w:r w:rsidR="000E1EB2" w:rsidRPr="000E1EB2">
              <w:rPr>
                <w:sz w:val="2"/>
                <w:highlight w:val="black"/>
              </w:rPr>
              <w:t>redacted content</w:t>
            </w:r>
          </w:p>
          <w:p w14:paraId="42357B21" w14:textId="77777777" w:rsidR="00117032" w:rsidRPr="00D41179" w:rsidRDefault="00117032" w:rsidP="00F95692">
            <w:pPr>
              <w:pStyle w:val="TableText0"/>
            </w:pPr>
          </w:p>
        </w:tc>
        <w:tc>
          <w:tcPr>
            <w:tcW w:w="1376" w:type="dxa"/>
          </w:tcPr>
          <w:p w14:paraId="18C16BD8" w14:textId="7DA9A2B2" w:rsidR="00117032" w:rsidRPr="00D41179" w:rsidRDefault="00117032" w:rsidP="00F95692">
            <w:pPr>
              <w:pStyle w:val="TableText0"/>
            </w:pPr>
            <w:r w:rsidRPr="00D41179">
              <w:t>2,087</w:t>
            </w:r>
          </w:p>
          <w:p w14:paraId="4F53028D" w14:textId="1E7A0089" w:rsidR="00117032" w:rsidRPr="00D41179" w:rsidRDefault="00117032" w:rsidP="00F95692">
            <w:pPr>
              <w:pStyle w:val="TableText0"/>
            </w:pPr>
            <w:r w:rsidRPr="00D41179">
              <w:t>1,310</w:t>
            </w:r>
          </w:p>
          <w:p w14:paraId="3E95C732" w14:textId="3B17FA57" w:rsidR="00117032" w:rsidRPr="00D41179" w:rsidRDefault="00117032" w:rsidP="00F95692">
            <w:pPr>
              <w:pStyle w:val="TableText0"/>
            </w:pPr>
            <w:r w:rsidRPr="00D41179">
              <w:t>1,598</w:t>
            </w:r>
          </w:p>
          <w:p w14:paraId="13079931" w14:textId="77777777" w:rsidR="00117032" w:rsidRPr="00D41179" w:rsidRDefault="00117032" w:rsidP="00F95692">
            <w:pPr>
              <w:pStyle w:val="TableText0"/>
            </w:pPr>
          </w:p>
          <w:p w14:paraId="258C9FFB" w14:textId="77777777" w:rsidR="00117032" w:rsidRPr="00D41179" w:rsidRDefault="00117032" w:rsidP="00F95692">
            <w:pPr>
              <w:pStyle w:val="TableText0"/>
            </w:pPr>
          </w:p>
          <w:p w14:paraId="1EE215FC" w14:textId="77777777" w:rsidR="00117032" w:rsidRPr="00D41179" w:rsidRDefault="00117032" w:rsidP="00F95692">
            <w:pPr>
              <w:pStyle w:val="TableText0"/>
            </w:pPr>
            <w:r w:rsidRPr="00D41179">
              <w:t>1,742</w:t>
            </w:r>
          </w:p>
          <w:p w14:paraId="6272280E" w14:textId="77777777" w:rsidR="00117032" w:rsidRPr="00D41179" w:rsidRDefault="00117032" w:rsidP="00F95692">
            <w:pPr>
              <w:pStyle w:val="TableText0"/>
            </w:pPr>
          </w:p>
          <w:p w14:paraId="5077942D" w14:textId="77777777" w:rsidR="00117032" w:rsidRPr="00D41179" w:rsidRDefault="00117032" w:rsidP="00F95692">
            <w:pPr>
              <w:pStyle w:val="TableText0"/>
            </w:pPr>
            <w:r w:rsidRPr="00D41179">
              <w:t>961</w:t>
            </w:r>
          </w:p>
          <w:p w14:paraId="167C5C31" w14:textId="77777777" w:rsidR="00117032" w:rsidRPr="00D41179" w:rsidRDefault="00117032" w:rsidP="00F95692">
            <w:pPr>
              <w:pStyle w:val="TableText0"/>
            </w:pPr>
          </w:p>
          <w:p w14:paraId="3BE96F1C" w14:textId="77777777" w:rsidR="00117032" w:rsidRPr="00D41179" w:rsidRDefault="00117032" w:rsidP="00F95692">
            <w:pPr>
              <w:pStyle w:val="TableText0"/>
            </w:pPr>
            <w:r w:rsidRPr="00D41179">
              <w:t>1,346</w:t>
            </w:r>
          </w:p>
        </w:tc>
        <w:tc>
          <w:tcPr>
            <w:tcW w:w="1638" w:type="dxa"/>
          </w:tcPr>
          <w:p w14:paraId="05585E91" w14:textId="4991D378" w:rsidR="00117032" w:rsidRPr="00D41179" w:rsidRDefault="00117032" w:rsidP="00F95692">
            <w:pPr>
              <w:pStyle w:val="TableText0"/>
              <w:rPr>
                <w:vertAlign w:val="superscript"/>
              </w:rPr>
            </w:pPr>
            <w:r w:rsidRPr="00D41179">
              <w:t>$</w:t>
            </w:r>
            <w:r w:rsidR="000E1EB2" w:rsidRPr="000E1EB2">
              <w:rPr>
                <w:sz w:val="2"/>
                <w:highlight w:val="black"/>
              </w:rPr>
              <w:t>redacted content</w:t>
            </w:r>
            <w:r w:rsidR="00E937D7" w:rsidRPr="00D41179">
              <w:rPr>
                <w:vertAlign w:val="superscript"/>
              </w:rPr>
              <w:t>3</w:t>
            </w:r>
          </w:p>
          <w:p w14:paraId="2A30888A" w14:textId="624E5ED5" w:rsidR="00117032" w:rsidRPr="00D41179" w:rsidRDefault="00117032" w:rsidP="00F95692">
            <w:pPr>
              <w:pStyle w:val="TableText0"/>
              <w:rPr>
                <w:vertAlign w:val="superscript"/>
              </w:rPr>
            </w:pPr>
            <w:r w:rsidRPr="00D41179">
              <w:t>$</w:t>
            </w:r>
            <w:r w:rsidR="000E1EB2" w:rsidRPr="000E1EB2">
              <w:rPr>
                <w:sz w:val="2"/>
                <w:highlight w:val="black"/>
              </w:rPr>
              <w:t>redacted content</w:t>
            </w:r>
            <w:r w:rsidR="00E937D7" w:rsidRPr="00D41179">
              <w:rPr>
                <w:vertAlign w:val="superscript"/>
              </w:rPr>
              <w:t>4</w:t>
            </w:r>
          </w:p>
          <w:p w14:paraId="22F2E1E3" w14:textId="4CA71377" w:rsidR="00117032" w:rsidRPr="00D41179" w:rsidRDefault="00117032" w:rsidP="00F95692">
            <w:pPr>
              <w:pStyle w:val="TableText0"/>
              <w:rPr>
                <w:vertAlign w:val="superscript"/>
              </w:rPr>
            </w:pPr>
            <w:r w:rsidRPr="00D41179">
              <w:t>$</w:t>
            </w:r>
            <w:r w:rsidR="000E1EB2" w:rsidRPr="000E1EB2">
              <w:rPr>
                <w:sz w:val="2"/>
                <w:highlight w:val="black"/>
              </w:rPr>
              <w:t>redacted content</w:t>
            </w:r>
            <w:r w:rsidR="00E937D7" w:rsidRPr="00D41179">
              <w:rPr>
                <w:vertAlign w:val="superscript"/>
              </w:rPr>
              <w:t>2</w:t>
            </w:r>
          </w:p>
          <w:p w14:paraId="5AD08D71" w14:textId="77777777" w:rsidR="00117032" w:rsidRPr="00D41179" w:rsidRDefault="00117032" w:rsidP="00F95692">
            <w:pPr>
              <w:pStyle w:val="TableText0"/>
            </w:pPr>
          </w:p>
          <w:p w14:paraId="0DCF08F0" w14:textId="77777777" w:rsidR="00117032" w:rsidRPr="00D41179" w:rsidRDefault="00117032" w:rsidP="00F95692">
            <w:pPr>
              <w:pStyle w:val="TableText0"/>
            </w:pPr>
          </w:p>
          <w:p w14:paraId="5A968D58" w14:textId="36AF15DF" w:rsidR="00117032" w:rsidRPr="00D41179" w:rsidRDefault="00117032" w:rsidP="00F95692">
            <w:pPr>
              <w:pStyle w:val="TableText0"/>
              <w:rPr>
                <w:vertAlign w:val="superscript"/>
              </w:rPr>
            </w:pPr>
            <w:r w:rsidRPr="00D41179">
              <w:t>$</w:t>
            </w:r>
            <w:r w:rsidR="000E1EB2" w:rsidRPr="000E1EB2">
              <w:rPr>
                <w:sz w:val="2"/>
                <w:highlight w:val="black"/>
              </w:rPr>
              <w:t>redacted content</w:t>
            </w:r>
            <w:r w:rsidR="00E937D7" w:rsidRPr="00D41179">
              <w:rPr>
                <w:vertAlign w:val="superscript"/>
              </w:rPr>
              <w:t>1</w:t>
            </w:r>
          </w:p>
          <w:p w14:paraId="5CB93E9C" w14:textId="77777777" w:rsidR="00117032" w:rsidRPr="00D41179" w:rsidRDefault="00117032" w:rsidP="00F95692">
            <w:pPr>
              <w:pStyle w:val="TableText0"/>
            </w:pPr>
          </w:p>
          <w:p w14:paraId="49A3D81D" w14:textId="321E9B22" w:rsidR="00117032" w:rsidRPr="00D41179" w:rsidRDefault="00117032" w:rsidP="00F95692">
            <w:pPr>
              <w:pStyle w:val="TableText0"/>
              <w:rPr>
                <w:vertAlign w:val="superscript"/>
              </w:rPr>
            </w:pPr>
            <w:r w:rsidRPr="00D41179">
              <w:t>$</w:t>
            </w:r>
            <w:r w:rsidR="000E1EB2" w:rsidRPr="000E1EB2">
              <w:rPr>
                <w:sz w:val="2"/>
                <w:highlight w:val="black"/>
              </w:rPr>
              <w:t>redacted content</w:t>
            </w:r>
            <w:r w:rsidR="00E937D7" w:rsidRPr="00D41179">
              <w:rPr>
                <w:vertAlign w:val="superscript"/>
              </w:rPr>
              <w:t>5</w:t>
            </w:r>
          </w:p>
          <w:p w14:paraId="2DA6AA87" w14:textId="77777777" w:rsidR="00117032" w:rsidRPr="00D41179" w:rsidRDefault="00117032" w:rsidP="00F95692">
            <w:pPr>
              <w:pStyle w:val="TableText0"/>
            </w:pPr>
          </w:p>
          <w:p w14:paraId="6DE8B649" w14:textId="2F9A61E4" w:rsidR="00117032" w:rsidRPr="00D41179" w:rsidRDefault="00117032" w:rsidP="00F95692">
            <w:pPr>
              <w:pStyle w:val="TableText0"/>
              <w:rPr>
                <w:vertAlign w:val="superscript"/>
              </w:rPr>
            </w:pPr>
            <w:r w:rsidRPr="00D41179">
              <w:t>$</w:t>
            </w:r>
            <w:r w:rsidR="000E1EB2" w:rsidRPr="000E1EB2">
              <w:rPr>
                <w:sz w:val="2"/>
                <w:highlight w:val="black"/>
              </w:rPr>
              <w:t>redacted content</w:t>
            </w:r>
            <w:r w:rsidR="003E0BBD" w:rsidRPr="00D41179">
              <w:rPr>
                <w:vertAlign w:val="superscript"/>
              </w:rPr>
              <w:t>4</w:t>
            </w:r>
          </w:p>
        </w:tc>
        <w:tc>
          <w:tcPr>
            <w:tcW w:w="1614" w:type="dxa"/>
          </w:tcPr>
          <w:p w14:paraId="13A60608" w14:textId="2D475E92" w:rsidR="00117032" w:rsidRPr="00D41179" w:rsidRDefault="00117032" w:rsidP="00F95692">
            <w:pPr>
              <w:pStyle w:val="TableText0"/>
            </w:pPr>
            <w:r w:rsidRPr="00D41179">
              <w:t>-</w:t>
            </w:r>
            <w:r w:rsidR="000E1EB2" w:rsidRPr="000E1EB2">
              <w:rPr>
                <w:sz w:val="2"/>
                <w:highlight w:val="black"/>
              </w:rPr>
              <w:t>redacted content</w:t>
            </w:r>
            <w:r w:rsidRPr="00D41179">
              <w:t>%</w:t>
            </w:r>
          </w:p>
          <w:p w14:paraId="63422FF4" w14:textId="7E60E333" w:rsidR="00117032" w:rsidRPr="00D41179" w:rsidRDefault="00117032" w:rsidP="00F95692">
            <w:pPr>
              <w:pStyle w:val="TableText0"/>
            </w:pPr>
            <w:r w:rsidRPr="00D41179">
              <w:t>+</w:t>
            </w:r>
            <w:r w:rsidR="000E1EB2" w:rsidRPr="000E1EB2">
              <w:rPr>
                <w:sz w:val="2"/>
                <w:highlight w:val="black"/>
              </w:rPr>
              <w:t>redacted content</w:t>
            </w:r>
            <w:r w:rsidRPr="00D41179">
              <w:t>%</w:t>
            </w:r>
          </w:p>
          <w:p w14:paraId="7D3695AE" w14:textId="1FB271CE" w:rsidR="00117032" w:rsidRPr="00D41179" w:rsidRDefault="00117032" w:rsidP="00F95692">
            <w:pPr>
              <w:pStyle w:val="TableText0"/>
            </w:pPr>
            <w:r w:rsidRPr="00D41179">
              <w:t>+</w:t>
            </w:r>
            <w:r w:rsidR="000E1EB2" w:rsidRPr="000E1EB2">
              <w:rPr>
                <w:sz w:val="2"/>
                <w:highlight w:val="black"/>
              </w:rPr>
              <w:t>redacted content</w:t>
            </w:r>
            <w:r w:rsidRPr="00D41179">
              <w:t>%</w:t>
            </w:r>
          </w:p>
          <w:p w14:paraId="32191F96" w14:textId="77777777" w:rsidR="00117032" w:rsidRPr="00D41179" w:rsidRDefault="00117032" w:rsidP="00F95692">
            <w:pPr>
              <w:pStyle w:val="TableText0"/>
            </w:pPr>
          </w:p>
          <w:p w14:paraId="08DD7C36" w14:textId="77777777" w:rsidR="00117032" w:rsidRPr="00D41179" w:rsidRDefault="00117032" w:rsidP="00F95692">
            <w:pPr>
              <w:pStyle w:val="TableText0"/>
            </w:pPr>
          </w:p>
          <w:p w14:paraId="33F2D85E" w14:textId="637956B4" w:rsidR="00117032" w:rsidRPr="00D41179" w:rsidRDefault="00117032" w:rsidP="00F95692">
            <w:pPr>
              <w:pStyle w:val="TableText0"/>
            </w:pPr>
            <w:r w:rsidRPr="00D41179">
              <w:t>-</w:t>
            </w:r>
            <w:r w:rsidR="000E1EB2" w:rsidRPr="000E1EB2">
              <w:rPr>
                <w:sz w:val="2"/>
                <w:highlight w:val="black"/>
              </w:rPr>
              <w:t>redacted content</w:t>
            </w:r>
            <w:r w:rsidRPr="00D41179">
              <w:t>%</w:t>
            </w:r>
          </w:p>
          <w:p w14:paraId="06636332" w14:textId="77777777" w:rsidR="00117032" w:rsidRPr="00D41179" w:rsidRDefault="00117032" w:rsidP="00F95692">
            <w:pPr>
              <w:pStyle w:val="TableText0"/>
            </w:pPr>
          </w:p>
          <w:p w14:paraId="2DE12EDC" w14:textId="3DB8528B" w:rsidR="00117032" w:rsidRPr="00D41179" w:rsidRDefault="00117032" w:rsidP="00F95692">
            <w:pPr>
              <w:pStyle w:val="TableText0"/>
            </w:pPr>
            <w:r w:rsidRPr="00D41179">
              <w:t>+</w:t>
            </w:r>
            <w:r w:rsidR="000E1EB2" w:rsidRPr="000E1EB2">
              <w:rPr>
                <w:sz w:val="2"/>
                <w:highlight w:val="black"/>
              </w:rPr>
              <w:t>redacted content</w:t>
            </w:r>
            <w:r w:rsidRPr="00D41179">
              <w:t>%</w:t>
            </w:r>
          </w:p>
          <w:p w14:paraId="32CF8284" w14:textId="77777777" w:rsidR="00117032" w:rsidRPr="00D41179" w:rsidRDefault="00117032" w:rsidP="00F95692">
            <w:pPr>
              <w:pStyle w:val="TableText0"/>
            </w:pPr>
          </w:p>
          <w:p w14:paraId="5DCEDE90" w14:textId="2B3ED184" w:rsidR="00117032" w:rsidRPr="00D41179" w:rsidRDefault="00117032" w:rsidP="00F95692">
            <w:pPr>
              <w:pStyle w:val="TableText0"/>
            </w:pPr>
            <w:r w:rsidRPr="00D41179">
              <w:t>+</w:t>
            </w:r>
            <w:r w:rsidR="000E1EB2" w:rsidRPr="000E1EB2">
              <w:rPr>
                <w:sz w:val="2"/>
                <w:highlight w:val="black"/>
              </w:rPr>
              <w:t>redacted content</w:t>
            </w:r>
            <w:r w:rsidRPr="00D41179">
              <w:t>%</w:t>
            </w:r>
          </w:p>
        </w:tc>
      </w:tr>
      <w:tr w:rsidR="00117032" w:rsidRPr="00D41179" w14:paraId="6D46B611" w14:textId="77777777">
        <w:trPr>
          <w:trHeight w:val="159"/>
        </w:trPr>
        <w:tc>
          <w:tcPr>
            <w:tcW w:w="9453" w:type="dxa"/>
            <w:gridSpan w:val="5"/>
          </w:tcPr>
          <w:p w14:paraId="19264C38" w14:textId="77777777" w:rsidR="00117032" w:rsidRPr="00D41179" w:rsidRDefault="00117032" w:rsidP="00F95692">
            <w:pPr>
              <w:pStyle w:val="TableText0"/>
            </w:pPr>
            <w:r w:rsidRPr="00D41179">
              <w:t>QALY loss per case HZ - unvaccinated (base case 0.23-0.26)</w:t>
            </w:r>
          </w:p>
        </w:tc>
      </w:tr>
      <w:tr w:rsidR="00117032" w:rsidRPr="00D41179" w14:paraId="21DAC342" w14:textId="77777777">
        <w:trPr>
          <w:trHeight w:val="567"/>
        </w:trPr>
        <w:tc>
          <w:tcPr>
            <w:tcW w:w="2976" w:type="dxa"/>
          </w:tcPr>
          <w:p w14:paraId="4CC38D15" w14:textId="77777777" w:rsidR="00117032" w:rsidRPr="00D41179" w:rsidRDefault="00117032" w:rsidP="00F95692">
            <w:pPr>
              <w:pStyle w:val="TableText0"/>
              <w:numPr>
                <w:ilvl w:val="0"/>
                <w:numId w:val="17"/>
              </w:numPr>
            </w:pPr>
            <w:r w:rsidRPr="00D41179">
              <w:t>Lowest literature estimate (Pieters (2022)</w:t>
            </w:r>
          </w:p>
          <w:p w14:paraId="05082F7B" w14:textId="77777777" w:rsidR="00117032" w:rsidRPr="00D41179" w:rsidRDefault="00117032" w:rsidP="00F95692">
            <w:pPr>
              <w:pStyle w:val="TableText0"/>
              <w:numPr>
                <w:ilvl w:val="0"/>
                <w:numId w:val="17"/>
              </w:numPr>
            </w:pPr>
            <w:r w:rsidRPr="00D41179">
              <w:t>Highest literature estimate (de Boer (2019))</w:t>
            </w:r>
          </w:p>
          <w:p w14:paraId="261234C9" w14:textId="77777777" w:rsidR="00117032" w:rsidRPr="00D41179" w:rsidRDefault="00117032" w:rsidP="00F95692">
            <w:pPr>
              <w:pStyle w:val="TableText0"/>
              <w:numPr>
                <w:ilvl w:val="0"/>
                <w:numId w:val="17"/>
              </w:numPr>
            </w:pPr>
            <w:r w:rsidRPr="00D41179">
              <w:t>-20%</w:t>
            </w:r>
          </w:p>
          <w:p w14:paraId="237FD837" w14:textId="77777777" w:rsidR="00117032" w:rsidRPr="00D41179" w:rsidRDefault="00117032" w:rsidP="00F95692">
            <w:pPr>
              <w:pStyle w:val="TableText0"/>
              <w:numPr>
                <w:ilvl w:val="0"/>
                <w:numId w:val="17"/>
              </w:numPr>
            </w:pPr>
            <w:r w:rsidRPr="00D41179">
              <w:t>+20%</w:t>
            </w:r>
          </w:p>
        </w:tc>
        <w:tc>
          <w:tcPr>
            <w:tcW w:w="1849" w:type="dxa"/>
          </w:tcPr>
          <w:p w14:paraId="7A967D9C" w14:textId="0E071BE6" w:rsidR="00117032" w:rsidRPr="00D41179" w:rsidRDefault="00117032" w:rsidP="00F95692">
            <w:pPr>
              <w:pStyle w:val="TableText0"/>
            </w:pPr>
            <w:r w:rsidRPr="00D41179">
              <w:t>$</w:t>
            </w:r>
            <w:r w:rsidR="000E1EB2" w:rsidRPr="000E1EB2">
              <w:rPr>
                <w:sz w:val="2"/>
                <w:highlight w:val="black"/>
              </w:rPr>
              <w:t>redacted content</w:t>
            </w:r>
          </w:p>
          <w:p w14:paraId="7A5DBC62" w14:textId="77777777" w:rsidR="00117032" w:rsidRPr="00D41179" w:rsidRDefault="00117032" w:rsidP="00F95692">
            <w:pPr>
              <w:pStyle w:val="TableText0"/>
            </w:pPr>
          </w:p>
          <w:p w14:paraId="7910FF66" w14:textId="66998E19" w:rsidR="00117032" w:rsidRPr="00D41179" w:rsidRDefault="00117032" w:rsidP="00F95692">
            <w:pPr>
              <w:pStyle w:val="TableText0"/>
            </w:pPr>
            <w:r w:rsidRPr="00D41179">
              <w:t>$</w:t>
            </w:r>
            <w:r w:rsidR="000E1EB2" w:rsidRPr="000E1EB2">
              <w:rPr>
                <w:sz w:val="2"/>
                <w:highlight w:val="black"/>
              </w:rPr>
              <w:t>redacted content</w:t>
            </w:r>
          </w:p>
          <w:p w14:paraId="1C22D961" w14:textId="77777777" w:rsidR="00117032" w:rsidRPr="00D41179" w:rsidRDefault="00117032" w:rsidP="00F95692">
            <w:pPr>
              <w:pStyle w:val="TableText0"/>
            </w:pPr>
          </w:p>
          <w:p w14:paraId="7FFA124F" w14:textId="47476D39" w:rsidR="00117032" w:rsidRPr="00D41179" w:rsidRDefault="00117032" w:rsidP="00F95692">
            <w:pPr>
              <w:pStyle w:val="TableText0"/>
            </w:pPr>
            <w:r w:rsidRPr="00D41179">
              <w:t>$</w:t>
            </w:r>
            <w:r w:rsidR="000E1EB2" w:rsidRPr="000E1EB2">
              <w:rPr>
                <w:sz w:val="2"/>
                <w:highlight w:val="black"/>
              </w:rPr>
              <w:t>redacted content</w:t>
            </w:r>
          </w:p>
          <w:p w14:paraId="379D6A1E" w14:textId="23BA1C21" w:rsidR="00117032" w:rsidRPr="00D41179" w:rsidRDefault="00117032" w:rsidP="00F95692">
            <w:pPr>
              <w:pStyle w:val="TableText0"/>
            </w:pPr>
            <w:r w:rsidRPr="00D41179">
              <w:t>$</w:t>
            </w:r>
            <w:r w:rsidR="000E1EB2" w:rsidRPr="000E1EB2">
              <w:rPr>
                <w:sz w:val="2"/>
                <w:highlight w:val="black"/>
              </w:rPr>
              <w:t>redacted content</w:t>
            </w:r>
          </w:p>
        </w:tc>
        <w:tc>
          <w:tcPr>
            <w:tcW w:w="1376" w:type="dxa"/>
          </w:tcPr>
          <w:p w14:paraId="2CFCDFD6" w14:textId="77777777" w:rsidR="00117032" w:rsidRPr="00D41179" w:rsidRDefault="00117032" w:rsidP="00F95692">
            <w:pPr>
              <w:pStyle w:val="TableText0"/>
            </w:pPr>
            <w:r w:rsidRPr="00D41179">
              <w:t>1,226</w:t>
            </w:r>
          </w:p>
          <w:p w14:paraId="7C23CD89" w14:textId="77777777" w:rsidR="00117032" w:rsidRPr="00D41179" w:rsidRDefault="00117032" w:rsidP="00F95692">
            <w:pPr>
              <w:pStyle w:val="TableText0"/>
            </w:pPr>
          </w:p>
          <w:p w14:paraId="0490F4D6" w14:textId="77777777" w:rsidR="00117032" w:rsidRPr="00D41179" w:rsidRDefault="00117032" w:rsidP="00F95692">
            <w:pPr>
              <w:pStyle w:val="TableText0"/>
            </w:pPr>
            <w:r w:rsidRPr="00D41179">
              <w:t>3,443</w:t>
            </w:r>
          </w:p>
          <w:p w14:paraId="480D7728" w14:textId="77777777" w:rsidR="00117032" w:rsidRPr="00D41179" w:rsidRDefault="00117032" w:rsidP="00F95692">
            <w:pPr>
              <w:pStyle w:val="TableText0"/>
            </w:pPr>
          </w:p>
          <w:p w14:paraId="47A102F6" w14:textId="77777777" w:rsidR="00117032" w:rsidRPr="00D41179" w:rsidRDefault="00117032" w:rsidP="00F95692">
            <w:pPr>
              <w:pStyle w:val="TableText0"/>
            </w:pPr>
            <w:r w:rsidRPr="00D41179">
              <w:t>1,533</w:t>
            </w:r>
          </w:p>
          <w:p w14:paraId="06FB7182" w14:textId="77777777" w:rsidR="00117032" w:rsidRPr="00D41179" w:rsidRDefault="00117032" w:rsidP="00F95692">
            <w:pPr>
              <w:pStyle w:val="TableText0"/>
            </w:pPr>
            <w:r w:rsidRPr="00D41179">
              <w:t>1,863</w:t>
            </w:r>
          </w:p>
        </w:tc>
        <w:tc>
          <w:tcPr>
            <w:tcW w:w="1638" w:type="dxa"/>
          </w:tcPr>
          <w:p w14:paraId="773E4F68" w14:textId="698094FE" w:rsidR="00117032" w:rsidRPr="00D41179" w:rsidRDefault="00117032" w:rsidP="00F95692">
            <w:pPr>
              <w:pStyle w:val="TableText0"/>
              <w:rPr>
                <w:vertAlign w:val="superscript"/>
              </w:rPr>
            </w:pPr>
            <w:r w:rsidRPr="00D41179">
              <w:t>$</w:t>
            </w:r>
            <w:r w:rsidR="000E1EB2" w:rsidRPr="000E1EB2">
              <w:rPr>
                <w:sz w:val="2"/>
                <w:highlight w:val="black"/>
              </w:rPr>
              <w:t>redacted content</w:t>
            </w:r>
            <w:r w:rsidR="003E0BBD" w:rsidRPr="00D41179">
              <w:rPr>
                <w:vertAlign w:val="superscript"/>
              </w:rPr>
              <w:t>2</w:t>
            </w:r>
          </w:p>
          <w:p w14:paraId="2C79380D" w14:textId="77777777" w:rsidR="00117032" w:rsidRPr="00D41179" w:rsidRDefault="00117032" w:rsidP="00F95692">
            <w:pPr>
              <w:pStyle w:val="TableText0"/>
            </w:pPr>
          </w:p>
          <w:p w14:paraId="41681A86" w14:textId="3C532B63" w:rsidR="00117032" w:rsidRPr="00D41179" w:rsidRDefault="00117032" w:rsidP="00F95692">
            <w:pPr>
              <w:pStyle w:val="TableText0"/>
              <w:rPr>
                <w:vertAlign w:val="superscript"/>
              </w:rPr>
            </w:pPr>
            <w:r w:rsidRPr="00D41179">
              <w:t>$</w:t>
            </w:r>
            <w:r w:rsidR="000E1EB2" w:rsidRPr="000E1EB2">
              <w:rPr>
                <w:sz w:val="2"/>
                <w:highlight w:val="black"/>
              </w:rPr>
              <w:t>redacted content</w:t>
            </w:r>
            <w:r w:rsidR="00DF069F" w:rsidRPr="00D41179">
              <w:rPr>
                <w:vertAlign w:val="superscript"/>
              </w:rPr>
              <w:t>3</w:t>
            </w:r>
          </w:p>
          <w:p w14:paraId="51CE4B50" w14:textId="77777777" w:rsidR="00117032" w:rsidRPr="00D41179" w:rsidRDefault="00117032" w:rsidP="00F95692">
            <w:pPr>
              <w:pStyle w:val="TableText0"/>
            </w:pPr>
          </w:p>
          <w:p w14:paraId="722C2496" w14:textId="677CBACF" w:rsidR="00117032" w:rsidRPr="00D41179" w:rsidRDefault="00117032" w:rsidP="00F95692">
            <w:pPr>
              <w:pStyle w:val="TableText0"/>
              <w:rPr>
                <w:vertAlign w:val="superscript"/>
              </w:rPr>
            </w:pPr>
            <w:r w:rsidRPr="00D41179">
              <w:t>$</w:t>
            </w:r>
            <w:r w:rsidR="000E1EB2" w:rsidRPr="000E1EB2">
              <w:rPr>
                <w:sz w:val="2"/>
                <w:highlight w:val="black"/>
              </w:rPr>
              <w:t>redacted content</w:t>
            </w:r>
            <w:r w:rsidR="003E0BBD" w:rsidRPr="00D41179">
              <w:rPr>
                <w:vertAlign w:val="superscript"/>
              </w:rPr>
              <w:t>2</w:t>
            </w:r>
          </w:p>
          <w:p w14:paraId="2284773E" w14:textId="1E4085CB" w:rsidR="00117032" w:rsidRPr="00D41179" w:rsidRDefault="00117032" w:rsidP="00F95692">
            <w:pPr>
              <w:pStyle w:val="TableText0"/>
              <w:rPr>
                <w:vertAlign w:val="superscript"/>
              </w:rPr>
            </w:pPr>
            <w:r w:rsidRPr="00D41179">
              <w:t>$</w:t>
            </w:r>
            <w:r w:rsidR="000E1EB2" w:rsidRPr="000E1EB2">
              <w:rPr>
                <w:sz w:val="2"/>
                <w:highlight w:val="black"/>
              </w:rPr>
              <w:t>redacted content</w:t>
            </w:r>
            <w:r w:rsidR="003E0BBD" w:rsidRPr="00D41179">
              <w:rPr>
                <w:vertAlign w:val="superscript"/>
              </w:rPr>
              <w:t>1</w:t>
            </w:r>
          </w:p>
        </w:tc>
        <w:tc>
          <w:tcPr>
            <w:tcW w:w="1614" w:type="dxa"/>
          </w:tcPr>
          <w:p w14:paraId="4EDF5CF7" w14:textId="7E752967" w:rsidR="00117032" w:rsidRPr="00D41179" w:rsidRDefault="00117032" w:rsidP="00F95692">
            <w:pPr>
              <w:pStyle w:val="TableText0"/>
            </w:pPr>
            <w:r w:rsidRPr="00D41179">
              <w:t>+</w:t>
            </w:r>
            <w:r w:rsidR="000E1EB2" w:rsidRPr="000E1EB2">
              <w:rPr>
                <w:sz w:val="2"/>
                <w:highlight w:val="black"/>
              </w:rPr>
              <w:t>redacted content</w:t>
            </w:r>
            <w:r w:rsidRPr="00D41179">
              <w:t>%</w:t>
            </w:r>
          </w:p>
          <w:p w14:paraId="69FE4898" w14:textId="77777777" w:rsidR="00117032" w:rsidRPr="00D41179" w:rsidRDefault="00117032" w:rsidP="00F95692">
            <w:pPr>
              <w:pStyle w:val="TableText0"/>
            </w:pPr>
          </w:p>
          <w:p w14:paraId="5B33D964" w14:textId="0A6F2961" w:rsidR="00117032" w:rsidRPr="00D41179" w:rsidRDefault="00117032" w:rsidP="00F95692">
            <w:pPr>
              <w:pStyle w:val="TableText0"/>
            </w:pPr>
            <w:r w:rsidRPr="00D41179">
              <w:t>-</w:t>
            </w:r>
            <w:r w:rsidR="000E1EB2" w:rsidRPr="000E1EB2">
              <w:rPr>
                <w:sz w:val="2"/>
                <w:highlight w:val="black"/>
              </w:rPr>
              <w:t>redacted content</w:t>
            </w:r>
            <w:r w:rsidRPr="00D41179">
              <w:t>%</w:t>
            </w:r>
          </w:p>
          <w:p w14:paraId="6F27B9ED" w14:textId="77777777" w:rsidR="00117032" w:rsidRPr="00D41179" w:rsidRDefault="00117032" w:rsidP="00F95692">
            <w:pPr>
              <w:pStyle w:val="TableText0"/>
            </w:pPr>
          </w:p>
          <w:p w14:paraId="6214A8D0" w14:textId="5B83987E" w:rsidR="00117032" w:rsidRPr="00D41179" w:rsidRDefault="00117032" w:rsidP="00F95692">
            <w:pPr>
              <w:pStyle w:val="TableText0"/>
            </w:pPr>
            <w:r w:rsidRPr="00D41179">
              <w:t>+</w:t>
            </w:r>
            <w:r w:rsidR="000E1EB2" w:rsidRPr="000E1EB2">
              <w:rPr>
                <w:sz w:val="2"/>
                <w:highlight w:val="black"/>
              </w:rPr>
              <w:t>redacted content</w:t>
            </w:r>
            <w:r w:rsidRPr="00D41179">
              <w:t>%</w:t>
            </w:r>
          </w:p>
          <w:p w14:paraId="4D9D2D2C" w14:textId="161CD285" w:rsidR="00117032" w:rsidRPr="00D41179" w:rsidRDefault="00117032" w:rsidP="00F95692">
            <w:pPr>
              <w:pStyle w:val="TableText0"/>
            </w:pPr>
            <w:r w:rsidRPr="00D41179">
              <w:t>-</w:t>
            </w:r>
            <w:r w:rsidR="000E1EB2" w:rsidRPr="000E1EB2">
              <w:rPr>
                <w:sz w:val="2"/>
                <w:highlight w:val="black"/>
              </w:rPr>
              <w:t>redacted content</w:t>
            </w:r>
            <w:r w:rsidRPr="00D41179">
              <w:t>%</w:t>
            </w:r>
          </w:p>
        </w:tc>
      </w:tr>
      <w:tr w:rsidR="00117032" w:rsidRPr="00D41179" w14:paraId="6300CC95" w14:textId="77777777">
        <w:trPr>
          <w:trHeight w:val="213"/>
        </w:trPr>
        <w:tc>
          <w:tcPr>
            <w:tcW w:w="9453" w:type="dxa"/>
            <w:gridSpan w:val="5"/>
          </w:tcPr>
          <w:p w14:paraId="60817F62" w14:textId="77777777" w:rsidR="00117032" w:rsidRPr="00D41179" w:rsidRDefault="00117032" w:rsidP="00F95692">
            <w:pPr>
              <w:pStyle w:val="TableText0"/>
            </w:pPr>
            <w:r w:rsidRPr="00D41179">
              <w:t>Differential QALY loss per case of HZ vaccinated vs unvaccinated (base vaccinated = 35.5% of unvaccinated)</w:t>
            </w:r>
          </w:p>
        </w:tc>
      </w:tr>
      <w:tr w:rsidR="00117032" w:rsidRPr="00D41179" w14:paraId="5C7797CA" w14:textId="77777777">
        <w:trPr>
          <w:trHeight w:val="567"/>
        </w:trPr>
        <w:tc>
          <w:tcPr>
            <w:tcW w:w="2976" w:type="dxa"/>
          </w:tcPr>
          <w:p w14:paraId="30B5653E" w14:textId="77777777" w:rsidR="00117032" w:rsidRPr="00D41179" w:rsidRDefault="00117032" w:rsidP="00F95692">
            <w:pPr>
              <w:pStyle w:val="TableText0"/>
              <w:numPr>
                <w:ilvl w:val="0"/>
                <w:numId w:val="16"/>
              </w:numPr>
            </w:pPr>
            <w:r w:rsidRPr="00D41179">
              <w:t>Lower bound (11%)</w:t>
            </w:r>
          </w:p>
          <w:p w14:paraId="39F9D1B1" w14:textId="77777777" w:rsidR="00117032" w:rsidRPr="00D41179" w:rsidRDefault="00117032" w:rsidP="00F95692">
            <w:pPr>
              <w:pStyle w:val="TableText0"/>
              <w:numPr>
                <w:ilvl w:val="0"/>
                <w:numId w:val="16"/>
              </w:numPr>
            </w:pPr>
            <w:r w:rsidRPr="00D41179">
              <w:t>Upper bound (100%)</w:t>
            </w:r>
          </w:p>
        </w:tc>
        <w:tc>
          <w:tcPr>
            <w:tcW w:w="1849" w:type="dxa"/>
          </w:tcPr>
          <w:p w14:paraId="3FEE48CB" w14:textId="1FC49A5A" w:rsidR="00117032" w:rsidRPr="00D41179" w:rsidRDefault="00117032" w:rsidP="00F95692">
            <w:pPr>
              <w:pStyle w:val="TableText0"/>
            </w:pPr>
            <w:r w:rsidRPr="00D41179">
              <w:t>$</w:t>
            </w:r>
            <w:r w:rsidR="000E1EB2" w:rsidRPr="000E1EB2">
              <w:rPr>
                <w:sz w:val="2"/>
                <w:highlight w:val="black"/>
              </w:rPr>
              <w:t>redacted content</w:t>
            </w:r>
          </w:p>
          <w:p w14:paraId="336B7741" w14:textId="5558318D" w:rsidR="00117032" w:rsidRPr="00D41179" w:rsidRDefault="00117032" w:rsidP="00F95692">
            <w:pPr>
              <w:pStyle w:val="TableText0"/>
            </w:pPr>
            <w:r w:rsidRPr="00D41179">
              <w:t>$</w:t>
            </w:r>
            <w:r w:rsidR="000E1EB2" w:rsidRPr="000E1EB2">
              <w:rPr>
                <w:sz w:val="2"/>
                <w:highlight w:val="black"/>
              </w:rPr>
              <w:t>redacted content</w:t>
            </w:r>
          </w:p>
        </w:tc>
        <w:tc>
          <w:tcPr>
            <w:tcW w:w="1376" w:type="dxa"/>
          </w:tcPr>
          <w:p w14:paraId="3CCAB47B" w14:textId="77777777" w:rsidR="00117032" w:rsidRPr="00D41179" w:rsidRDefault="00117032" w:rsidP="00F95692">
            <w:pPr>
              <w:pStyle w:val="TableText0"/>
            </w:pPr>
            <w:r w:rsidRPr="00D41179">
              <w:t>1,730</w:t>
            </w:r>
          </w:p>
          <w:p w14:paraId="477AB18B" w14:textId="77777777" w:rsidR="00117032" w:rsidRPr="00D41179" w:rsidRDefault="00117032" w:rsidP="00F95692">
            <w:pPr>
              <w:pStyle w:val="TableText0"/>
            </w:pPr>
            <w:r w:rsidRPr="00D41179">
              <w:t>1,613</w:t>
            </w:r>
          </w:p>
        </w:tc>
        <w:tc>
          <w:tcPr>
            <w:tcW w:w="1638" w:type="dxa"/>
          </w:tcPr>
          <w:p w14:paraId="48F9F9B0" w14:textId="2ECA22D9" w:rsidR="00117032" w:rsidRPr="00D41179" w:rsidRDefault="00117032" w:rsidP="00F95692">
            <w:pPr>
              <w:pStyle w:val="TableText0"/>
              <w:rPr>
                <w:vertAlign w:val="superscript"/>
              </w:rPr>
            </w:pPr>
            <w:r w:rsidRPr="00D41179">
              <w:t>$</w:t>
            </w:r>
            <w:r w:rsidR="000E1EB2" w:rsidRPr="000E1EB2">
              <w:rPr>
                <w:sz w:val="2"/>
                <w:highlight w:val="black"/>
              </w:rPr>
              <w:t>redacted content</w:t>
            </w:r>
            <w:r w:rsidR="003E0BBD" w:rsidRPr="00D41179">
              <w:rPr>
                <w:vertAlign w:val="superscript"/>
              </w:rPr>
              <w:t>1</w:t>
            </w:r>
          </w:p>
          <w:p w14:paraId="38ECA6C3" w14:textId="0B227EA5" w:rsidR="00117032" w:rsidRPr="00D41179" w:rsidRDefault="00117032" w:rsidP="00F95692">
            <w:pPr>
              <w:pStyle w:val="TableText0"/>
              <w:rPr>
                <w:vertAlign w:val="superscript"/>
              </w:rPr>
            </w:pPr>
            <w:r w:rsidRPr="00D41179">
              <w:t>$</w:t>
            </w:r>
            <w:r w:rsidR="000E1EB2" w:rsidRPr="000E1EB2">
              <w:rPr>
                <w:sz w:val="2"/>
                <w:highlight w:val="black"/>
              </w:rPr>
              <w:t>redacted content</w:t>
            </w:r>
            <w:r w:rsidR="00EB5BA4" w:rsidRPr="00D41179">
              <w:rPr>
                <w:vertAlign w:val="superscript"/>
              </w:rPr>
              <w:t>2</w:t>
            </w:r>
          </w:p>
        </w:tc>
        <w:tc>
          <w:tcPr>
            <w:tcW w:w="1614" w:type="dxa"/>
          </w:tcPr>
          <w:p w14:paraId="69C647CD" w14:textId="3D1B2040" w:rsidR="00117032" w:rsidRPr="00D41179" w:rsidRDefault="00117032" w:rsidP="00F95692">
            <w:pPr>
              <w:pStyle w:val="TableText0"/>
            </w:pPr>
            <w:r w:rsidRPr="00D41179">
              <w:t>-</w:t>
            </w:r>
            <w:r w:rsidR="000E1EB2" w:rsidRPr="000E1EB2">
              <w:rPr>
                <w:sz w:val="2"/>
                <w:highlight w:val="black"/>
              </w:rPr>
              <w:t>redacted content</w:t>
            </w:r>
            <w:r w:rsidRPr="00D41179">
              <w:t>%</w:t>
            </w:r>
          </w:p>
          <w:p w14:paraId="76BD6FD1" w14:textId="276AF6B8" w:rsidR="00117032" w:rsidRPr="00D41179" w:rsidRDefault="00117032" w:rsidP="00F95692">
            <w:pPr>
              <w:pStyle w:val="TableText0"/>
            </w:pPr>
            <w:r w:rsidRPr="00D41179">
              <w:t>+</w:t>
            </w:r>
            <w:r w:rsidR="000E1EB2" w:rsidRPr="000E1EB2">
              <w:rPr>
                <w:sz w:val="2"/>
                <w:highlight w:val="black"/>
              </w:rPr>
              <w:t>redacted content</w:t>
            </w:r>
            <w:r w:rsidRPr="00D41179">
              <w:t>%</w:t>
            </w:r>
          </w:p>
        </w:tc>
      </w:tr>
      <w:tr w:rsidR="00117032" w:rsidRPr="00D41179" w14:paraId="705AD01D" w14:textId="77777777">
        <w:trPr>
          <w:trHeight w:val="253"/>
        </w:trPr>
        <w:tc>
          <w:tcPr>
            <w:tcW w:w="9453" w:type="dxa"/>
            <w:gridSpan w:val="5"/>
          </w:tcPr>
          <w:p w14:paraId="73070BC1" w14:textId="77777777" w:rsidR="00117032" w:rsidRPr="00D41179" w:rsidRDefault="00117032" w:rsidP="00F95692">
            <w:pPr>
              <w:pStyle w:val="TableText0"/>
            </w:pPr>
            <w:r w:rsidRPr="00D41179">
              <w:t>QALY loss per case of PHN (base case (0.18-0.22)</w:t>
            </w:r>
          </w:p>
        </w:tc>
      </w:tr>
      <w:tr w:rsidR="00117032" w:rsidRPr="00D41179" w14:paraId="44B9C1E9" w14:textId="77777777" w:rsidTr="009A2566">
        <w:trPr>
          <w:trHeight w:val="491"/>
        </w:trPr>
        <w:tc>
          <w:tcPr>
            <w:tcW w:w="2976" w:type="dxa"/>
          </w:tcPr>
          <w:p w14:paraId="66EEE30A" w14:textId="77777777" w:rsidR="00117032" w:rsidRPr="00D41179" w:rsidRDefault="00117032" w:rsidP="00F95692">
            <w:pPr>
              <w:pStyle w:val="TableText0"/>
              <w:numPr>
                <w:ilvl w:val="0"/>
                <w:numId w:val="16"/>
              </w:numPr>
            </w:pPr>
            <w:r w:rsidRPr="00D41179">
              <w:t>Lowest literature estimate (0.106)</w:t>
            </w:r>
          </w:p>
          <w:p w14:paraId="7588F63C" w14:textId="77777777" w:rsidR="00117032" w:rsidRPr="00D41179" w:rsidRDefault="00117032" w:rsidP="00F95692">
            <w:pPr>
              <w:pStyle w:val="TableText0"/>
              <w:numPr>
                <w:ilvl w:val="0"/>
                <w:numId w:val="16"/>
              </w:numPr>
            </w:pPr>
            <w:r w:rsidRPr="00D41179">
              <w:t>Highest literature estimate (0.314)</w:t>
            </w:r>
          </w:p>
          <w:p w14:paraId="225B4273" w14:textId="77777777" w:rsidR="00117032" w:rsidRPr="00D41179" w:rsidRDefault="00117032" w:rsidP="00F95692">
            <w:pPr>
              <w:pStyle w:val="TableText0"/>
              <w:numPr>
                <w:ilvl w:val="0"/>
                <w:numId w:val="16"/>
              </w:numPr>
            </w:pPr>
            <w:r w:rsidRPr="00D41179">
              <w:t>-20%</w:t>
            </w:r>
          </w:p>
          <w:p w14:paraId="221109ED" w14:textId="77777777" w:rsidR="00117032" w:rsidRPr="00D41179" w:rsidRDefault="00117032" w:rsidP="00F95692">
            <w:pPr>
              <w:pStyle w:val="TableText0"/>
              <w:numPr>
                <w:ilvl w:val="0"/>
                <w:numId w:val="16"/>
              </w:numPr>
            </w:pPr>
            <w:r w:rsidRPr="00D41179">
              <w:t>+20%</w:t>
            </w:r>
          </w:p>
        </w:tc>
        <w:tc>
          <w:tcPr>
            <w:tcW w:w="1849" w:type="dxa"/>
          </w:tcPr>
          <w:p w14:paraId="02B67BE7" w14:textId="6BD3C020" w:rsidR="00117032" w:rsidRPr="00D41179" w:rsidRDefault="00117032" w:rsidP="00F95692">
            <w:pPr>
              <w:pStyle w:val="TableText0"/>
            </w:pPr>
            <w:r w:rsidRPr="00D41179">
              <w:t>$</w:t>
            </w:r>
            <w:r w:rsidR="000E1EB2" w:rsidRPr="000E1EB2">
              <w:rPr>
                <w:sz w:val="2"/>
                <w:highlight w:val="black"/>
              </w:rPr>
              <w:t>redacted content</w:t>
            </w:r>
          </w:p>
          <w:p w14:paraId="2DBC063D" w14:textId="77777777" w:rsidR="00117032" w:rsidRPr="00D41179" w:rsidRDefault="00117032" w:rsidP="00F95692">
            <w:pPr>
              <w:pStyle w:val="TableText0"/>
            </w:pPr>
          </w:p>
          <w:p w14:paraId="21482A48" w14:textId="50E42B7D" w:rsidR="00117032" w:rsidRPr="00D41179" w:rsidRDefault="00117032" w:rsidP="00F95692">
            <w:pPr>
              <w:pStyle w:val="TableText0"/>
            </w:pPr>
            <w:r w:rsidRPr="00D41179">
              <w:t>$</w:t>
            </w:r>
            <w:r w:rsidR="000E1EB2" w:rsidRPr="000E1EB2">
              <w:rPr>
                <w:sz w:val="2"/>
                <w:highlight w:val="black"/>
              </w:rPr>
              <w:t>redacted content</w:t>
            </w:r>
          </w:p>
          <w:p w14:paraId="688AC7A6" w14:textId="77777777" w:rsidR="00117032" w:rsidRPr="00D41179" w:rsidRDefault="00117032" w:rsidP="00F95692">
            <w:pPr>
              <w:pStyle w:val="TableText0"/>
            </w:pPr>
          </w:p>
          <w:p w14:paraId="2F1A0DB0" w14:textId="32D15E91" w:rsidR="00117032" w:rsidRPr="00D41179" w:rsidRDefault="00117032" w:rsidP="00F95692">
            <w:pPr>
              <w:pStyle w:val="TableText0"/>
            </w:pPr>
            <w:r w:rsidRPr="00D41179">
              <w:t>$</w:t>
            </w:r>
            <w:r w:rsidR="000E1EB2" w:rsidRPr="000E1EB2">
              <w:rPr>
                <w:sz w:val="2"/>
                <w:highlight w:val="black"/>
              </w:rPr>
              <w:t>redacted content</w:t>
            </w:r>
          </w:p>
          <w:p w14:paraId="158BDF5F" w14:textId="33D0075C" w:rsidR="00117032" w:rsidRPr="00D41179" w:rsidRDefault="00117032" w:rsidP="00F95692">
            <w:pPr>
              <w:pStyle w:val="TableText0"/>
            </w:pPr>
            <w:r w:rsidRPr="00D41179">
              <w:t>$</w:t>
            </w:r>
            <w:r w:rsidR="000E1EB2" w:rsidRPr="000E1EB2">
              <w:rPr>
                <w:sz w:val="2"/>
                <w:highlight w:val="black"/>
              </w:rPr>
              <w:t>redacted content</w:t>
            </w:r>
          </w:p>
        </w:tc>
        <w:tc>
          <w:tcPr>
            <w:tcW w:w="1376" w:type="dxa"/>
          </w:tcPr>
          <w:p w14:paraId="32050F76" w14:textId="77777777" w:rsidR="00117032" w:rsidRPr="00D41179" w:rsidRDefault="00117032" w:rsidP="00F95692">
            <w:pPr>
              <w:pStyle w:val="TableText0"/>
            </w:pPr>
            <w:r w:rsidRPr="00D41179">
              <w:t>1,283</w:t>
            </w:r>
          </w:p>
          <w:p w14:paraId="072EF471" w14:textId="77777777" w:rsidR="00117032" w:rsidRPr="00D41179" w:rsidRDefault="00117032" w:rsidP="00F95692">
            <w:pPr>
              <w:pStyle w:val="TableText0"/>
            </w:pPr>
          </w:p>
          <w:p w14:paraId="2F644CF9" w14:textId="77777777" w:rsidR="00117032" w:rsidRPr="00D41179" w:rsidRDefault="00117032" w:rsidP="00F95692">
            <w:pPr>
              <w:pStyle w:val="TableText0"/>
            </w:pPr>
            <w:r w:rsidRPr="00D41179">
              <w:t>2,334</w:t>
            </w:r>
          </w:p>
          <w:p w14:paraId="35E9AF98" w14:textId="77777777" w:rsidR="00117032" w:rsidRPr="00D41179" w:rsidRDefault="00117032" w:rsidP="00F95692">
            <w:pPr>
              <w:pStyle w:val="TableText0"/>
            </w:pPr>
          </w:p>
          <w:p w14:paraId="61022A77" w14:textId="77777777" w:rsidR="00117032" w:rsidRPr="00D41179" w:rsidRDefault="00117032" w:rsidP="00F95692">
            <w:pPr>
              <w:pStyle w:val="TableText0"/>
            </w:pPr>
            <w:r w:rsidRPr="00D41179">
              <w:t>1,440</w:t>
            </w:r>
          </w:p>
          <w:p w14:paraId="2B2405AD" w14:textId="77777777" w:rsidR="00117032" w:rsidRPr="00D41179" w:rsidRDefault="00117032" w:rsidP="00F95692">
            <w:pPr>
              <w:pStyle w:val="TableText0"/>
            </w:pPr>
            <w:r w:rsidRPr="00D41179">
              <w:t>1,786</w:t>
            </w:r>
          </w:p>
        </w:tc>
        <w:tc>
          <w:tcPr>
            <w:tcW w:w="1638" w:type="dxa"/>
          </w:tcPr>
          <w:p w14:paraId="1FFA8DA6" w14:textId="614356DE" w:rsidR="00117032" w:rsidRPr="00D41179" w:rsidRDefault="00117032" w:rsidP="00F95692">
            <w:pPr>
              <w:pStyle w:val="TableText0"/>
              <w:rPr>
                <w:vertAlign w:val="superscript"/>
              </w:rPr>
            </w:pPr>
            <w:r w:rsidRPr="00D41179">
              <w:t>$</w:t>
            </w:r>
            <w:r w:rsidR="000E1EB2" w:rsidRPr="000E1EB2">
              <w:rPr>
                <w:sz w:val="2"/>
                <w:highlight w:val="black"/>
              </w:rPr>
              <w:t>redacted content</w:t>
            </w:r>
            <w:r w:rsidR="00EB5BA4" w:rsidRPr="00D41179">
              <w:rPr>
                <w:vertAlign w:val="superscript"/>
              </w:rPr>
              <w:t>2</w:t>
            </w:r>
          </w:p>
          <w:p w14:paraId="6A18DDF0" w14:textId="77777777" w:rsidR="00117032" w:rsidRPr="00D41179" w:rsidRDefault="00117032" w:rsidP="00F95692">
            <w:pPr>
              <w:pStyle w:val="TableText0"/>
            </w:pPr>
          </w:p>
          <w:p w14:paraId="570728B6" w14:textId="15293120" w:rsidR="00117032" w:rsidRPr="00D41179" w:rsidRDefault="00117032" w:rsidP="00F95692">
            <w:pPr>
              <w:pStyle w:val="TableText0"/>
              <w:rPr>
                <w:vertAlign w:val="superscript"/>
              </w:rPr>
            </w:pPr>
            <w:r w:rsidRPr="00D41179">
              <w:t>$</w:t>
            </w:r>
            <w:r w:rsidR="000E1EB2" w:rsidRPr="000E1EB2">
              <w:rPr>
                <w:sz w:val="2"/>
                <w:highlight w:val="black"/>
              </w:rPr>
              <w:t>redacted content</w:t>
            </w:r>
            <w:r w:rsidR="00EB5BA4" w:rsidRPr="00D41179">
              <w:rPr>
                <w:vertAlign w:val="superscript"/>
              </w:rPr>
              <w:t>1</w:t>
            </w:r>
          </w:p>
          <w:p w14:paraId="48B1B6DE" w14:textId="77777777" w:rsidR="00117032" w:rsidRPr="00D41179" w:rsidRDefault="00117032" w:rsidP="00F95692">
            <w:pPr>
              <w:pStyle w:val="TableText0"/>
            </w:pPr>
          </w:p>
          <w:p w14:paraId="64C139F0" w14:textId="1D9F6092" w:rsidR="00117032" w:rsidRPr="00D41179" w:rsidRDefault="00117032" w:rsidP="00F95692">
            <w:pPr>
              <w:pStyle w:val="TableText0"/>
              <w:rPr>
                <w:vertAlign w:val="superscript"/>
              </w:rPr>
            </w:pPr>
            <w:r w:rsidRPr="00D41179">
              <w:t>$</w:t>
            </w:r>
            <w:r w:rsidR="000E1EB2" w:rsidRPr="000E1EB2">
              <w:rPr>
                <w:sz w:val="2"/>
                <w:highlight w:val="black"/>
              </w:rPr>
              <w:t>redacted content</w:t>
            </w:r>
            <w:r w:rsidR="00EB5BA4" w:rsidRPr="00D41179">
              <w:rPr>
                <w:vertAlign w:val="superscript"/>
              </w:rPr>
              <w:t>2</w:t>
            </w:r>
          </w:p>
          <w:p w14:paraId="63D89D7A" w14:textId="25967306" w:rsidR="00117032" w:rsidRPr="00D41179" w:rsidRDefault="00117032" w:rsidP="00F95692">
            <w:pPr>
              <w:pStyle w:val="TableText0"/>
              <w:rPr>
                <w:vertAlign w:val="superscript"/>
              </w:rPr>
            </w:pPr>
            <w:r w:rsidRPr="00D41179">
              <w:t>$</w:t>
            </w:r>
            <w:r w:rsidR="000E1EB2" w:rsidRPr="000E1EB2">
              <w:rPr>
                <w:sz w:val="2"/>
                <w:highlight w:val="black"/>
              </w:rPr>
              <w:t>redacted content</w:t>
            </w:r>
            <w:r w:rsidR="00EB5BA4" w:rsidRPr="00D41179">
              <w:rPr>
                <w:vertAlign w:val="superscript"/>
              </w:rPr>
              <w:t>1</w:t>
            </w:r>
          </w:p>
        </w:tc>
        <w:tc>
          <w:tcPr>
            <w:tcW w:w="1614" w:type="dxa"/>
          </w:tcPr>
          <w:p w14:paraId="081E43BD" w14:textId="57DC52CE" w:rsidR="00117032" w:rsidRPr="00D41179" w:rsidRDefault="00117032" w:rsidP="00F95692">
            <w:pPr>
              <w:pStyle w:val="TableText0"/>
            </w:pPr>
            <w:r w:rsidRPr="00D41179">
              <w:t>+</w:t>
            </w:r>
            <w:r w:rsidR="000E1EB2" w:rsidRPr="000E1EB2">
              <w:rPr>
                <w:sz w:val="2"/>
                <w:highlight w:val="black"/>
              </w:rPr>
              <w:t>redacted content</w:t>
            </w:r>
            <w:r w:rsidRPr="00D41179">
              <w:t>%</w:t>
            </w:r>
          </w:p>
          <w:p w14:paraId="0C196B27" w14:textId="77777777" w:rsidR="00117032" w:rsidRPr="00D41179" w:rsidRDefault="00117032" w:rsidP="00F95692">
            <w:pPr>
              <w:pStyle w:val="TableText0"/>
            </w:pPr>
          </w:p>
          <w:p w14:paraId="46306134" w14:textId="4A7A3189" w:rsidR="00117032" w:rsidRPr="00D41179" w:rsidRDefault="00117032" w:rsidP="00F95692">
            <w:pPr>
              <w:pStyle w:val="TableText0"/>
            </w:pPr>
            <w:r w:rsidRPr="00D41179">
              <w:t>-</w:t>
            </w:r>
            <w:r w:rsidR="000E1EB2" w:rsidRPr="000E1EB2">
              <w:rPr>
                <w:sz w:val="2"/>
                <w:highlight w:val="black"/>
              </w:rPr>
              <w:t>redacted content</w:t>
            </w:r>
            <w:r w:rsidRPr="00D41179">
              <w:t>%</w:t>
            </w:r>
          </w:p>
          <w:p w14:paraId="490DDDE8" w14:textId="77777777" w:rsidR="00117032" w:rsidRPr="00D41179" w:rsidRDefault="00117032" w:rsidP="00F95692">
            <w:pPr>
              <w:pStyle w:val="TableText0"/>
            </w:pPr>
          </w:p>
          <w:p w14:paraId="3406FB34" w14:textId="2ADBDBEE" w:rsidR="00117032" w:rsidRPr="00D41179" w:rsidRDefault="00117032" w:rsidP="00F95692">
            <w:pPr>
              <w:pStyle w:val="TableText0"/>
            </w:pPr>
            <w:r w:rsidRPr="00D41179">
              <w:t>+</w:t>
            </w:r>
            <w:r w:rsidR="000E1EB2" w:rsidRPr="000E1EB2">
              <w:rPr>
                <w:sz w:val="2"/>
                <w:highlight w:val="black"/>
              </w:rPr>
              <w:t>redacted content</w:t>
            </w:r>
            <w:r w:rsidRPr="00D41179">
              <w:t>%</w:t>
            </w:r>
          </w:p>
          <w:p w14:paraId="0ADFBF47" w14:textId="09C1181E" w:rsidR="00117032" w:rsidRPr="00D41179" w:rsidRDefault="00117032" w:rsidP="00F95692">
            <w:pPr>
              <w:pStyle w:val="TableText0"/>
            </w:pPr>
            <w:r w:rsidRPr="00D41179">
              <w:t>-</w:t>
            </w:r>
            <w:r w:rsidR="000E1EB2" w:rsidRPr="000E1EB2">
              <w:rPr>
                <w:sz w:val="2"/>
                <w:highlight w:val="black"/>
              </w:rPr>
              <w:t>redacted content</w:t>
            </w:r>
            <w:r w:rsidRPr="00D41179">
              <w:t>%</w:t>
            </w:r>
          </w:p>
        </w:tc>
      </w:tr>
      <w:tr w:rsidR="00117032" w:rsidRPr="00D41179" w14:paraId="5A9ABBA1" w14:textId="2C29BEF7">
        <w:trPr>
          <w:trHeight w:val="227"/>
        </w:trPr>
        <w:tc>
          <w:tcPr>
            <w:tcW w:w="7839" w:type="dxa"/>
            <w:gridSpan w:val="4"/>
          </w:tcPr>
          <w:p w14:paraId="2550ED8D" w14:textId="25B96D6F" w:rsidR="00117032" w:rsidRPr="00D41179" w:rsidRDefault="00117032" w:rsidP="00294858">
            <w:pPr>
              <w:pStyle w:val="In-tableHeading"/>
            </w:pPr>
            <w:r w:rsidRPr="00D41179">
              <w:t>Multivariate analyses</w:t>
            </w:r>
          </w:p>
        </w:tc>
        <w:tc>
          <w:tcPr>
            <w:tcW w:w="1614" w:type="dxa"/>
          </w:tcPr>
          <w:p w14:paraId="2CB5EEE6" w14:textId="55A81490" w:rsidR="00117032" w:rsidRPr="00D41179" w:rsidRDefault="00117032" w:rsidP="00294858">
            <w:pPr>
              <w:pStyle w:val="In-tableHeading"/>
            </w:pPr>
          </w:p>
        </w:tc>
      </w:tr>
      <w:tr w:rsidR="00117032" w:rsidRPr="00D41179" w14:paraId="1DC374B0" w14:textId="6620B6A8">
        <w:trPr>
          <w:trHeight w:val="1155"/>
        </w:trPr>
        <w:tc>
          <w:tcPr>
            <w:tcW w:w="2976" w:type="dxa"/>
          </w:tcPr>
          <w:p w14:paraId="7D1CF3AA" w14:textId="2239F3CD" w:rsidR="00117032" w:rsidRPr="00D41179" w:rsidRDefault="00117032" w:rsidP="00F95692">
            <w:pPr>
              <w:pStyle w:val="TableText0"/>
            </w:pPr>
            <w:r w:rsidRPr="00D41179">
              <w:t>Upper bound of 2-dose waning function + no baseline difference in QALY loss per-HZ case between vaccinated and unvaccinated individuals</w:t>
            </w:r>
          </w:p>
        </w:tc>
        <w:tc>
          <w:tcPr>
            <w:tcW w:w="1849" w:type="dxa"/>
          </w:tcPr>
          <w:p w14:paraId="5ABCBB57" w14:textId="1C11C273" w:rsidR="00117032" w:rsidRPr="00D41179" w:rsidRDefault="00117032" w:rsidP="00F95692">
            <w:pPr>
              <w:pStyle w:val="TableText0"/>
            </w:pPr>
            <w:r w:rsidRPr="00D41179">
              <w:t>$</w:t>
            </w:r>
            <w:r w:rsidR="000E1EB2" w:rsidRPr="000E1EB2">
              <w:rPr>
                <w:sz w:val="2"/>
                <w:highlight w:val="black"/>
              </w:rPr>
              <w:t>redacted content</w:t>
            </w:r>
          </w:p>
        </w:tc>
        <w:tc>
          <w:tcPr>
            <w:tcW w:w="1376" w:type="dxa"/>
          </w:tcPr>
          <w:p w14:paraId="156BD8BE" w14:textId="35C47878" w:rsidR="00117032" w:rsidRPr="00D41179" w:rsidRDefault="00117032" w:rsidP="00F95692">
            <w:pPr>
              <w:pStyle w:val="TableText0"/>
            </w:pPr>
            <w:r w:rsidRPr="00D41179">
              <w:t>1,219</w:t>
            </w:r>
          </w:p>
          <w:p w14:paraId="6566A638" w14:textId="4D4E5575" w:rsidR="00117032" w:rsidRPr="00D41179" w:rsidRDefault="00117032" w:rsidP="00F95692">
            <w:pPr>
              <w:pStyle w:val="TableText0"/>
            </w:pPr>
          </w:p>
        </w:tc>
        <w:tc>
          <w:tcPr>
            <w:tcW w:w="1638" w:type="dxa"/>
          </w:tcPr>
          <w:p w14:paraId="2E03B133" w14:textId="49DDFCD2" w:rsidR="00117032" w:rsidRPr="00D41179" w:rsidRDefault="00117032" w:rsidP="00F95692">
            <w:pPr>
              <w:pStyle w:val="TableText0"/>
              <w:rPr>
                <w:vertAlign w:val="superscript"/>
              </w:rPr>
            </w:pPr>
            <w:r w:rsidRPr="00D41179">
              <w:t>$</w:t>
            </w:r>
            <w:r w:rsidR="000E1EB2" w:rsidRPr="000E1EB2">
              <w:rPr>
                <w:sz w:val="2"/>
                <w:highlight w:val="black"/>
              </w:rPr>
              <w:t>redacted content</w:t>
            </w:r>
            <w:r w:rsidR="00EB5BA4" w:rsidRPr="00D41179">
              <w:rPr>
                <w:vertAlign w:val="superscript"/>
              </w:rPr>
              <w:t>4</w:t>
            </w:r>
          </w:p>
          <w:p w14:paraId="5EB1B8DC" w14:textId="654CD5E2" w:rsidR="00117032" w:rsidRPr="00D41179" w:rsidRDefault="00117032" w:rsidP="00F95692">
            <w:pPr>
              <w:pStyle w:val="TableText0"/>
            </w:pPr>
          </w:p>
        </w:tc>
        <w:tc>
          <w:tcPr>
            <w:tcW w:w="1614" w:type="dxa"/>
          </w:tcPr>
          <w:p w14:paraId="630DA6C3" w14:textId="7521647C" w:rsidR="00117032" w:rsidRPr="00D41179" w:rsidRDefault="00117032" w:rsidP="00F95692">
            <w:pPr>
              <w:pStyle w:val="TableText0"/>
            </w:pPr>
            <w:r w:rsidRPr="00D41179">
              <w:t>+</w:t>
            </w:r>
            <w:r w:rsidR="000E1EB2" w:rsidRPr="000E1EB2">
              <w:rPr>
                <w:sz w:val="2"/>
                <w:highlight w:val="black"/>
              </w:rPr>
              <w:t>redacted content</w:t>
            </w:r>
            <w:r w:rsidRPr="00D41179">
              <w:t>%</w:t>
            </w:r>
          </w:p>
        </w:tc>
      </w:tr>
      <w:tr w:rsidR="00117032" w:rsidRPr="00D41179" w14:paraId="01C5AC5F" w14:textId="6BC3B184">
        <w:trPr>
          <w:trHeight w:val="1155"/>
        </w:trPr>
        <w:tc>
          <w:tcPr>
            <w:tcW w:w="2976" w:type="dxa"/>
          </w:tcPr>
          <w:p w14:paraId="6E60425A" w14:textId="56674866" w:rsidR="00117032" w:rsidRPr="00D41179" w:rsidRDefault="00117032" w:rsidP="00F95692">
            <w:pPr>
              <w:pStyle w:val="TableText0"/>
            </w:pPr>
            <w:r w:rsidRPr="00D41179">
              <w:lastRenderedPageBreak/>
              <w:t xml:space="preserve">Upper bound of 2-dose waning function + no baseline difference in QALY loss per-HZ case between vaccinated and unvaccinated individuals + lower bound (-20%) of HZ and PHN QALY loss. </w:t>
            </w:r>
          </w:p>
        </w:tc>
        <w:tc>
          <w:tcPr>
            <w:tcW w:w="1849" w:type="dxa"/>
          </w:tcPr>
          <w:p w14:paraId="7DDE5C4B" w14:textId="5DF2E26E" w:rsidR="00117032" w:rsidRPr="00D41179" w:rsidRDefault="00117032" w:rsidP="00F95692">
            <w:pPr>
              <w:pStyle w:val="TableText0"/>
            </w:pPr>
            <w:r w:rsidRPr="00D41179">
              <w:t>$</w:t>
            </w:r>
            <w:r w:rsidR="000E1EB2" w:rsidRPr="000E1EB2">
              <w:rPr>
                <w:sz w:val="2"/>
                <w:highlight w:val="black"/>
              </w:rPr>
              <w:t>redacted content</w:t>
            </w:r>
          </w:p>
        </w:tc>
        <w:tc>
          <w:tcPr>
            <w:tcW w:w="1376" w:type="dxa"/>
          </w:tcPr>
          <w:p w14:paraId="5687B523" w14:textId="1AE5ACDC" w:rsidR="00117032" w:rsidRPr="00D41179" w:rsidRDefault="00117032" w:rsidP="00F95692">
            <w:pPr>
              <w:pStyle w:val="TableText0"/>
            </w:pPr>
            <w:r w:rsidRPr="00D41179">
              <w:t>981</w:t>
            </w:r>
          </w:p>
        </w:tc>
        <w:tc>
          <w:tcPr>
            <w:tcW w:w="1638" w:type="dxa"/>
          </w:tcPr>
          <w:p w14:paraId="2F3CDE5A" w14:textId="02D0B3B5" w:rsidR="00117032" w:rsidRPr="00D41179" w:rsidRDefault="00117032" w:rsidP="00F95692">
            <w:pPr>
              <w:pStyle w:val="TableText0"/>
              <w:rPr>
                <w:vertAlign w:val="superscript"/>
              </w:rPr>
            </w:pPr>
            <w:r w:rsidRPr="00D41179">
              <w:t>$</w:t>
            </w:r>
            <w:r w:rsidR="000E1EB2" w:rsidRPr="000E1EB2">
              <w:rPr>
                <w:sz w:val="2"/>
                <w:highlight w:val="black"/>
              </w:rPr>
              <w:t>redacted content</w:t>
            </w:r>
            <w:r w:rsidR="00DF069F" w:rsidRPr="00D41179">
              <w:rPr>
                <w:vertAlign w:val="superscript"/>
              </w:rPr>
              <w:t>6</w:t>
            </w:r>
          </w:p>
        </w:tc>
        <w:tc>
          <w:tcPr>
            <w:tcW w:w="1614" w:type="dxa"/>
          </w:tcPr>
          <w:p w14:paraId="4D2AE5FB" w14:textId="39BA7169" w:rsidR="00117032" w:rsidRPr="00D41179" w:rsidRDefault="00117032" w:rsidP="00F95692">
            <w:pPr>
              <w:pStyle w:val="TableText0"/>
            </w:pPr>
            <w:r w:rsidRPr="00D41179">
              <w:t>+</w:t>
            </w:r>
            <w:r w:rsidR="000E1EB2" w:rsidRPr="000E1EB2">
              <w:rPr>
                <w:sz w:val="2"/>
                <w:highlight w:val="black"/>
              </w:rPr>
              <w:t>redacted content</w:t>
            </w:r>
            <w:r w:rsidRPr="00D41179">
              <w:t>%</w:t>
            </w:r>
          </w:p>
        </w:tc>
      </w:tr>
    </w:tbl>
    <w:p w14:paraId="77B7A070" w14:textId="77777777" w:rsidR="00DB593C" w:rsidRPr="00D41179" w:rsidRDefault="00DB593C" w:rsidP="000A113F">
      <w:pPr>
        <w:pStyle w:val="TableFigureFooter"/>
        <w:rPr>
          <w:i/>
          <w:iCs/>
        </w:rPr>
      </w:pPr>
      <w:r w:rsidRPr="00D41179">
        <w:t>Source: compiled during the evaluation using the economic model attachment 10a”Shingrix 60-64 – ZONA CEA”.</w:t>
      </w:r>
    </w:p>
    <w:p w14:paraId="014C77A5" w14:textId="67C4D332" w:rsidR="00BD6604" w:rsidRPr="002A346D" w:rsidRDefault="00DB593C" w:rsidP="000A113F">
      <w:pPr>
        <w:pStyle w:val="TableFigureFooter"/>
        <w:rPr>
          <w:i/>
          <w:iCs/>
        </w:rPr>
      </w:pPr>
      <w:r w:rsidRPr="00D41179">
        <w:t>CI</w:t>
      </w:r>
      <w:r w:rsidR="00BC5F32" w:rsidRPr="00D41179">
        <w:t xml:space="preserve"> = </w:t>
      </w:r>
      <w:r w:rsidRPr="00D41179">
        <w:t>confidence interval; GP</w:t>
      </w:r>
      <w:r w:rsidR="00BC5F32" w:rsidRPr="00D41179">
        <w:t xml:space="preserve"> = </w:t>
      </w:r>
      <w:r w:rsidRPr="00D41179">
        <w:t>general practitioner; HZ</w:t>
      </w:r>
      <w:r w:rsidR="00BC5F32" w:rsidRPr="00D41179">
        <w:t xml:space="preserve"> = </w:t>
      </w:r>
      <w:r w:rsidRPr="00D41179">
        <w:t>herpes zoster; ICER</w:t>
      </w:r>
      <w:r w:rsidR="00BC5F32" w:rsidRPr="00D41179">
        <w:t xml:space="preserve"> = </w:t>
      </w:r>
      <w:r w:rsidRPr="00D41179">
        <w:t>incremental cost-effectiveness ratio; PHN</w:t>
      </w:r>
      <w:r w:rsidR="00BC5F32" w:rsidRPr="00D41179">
        <w:t xml:space="preserve"> = </w:t>
      </w:r>
      <w:r w:rsidRPr="00D41179">
        <w:t>post-herpetic neuralgia; QALY</w:t>
      </w:r>
      <w:r w:rsidR="00BC5F32" w:rsidRPr="00D41179">
        <w:t xml:space="preserve"> = </w:t>
      </w:r>
      <w:r w:rsidRPr="00D41179">
        <w:t>quality-adjusted life year; VE</w:t>
      </w:r>
      <w:r w:rsidR="00BC5F32" w:rsidRPr="00D41179">
        <w:t xml:space="preserve"> = </w:t>
      </w:r>
      <w:r w:rsidRPr="00D41179">
        <w:t>vaccine efficacy.</w:t>
      </w:r>
      <w:r w:rsidR="00E937D7" w:rsidRPr="00D41179">
        <w:br/>
      </w:r>
      <w:r w:rsidR="00E937D7" w:rsidRPr="002A346D">
        <w:rPr>
          <w:i/>
          <w:iCs/>
        </w:rPr>
        <w:t>The redacted values correspond to the following ranges:</w:t>
      </w:r>
      <w:r w:rsidR="00E937D7" w:rsidRPr="002A346D">
        <w:rPr>
          <w:i/>
          <w:iCs/>
        </w:rPr>
        <w:br/>
      </w:r>
      <w:r w:rsidR="00E937D7" w:rsidRPr="002A346D">
        <w:rPr>
          <w:i/>
          <w:iCs/>
          <w:vertAlign w:val="superscript"/>
        </w:rPr>
        <w:t>1</w:t>
      </w:r>
      <w:r w:rsidR="00E937D7" w:rsidRPr="002A346D">
        <w:rPr>
          <w:i/>
          <w:iCs/>
        </w:rPr>
        <w:t xml:space="preserve"> $15,000 to &lt; $25,000</w:t>
      </w:r>
      <w:r w:rsidR="00E937D7" w:rsidRPr="002A346D">
        <w:rPr>
          <w:i/>
          <w:iCs/>
        </w:rPr>
        <w:br/>
      </w:r>
      <w:r w:rsidR="00E937D7" w:rsidRPr="002A346D">
        <w:rPr>
          <w:i/>
          <w:iCs/>
          <w:vertAlign w:val="superscript"/>
        </w:rPr>
        <w:t>2</w:t>
      </w:r>
      <w:r w:rsidR="00E937D7" w:rsidRPr="002A346D">
        <w:rPr>
          <w:i/>
          <w:iCs/>
        </w:rPr>
        <w:t xml:space="preserve"> $25,000 to &lt; $35,000</w:t>
      </w:r>
      <w:r w:rsidR="00E937D7" w:rsidRPr="002A346D">
        <w:rPr>
          <w:i/>
          <w:iCs/>
        </w:rPr>
        <w:br/>
      </w:r>
      <w:r w:rsidR="00E937D7" w:rsidRPr="002A346D">
        <w:rPr>
          <w:i/>
          <w:iCs/>
          <w:vertAlign w:val="superscript"/>
        </w:rPr>
        <w:t xml:space="preserve">3 </w:t>
      </w:r>
      <w:r w:rsidR="00E937D7" w:rsidRPr="002A346D">
        <w:rPr>
          <w:i/>
          <w:iCs/>
        </w:rPr>
        <w:t>$5,000 to &lt; $15,000</w:t>
      </w:r>
      <w:r w:rsidR="00E937D7" w:rsidRPr="002A346D">
        <w:rPr>
          <w:i/>
          <w:iCs/>
        </w:rPr>
        <w:br/>
      </w:r>
      <w:r w:rsidR="00E937D7" w:rsidRPr="002A346D">
        <w:rPr>
          <w:i/>
          <w:iCs/>
          <w:vertAlign w:val="superscript"/>
        </w:rPr>
        <w:t>4</w:t>
      </w:r>
      <w:r w:rsidR="00E937D7" w:rsidRPr="002A346D">
        <w:rPr>
          <w:i/>
          <w:iCs/>
        </w:rPr>
        <w:t xml:space="preserve"> $35,000 to &lt; $45,000</w:t>
      </w:r>
      <w:r w:rsidR="00E937D7" w:rsidRPr="002A346D">
        <w:rPr>
          <w:i/>
          <w:iCs/>
        </w:rPr>
        <w:br/>
      </w:r>
      <w:r w:rsidR="00E937D7" w:rsidRPr="002A346D">
        <w:rPr>
          <w:i/>
          <w:iCs/>
          <w:vertAlign w:val="superscript"/>
        </w:rPr>
        <w:t>5</w:t>
      </w:r>
      <w:r w:rsidR="00E937D7" w:rsidRPr="002A346D">
        <w:rPr>
          <w:i/>
          <w:iCs/>
        </w:rPr>
        <w:t xml:space="preserve"> $55,000 to &lt; $65,000</w:t>
      </w:r>
    </w:p>
    <w:p w14:paraId="5A92EB10" w14:textId="02373AAC" w:rsidR="00DB593C" w:rsidRPr="00D41179" w:rsidRDefault="00FA32BA" w:rsidP="000A113F">
      <w:pPr>
        <w:pStyle w:val="TableFigureFooter"/>
        <w:rPr>
          <w:i/>
          <w:iCs/>
        </w:rPr>
      </w:pPr>
      <w:r w:rsidRPr="002A346D">
        <w:rPr>
          <w:i/>
          <w:iCs/>
          <w:vertAlign w:val="superscript"/>
        </w:rPr>
        <w:t>6</w:t>
      </w:r>
      <w:r w:rsidR="00BD6604" w:rsidRPr="002A346D">
        <w:rPr>
          <w:i/>
          <w:iCs/>
        </w:rPr>
        <w:t xml:space="preserve"> $45,000 to &lt; $55,000</w:t>
      </w:r>
      <w:r w:rsidR="003E0BBD" w:rsidRPr="00D41179">
        <w:br/>
      </w:r>
    </w:p>
    <w:p w14:paraId="4FAC5289" w14:textId="1630659F" w:rsidR="00117032" w:rsidRPr="00D41179" w:rsidRDefault="00117032" w:rsidP="00A64F5D">
      <w:pPr>
        <w:numPr>
          <w:ilvl w:val="1"/>
          <w:numId w:val="8"/>
        </w:numPr>
        <w:spacing w:before="60" w:after="60"/>
        <w:ind w:left="709"/>
        <w:rPr>
          <w:rFonts w:asciiTheme="minorHAnsi" w:eastAsiaTheme="minorHAnsi" w:hAnsiTheme="minorHAnsi" w:cstheme="minorBidi"/>
          <w:szCs w:val="22"/>
        </w:rPr>
      </w:pPr>
      <w:r w:rsidRPr="00D41179">
        <w:rPr>
          <w:rFonts w:asciiTheme="minorHAnsi" w:eastAsiaTheme="minorHAnsi" w:hAnsiTheme="minorHAnsi" w:cstheme="minorBidi"/>
          <w:szCs w:val="22"/>
        </w:rPr>
        <w:t xml:space="preserve">The submission also presented an economic evaluation with a societal perspective incorporating indirect costs related to disease- and vaccine-related productivity losses using the same model as described </w:t>
      </w:r>
      <w:r w:rsidR="00CD32B1" w:rsidRPr="00D41179">
        <w:rPr>
          <w:rFonts w:asciiTheme="minorHAnsi" w:eastAsiaTheme="minorHAnsi" w:hAnsiTheme="minorHAnsi" w:cstheme="minorBidi"/>
          <w:szCs w:val="22"/>
        </w:rPr>
        <w:t>above</w:t>
      </w:r>
      <w:r w:rsidRPr="00D41179">
        <w:rPr>
          <w:rFonts w:asciiTheme="minorHAnsi" w:eastAsiaTheme="minorHAnsi" w:hAnsiTheme="minorHAnsi" w:cstheme="minorBidi"/>
          <w:szCs w:val="22"/>
        </w:rPr>
        <w:t xml:space="preserve">. The overall indirect costs due to productively losses (considering absenteeism only) were estimated to be $10.9 million for the </w:t>
      </w:r>
      <w:r w:rsidR="00281475" w:rsidRPr="00D41179">
        <w:rPr>
          <w:rFonts w:asciiTheme="minorHAnsi" w:eastAsiaTheme="minorHAnsi" w:hAnsiTheme="minorHAnsi" w:cstheme="minorBidi"/>
          <w:szCs w:val="22"/>
        </w:rPr>
        <w:t xml:space="preserve">60-64 </w:t>
      </w:r>
      <w:r w:rsidRPr="00D41179">
        <w:rPr>
          <w:rFonts w:asciiTheme="minorHAnsi" w:eastAsiaTheme="minorHAnsi" w:hAnsiTheme="minorHAnsi" w:cstheme="minorBidi"/>
          <w:szCs w:val="22"/>
        </w:rPr>
        <w:t>YOA arm and $26.3 million for the ≥65 YOA arm. The ICER considering a societal perspective was $</w:t>
      </w:r>
      <w:r w:rsidR="00BD6604" w:rsidRPr="00D41179">
        <w:rPr>
          <w:rFonts w:asciiTheme="minorHAnsi" w:eastAsiaTheme="minorHAnsi" w:hAnsiTheme="minorHAnsi" w:cstheme="minorBidi"/>
          <w:szCs w:val="22"/>
        </w:rPr>
        <w:t>15,000 to &lt; $25,000</w:t>
      </w:r>
      <w:r w:rsidRPr="00D41179">
        <w:rPr>
          <w:rFonts w:asciiTheme="minorHAnsi" w:eastAsiaTheme="minorHAnsi" w:hAnsiTheme="minorHAnsi" w:cstheme="minorBidi"/>
          <w:szCs w:val="22"/>
        </w:rPr>
        <w:t xml:space="preserve"> per QALY gained. The inputs to estimating productivity costs were based on </w:t>
      </w:r>
      <w:proofErr w:type="gramStart"/>
      <w:r w:rsidRPr="00D41179">
        <w:rPr>
          <w:rFonts w:asciiTheme="minorHAnsi" w:eastAsiaTheme="minorHAnsi" w:hAnsiTheme="minorHAnsi" w:cstheme="minorBidi"/>
          <w:szCs w:val="22"/>
        </w:rPr>
        <w:t>a number of</w:t>
      </w:r>
      <w:proofErr w:type="gramEnd"/>
      <w:r w:rsidRPr="00D41179">
        <w:rPr>
          <w:rFonts w:asciiTheme="minorHAnsi" w:eastAsiaTheme="minorHAnsi" w:hAnsiTheme="minorHAnsi" w:cstheme="minorBidi"/>
          <w:szCs w:val="22"/>
        </w:rPr>
        <w:t xml:space="preserve"> assumptions thus remain uncertain particularly in deriving data for those aged ≥65 YOA due to lack of granular data. Issues identified relating to uncertainty in the assumptions applied in the economic model (paragraph </w:t>
      </w:r>
      <w:r w:rsidRPr="00D41179">
        <w:rPr>
          <w:rFonts w:asciiTheme="minorHAnsi" w:eastAsiaTheme="minorHAnsi" w:hAnsiTheme="minorHAnsi" w:cstheme="minorBidi"/>
          <w:szCs w:val="22"/>
        </w:rPr>
        <w:fldChar w:fldCharType="begin"/>
      </w:r>
      <w:r w:rsidRPr="00D41179">
        <w:rPr>
          <w:rFonts w:asciiTheme="minorHAnsi" w:eastAsiaTheme="minorHAnsi" w:hAnsiTheme="minorHAnsi" w:cstheme="minorBidi"/>
          <w:szCs w:val="22"/>
        </w:rPr>
        <w:instrText xml:space="preserve"> REF _Ref207721958 \r \h  \* MERGEFORMAT </w:instrText>
      </w:r>
      <w:r w:rsidRPr="00D41179">
        <w:rPr>
          <w:rFonts w:asciiTheme="minorHAnsi" w:eastAsiaTheme="minorHAnsi" w:hAnsiTheme="minorHAnsi" w:cstheme="minorBidi"/>
          <w:szCs w:val="22"/>
        </w:rPr>
      </w:r>
      <w:r w:rsidRPr="00D41179">
        <w:rPr>
          <w:rFonts w:asciiTheme="minorHAnsi" w:eastAsiaTheme="minorHAnsi" w:hAnsiTheme="minorHAnsi" w:cstheme="minorBidi"/>
          <w:szCs w:val="22"/>
        </w:rPr>
        <w:fldChar w:fldCharType="separate"/>
      </w:r>
      <w:r w:rsidR="00DE3DAE">
        <w:rPr>
          <w:rFonts w:asciiTheme="minorHAnsi" w:eastAsiaTheme="minorHAnsi" w:hAnsiTheme="minorHAnsi" w:cstheme="minorBidi"/>
          <w:szCs w:val="22"/>
        </w:rPr>
        <w:t>6.59</w:t>
      </w:r>
      <w:r w:rsidRPr="00D41179">
        <w:rPr>
          <w:rFonts w:asciiTheme="minorHAnsi" w:eastAsiaTheme="minorHAnsi" w:hAnsiTheme="minorHAnsi" w:cstheme="minorBidi"/>
          <w:szCs w:val="22"/>
        </w:rPr>
        <w:fldChar w:fldCharType="end"/>
      </w:r>
      <w:r w:rsidRPr="00D41179">
        <w:rPr>
          <w:rFonts w:asciiTheme="minorHAnsi" w:eastAsiaTheme="minorHAnsi" w:hAnsiTheme="minorHAnsi" w:cstheme="minorBidi"/>
          <w:szCs w:val="22"/>
        </w:rPr>
        <w:t>) similarly applies to the supplementary economic evaluation.</w:t>
      </w:r>
      <w:r w:rsidR="00E8250A" w:rsidRPr="00D41179">
        <w:t xml:space="preserve"> The PSCR noted that </w:t>
      </w:r>
      <w:r w:rsidR="00E8250A" w:rsidRPr="00D41179">
        <w:rPr>
          <w:rFonts w:asciiTheme="minorHAnsi" w:eastAsiaTheme="minorHAnsi" w:hAnsiTheme="minorHAnsi" w:cstheme="minorBidi"/>
          <w:szCs w:val="22"/>
        </w:rPr>
        <w:t xml:space="preserve">adults aged 60 to 64 years of age mostly remain in the workforce (64%) compared to adults ≥65 </w:t>
      </w:r>
      <w:r w:rsidR="0069687A" w:rsidRPr="00D41179">
        <w:rPr>
          <w:rFonts w:asciiTheme="minorHAnsi" w:eastAsiaTheme="minorHAnsi" w:hAnsiTheme="minorHAnsi" w:cstheme="minorBidi"/>
          <w:szCs w:val="22"/>
        </w:rPr>
        <w:t xml:space="preserve">years of age </w:t>
      </w:r>
      <w:r w:rsidR="00E8250A" w:rsidRPr="00D41179">
        <w:rPr>
          <w:rFonts w:asciiTheme="minorHAnsi" w:eastAsiaTheme="minorHAnsi" w:hAnsiTheme="minorHAnsi" w:cstheme="minorBidi"/>
          <w:szCs w:val="22"/>
        </w:rPr>
        <w:t>(16%) (ABS, 2024</w:t>
      </w:r>
      <w:r w:rsidR="00F81D77" w:rsidRPr="00D41179">
        <w:rPr>
          <w:rStyle w:val="FootnoteReference"/>
          <w:rFonts w:asciiTheme="minorHAnsi" w:eastAsiaTheme="minorHAnsi" w:hAnsiTheme="minorHAnsi" w:cstheme="minorBidi"/>
          <w:szCs w:val="22"/>
        </w:rPr>
        <w:footnoteReference w:id="9"/>
      </w:r>
      <w:r w:rsidR="00E8250A" w:rsidRPr="00D41179">
        <w:rPr>
          <w:rFonts w:asciiTheme="minorHAnsi" w:eastAsiaTheme="minorHAnsi" w:hAnsiTheme="minorHAnsi" w:cstheme="minorBidi"/>
          <w:szCs w:val="22"/>
        </w:rPr>
        <w:t xml:space="preserve">). </w:t>
      </w:r>
      <w:r w:rsidR="00CD150E" w:rsidRPr="00D41179">
        <w:rPr>
          <w:rFonts w:asciiTheme="minorHAnsi" w:eastAsiaTheme="minorHAnsi" w:hAnsiTheme="minorHAnsi" w:cstheme="minorBidi"/>
          <w:szCs w:val="22"/>
        </w:rPr>
        <w:t xml:space="preserve">The PSCR stated </w:t>
      </w:r>
      <w:r w:rsidR="00E8250A" w:rsidRPr="00D41179">
        <w:rPr>
          <w:rFonts w:asciiTheme="minorHAnsi" w:eastAsiaTheme="minorHAnsi" w:hAnsiTheme="minorHAnsi" w:cstheme="minorBidi"/>
          <w:szCs w:val="22"/>
        </w:rPr>
        <w:t>HZ-related productivity impacts and potential broader economic benefits from a societal perspective are highly relevant for decision-making.</w:t>
      </w:r>
    </w:p>
    <w:p w14:paraId="23B2142E" w14:textId="382F7F54" w:rsidR="000C4CF2" w:rsidRPr="00D41179" w:rsidRDefault="009A5ABC" w:rsidP="000F1D34">
      <w:pPr>
        <w:pStyle w:val="Actual4Subsection"/>
      </w:pPr>
      <w:bookmarkStart w:id="66" w:name="_Toc209001308"/>
      <w:r w:rsidRPr="00D41179">
        <w:t>Vaccine</w:t>
      </w:r>
      <w:r w:rsidR="00117032" w:rsidRPr="00D41179">
        <w:t xml:space="preserve"> </w:t>
      </w:r>
      <w:r w:rsidR="00C25D9C" w:rsidRPr="00D41179">
        <w:t>cost/</w:t>
      </w:r>
      <w:r w:rsidR="00611D04" w:rsidRPr="00D41179">
        <w:t xml:space="preserve"> person</w:t>
      </w:r>
      <w:r w:rsidR="00C25D9C" w:rsidRPr="00D41179">
        <w:t>/course</w:t>
      </w:r>
      <w:bookmarkEnd w:id="66"/>
    </w:p>
    <w:p w14:paraId="219EDE8E" w14:textId="1BCB37DC" w:rsidR="0048242C" w:rsidRPr="00D41179" w:rsidRDefault="0048242C" w:rsidP="0026141E">
      <w:pPr>
        <w:pStyle w:val="3-BodyText"/>
      </w:pPr>
      <w:r w:rsidRPr="00D41179">
        <w:t xml:space="preserve">The </w:t>
      </w:r>
      <w:r w:rsidR="00664141" w:rsidRPr="00D41179">
        <w:t xml:space="preserve">average </w:t>
      </w:r>
      <w:r w:rsidRPr="00D41179">
        <w:t>cost of a course of RZV vaccination is $</w:t>
      </w:r>
      <w:r w:rsidR="000E1EB2" w:rsidRPr="000E1EB2">
        <w:rPr>
          <w:sz w:val="2"/>
          <w:highlight w:val="black"/>
        </w:rPr>
        <w:t>redacted content</w:t>
      </w:r>
      <w:r w:rsidR="00664141" w:rsidRPr="00D41179">
        <w:t xml:space="preserve">, assuming </w:t>
      </w:r>
      <w:r w:rsidR="00D41B41" w:rsidRPr="00D41179">
        <w:t>compliance</w:t>
      </w:r>
      <w:r w:rsidR="00611D04" w:rsidRPr="00D41179">
        <w:t xml:space="preserve"> of a 2 dose course is </w:t>
      </w:r>
      <w:r w:rsidR="00664141" w:rsidRPr="00D41179">
        <w:t>82%</w:t>
      </w:r>
      <w:r w:rsidR="000E0A78" w:rsidRPr="00D41179">
        <w:rPr>
          <w:rStyle w:val="FootnoteReference"/>
        </w:rPr>
        <w:footnoteReference w:id="10"/>
      </w:r>
      <w:r w:rsidR="000E0A78" w:rsidRPr="00D41179">
        <w:t>.</w:t>
      </w:r>
    </w:p>
    <w:p w14:paraId="268768EF" w14:textId="3626F292" w:rsidR="00B60939" w:rsidRPr="00D41179" w:rsidRDefault="00B60939" w:rsidP="000F1D34">
      <w:pPr>
        <w:pStyle w:val="Actual4Subsection"/>
      </w:pPr>
      <w:bookmarkStart w:id="67" w:name="_Toc22897647"/>
      <w:bookmarkStart w:id="68" w:name="_Toc209001309"/>
      <w:r w:rsidRPr="00D41179">
        <w:t>Estimated PBS usage &amp; financial implications</w:t>
      </w:r>
      <w:bookmarkEnd w:id="67"/>
      <w:bookmarkEnd w:id="68"/>
    </w:p>
    <w:p w14:paraId="22595C34" w14:textId="6B6E3FA1" w:rsidR="00117032" w:rsidRPr="00D41179" w:rsidRDefault="00117032" w:rsidP="00117032">
      <w:pPr>
        <w:pStyle w:val="3-BodyText"/>
        <w:rPr>
          <w:color w:val="0066FF"/>
        </w:rPr>
      </w:pPr>
      <w:r w:rsidRPr="00D41179">
        <w:t xml:space="preserve">This submission </w:t>
      </w:r>
      <w:r w:rsidR="0064211B" w:rsidRPr="00D41179">
        <w:t xml:space="preserve">was </w:t>
      </w:r>
      <w:r w:rsidRPr="00D41179">
        <w:t>not considered by DUSC</w:t>
      </w:r>
      <w:r w:rsidRPr="00D41179">
        <w:rPr>
          <w:color w:val="0070C0"/>
        </w:rPr>
        <w:t xml:space="preserve">. </w:t>
      </w:r>
    </w:p>
    <w:p w14:paraId="5932F142" w14:textId="77777777" w:rsidR="00117032" w:rsidRPr="00D41179" w:rsidRDefault="00117032" w:rsidP="00117032">
      <w:pPr>
        <w:pStyle w:val="3-BodyText"/>
        <w:rPr>
          <w:color w:val="0066FF"/>
        </w:rPr>
      </w:pPr>
      <w:r w:rsidRPr="00D41179">
        <w:lastRenderedPageBreak/>
        <w:t>The submission used an epidemiological approach to estimate the utilisation and financial estimates of the proposed listing of 2-dose RZV for non-Indigenous adults aged 60-64.</w:t>
      </w:r>
    </w:p>
    <w:p w14:paraId="125E5DED" w14:textId="05018EDE" w:rsidR="00117032" w:rsidRPr="00D41179" w:rsidRDefault="00117032" w:rsidP="00117032">
      <w:pPr>
        <w:pStyle w:val="3-BodyText"/>
        <w:rPr>
          <w:color w:val="0066FF"/>
        </w:rPr>
      </w:pPr>
      <w:r w:rsidRPr="00D41179">
        <w:t xml:space="preserve">The key inputs and sources for the financial estimates are presented in </w:t>
      </w:r>
      <w:r w:rsidR="006256EC" w:rsidRPr="00D41179">
        <w:fldChar w:fldCharType="begin"/>
      </w:r>
      <w:r w:rsidR="006256EC" w:rsidRPr="00D41179">
        <w:instrText xml:space="preserve"> REF _Ref208991278 \h </w:instrText>
      </w:r>
      <w:r w:rsidR="00D41179">
        <w:instrText xml:space="preserve"> \* MERGEFORMAT </w:instrText>
      </w:r>
      <w:r w:rsidR="006256EC" w:rsidRPr="00D41179">
        <w:fldChar w:fldCharType="separate"/>
      </w:r>
      <w:r w:rsidR="00E7345C" w:rsidRPr="00D41179">
        <w:t xml:space="preserve">Table </w:t>
      </w:r>
      <w:r w:rsidR="00E7345C" w:rsidRPr="00D41179">
        <w:rPr>
          <w:noProof/>
        </w:rPr>
        <w:t>16</w:t>
      </w:r>
      <w:r w:rsidR="006256EC" w:rsidRPr="00D41179">
        <w:fldChar w:fldCharType="end"/>
      </w:r>
      <w:r w:rsidR="00841065" w:rsidRPr="00D41179">
        <w:t>.</w:t>
      </w:r>
    </w:p>
    <w:p w14:paraId="4494F22D" w14:textId="6DC685F8" w:rsidR="00117032" w:rsidRPr="00D41179" w:rsidRDefault="00117032" w:rsidP="00DB593C">
      <w:pPr>
        <w:pStyle w:val="Caption"/>
        <w:keepNext w:val="0"/>
        <w:keepLines w:val="0"/>
        <w:widowControl w:val="0"/>
        <w:rPr>
          <w:rStyle w:val="CommentReference"/>
          <w:b/>
          <w:szCs w:val="24"/>
        </w:rPr>
      </w:pPr>
      <w:bookmarkStart w:id="69" w:name="_Ref208991278"/>
      <w:r w:rsidRPr="00D41179">
        <w:t xml:space="preserve">Table </w:t>
      </w:r>
      <w:r w:rsidRPr="00D41179">
        <w:fldChar w:fldCharType="begin"/>
      </w:r>
      <w:r w:rsidRPr="00D41179">
        <w:instrText>SEQ Table \* ARABIC</w:instrText>
      </w:r>
      <w:r w:rsidRPr="00D41179">
        <w:fldChar w:fldCharType="separate"/>
      </w:r>
      <w:r w:rsidR="00E7345C" w:rsidRPr="00D41179">
        <w:rPr>
          <w:noProof/>
        </w:rPr>
        <w:t>16</w:t>
      </w:r>
      <w:r w:rsidRPr="00D41179">
        <w:fldChar w:fldCharType="end"/>
      </w:r>
      <w:bookmarkEnd w:id="69"/>
      <w:r w:rsidRPr="00D41179">
        <w:t>:</w:t>
      </w:r>
      <w:r w:rsidRPr="00D41179">
        <w:rPr>
          <w:rStyle w:val="CommentReference"/>
          <w:b/>
          <w:szCs w:val="24"/>
        </w:rPr>
        <w:t xml:space="preserve"> Key inputs for financial estimates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Caption w:val="Table 16: Key inputs for financial estimates"/>
      </w:tblPr>
      <w:tblGrid>
        <w:gridCol w:w="1713"/>
        <w:gridCol w:w="3102"/>
        <w:gridCol w:w="4202"/>
      </w:tblGrid>
      <w:tr w:rsidR="00117032" w:rsidRPr="00D41179" w14:paraId="1D30191B" w14:textId="77777777">
        <w:trPr>
          <w:tblHeader/>
        </w:trPr>
        <w:tc>
          <w:tcPr>
            <w:tcW w:w="950" w:type="pct"/>
            <w:vAlign w:val="center"/>
          </w:tcPr>
          <w:p w14:paraId="28FC6420" w14:textId="77777777" w:rsidR="00117032" w:rsidRPr="00D41179" w:rsidRDefault="00117032" w:rsidP="00294858">
            <w:pPr>
              <w:pStyle w:val="In-tableHeading"/>
            </w:pPr>
            <w:r w:rsidRPr="00D41179">
              <w:t>Parameter</w:t>
            </w:r>
          </w:p>
        </w:tc>
        <w:tc>
          <w:tcPr>
            <w:tcW w:w="1720" w:type="pct"/>
            <w:vAlign w:val="center"/>
          </w:tcPr>
          <w:p w14:paraId="7599DAD1" w14:textId="77777777" w:rsidR="00117032" w:rsidRPr="00D41179" w:rsidRDefault="00117032" w:rsidP="00294858">
            <w:pPr>
              <w:pStyle w:val="In-tableHeading"/>
            </w:pPr>
            <w:r w:rsidRPr="00D41179">
              <w:t>Value applied and source</w:t>
            </w:r>
          </w:p>
        </w:tc>
        <w:tc>
          <w:tcPr>
            <w:tcW w:w="2330" w:type="pct"/>
            <w:vAlign w:val="center"/>
          </w:tcPr>
          <w:p w14:paraId="2A6C70CC" w14:textId="77777777" w:rsidR="00117032" w:rsidRPr="00D41179" w:rsidRDefault="00117032" w:rsidP="00294858">
            <w:pPr>
              <w:pStyle w:val="In-tableHeading"/>
            </w:pPr>
            <w:r w:rsidRPr="00D41179">
              <w:t>Comment</w:t>
            </w:r>
          </w:p>
        </w:tc>
      </w:tr>
      <w:tr w:rsidR="00117032" w:rsidRPr="00D41179" w14:paraId="7A1B7D1D" w14:textId="77777777">
        <w:tc>
          <w:tcPr>
            <w:tcW w:w="950" w:type="pct"/>
            <w:vAlign w:val="center"/>
          </w:tcPr>
          <w:p w14:paraId="593FCFDD" w14:textId="77777777" w:rsidR="00117032" w:rsidRPr="00D41179" w:rsidRDefault="00117032" w:rsidP="00F95692">
            <w:pPr>
              <w:pStyle w:val="TableText0"/>
            </w:pPr>
            <w:r w:rsidRPr="00D41179">
              <w:t>Eligible population (aged 60-64)</w:t>
            </w:r>
          </w:p>
        </w:tc>
        <w:tc>
          <w:tcPr>
            <w:tcW w:w="1720" w:type="pct"/>
            <w:vAlign w:val="center"/>
          </w:tcPr>
          <w:p w14:paraId="00162DD3" w14:textId="77777777" w:rsidR="00117032" w:rsidRPr="00D41179" w:rsidRDefault="00117032" w:rsidP="00F95692">
            <w:pPr>
              <w:pStyle w:val="TableText0"/>
            </w:pPr>
            <w:r w:rsidRPr="00D41179">
              <w:t>Based on overall Australian population less:</w:t>
            </w:r>
          </w:p>
          <w:p w14:paraId="6DE8B7A3" w14:textId="77777777" w:rsidR="00117032" w:rsidRPr="00D41179" w:rsidRDefault="00117032" w:rsidP="00F95692">
            <w:pPr>
              <w:pStyle w:val="TableText0"/>
              <w:numPr>
                <w:ilvl w:val="0"/>
                <w:numId w:val="18"/>
              </w:numPr>
            </w:pPr>
            <w:r w:rsidRPr="00D41179">
              <w:t>(IC moderate risk (10.36% annual growth applied to September 2023 ATAGI advice;</w:t>
            </w:r>
          </w:p>
          <w:p w14:paraId="13D9ED11" w14:textId="77777777" w:rsidR="00117032" w:rsidRPr="00D41179" w:rsidRDefault="00117032" w:rsidP="00F95692">
            <w:pPr>
              <w:pStyle w:val="TableText0"/>
              <w:numPr>
                <w:ilvl w:val="0"/>
                <w:numId w:val="18"/>
              </w:numPr>
            </w:pPr>
            <w:r w:rsidRPr="00D41179">
              <w:t>IC high risk (2.35%-2.67% growth rate applied to September 2023 ATAGI advice);</w:t>
            </w:r>
          </w:p>
          <w:p w14:paraId="2A68683D" w14:textId="77777777" w:rsidR="00117032" w:rsidRPr="00D41179" w:rsidRDefault="00117032" w:rsidP="00F95692">
            <w:pPr>
              <w:pStyle w:val="TableText0"/>
              <w:numPr>
                <w:ilvl w:val="0"/>
                <w:numId w:val="18"/>
              </w:numPr>
            </w:pPr>
            <w:r w:rsidRPr="00D41179">
              <w:t>First Nations Peoples aged 60-64 (ABS);</w:t>
            </w:r>
          </w:p>
          <w:p w14:paraId="0273B572" w14:textId="77777777" w:rsidR="00117032" w:rsidRPr="00D41179" w:rsidRDefault="00117032" w:rsidP="00F95692">
            <w:pPr>
              <w:pStyle w:val="TableText0"/>
              <w:numPr>
                <w:ilvl w:val="0"/>
                <w:numId w:val="18"/>
              </w:numPr>
            </w:pPr>
            <w:r w:rsidRPr="00D41179">
              <w:t>non-Indigenous who had received 2-doses (sponsor’s private market data).</w:t>
            </w:r>
          </w:p>
        </w:tc>
        <w:tc>
          <w:tcPr>
            <w:tcW w:w="2330" w:type="pct"/>
            <w:vAlign w:val="center"/>
          </w:tcPr>
          <w:p w14:paraId="2C047C41" w14:textId="77777777" w:rsidR="00117032" w:rsidRPr="00D41179" w:rsidRDefault="00117032" w:rsidP="00F95692">
            <w:pPr>
              <w:pStyle w:val="TableText0"/>
            </w:pPr>
            <w:r w:rsidRPr="00D41179">
              <w:t xml:space="preserve">The overall approach applied in the submission appears </w:t>
            </w:r>
            <w:proofErr w:type="gramStart"/>
            <w:r w:rsidRPr="00D41179">
              <w:t>reasonable,</w:t>
            </w:r>
            <w:proofErr w:type="gramEnd"/>
            <w:r w:rsidRPr="00D41179">
              <w:t xml:space="preserve"> however, it was noted that:</w:t>
            </w:r>
          </w:p>
          <w:p w14:paraId="6473C26B" w14:textId="77777777" w:rsidR="00117032" w:rsidRPr="00D41179" w:rsidRDefault="00117032" w:rsidP="00F95692">
            <w:pPr>
              <w:pStyle w:val="TableText0"/>
              <w:numPr>
                <w:ilvl w:val="0"/>
                <w:numId w:val="19"/>
              </w:numPr>
              <w:rPr>
                <w:i/>
                <w:iCs/>
              </w:rPr>
            </w:pPr>
            <w:r w:rsidRPr="00D41179">
              <w:t>The submission claimed that private market data were preferred as this was specific to the proposed NIP population (excludes individuals who are already NIP eligible either due to being an Aboriginal and/or Torres Strait Islander and/or being at moderate to severe increased risk of HZ). This appears reasonable.</w:t>
            </w:r>
            <w:r w:rsidRPr="00D41179">
              <w:rPr>
                <w:i/>
                <w:iCs/>
              </w:rPr>
              <w:t xml:space="preserve"> </w:t>
            </w:r>
          </w:p>
          <w:p w14:paraId="0A346C39" w14:textId="77777777" w:rsidR="00331DE5" w:rsidRPr="00D41179" w:rsidRDefault="00331DE5" w:rsidP="00F95692">
            <w:pPr>
              <w:pStyle w:val="TableText0"/>
            </w:pPr>
          </w:p>
          <w:p w14:paraId="401B8072" w14:textId="65068D0E" w:rsidR="00331DE5" w:rsidRPr="00D41179" w:rsidRDefault="00331DE5" w:rsidP="00F95692">
            <w:pPr>
              <w:pStyle w:val="TableText0"/>
            </w:pPr>
            <w:r w:rsidRPr="00D41179">
              <w:t>The PSCR provided revised financials that include a</w:t>
            </w:r>
            <w:r w:rsidR="00365D67" w:rsidRPr="00D41179">
              <w:t xml:space="preserve"> small increase</w:t>
            </w:r>
            <w:r w:rsidRPr="00D41179">
              <w:t xml:space="preserve"> to the proportion of </w:t>
            </w:r>
            <w:r w:rsidR="008B3B5F" w:rsidRPr="00D41179">
              <w:t>individuals who have previously received</w:t>
            </w:r>
            <w:r w:rsidR="00365D67" w:rsidRPr="00D41179">
              <w:t xml:space="preserve"> 1 or</w:t>
            </w:r>
            <w:r w:rsidR="008B3B5F" w:rsidRPr="00D41179">
              <w:t xml:space="preserve"> 2 doses of RZV on the private market</w:t>
            </w:r>
            <w:r w:rsidR="008533E6" w:rsidRPr="00D41179">
              <w:t xml:space="preserve"> (see paragraph </w:t>
            </w:r>
            <w:r w:rsidR="008533E6" w:rsidRPr="00D41179">
              <w:fldChar w:fldCharType="begin"/>
            </w:r>
            <w:r w:rsidR="008533E6" w:rsidRPr="00D41179">
              <w:instrText xml:space="preserve"> REF _Ref211778626 \r \h </w:instrText>
            </w:r>
            <w:r w:rsidR="00D41179">
              <w:instrText xml:space="preserve"> \* MERGEFORMAT </w:instrText>
            </w:r>
            <w:r w:rsidR="008533E6" w:rsidRPr="00D41179">
              <w:fldChar w:fldCharType="separate"/>
            </w:r>
            <w:r w:rsidR="00DE3DAE">
              <w:t>6.71</w:t>
            </w:r>
            <w:r w:rsidR="008533E6" w:rsidRPr="00D41179">
              <w:fldChar w:fldCharType="end"/>
            </w:r>
            <w:r w:rsidR="008533E6" w:rsidRPr="00D41179">
              <w:t>)</w:t>
            </w:r>
            <w:r w:rsidR="008B3B5F" w:rsidRPr="00D41179">
              <w:t xml:space="preserve">. </w:t>
            </w:r>
          </w:p>
        </w:tc>
      </w:tr>
      <w:tr w:rsidR="00117032" w:rsidRPr="00D41179" w14:paraId="02DC19D2" w14:textId="77777777">
        <w:tc>
          <w:tcPr>
            <w:tcW w:w="950" w:type="pct"/>
            <w:vAlign w:val="center"/>
          </w:tcPr>
          <w:p w14:paraId="0B9BAA5D" w14:textId="77777777" w:rsidR="00117032" w:rsidRPr="00D41179" w:rsidRDefault="00117032" w:rsidP="00F95692">
            <w:pPr>
              <w:pStyle w:val="TableText0"/>
            </w:pPr>
            <w:r w:rsidRPr="00D41179">
              <w:t>Uptake rate 1</w:t>
            </w:r>
            <w:r w:rsidRPr="00D41179">
              <w:rPr>
                <w:vertAlign w:val="superscript"/>
              </w:rPr>
              <w:t>st</w:t>
            </w:r>
            <w:r w:rsidRPr="00D41179">
              <w:t xml:space="preserve"> dose in the already eligible population. </w:t>
            </w:r>
          </w:p>
        </w:tc>
        <w:tc>
          <w:tcPr>
            <w:tcW w:w="1720" w:type="pct"/>
            <w:vAlign w:val="center"/>
          </w:tcPr>
          <w:p w14:paraId="6DE369C1" w14:textId="77777777" w:rsidR="00117032" w:rsidRPr="00D41179" w:rsidRDefault="00117032" w:rsidP="00F95692">
            <w:pPr>
              <w:pStyle w:val="TableText0"/>
            </w:pPr>
            <w:r w:rsidRPr="00D41179">
              <w:t xml:space="preserve">Yrs 1 - 2 were extrapolated using OLS regression from AIR data for uptake rates for non-Indigenous adults since NIP listing November 2023 – May 2025. </w:t>
            </w:r>
          </w:p>
          <w:p w14:paraId="485D0541" w14:textId="5D826889" w:rsidR="00117032" w:rsidRPr="00D41179" w:rsidRDefault="00117032" w:rsidP="00F95692">
            <w:pPr>
              <w:pStyle w:val="TableText0"/>
            </w:pPr>
            <w:r w:rsidRPr="00D41179">
              <w:t>Yrs 3-6 50% relative growth rate assumption based on the relative change in growth in 2025 compared to 2024 was 21.5% / 40.4% = 53.3%, which was assumed to remain a constant 50% from Year 3 to Year 6 of NIP eligibility based on UK data on HZ vaccine coverage in the UK by the end of June 2023 (UK Health Security Agency, 2024b</w:t>
            </w:r>
            <w:r w:rsidR="008D730F" w:rsidRPr="00D41179">
              <w:t>)</w:t>
            </w:r>
          </w:p>
        </w:tc>
        <w:tc>
          <w:tcPr>
            <w:tcW w:w="2330" w:type="pct"/>
            <w:vAlign w:val="center"/>
          </w:tcPr>
          <w:p w14:paraId="67A44AD3" w14:textId="77777777" w:rsidR="00117032" w:rsidRPr="00D41179" w:rsidRDefault="00117032" w:rsidP="00F95692">
            <w:pPr>
              <w:pStyle w:val="TableText0"/>
            </w:pPr>
            <w:r w:rsidRPr="00D41179">
              <w:t>This is uncertain and likely overestimated due to the data being from an older cohort who would likely receive more GP services and differences in healthcare systems.).</w:t>
            </w:r>
          </w:p>
          <w:p w14:paraId="6906AD06" w14:textId="77777777" w:rsidR="00A80E79" w:rsidRPr="00D41179" w:rsidRDefault="00A80E79" w:rsidP="00F95692">
            <w:pPr>
              <w:pStyle w:val="TableText0"/>
            </w:pPr>
          </w:p>
          <w:p w14:paraId="339F5712" w14:textId="04C1DE03" w:rsidR="00A80E79" w:rsidRPr="00D41179" w:rsidRDefault="007070A6" w:rsidP="00F95692">
            <w:pPr>
              <w:pStyle w:val="TableText0"/>
            </w:pPr>
            <w:r w:rsidRPr="00D41179">
              <w:t xml:space="preserve">The PSCR provided updated estimates of uptake in </w:t>
            </w:r>
            <w:r w:rsidR="00291301" w:rsidRPr="00D41179">
              <w:t>individuals</w:t>
            </w:r>
            <w:r w:rsidRPr="00D41179">
              <w:t xml:space="preserve"> </w:t>
            </w:r>
            <w:r w:rsidR="00291301" w:rsidRPr="00D41179">
              <w:t xml:space="preserve">≥ 65 YOA (see paragraph </w:t>
            </w:r>
            <w:r w:rsidR="008533E6" w:rsidRPr="00D41179">
              <w:fldChar w:fldCharType="begin"/>
            </w:r>
            <w:r w:rsidR="008533E6" w:rsidRPr="00D41179">
              <w:instrText xml:space="preserve"> REF _Ref211778626 \r \h </w:instrText>
            </w:r>
            <w:r w:rsidR="00D41179">
              <w:instrText xml:space="preserve"> \* MERGEFORMAT </w:instrText>
            </w:r>
            <w:r w:rsidR="008533E6" w:rsidRPr="00D41179">
              <w:fldChar w:fldCharType="separate"/>
            </w:r>
            <w:r w:rsidR="00DE3DAE">
              <w:t>6.71</w:t>
            </w:r>
            <w:r w:rsidR="008533E6" w:rsidRPr="00D41179">
              <w:fldChar w:fldCharType="end"/>
            </w:r>
            <w:r w:rsidR="00291301" w:rsidRPr="00D41179">
              <w:t>).</w:t>
            </w:r>
          </w:p>
        </w:tc>
      </w:tr>
      <w:tr w:rsidR="00117032" w:rsidRPr="00D41179" w14:paraId="1242AE8D" w14:textId="77777777">
        <w:tc>
          <w:tcPr>
            <w:tcW w:w="950" w:type="pct"/>
            <w:vAlign w:val="center"/>
          </w:tcPr>
          <w:p w14:paraId="50D73D51" w14:textId="77777777" w:rsidR="00117032" w:rsidRPr="00D41179" w:rsidRDefault="00117032" w:rsidP="00F95692">
            <w:pPr>
              <w:pStyle w:val="TableText0"/>
            </w:pPr>
            <w:r w:rsidRPr="00D41179">
              <w:t>Uptake rate for 1</w:t>
            </w:r>
            <w:r w:rsidRPr="00D41179">
              <w:rPr>
                <w:vertAlign w:val="superscript"/>
              </w:rPr>
              <w:t>st</w:t>
            </w:r>
            <w:r w:rsidRPr="00D41179">
              <w:t xml:space="preserve"> dose for non-Indigenous adults aged 60-64</w:t>
            </w:r>
          </w:p>
        </w:tc>
        <w:tc>
          <w:tcPr>
            <w:tcW w:w="1720" w:type="pct"/>
            <w:vAlign w:val="center"/>
          </w:tcPr>
          <w:p w14:paraId="6C5836D3" w14:textId="77777777" w:rsidR="00117032" w:rsidRPr="00D41179" w:rsidRDefault="00117032" w:rsidP="00F95692">
            <w:pPr>
              <w:pStyle w:val="TableText0"/>
            </w:pPr>
            <w:r w:rsidRPr="00D41179">
              <w:t>Assumption: 15% relative reduction in uptake compared to non-Indigenous adults ≥65</w:t>
            </w:r>
          </w:p>
        </w:tc>
        <w:tc>
          <w:tcPr>
            <w:tcW w:w="2330" w:type="pct"/>
            <w:vAlign w:val="center"/>
          </w:tcPr>
          <w:p w14:paraId="3D948FBF" w14:textId="05C0C1CE" w:rsidR="00A44488" w:rsidRPr="00D41179" w:rsidRDefault="00117032" w:rsidP="00F95692">
            <w:pPr>
              <w:pStyle w:val="TableText0"/>
            </w:pPr>
            <w:r w:rsidRPr="00D41179">
              <w:t>This assumption was inconsistent with ATAGI pre-submission advice which reported that a 20% relative reduction in uptake for those aged 60-64 compared to those ≥65, with sensitivity analyses of 15% and 25%, appeared reasonable (q10, p82, ATAGI pre-PBAC advice, April 2025).</w:t>
            </w:r>
            <w:r w:rsidR="00D41179" w:rsidRPr="00D41179">
              <w:t xml:space="preserve"> </w:t>
            </w:r>
          </w:p>
          <w:p w14:paraId="2FBC5B14" w14:textId="77777777" w:rsidR="00F75857" w:rsidRPr="00D41179" w:rsidRDefault="00F75857" w:rsidP="00F95692">
            <w:pPr>
              <w:pStyle w:val="TableText0"/>
            </w:pPr>
          </w:p>
          <w:p w14:paraId="7F8CCCD7" w14:textId="0E69AE6D" w:rsidR="00F75857" w:rsidRPr="00D41179" w:rsidRDefault="00F75857" w:rsidP="00F95692">
            <w:pPr>
              <w:pStyle w:val="TableText0"/>
            </w:pPr>
            <w:r w:rsidRPr="00D41179">
              <w:t xml:space="preserve">Yr 1: 34.3%, Yr 2: 52.6%, Yr 3: </w:t>
            </w:r>
            <w:r w:rsidR="00A44488" w:rsidRPr="00D41179">
              <w:t xml:space="preserve">61.8%, Yr 4: 66.4%, Yr 5:67.7%, Yr 6: 69.8% </w:t>
            </w:r>
            <w:r w:rsidR="00291301" w:rsidRPr="00D41179">
              <w:t xml:space="preserve">in submission </w:t>
            </w:r>
          </w:p>
          <w:p w14:paraId="7C51B434" w14:textId="77777777" w:rsidR="00A44488" w:rsidRPr="00D41179" w:rsidRDefault="00A44488" w:rsidP="00F95692">
            <w:pPr>
              <w:pStyle w:val="TableText0"/>
            </w:pPr>
          </w:p>
          <w:p w14:paraId="6F3C382F" w14:textId="622362EA" w:rsidR="00A44488" w:rsidRPr="00D41179" w:rsidRDefault="00A44488" w:rsidP="00F95692">
            <w:pPr>
              <w:pStyle w:val="TableText0"/>
            </w:pPr>
            <w:r w:rsidRPr="00D41179">
              <w:t>The PSCR provided updated financials</w:t>
            </w:r>
            <w:r w:rsidR="00B74CBE" w:rsidRPr="00D41179">
              <w:t xml:space="preserve"> (see paragraph </w:t>
            </w:r>
            <w:r w:rsidR="008533E6" w:rsidRPr="00D41179">
              <w:fldChar w:fldCharType="begin"/>
            </w:r>
            <w:r w:rsidR="008533E6" w:rsidRPr="00D41179">
              <w:instrText xml:space="preserve"> REF _Ref211778626 \r \h </w:instrText>
            </w:r>
            <w:r w:rsidR="00D41179">
              <w:instrText xml:space="preserve"> \* MERGEFORMAT </w:instrText>
            </w:r>
            <w:r w:rsidR="008533E6" w:rsidRPr="00D41179">
              <w:fldChar w:fldCharType="separate"/>
            </w:r>
            <w:r w:rsidR="00DE3DAE">
              <w:t>6.71</w:t>
            </w:r>
            <w:r w:rsidR="008533E6" w:rsidRPr="00D41179">
              <w:fldChar w:fldCharType="end"/>
            </w:r>
            <w:r w:rsidR="00B74CBE" w:rsidRPr="00D41179">
              <w:t>)</w:t>
            </w:r>
            <w:r w:rsidRPr="00D41179">
              <w:t xml:space="preserve"> assuming</w:t>
            </w:r>
            <w:r w:rsidR="00291301" w:rsidRPr="00D41179">
              <w:t>:</w:t>
            </w:r>
          </w:p>
          <w:p w14:paraId="27C4011C" w14:textId="77777777" w:rsidR="00291301" w:rsidRPr="00D41179" w:rsidRDefault="00291301" w:rsidP="00F95692">
            <w:pPr>
              <w:pStyle w:val="TableText0"/>
            </w:pPr>
          </w:p>
          <w:p w14:paraId="5EBB3AC8" w14:textId="4433C6FB" w:rsidR="00291301" w:rsidRPr="00D41179" w:rsidRDefault="00291301" w:rsidP="00F95692">
            <w:pPr>
              <w:pStyle w:val="TableText0"/>
            </w:pPr>
            <w:r w:rsidRPr="00D41179">
              <w:t xml:space="preserve">Yr 1: </w:t>
            </w:r>
            <w:r w:rsidR="00B74CBE" w:rsidRPr="00D41179">
              <w:t>23.6</w:t>
            </w:r>
            <w:r w:rsidRPr="00D41179">
              <w:t xml:space="preserve">%, Yr 2: </w:t>
            </w:r>
            <w:r w:rsidR="00B74CBE" w:rsidRPr="00D41179">
              <w:t>35.5</w:t>
            </w:r>
            <w:r w:rsidRPr="00D41179">
              <w:t xml:space="preserve">%, Yr 3: </w:t>
            </w:r>
            <w:r w:rsidR="00B74CBE" w:rsidRPr="00D41179">
              <w:t>42.1</w:t>
            </w:r>
            <w:r w:rsidRPr="00D41179">
              <w:t xml:space="preserve">%, Yr 4: </w:t>
            </w:r>
            <w:r w:rsidR="00B74CBE" w:rsidRPr="00D41179">
              <w:t>45.8</w:t>
            </w:r>
            <w:r w:rsidRPr="00D41179">
              <w:t>%, Yr 5:</w:t>
            </w:r>
            <w:r w:rsidR="00B74CBE" w:rsidRPr="00D41179">
              <w:t>47.7</w:t>
            </w:r>
            <w:r w:rsidRPr="00D41179">
              <w:t xml:space="preserve">%, Yr 6: </w:t>
            </w:r>
            <w:r w:rsidR="00B74CBE" w:rsidRPr="00D41179">
              <w:t>48.8</w:t>
            </w:r>
            <w:r w:rsidRPr="00D41179">
              <w:t xml:space="preserve">% </w:t>
            </w:r>
          </w:p>
          <w:p w14:paraId="0F3C2ACD" w14:textId="4FCB0397" w:rsidR="00291301" w:rsidRPr="00D41179" w:rsidRDefault="00291301" w:rsidP="00F95692">
            <w:pPr>
              <w:pStyle w:val="TableText0"/>
            </w:pPr>
          </w:p>
        </w:tc>
      </w:tr>
      <w:tr w:rsidR="00117032" w:rsidRPr="00D41179" w14:paraId="11A7D20A" w14:textId="77777777">
        <w:tc>
          <w:tcPr>
            <w:tcW w:w="950" w:type="pct"/>
            <w:vAlign w:val="center"/>
          </w:tcPr>
          <w:p w14:paraId="232F13EB" w14:textId="77777777" w:rsidR="00117032" w:rsidRPr="00D41179" w:rsidRDefault="00117032" w:rsidP="00F95692">
            <w:pPr>
              <w:pStyle w:val="TableText0"/>
            </w:pPr>
            <w:r w:rsidRPr="00D41179">
              <w:t>Second dose compliance</w:t>
            </w:r>
          </w:p>
        </w:tc>
        <w:tc>
          <w:tcPr>
            <w:tcW w:w="1720" w:type="pct"/>
            <w:vAlign w:val="center"/>
          </w:tcPr>
          <w:p w14:paraId="601BD6CA" w14:textId="77777777" w:rsidR="00117032" w:rsidRPr="00D41179" w:rsidRDefault="00117032" w:rsidP="00F95692">
            <w:pPr>
              <w:pStyle w:val="TableText0"/>
            </w:pPr>
            <w:r w:rsidRPr="00D41179">
              <w:t>Assumption 82%</w:t>
            </w:r>
          </w:p>
        </w:tc>
        <w:tc>
          <w:tcPr>
            <w:tcW w:w="2330" w:type="pct"/>
            <w:vAlign w:val="center"/>
          </w:tcPr>
          <w:p w14:paraId="1B2AE990" w14:textId="77777777" w:rsidR="00117032" w:rsidRPr="00D41179" w:rsidRDefault="00117032" w:rsidP="00F95692">
            <w:pPr>
              <w:pStyle w:val="TableText0"/>
            </w:pPr>
            <w:r w:rsidRPr="00D41179">
              <w:t>This rate was based</w:t>
            </w:r>
            <w:r w:rsidRPr="00D41179" w:rsidDel="001832BB">
              <w:t xml:space="preserve"> </w:t>
            </w:r>
            <w:r w:rsidRPr="00D41179">
              <w:t xml:space="preserve">completion rates reported across post-marketing studies in Canada and the USA </w:t>
            </w:r>
            <w:r w:rsidRPr="00D41179">
              <w:fldChar w:fldCharType="begin" w:fldLock="1"/>
            </w:r>
            <w:r w:rsidRPr="00D41179">
              <w:instrText>ADDIN CSL_CITATION {"citationItems":[{"id":"ITEM-1","itemData":{"author":[{"dropping-particle":"","family":"Dooling","given":"Dr Kathleen","non-dropping-particle":"","parse-names":false,"suffix":""}],"container-title":"ACIP","id":"ITEM-1","issued":{"date-parts":[["2019"]]},"language":"en","title":"Herpes Zoster Vaccines: Update","type":"article-journal"},"uris":["http://www.mendeley.com/documents/?uuid=ad6c9c99-35c4-49df-896b-0c98cfa1e086"]},{"id":"ITEM-2","itemData":{"DOI":"10.1093/cid/ciab125","ISBN":"1058-4838, 1537-6591","abstract":"Background. Shingrix (recombinant zoster vaccine) was licensed to prevent herpes zoster, dispensed as 2 doses given 2–6 months apart among adults aged ≥50 years. Clinical trials yielded efficacy of &gt;90% for confirmed herpes zoster, but post-market performance has not been evaluated. Efficacy of a single dose and a delayed second dose and efficacy among persons with autoimmune or immunosuppressive conditions have not been studied. We aimed to assess post-market vaccine effectiveness of Shingrix. Methods.  We conducted a cohort study among Medicare Part D community-dwelling beneficiaries aged &gt;65 years. Herpes zoster was identified using a medical office visit diagnosis with treatment, and postherpetic neuralgia was identified using a validated algorithm. We used inverse probability of treatment weighting to improve cohort balance and marginal structural models to estimate hazard ratios. Results.  We found a vaccine effectiveness of 70.1% (95% confidence interval [CI], 68.6–71.5) and 56.9% (95% CI, 55.0–58.8) for 2 and 1 doses, respectively. The 2-dose vaccine effectiveness was not significantly lower for beneficiaries aged &gt;80 years, for second doses received at ≥180 days, or for individuals with autoimmune conditions. The vaccine was also effective among individuals with immunosuppressive conditions. Two-dose vaccine effectiveness against postherpetic neuralgia was 76.0% (95% CI, 68.4–81.8). Conclusions.  This large real-world observational study of the effectiveness of Shingrix demonstrates the benefit of completing the 2-dose regimen. Second doses administered beyond the recommended 6 months did not impair effectiveness. Our effectiveness estimates were lower than the clinical trials estimates, likely due to differences in outcome specificity.","author":[{"dropping-particle":"","family":"Izurieta","given":"Hector S","non-dropping-particle":"","parse-names":false,"suffix":""},{"dropping-particle":"","family":"Wu","given":"Xiyuan","non-dropping-particle":"","parse-names":false,"suffix":""},{"dropping-particle":"","family":"Forshee","given":"Richard","non-dropping-particle":"","parse-names":false,"suffix":""},{"dropping-particle":"","family":"Lu","given":"Yun","non-dropping-particle":"","parse-names":false,"suffix":""},{"dropping-particle":"","family":"Sung","given":"Heng-Ming","non-dropping-particle":"","parse-names":false,"suffix":""},{"dropping-particle":"","family":"Agger","given":"Paula Ehrlich","non-dropping-particle":"","parse-names":false,"suffix":""},{"dropping-particle":"","family":"Chillarige","given":"Yoganand","non-dropping-particle":"","parse-names":false,"suffix":""},{"dropping-particle":"","family":"Link-Gelles","given":"Ruth","non-dropping-particle":"","parse-names":false,"suffix":""},{"dropping-particle":"","family":"Lufkin","given":"Bradley","non-dropping-particle":"","parse-names":false,"suffix":""},{"dropping-particle":"","family":"Wernecke","given":"Michael","non-dropping-particle":"","parse-names":false,"suffix":""},{"dropping-particle":"","family":"MaCurdy","given":"Thomas E","non-dropping-particle":"","parse-names":false,"suffix":""},{"dropping-particle":"","family":"Kelman","given":"Jeffrey","non-dropping-particle":"","parse-names":false,"suffix":""},{"dropping-particle":"","family":"Dooling","given":"Kathleen","non-dropping-particle":"","parse-names":false,"suffix":""}],"container-title":"Clinical Infectious Diseases","id":"ITEM-2","issue":"6","issued":{"date-parts":[["2021"]]},"language":"en","page":"941-948","title":"Recombinant Zoster Vaccine (Shingrix): Real-World Effectiveness in the First 2 Years Post-Licensure","title-short":"Recombinant Zoster Vaccine (Shingrix)","type":"article-journal","volume":"73"},"uris":["http://www.mendeley.com/documents/?uuid=16f22e23-2c7b-4d9f-95ce-c0a1253affca"]},{"id":"ITEM-3","itemData":{"author":[{"dropping-particle":"","family":"Cubanski","given":"Juliette","non-dropping-particle":"","parse-names":false,"suffix":""},{"dropping-particle":"","family":"Neuman","given":"Tricia","non-dropping-particle":"","parse-names":false,"suffix":""},{"dropping-particle":"","family":"Damico","given":"Anthony","non-dropping-particle":"","parse-names":false,"suffix":""}],"id":"ITEM-3","issued":{"date-parts":[["2020"]]},"language":"en","title":"Who Didn’t Get a Second Shingrix Shot? Implications for Multidose COVID-19 Vaccines","type":"article-journal"},"uris":["http://www.mendeley.com/documents/?uuid=6495b15b-deb5-4982-a075-8ae6dabfa86e"]},{"id":"ITEM-4","itemData":{"DOI":"10.1016/j.japh.2021.11.010","ISBN":"15443191","abstract":"Background/Objectives: Vaccination against herpes zoster (HZ) is an effective strategy in protecting the population against consequences of varicella zoster virus reactivation. Optimal immunogenicity with recombinant zoster vaccine (RZV) relies on completion of the 2-dose series within 2-6 months from the ﬁrst dose. The objectives of this study were to estimate RZV completion rates and adherence with the recommended administration schedule in the general United States population aged at least 50 years and to evaluate factors inﬂuencing completion rates. Methods: Longitudinal, open-source pharmacy and medical claims databases were analyzed for adults aged at least 50 years with a ﬁrst RZV prescription ﬁlled between October 2017 and September 2019. The data were linked to Experian Marketing Services Consumer View data to obtain information regarding race. Completion rates and adherence were calculated overall and stratiﬁed according to claim source, age class, sex, and payer type. Logistic regression models were built for each subpopulation of interest to identify factors correlating with completion rates. Results: Overall, cumulative completion rates were 70.41% and 81.80% at 6 and 12 months, respectively. Median time to second dose was approximately 4 months (4.08-5.13 months) and adherence 67.62%. Completion rates were lower in the medical claims database compared with the pharmacy claims database (48.98% vs. 73.23% at 6 months). Regression models conﬁrmed that pharmacy claim was an independent factor for higher completion rates, while African American race and Medicaid status were associated with lower completion rates. Most comorbidities, including chronic obstructive pulmonary disease and type 2 diabetes mellitus, were associated with lower completion rates. Conclusion: Pharmacists contribute substantially to the overall high RZV completion rates in the United States. However, completion rates can be improved, especially in people receiving their ﬁrst","author":[{"dropping-particle":"","family":"Patterson","given":"Brandon J","non-dropping-particle":"","parse-names":false,"suffix":""},{"dropping-particle":"","family":"Chen","given":"Chi-Chang","non-dropping-particle":"","parse-names":false,"suffix":""},{"dropping-particle":"","family":"McGuiness","given":"Catherine B","non-dropping-particle":"","parse-names":false,"suffix":""},{"dropping-particle":"","family":"Ma","given":"Siyu","non-dropping-particle":"","parse-names":false,"suffix":""},{"dropping-particle":"","family":"Glasser","given":"Lisa I","non-dropping-particle":"","parse-names":false,"suffix":""},{"dropping-particle":"","family":"Sun","given":"Kainan","non-dropping-particle":"","parse-names":false,"suffix":""},{"dropping-particle":"","family":"Buck","given":"Philip O","non-dropping-particle":"","parse-names":false,"suffix":""}],"container-title":"Journal of the American Pharmacists Association","id":"ITEM-4","issue":"2","issued":{"date-parts":[["2022"]]},"language":"en","page":"526-536.e10","title":"Factors influencing series completion rates of recombinant herpes zoster vaccine in the United States: A retrospective pharmacy and medical claims analysis","title-short":"Factors influencing series completion rates of rec","type":"article-journal","volume":"62"},"uris":["http://www.mendeley.com/documents/?uuid=953960af-2259-4db6-96c7-18e961cdf78c"]},{"id":"ITEM-5","itemData":{"DOI":"10.1016/j.vaccine.2020.12.076","ISBN":"0264410X","abstract":"Background: In 2017, a new adjuvanted recombinant zoster vaccine (RZV) was recommended for adults !50 years as two-dose series 2–6 months apart. We evaluated two-dose RZV completion and factors associated with completion. Methods: The study included Kaiser Permanente Southern California members !50 years who received an RZV dose during April-November 2018 and had continuous membership 12 months before to 9 months after the ﬁrst RZV dose. Completion was deﬁned as receipt of the second dose !4 weeks to 9 months after the ﬁrst dose (allowing 3-month grace period). Characteristics including age, sex, race/ethnicity, Medicaid status, neighborhood level income and education, comorbidities, history of zoster, health care utilization before and after the ﬁrst dose, receipt of inﬂuenza vaccine, vaccination month (supply shortage proxy), concomitant vaccine, medical center, and medically attended reactions, pain, or gout after the ﬁrst dose were compared between completers and non-completers. Adjusted odds ratios and 95% conﬁdence intervals for factors associated with completion were estimated by multivariable logistic regression. Results: Among 31,120 ﬁrst dose recipients, 67.2% completed the series within 9 months. In adjusted analyses, higher completion was associated with White compared with Black or Hispanic race/ethnicity, higher neighborhood income and education, no chronic pulmonary disease, diabetes, or dementia, more outpatient visits and fewer emergency department visits before or after the ﬁrst dose, no hospitalizations after the ﬁrst dose, receipt of inﬂuenza vaccine, receipt of the ﬁrst dose in June-November rather than April-May 2018, and no concomitant vaccine with the ﬁrst dose. Systemic reactions or pain after the ﬁrst dose was not associated with completion. Conclusion: Completion of RZV series appears suboptimal in the early phase of implementation. Despite similar accessibility in a health care system, completion varied by race/ethnicity, socioeconomic status, health status, and care seeking behavior, suggesting areas to target for improvement.","author":[{"dropping-particle":"","family":"Ackerson","given":"Bradley","non-dropping-particle":"","parse-names":false,"suffix":""},{"dropping-particle":"","family":"Qian","given":"Lei","non-dropping-particle":"","parse-names":false,"suffix":""},{"dropping-particle":"","family":"Sy","given":"Lina S","non-dropping-particle":"","parse-names":false,"suffix":""},{"dropping-particle":"","family":"Bruxvoort","given":"Katia","non-dropping-particle":"","parse-names":false,"suffix":""},{"dropping-particle":"","family":"Wu","given":"Jun","non-dropping-particle":"","parse-names":false,"suffix":""},{"dropping-particle":"","family":"Luo","given":"Yi","non-dropping-particle":"","parse-names":false,"suffix":""},{"dropping-particle":"","family":"Diaz-Decaro","given":"John","non-dropping-particle":"","parse-names":false,"suffix":""},{"dropping-particle":"","family":"Talarico","given":"Carla","non-dropping-particle":"","parse-names":false,"suffix":""},{"dropping-particle":"","family":"Tseng","given":"Hung Fu","non-dropping-particle":"","parse-names":false,"suffix":""}],"container-title":"Vaccine","id":"ITEM-5","issue":"6","issued":{"date-parts":[["2021"]]},"language":"en","page":"926-932","title":"Completion of the two-dose recombinant zoster vaccine series in adults 50 years and older","type":"article-journal","volume":"39"},"uris":["http://www.mendeley.com/documents/?uuid=43e16e4a-cfeb-43f1-9ca3-df6544703802"]},{"id":"ITEM-6","itemData":{"DOI":"10.1016/j.vaccine.2021.04.053","ISBN":"0264410X","abstract":"Background: In 2017, the two-dose recombinant zoster vaccine (RZV) was authorized for use in Canada for the prevention of herpes zoster (HZ) in adults   50 years of age (YOA), which is administered 2–6 months apart. The National Advisory Committee on Immunization (NACI) states that a 0, 12-month schedule may be considered if ﬂexibility in the timing of the second dose is needed to improve coverage. This retrospective database study evaluated the second-dose completion of RZV in Canada from January 2018 to May 2019. Methods: Data were obtained from the IQVIA LRx Longitudinal Prescription Database which tracks retail prescriptions of anonymized patients. Patients were followed for 6- or 12-months to evaluate the second dose completion aligned with the licensed RZV dosing schedule and NACI’s option for greater ﬂexibility. The primary outcomes were time from ﬁrst to second dose and the proportion of patients who received the second dose. Results: In the 6-month (155,747 patients) and 12-month (55,524 patients) analytic cohorts, 65.0% and 74.9% received the second RZV dose within 2–6 months and 2–12 months after the ﬁrst dose with a truncated mean time of 97.8 days and 109.8 days between doses, respectively. Variation in completion rates was observed across age and geography, but sex, rurality, and pharmacy type did not impact results. Conclusion: Second dose completion of RZV in Canada is high but suboptimal. Further research to understand the factors inﬂuencing second dose timing and completion will be an important next step to improve series completion.","author":[{"dropping-particle":"","family":"McGirr","given":"Ashleigh","non-dropping-particle":"","parse-names":false,"suffix":""},{"dropping-particle":"","family":"Bourgoin","given":"Tara","non-dropping-particle":"","parse-names":false,"suffix":""},{"dropping-particle":"","family":"Wortzman","given":"Michael","non-dropping-particle":"","parse-names":false,"suffix":""},{"dropping-particle":"","family":"Millson","given":"Brad","non-dropping-particle":"","parse-names":false,"suffix":""},{"dropping-particle":"","family":"McNeil","given":"Shelly A","non-dropping-particle":"","parse-names":false,"suffix":""}],"container-title":"Vaccine","id":"ITEM-6","issue":"25","issued":{"date-parts":[["2021"]]},"language":"en","page":"3397-3403","title":"An early look at the second dose completion of the recombinant zoster vaccine in Canadian adults: A retrospective database study","title-short":"An early look at the second dose completion of the","type":"article-journal","volume":"39"},"uris":["http://www.mendeley.com/documents/?uuid=c5431d32-bd6c-4354-add8-9f7fedb4182d"]},{"id":"ITEM-7","itemData":{"DOI":"10.1016/j.vaccine.2022.03.006","ISBN":"0264410X","abstract":"Introduction: Poor compliance with adult vaccination recommendations contributes to substantial disease burden. Evidence on adherence, completion, and completion timeliness for the 2-dose recombinant herpes zoster vaccine (RZV) and factors associated with these outcomes is limited and not readily generalizable for the entire U.S. Methods: This retrospective, observational study examined adherence, completion, and the impact of sociodemographic, clinical and geographical factors among U.S. adults   50 years receiving RZV (4/20/2017 to 3/31/2021), using a large, geographically representative administrative claims database. Continuous enrollment in a medical beneﬁt plan for six months prior to and following the index date (ﬁrst observed vaccine dose) was required. Adherence was deﬁned as receipt of the 2nd dose within 2–6 months, per label recommendation. Completion (receipt of all doses) was assessed at 6, 12, 18, and 24 months. Results: Among 726,352 adults included, the adherence rate was 71.8%. Among 208,311 adults with 24–month follow-up, the completion rate was 72.3% after 6 months and 86.2% after 24 months. Logistic regression showed low adherence/completion was associated with younger age, Black or Hispanic race/ethnicity, lower income, lower educational attainment, and possessing commercial rather than Medicare healthcare insurance. Recipients identiﬁed using pharmacy claims had much higher adherence (74.0%) than those identiﬁed using medical claims (48.0%). Conclusions: Adherence and completion rates for RZV are suboptimal, especially for adults aged 50–64, racial/ethnic minorities, individuals with lower socio-economic status and those without Medicare insurance. More research and public health efforts are needed to understand and address potential barriers to RZV uptake, adherence and completion.","author":[{"dropping-particle":"","family":"LaMori","given":"Joyce","non-dropping-particle":"","parse-names":false,"suffix":""},{"dropping-particle":"","family":"Feng","given":"Xue","non-dropping-particle":"","parse-names":false,"suffix":""},{"dropping-particle":"","family":"Pericone","given":"Christopher D","non-dropping-particle":"","parse-names":false,"suffix":""},{"dropping-particle":"","family":"Mesa-Frias","given":"Marco","non-dropping-particle":"","parse-names":false,"suffix":""},{"dropping-particle":"","family":"Sogbetun","given":"Obiageli","non-dropping-particle":"","parse-names":false,"suffix":""},{"dropping-particle":"","family":"Kulczycki","given":"Andrzej","non-dropping-particle":"","parse-names":false,"suffix":""}],"container-title":"Vaccine","id":"ITEM-7","issue":"15","issued":{"date-parts":[["2022"]]},"language":"en","page":"2266-2273","title":"Real-world evidence on adherence and completion of the two-dose recombinant zoster vaccine and associated factors in U.S. adults, 2017–2021","type":"article-journal","volume":"40"},"uris":["http://www.mendeley.com/documents/?uuid=f47a94c6-d1bc-4e76-83de-5590cb293037"]}],"mendeley":{"formattedCitation":"(Ackerson et al., 2021; Cubanski et al., 2020; Dooling, 2019; Izurieta et al., 2021; LaMori et al., 2022; McGirr et al., 2021; Patterson et al., 2022)","plainTextFormattedCitation":"(Ackerson et al., 2021; Cubanski et al., 2020; Dooling, 2019; Izurieta et al., 2021; LaMori et al., 2022; McGirr et al., 2021; Patterson et al., 2022)","previouslyFormattedCitation":"(Ackerson et al., 2021; Cubanski et al., 2020; Dooling, 2019; Izurieta et al., 2021; LaMori et al., 2022; McGirr et al., 2021; Patterson et al., 2022)"},"properties":{"noteIndex":0},"schema":"https://github.com/citation-style-language/schema/raw/master/csl-citation.json"}</w:instrText>
            </w:r>
            <w:r w:rsidRPr="00D41179">
              <w:fldChar w:fldCharType="separate"/>
            </w:r>
            <w:r w:rsidRPr="00D41179">
              <w:rPr>
                <w:noProof/>
              </w:rPr>
              <w:t xml:space="preserve">(Ackerson et al., 2021; Cubanski et al., 2020; Dooling, </w:t>
            </w:r>
            <w:r w:rsidRPr="00D41179">
              <w:rPr>
                <w:noProof/>
              </w:rPr>
              <w:lastRenderedPageBreak/>
              <w:t>2019; Izurieta et al., 2021; LaMori et al., 2022; McGirr et al., 2021; Patterson et al., 2022)</w:t>
            </w:r>
            <w:r w:rsidRPr="00D41179">
              <w:fldChar w:fldCharType="end"/>
            </w:r>
            <w:r w:rsidRPr="00D41179">
              <w:t xml:space="preserve">. It was updated from 80% applied previously in the March 2023 financial model. </w:t>
            </w:r>
          </w:p>
          <w:p w14:paraId="696E3591" w14:textId="77777777" w:rsidR="00B74CBE" w:rsidRPr="00D41179" w:rsidRDefault="00B74CBE" w:rsidP="00F95692">
            <w:pPr>
              <w:pStyle w:val="TableText0"/>
            </w:pPr>
          </w:p>
          <w:p w14:paraId="270BFAF8" w14:textId="1462033A" w:rsidR="00B74CBE" w:rsidRPr="00D41179" w:rsidRDefault="00B74CBE" w:rsidP="00F95692">
            <w:pPr>
              <w:pStyle w:val="TableText0"/>
            </w:pPr>
            <w:r w:rsidRPr="00D41179">
              <w:t xml:space="preserve">The PSCR provided </w:t>
            </w:r>
            <w:r w:rsidR="00216644" w:rsidRPr="00D41179">
              <w:t xml:space="preserve">revised financials assuming uptake of 80.3% in individuals aged 60 to 64 years (see paragraph </w:t>
            </w:r>
            <w:r w:rsidR="008533E6" w:rsidRPr="00D41179">
              <w:fldChar w:fldCharType="begin"/>
            </w:r>
            <w:r w:rsidR="008533E6" w:rsidRPr="00D41179">
              <w:instrText xml:space="preserve"> REF _Ref211778626 \r \h </w:instrText>
            </w:r>
            <w:r w:rsidR="00D41179">
              <w:instrText xml:space="preserve"> \* MERGEFORMAT </w:instrText>
            </w:r>
            <w:r w:rsidR="008533E6" w:rsidRPr="00D41179">
              <w:fldChar w:fldCharType="separate"/>
            </w:r>
            <w:r w:rsidR="000F75F1">
              <w:t>6.71</w:t>
            </w:r>
            <w:r w:rsidR="008533E6" w:rsidRPr="00D41179">
              <w:fldChar w:fldCharType="end"/>
            </w:r>
            <w:r w:rsidR="00216644" w:rsidRPr="00D41179">
              <w:t>)</w:t>
            </w:r>
          </w:p>
        </w:tc>
      </w:tr>
      <w:tr w:rsidR="00117032" w:rsidRPr="00D41179" w14:paraId="56244093" w14:textId="77777777">
        <w:tc>
          <w:tcPr>
            <w:tcW w:w="950" w:type="pct"/>
            <w:vAlign w:val="center"/>
          </w:tcPr>
          <w:p w14:paraId="6E318A38" w14:textId="77777777" w:rsidR="00117032" w:rsidRPr="00D41179" w:rsidRDefault="00117032" w:rsidP="00F95692">
            <w:pPr>
              <w:pStyle w:val="TableText0"/>
            </w:pPr>
            <w:r w:rsidRPr="00D41179">
              <w:lastRenderedPageBreak/>
              <w:t>HZ, PHN and non-PHN complication cases avoided</w:t>
            </w:r>
          </w:p>
        </w:tc>
        <w:tc>
          <w:tcPr>
            <w:tcW w:w="1720" w:type="pct"/>
            <w:vAlign w:val="center"/>
          </w:tcPr>
          <w:p w14:paraId="7D907635" w14:textId="77777777" w:rsidR="00117032" w:rsidRPr="00D41179" w:rsidRDefault="00117032" w:rsidP="00F95692">
            <w:pPr>
              <w:pStyle w:val="TableText0"/>
            </w:pPr>
            <w:r w:rsidRPr="00D41179">
              <w:t>Results from the economic evaluation based on the number of events avoided per 1 million peoples who receive the first dose were used to determine cost saving to PBS (reduction in HZ related antivirals and PHN medications) and MBS (reduction in GP visits, ED visits and hospitalisations).</w:t>
            </w:r>
          </w:p>
        </w:tc>
        <w:tc>
          <w:tcPr>
            <w:tcW w:w="2330" w:type="pct"/>
            <w:vAlign w:val="center"/>
          </w:tcPr>
          <w:p w14:paraId="2A13D6CD" w14:textId="77777777" w:rsidR="00117032" w:rsidRPr="00D41179" w:rsidRDefault="00117032" w:rsidP="00F95692">
            <w:pPr>
              <w:pStyle w:val="TableText0"/>
            </w:pPr>
            <w:r w:rsidRPr="00D41179">
              <w:t>Based on these uncertainties in the economic model it is likely that the public health impacts of listing RZV for non-Indigenous adults aged 60-64 have been overestimated in the financial estimates, which is favourable to the intervention. A similar concern was noted in the March 2023 submission where it was noted that “these estimates may be overestimated as they were based on estimated reductions in the incidence of HZ, PHN and non-PHN complication from the economic model” (paragraph 6.78, RZV, PSD, March 2023 PBAC Meeting).</w:t>
            </w:r>
          </w:p>
        </w:tc>
      </w:tr>
      <w:tr w:rsidR="00117032" w:rsidRPr="00D41179" w14:paraId="52596485" w14:textId="77777777">
        <w:tc>
          <w:tcPr>
            <w:tcW w:w="950" w:type="pct"/>
            <w:vAlign w:val="center"/>
          </w:tcPr>
          <w:p w14:paraId="47CE39E5" w14:textId="7B889DFD" w:rsidR="00117032" w:rsidRPr="00D41179" w:rsidRDefault="00117032" w:rsidP="00F95692">
            <w:pPr>
              <w:pStyle w:val="TableText0"/>
            </w:pPr>
            <w:r w:rsidRPr="00D41179">
              <w:t xml:space="preserve">Proposed </w:t>
            </w:r>
            <w:r w:rsidR="00B83780" w:rsidRPr="00D41179">
              <w:t xml:space="preserve">vaccine </w:t>
            </w:r>
            <w:r w:rsidRPr="00D41179">
              <w:t>cost</w:t>
            </w:r>
            <w:r w:rsidR="00B83780" w:rsidRPr="00D41179">
              <w:t xml:space="preserve"> per dose</w:t>
            </w:r>
          </w:p>
        </w:tc>
        <w:tc>
          <w:tcPr>
            <w:tcW w:w="1720" w:type="pct"/>
            <w:vAlign w:val="center"/>
          </w:tcPr>
          <w:p w14:paraId="4D8FCEA6" w14:textId="2532E93F" w:rsidR="00117032" w:rsidRPr="00D41179" w:rsidRDefault="00117032" w:rsidP="00F95692">
            <w:pPr>
              <w:pStyle w:val="TableText0"/>
            </w:pPr>
            <w:r w:rsidRPr="00D41179">
              <w:t>$</w:t>
            </w:r>
            <w:r w:rsidR="000E1EB2" w:rsidRPr="000E1EB2">
              <w:rPr>
                <w:sz w:val="2"/>
                <w:highlight w:val="black"/>
              </w:rPr>
              <w:t>redacted content</w:t>
            </w:r>
            <w:r w:rsidRPr="00D41179">
              <w:t xml:space="preserve"> </w:t>
            </w:r>
          </w:p>
        </w:tc>
        <w:tc>
          <w:tcPr>
            <w:tcW w:w="2330" w:type="pct"/>
            <w:vAlign w:val="center"/>
          </w:tcPr>
          <w:p w14:paraId="20F78295" w14:textId="77777777" w:rsidR="00117032" w:rsidRPr="00D41179" w:rsidRDefault="00117032" w:rsidP="00F95692">
            <w:pPr>
              <w:pStyle w:val="TableText0"/>
            </w:pPr>
          </w:p>
        </w:tc>
      </w:tr>
      <w:tr w:rsidR="00117032" w:rsidRPr="00D41179" w14:paraId="6125285C" w14:textId="77777777">
        <w:tc>
          <w:tcPr>
            <w:tcW w:w="950" w:type="pct"/>
            <w:vAlign w:val="center"/>
          </w:tcPr>
          <w:p w14:paraId="4A722CB7" w14:textId="66FD42AF" w:rsidR="00117032" w:rsidRPr="00D41179" w:rsidRDefault="0041771F" w:rsidP="00F95692">
            <w:pPr>
              <w:pStyle w:val="TableText0"/>
            </w:pPr>
            <w:r w:rsidRPr="00D41179">
              <w:t>Vaccine</w:t>
            </w:r>
            <w:r w:rsidR="00396619" w:rsidRPr="00D41179">
              <w:t xml:space="preserve"> </w:t>
            </w:r>
            <w:r w:rsidR="00F94370" w:rsidRPr="00D41179">
              <w:t>a</w:t>
            </w:r>
            <w:r w:rsidR="00117032" w:rsidRPr="00D41179">
              <w:t>dministration</w:t>
            </w:r>
          </w:p>
        </w:tc>
        <w:tc>
          <w:tcPr>
            <w:tcW w:w="1720" w:type="pct"/>
            <w:vAlign w:val="center"/>
          </w:tcPr>
          <w:p w14:paraId="40D0DDB3" w14:textId="77777777" w:rsidR="0041771F" w:rsidRPr="00D41179" w:rsidRDefault="0041771F" w:rsidP="00F95692">
            <w:pPr>
              <w:pStyle w:val="TableText0"/>
            </w:pPr>
          </w:p>
          <w:p w14:paraId="192A3FA0" w14:textId="0FB7C0EE" w:rsidR="00117032" w:rsidRPr="00D41179" w:rsidRDefault="0041771F" w:rsidP="00F95692">
            <w:pPr>
              <w:pStyle w:val="TableText0"/>
            </w:pPr>
            <w:r w:rsidRPr="00D41179">
              <w:t xml:space="preserve">GP administration: </w:t>
            </w:r>
            <w:r w:rsidR="00117032" w:rsidRPr="00D41179">
              <w:t>First dose $7.84 based on MBS item 3 ($19.60) * 50% *</w:t>
            </w:r>
          </w:p>
          <w:p w14:paraId="04D79A1F" w14:textId="77777777" w:rsidR="00117032" w:rsidRPr="00D41179" w:rsidRDefault="00117032" w:rsidP="00F95692">
            <w:pPr>
              <w:pStyle w:val="TableText0"/>
            </w:pPr>
          </w:p>
          <w:p w14:paraId="206EA520" w14:textId="77777777" w:rsidR="00117032" w:rsidRPr="00D41179" w:rsidRDefault="00117032" w:rsidP="00F95692">
            <w:pPr>
              <w:pStyle w:val="TableText0"/>
            </w:pPr>
            <w:r w:rsidRPr="00D41179">
              <w:t xml:space="preserve">Second dose $15.68 based on MBS item 3 (19.60) </w:t>
            </w:r>
          </w:p>
          <w:p w14:paraId="2A5861E2" w14:textId="77777777" w:rsidR="0041771F" w:rsidRPr="00D41179" w:rsidRDefault="0041771F" w:rsidP="00F95692">
            <w:pPr>
              <w:pStyle w:val="TableText0"/>
            </w:pPr>
          </w:p>
          <w:p w14:paraId="779EB9A1" w14:textId="77777777" w:rsidR="0041771F" w:rsidRPr="00D41179" w:rsidRDefault="0041771F" w:rsidP="00F95692">
            <w:pPr>
              <w:pStyle w:val="TableText0"/>
            </w:pPr>
            <w:r w:rsidRPr="00D41179">
              <w:t xml:space="preserve">Pharmacy administration: </w:t>
            </w:r>
            <w:r w:rsidR="0002792B" w:rsidRPr="00D41179">
              <w:t>$20.05</w:t>
            </w:r>
          </w:p>
          <w:p w14:paraId="0789B316" w14:textId="77777777" w:rsidR="00876E30" w:rsidRPr="00D41179" w:rsidRDefault="00876E30" w:rsidP="00F95692">
            <w:pPr>
              <w:pStyle w:val="TableText0"/>
            </w:pPr>
          </w:p>
          <w:p w14:paraId="5E404531" w14:textId="47315077" w:rsidR="00876E30" w:rsidRPr="00D41179" w:rsidRDefault="00876E30" w:rsidP="00F95692">
            <w:pPr>
              <w:pStyle w:val="TableText0"/>
            </w:pPr>
            <w:r w:rsidRPr="00D41179">
              <w:t>‘Other’ administration: no cost</w:t>
            </w:r>
          </w:p>
        </w:tc>
        <w:tc>
          <w:tcPr>
            <w:tcW w:w="2330" w:type="pct"/>
            <w:vAlign w:val="center"/>
          </w:tcPr>
          <w:p w14:paraId="62AB4FE6" w14:textId="13442005" w:rsidR="00117032" w:rsidRPr="00D41179" w:rsidRDefault="00081436" w:rsidP="00F95692">
            <w:pPr>
              <w:pStyle w:val="TableText0"/>
            </w:pPr>
            <w:r w:rsidRPr="00D41179">
              <w:t>GP administration</w:t>
            </w:r>
            <w:r w:rsidR="00114400" w:rsidRPr="00D41179">
              <w:t xml:space="preserve"> </w:t>
            </w:r>
            <w:r w:rsidR="00AD1D6D" w:rsidRPr="00D41179">
              <w:t>82.8%, pharmacy administration 9.4% and administration by ‘other</w:t>
            </w:r>
            <w:r w:rsidR="0041771F" w:rsidRPr="00D41179">
              <w:t>’ 7.8%.</w:t>
            </w:r>
            <w:r w:rsidR="00D41179" w:rsidRPr="00D41179">
              <w:t xml:space="preserve"> </w:t>
            </w:r>
            <w:r w:rsidR="00117032" w:rsidRPr="00D41179">
              <w:t>The submission assumed that administration of the first dose is relatively easy to combine with another medical intervention when administered in a GP setting (e.g., concomitant administration with influenza vaccination; or routine GP consultation involving the discussion of other health conditions, Therefore, the cost of administration of the first dose was assumed to be 50% of GP consultation.</w:t>
            </w:r>
            <w:r w:rsidR="00B7461F" w:rsidRPr="00D41179">
              <w:t xml:space="preserve"> </w:t>
            </w:r>
            <w:r w:rsidR="008533E6" w:rsidRPr="00D41179">
              <w:t>The ESC considered the assumptions regarding how RZV would be administered were poorly supported in the submission</w:t>
            </w:r>
            <w:r w:rsidR="003E2401" w:rsidRPr="00D41179">
              <w:t xml:space="preserve"> and costs are therefore likely to be inaccurate and may be underestimated</w:t>
            </w:r>
            <w:r w:rsidR="008533E6" w:rsidRPr="00D41179">
              <w:rPr>
                <w:i/>
                <w:iCs/>
              </w:rPr>
              <w:t>.</w:t>
            </w:r>
            <w:r w:rsidR="00D41179" w:rsidRPr="00D41179">
              <w:t xml:space="preserve"> </w:t>
            </w:r>
          </w:p>
        </w:tc>
      </w:tr>
    </w:tbl>
    <w:p w14:paraId="6853C016" w14:textId="77777777" w:rsidR="00117032" w:rsidRPr="00D41179" w:rsidRDefault="00117032" w:rsidP="00117032">
      <w:pPr>
        <w:pStyle w:val="FooterTableFigure"/>
      </w:pPr>
      <w:r w:rsidRPr="00D41179">
        <w:t>Source: Compiled during the evaluation from Sections 4.1-4.5, pp 325-349</w:t>
      </w:r>
    </w:p>
    <w:p w14:paraId="6FFCF9E9" w14:textId="2D4E59D1" w:rsidR="00117032" w:rsidRPr="00D41179" w:rsidRDefault="00117032" w:rsidP="00117032">
      <w:pPr>
        <w:pStyle w:val="FooterTableFigure"/>
        <w:rPr>
          <w:sz w:val="20"/>
        </w:rPr>
      </w:pPr>
      <w:r w:rsidRPr="00D41179">
        <w:t>ABS</w:t>
      </w:r>
      <w:r w:rsidR="00BC5F32" w:rsidRPr="00D41179">
        <w:t xml:space="preserve"> = </w:t>
      </w:r>
      <w:r w:rsidRPr="00D41179">
        <w:t>Australian Bureau of Statistics; AIR</w:t>
      </w:r>
      <w:r w:rsidR="00BC5F32" w:rsidRPr="00D41179">
        <w:t xml:space="preserve"> = </w:t>
      </w:r>
      <w:r w:rsidRPr="00D41179">
        <w:t>Australian Immunisation Register; ATAGI</w:t>
      </w:r>
      <w:r w:rsidR="00BC5F32" w:rsidRPr="00D41179">
        <w:t xml:space="preserve"> = </w:t>
      </w:r>
      <w:r w:rsidRPr="00D41179">
        <w:t>Australian Technical Advisory Group on Immunisation; GP</w:t>
      </w:r>
      <w:r w:rsidR="00BC5F32" w:rsidRPr="00D41179">
        <w:t xml:space="preserve"> = </w:t>
      </w:r>
      <w:r w:rsidRPr="00D41179">
        <w:t>general practitioner; IC</w:t>
      </w:r>
      <w:r w:rsidR="00BC5F32" w:rsidRPr="00D41179">
        <w:t xml:space="preserve"> = </w:t>
      </w:r>
      <w:r w:rsidRPr="00D41179">
        <w:t>immunocompromised; MBS</w:t>
      </w:r>
      <w:r w:rsidR="00BC5F32" w:rsidRPr="00D41179">
        <w:t xml:space="preserve"> = </w:t>
      </w:r>
      <w:r w:rsidRPr="00D41179">
        <w:t>Medicare Benefits Schedule; OLS</w:t>
      </w:r>
      <w:r w:rsidR="00BC5F32" w:rsidRPr="00D41179">
        <w:t xml:space="preserve"> = </w:t>
      </w:r>
      <w:r w:rsidRPr="00D41179">
        <w:t>ordinary least squares; PBAC</w:t>
      </w:r>
      <w:r w:rsidR="00BC5F32" w:rsidRPr="00D41179">
        <w:t xml:space="preserve"> = </w:t>
      </w:r>
      <w:r w:rsidRPr="00D41179">
        <w:t>Pharmaceutical Benefits Advisory Committee; RZV</w:t>
      </w:r>
      <w:r w:rsidR="00BC5F32" w:rsidRPr="00D41179">
        <w:t xml:space="preserve"> = </w:t>
      </w:r>
      <w:r w:rsidRPr="00D41179">
        <w:t>recombinant zoster vaccine, Shingrix®; UK, United Kingdom</w:t>
      </w:r>
    </w:p>
    <w:p w14:paraId="4B382F73" w14:textId="7CCC6B40" w:rsidR="00BD6604" w:rsidRPr="00D41179" w:rsidRDefault="000C691A" w:rsidP="00F86740">
      <w:pPr>
        <w:pStyle w:val="3-BodyText"/>
        <w:numPr>
          <w:ilvl w:val="0"/>
          <w:numId w:val="0"/>
        </w:numPr>
      </w:pPr>
      <w:r w:rsidRPr="00D41179">
        <w:fldChar w:fldCharType="begin"/>
      </w:r>
      <w:r w:rsidRPr="00D41179">
        <w:instrText xml:space="preserve"> REF _Ref208995396 \h </w:instrText>
      </w:r>
      <w:r w:rsidR="00D41179">
        <w:instrText xml:space="preserve"> \* MERGEFORMAT </w:instrText>
      </w:r>
      <w:r w:rsidRPr="00D41179">
        <w:fldChar w:fldCharType="separate"/>
      </w:r>
      <w:r w:rsidR="00E7345C" w:rsidRPr="00D41179">
        <w:t xml:space="preserve">Table </w:t>
      </w:r>
      <w:r w:rsidR="00E7345C" w:rsidRPr="00D41179">
        <w:rPr>
          <w:noProof/>
        </w:rPr>
        <w:t>17</w:t>
      </w:r>
      <w:r w:rsidRPr="00D41179">
        <w:fldChar w:fldCharType="end"/>
      </w:r>
      <w:r w:rsidRPr="00D41179">
        <w:t xml:space="preserve"> </w:t>
      </w:r>
      <w:r w:rsidR="00117032" w:rsidRPr="00D41179">
        <w:t>estimates the total financial implications for the NIP of listing of RZV for non-Indigenous adults aged 60-64.</w:t>
      </w:r>
    </w:p>
    <w:p w14:paraId="56B27E12" w14:textId="246B2D59" w:rsidR="00F72209" w:rsidRPr="00D41179" w:rsidRDefault="00F72209" w:rsidP="00F72209">
      <w:pPr>
        <w:pStyle w:val="Caption"/>
      </w:pPr>
      <w:bookmarkStart w:id="70" w:name="_Ref208995396"/>
      <w:r w:rsidRPr="00D41179">
        <w:t xml:space="preserve">Table </w:t>
      </w:r>
      <w:r w:rsidRPr="00D41179">
        <w:fldChar w:fldCharType="begin"/>
      </w:r>
      <w:r w:rsidRPr="00D41179">
        <w:instrText>SEQ Table \* ARABIC</w:instrText>
      </w:r>
      <w:r w:rsidRPr="00D41179">
        <w:fldChar w:fldCharType="separate"/>
      </w:r>
      <w:r w:rsidR="00E7345C" w:rsidRPr="00D41179">
        <w:rPr>
          <w:noProof/>
        </w:rPr>
        <w:t>17</w:t>
      </w:r>
      <w:r w:rsidRPr="00D41179">
        <w:fldChar w:fldCharType="end"/>
      </w:r>
      <w:bookmarkEnd w:id="70"/>
      <w:r w:rsidRPr="00D41179">
        <w:t>:</w:t>
      </w:r>
      <w:r w:rsidRPr="00D41179">
        <w:rPr>
          <w:rStyle w:val="CommentReference"/>
          <w:b/>
          <w:szCs w:val="24"/>
        </w:rPr>
        <w:t xml:space="preserve"> Estimated use and financial implications</w:t>
      </w:r>
      <w:r w:rsidR="00B7461F" w:rsidRPr="00D41179">
        <w:rPr>
          <w:rStyle w:val="CommentReference"/>
          <w:b/>
          <w:szCs w:val="24"/>
        </w:rPr>
        <w:t xml:space="preserve"> </w:t>
      </w: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Caption w:val="Table 17: Estimated use and financial implications "/>
      </w:tblPr>
      <w:tblGrid>
        <w:gridCol w:w="1413"/>
        <w:gridCol w:w="1292"/>
        <w:gridCol w:w="1151"/>
        <w:gridCol w:w="1150"/>
        <w:gridCol w:w="1151"/>
        <w:gridCol w:w="1150"/>
        <w:gridCol w:w="1151"/>
        <w:gridCol w:w="1318"/>
      </w:tblGrid>
      <w:tr w:rsidR="00F72209" w:rsidRPr="00D41179" w14:paraId="342BF555" w14:textId="77777777" w:rsidTr="00A42DB5">
        <w:trPr>
          <w:trHeight w:val="222"/>
          <w:tblHeader/>
        </w:trPr>
        <w:tc>
          <w:tcPr>
            <w:tcW w:w="1413" w:type="dxa"/>
            <w:vAlign w:val="center"/>
          </w:tcPr>
          <w:p w14:paraId="491A3292" w14:textId="77777777" w:rsidR="00F72209" w:rsidRPr="00D41179" w:rsidRDefault="00F72209" w:rsidP="001479FA">
            <w:pPr>
              <w:pStyle w:val="TableText0"/>
            </w:pPr>
          </w:p>
        </w:tc>
        <w:tc>
          <w:tcPr>
            <w:tcW w:w="1292" w:type="dxa"/>
            <w:vAlign w:val="center"/>
          </w:tcPr>
          <w:p w14:paraId="0D12F7EA" w14:textId="77777777" w:rsidR="00F72209" w:rsidRPr="00D41179" w:rsidRDefault="00F72209" w:rsidP="001479FA">
            <w:pPr>
              <w:pStyle w:val="TableText0"/>
            </w:pPr>
            <w:r w:rsidRPr="00D41179">
              <w:t>2026 (Y1)</w:t>
            </w:r>
          </w:p>
        </w:tc>
        <w:tc>
          <w:tcPr>
            <w:tcW w:w="1151" w:type="dxa"/>
            <w:vAlign w:val="center"/>
          </w:tcPr>
          <w:p w14:paraId="2BBD7C90" w14:textId="77777777" w:rsidR="00F72209" w:rsidRPr="00D41179" w:rsidRDefault="00F72209" w:rsidP="001479FA">
            <w:pPr>
              <w:pStyle w:val="TableText0"/>
            </w:pPr>
            <w:r w:rsidRPr="00D41179">
              <w:t>2027 (Y2)</w:t>
            </w:r>
          </w:p>
        </w:tc>
        <w:tc>
          <w:tcPr>
            <w:tcW w:w="1150" w:type="dxa"/>
            <w:vAlign w:val="center"/>
          </w:tcPr>
          <w:p w14:paraId="1F606EC4" w14:textId="77777777" w:rsidR="00F72209" w:rsidRPr="00D41179" w:rsidRDefault="00F72209" w:rsidP="001479FA">
            <w:pPr>
              <w:pStyle w:val="TableText0"/>
            </w:pPr>
            <w:r w:rsidRPr="00D41179">
              <w:t>2028 (Y3)</w:t>
            </w:r>
          </w:p>
        </w:tc>
        <w:tc>
          <w:tcPr>
            <w:tcW w:w="1151" w:type="dxa"/>
            <w:vAlign w:val="center"/>
          </w:tcPr>
          <w:p w14:paraId="51860F7F" w14:textId="77777777" w:rsidR="00F72209" w:rsidRPr="00D41179" w:rsidRDefault="00F72209" w:rsidP="001479FA">
            <w:pPr>
              <w:pStyle w:val="TableText0"/>
            </w:pPr>
            <w:r w:rsidRPr="00D41179">
              <w:t>2029 (Y4)</w:t>
            </w:r>
          </w:p>
        </w:tc>
        <w:tc>
          <w:tcPr>
            <w:tcW w:w="1150" w:type="dxa"/>
            <w:vAlign w:val="center"/>
          </w:tcPr>
          <w:p w14:paraId="1F0D611E" w14:textId="77777777" w:rsidR="00F72209" w:rsidRPr="00D41179" w:rsidRDefault="00F72209" w:rsidP="001479FA">
            <w:pPr>
              <w:pStyle w:val="TableText0"/>
            </w:pPr>
            <w:r w:rsidRPr="00D41179">
              <w:t>2030 (Y5)</w:t>
            </w:r>
          </w:p>
        </w:tc>
        <w:tc>
          <w:tcPr>
            <w:tcW w:w="1151" w:type="dxa"/>
            <w:vAlign w:val="center"/>
          </w:tcPr>
          <w:p w14:paraId="5F53778A" w14:textId="77777777" w:rsidR="00F72209" w:rsidRPr="00D41179" w:rsidRDefault="00F72209" w:rsidP="001479FA">
            <w:pPr>
              <w:pStyle w:val="TableText0"/>
            </w:pPr>
            <w:r w:rsidRPr="00D41179">
              <w:t>2031 (Y6)</w:t>
            </w:r>
          </w:p>
        </w:tc>
        <w:tc>
          <w:tcPr>
            <w:tcW w:w="1318" w:type="dxa"/>
          </w:tcPr>
          <w:p w14:paraId="201DD974" w14:textId="77777777" w:rsidR="00F72209" w:rsidRPr="00D41179" w:rsidRDefault="00F72209" w:rsidP="001479FA">
            <w:pPr>
              <w:pStyle w:val="TableText0"/>
            </w:pPr>
            <w:r w:rsidRPr="00D41179">
              <w:t>Total</w:t>
            </w:r>
          </w:p>
        </w:tc>
      </w:tr>
      <w:tr w:rsidR="00F72209" w:rsidRPr="00D41179" w14:paraId="329E787A" w14:textId="77777777" w:rsidTr="00A42DB5">
        <w:trPr>
          <w:trHeight w:val="445"/>
        </w:trPr>
        <w:tc>
          <w:tcPr>
            <w:tcW w:w="1413" w:type="dxa"/>
            <w:vAlign w:val="center"/>
          </w:tcPr>
          <w:p w14:paraId="156F8E94" w14:textId="42220243" w:rsidR="00F72209" w:rsidRPr="00D41179" w:rsidRDefault="00F72209" w:rsidP="001479FA">
            <w:pPr>
              <w:pStyle w:val="TableText0"/>
            </w:pPr>
            <w:r w:rsidRPr="00D41179">
              <w:t xml:space="preserve">Total doses administered </w:t>
            </w:r>
            <w:r w:rsidR="00443E3D" w:rsidRPr="00D41179">
              <w:t>(new program)</w:t>
            </w:r>
          </w:p>
        </w:tc>
        <w:tc>
          <w:tcPr>
            <w:tcW w:w="1292" w:type="dxa"/>
            <w:vAlign w:val="center"/>
          </w:tcPr>
          <w:p w14:paraId="73BD8F4A" w14:textId="5FE2EAC8" w:rsidR="00F72209" w:rsidRPr="00D41179" w:rsidRDefault="000E1EB2" w:rsidP="001479FA">
            <w:pPr>
              <w:pStyle w:val="TableText0"/>
              <w:rPr>
                <w:vertAlign w:val="superscript"/>
              </w:rPr>
            </w:pPr>
            <w:r w:rsidRPr="000E1EB2">
              <w:rPr>
                <w:sz w:val="2"/>
                <w:highlight w:val="black"/>
              </w:rPr>
              <w:t>redacted content</w:t>
            </w:r>
            <w:r w:rsidR="00BD6604" w:rsidRPr="00D41179">
              <w:rPr>
                <w:vertAlign w:val="superscript"/>
              </w:rPr>
              <w:t>1</w:t>
            </w:r>
          </w:p>
        </w:tc>
        <w:tc>
          <w:tcPr>
            <w:tcW w:w="1151" w:type="dxa"/>
            <w:vAlign w:val="center"/>
          </w:tcPr>
          <w:p w14:paraId="4A2F0DAE" w14:textId="3AC5DDCF" w:rsidR="00F72209" w:rsidRPr="00D41179" w:rsidRDefault="000E1EB2" w:rsidP="001479FA">
            <w:pPr>
              <w:pStyle w:val="TableText0"/>
              <w:rPr>
                <w:vertAlign w:val="superscript"/>
              </w:rPr>
            </w:pPr>
            <w:r w:rsidRPr="000E1EB2">
              <w:rPr>
                <w:sz w:val="2"/>
                <w:highlight w:val="black"/>
              </w:rPr>
              <w:t>redacted content</w:t>
            </w:r>
            <w:r w:rsidR="00BF7440" w:rsidRPr="00D41179">
              <w:rPr>
                <w:vertAlign w:val="superscript"/>
              </w:rPr>
              <w:t>2</w:t>
            </w:r>
          </w:p>
        </w:tc>
        <w:tc>
          <w:tcPr>
            <w:tcW w:w="1150" w:type="dxa"/>
            <w:vAlign w:val="center"/>
          </w:tcPr>
          <w:p w14:paraId="0A2CB989" w14:textId="198A9A15" w:rsidR="00F72209" w:rsidRPr="00D41179" w:rsidRDefault="000E1EB2" w:rsidP="001479FA">
            <w:pPr>
              <w:pStyle w:val="TableText0"/>
              <w:rPr>
                <w:vertAlign w:val="superscript"/>
              </w:rPr>
            </w:pPr>
            <w:r w:rsidRPr="000E1EB2">
              <w:rPr>
                <w:sz w:val="2"/>
                <w:highlight w:val="black"/>
              </w:rPr>
              <w:t>redacted content</w:t>
            </w:r>
            <w:r w:rsidR="00BF7440" w:rsidRPr="00D41179">
              <w:rPr>
                <w:vertAlign w:val="superscript"/>
              </w:rPr>
              <w:t>3</w:t>
            </w:r>
          </w:p>
        </w:tc>
        <w:tc>
          <w:tcPr>
            <w:tcW w:w="1151" w:type="dxa"/>
            <w:vAlign w:val="center"/>
          </w:tcPr>
          <w:p w14:paraId="70D670C4" w14:textId="1530F295" w:rsidR="00F72209" w:rsidRPr="00D41179" w:rsidRDefault="000E1EB2" w:rsidP="001479FA">
            <w:pPr>
              <w:pStyle w:val="TableText0"/>
              <w:rPr>
                <w:vertAlign w:val="superscript"/>
              </w:rPr>
            </w:pPr>
            <w:r w:rsidRPr="000E1EB2">
              <w:rPr>
                <w:sz w:val="2"/>
                <w:highlight w:val="black"/>
              </w:rPr>
              <w:t>redacted content</w:t>
            </w:r>
            <w:r w:rsidR="00BF7440" w:rsidRPr="00D41179">
              <w:rPr>
                <w:vertAlign w:val="superscript"/>
              </w:rPr>
              <w:t>3</w:t>
            </w:r>
          </w:p>
        </w:tc>
        <w:tc>
          <w:tcPr>
            <w:tcW w:w="1150" w:type="dxa"/>
            <w:vAlign w:val="center"/>
          </w:tcPr>
          <w:p w14:paraId="6DB111A7" w14:textId="7F138C90" w:rsidR="00F72209" w:rsidRPr="00D41179" w:rsidRDefault="000E1EB2" w:rsidP="001479FA">
            <w:pPr>
              <w:pStyle w:val="TableText0"/>
              <w:rPr>
                <w:vertAlign w:val="superscript"/>
              </w:rPr>
            </w:pPr>
            <w:r w:rsidRPr="000E1EB2">
              <w:rPr>
                <w:sz w:val="2"/>
                <w:highlight w:val="black"/>
              </w:rPr>
              <w:t>redacted content</w:t>
            </w:r>
            <w:r w:rsidR="00BF7440" w:rsidRPr="00D41179">
              <w:rPr>
                <w:vertAlign w:val="superscript"/>
              </w:rPr>
              <w:t>4</w:t>
            </w:r>
          </w:p>
        </w:tc>
        <w:tc>
          <w:tcPr>
            <w:tcW w:w="1151" w:type="dxa"/>
            <w:vAlign w:val="center"/>
          </w:tcPr>
          <w:p w14:paraId="3CFF16A6" w14:textId="3F801F2B" w:rsidR="00F72209" w:rsidRPr="00D41179" w:rsidRDefault="000E1EB2" w:rsidP="001479FA">
            <w:pPr>
              <w:pStyle w:val="TableText0"/>
              <w:rPr>
                <w:vertAlign w:val="superscript"/>
              </w:rPr>
            </w:pPr>
            <w:r w:rsidRPr="000E1EB2">
              <w:rPr>
                <w:sz w:val="2"/>
                <w:highlight w:val="black"/>
              </w:rPr>
              <w:t>redacted content</w:t>
            </w:r>
            <w:r w:rsidR="00BF7440" w:rsidRPr="00D41179">
              <w:rPr>
                <w:vertAlign w:val="superscript"/>
              </w:rPr>
              <w:t>4</w:t>
            </w:r>
          </w:p>
        </w:tc>
        <w:tc>
          <w:tcPr>
            <w:tcW w:w="1318" w:type="dxa"/>
            <w:vAlign w:val="center"/>
          </w:tcPr>
          <w:p w14:paraId="2114B633" w14:textId="61C0F668" w:rsidR="00F72209" w:rsidRPr="00D41179" w:rsidRDefault="000E1EB2" w:rsidP="001479FA">
            <w:pPr>
              <w:pStyle w:val="TableText0"/>
              <w:rPr>
                <w:vertAlign w:val="superscript"/>
              </w:rPr>
            </w:pPr>
            <w:r w:rsidRPr="000E1EB2">
              <w:rPr>
                <w:sz w:val="2"/>
                <w:highlight w:val="black"/>
              </w:rPr>
              <w:t>redacted content</w:t>
            </w:r>
            <w:r w:rsidR="00BF3A3E" w:rsidRPr="00D41179">
              <w:rPr>
                <w:vertAlign w:val="superscript"/>
              </w:rPr>
              <w:t>5</w:t>
            </w:r>
          </w:p>
        </w:tc>
      </w:tr>
      <w:tr w:rsidR="00F72209" w:rsidRPr="00D41179" w14:paraId="66AEE6DA" w14:textId="77777777" w:rsidTr="00A42DB5">
        <w:trPr>
          <w:trHeight w:val="465"/>
        </w:trPr>
        <w:tc>
          <w:tcPr>
            <w:tcW w:w="1413" w:type="dxa"/>
            <w:vAlign w:val="center"/>
          </w:tcPr>
          <w:p w14:paraId="0480B1C5" w14:textId="7A611415" w:rsidR="00F72209" w:rsidRPr="00D41179" w:rsidRDefault="00F72209" w:rsidP="001479FA">
            <w:pPr>
              <w:pStyle w:val="TableText0"/>
            </w:pPr>
            <w:r w:rsidRPr="00D41179">
              <w:t>Total doses administered (existing program)</w:t>
            </w:r>
          </w:p>
        </w:tc>
        <w:tc>
          <w:tcPr>
            <w:tcW w:w="1292" w:type="dxa"/>
            <w:vAlign w:val="center"/>
          </w:tcPr>
          <w:p w14:paraId="5830970D" w14:textId="7222841B" w:rsidR="00F72209" w:rsidRPr="00D41179" w:rsidRDefault="000E1EB2" w:rsidP="001479FA">
            <w:pPr>
              <w:pStyle w:val="TableText0"/>
              <w:rPr>
                <w:vertAlign w:val="superscript"/>
              </w:rPr>
            </w:pPr>
            <w:r w:rsidRPr="000E1EB2">
              <w:rPr>
                <w:sz w:val="2"/>
                <w:highlight w:val="black"/>
              </w:rPr>
              <w:t>redacted content</w:t>
            </w:r>
            <w:r w:rsidR="00673066" w:rsidRPr="00D41179">
              <w:rPr>
                <w:vertAlign w:val="superscript"/>
              </w:rPr>
              <w:t>6</w:t>
            </w:r>
          </w:p>
        </w:tc>
        <w:tc>
          <w:tcPr>
            <w:tcW w:w="1151" w:type="dxa"/>
            <w:vAlign w:val="center"/>
          </w:tcPr>
          <w:p w14:paraId="5B1FA84F" w14:textId="09F0C328" w:rsidR="00F72209" w:rsidRPr="00E4512E" w:rsidRDefault="000E1EB2" w:rsidP="001479FA">
            <w:pPr>
              <w:pStyle w:val="TableText0"/>
              <w:rPr>
                <w:vertAlign w:val="superscript"/>
              </w:rPr>
            </w:pPr>
            <w:r w:rsidRPr="000E1EB2">
              <w:rPr>
                <w:sz w:val="2"/>
                <w:highlight w:val="black"/>
              </w:rPr>
              <w:t>redacted content</w:t>
            </w:r>
            <w:r w:rsidR="00673066" w:rsidRPr="00E4512E">
              <w:rPr>
                <w:vertAlign w:val="superscript"/>
              </w:rPr>
              <w:t>7</w:t>
            </w:r>
          </w:p>
        </w:tc>
        <w:tc>
          <w:tcPr>
            <w:tcW w:w="1150" w:type="dxa"/>
            <w:vAlign w:val="center"/>
          </w:tcPr>
          <w:p w14:paraId="6888CFB0" w14:textId="4399F402" w:rsidR="00F72209" w:rsidRPr="00D41179" w:rsidRDefault="000E1EB2" w:rsidP="001479FA">
            <w:pPr>
              <w:pStyle w:val="TableText0"/>
              <w:rPr>
                <w:vertAlign w:val="superscript"/>
              </w:rPr>
            </w:pPr>
            <w:r w:rsidRPr="000E1EB2">
              <w:rPr>
                <w:sz w:val="2"/>
                <w:highlight w:val="black"/>
              </w:rPr>
              <w:t>redacted content</w:t>
            </w:r>
            <w:r w:rsidR="00EB4469" w:rsidRPr="00D41179">
              <w:rPr>
                <w:vertAlign w:val="superscript"/>
              </w:rPr>
              <w:t>8</w:t>
            </w:r>
          </w:p>
        </w:tc>
        <w:tc>
          <w:tcPr>
            <w:tcW w:w="1151" w:type="dxa"/>
            <w:vAlign w:val="center"/>
          </w:tcPr>
          <w:p w14:paraId="63948FD7" w14:textId="2CC2A0A4" w:rsidR="00F72209" w:rsidRPr="00D41179" w:rsidRDefault="000E1EB2" w:rsidP="001479FA">
            <w:pPr>
              <w:pStyle w:val="TableText0"/>
            </w:pPr>
            <w:r w:rsidRPr="000E1EB2">
              <w:rPr>
                <w:sz w:val="2"/>
                <w:highlight w:val="black"/>
              </w:rPr>
              <w:t>redacted content</w:t>
            </w:r>
            <w:r w:rsidR="00673066" w:rsidRPr="00D41179">
              <w:rPr>
                <w:vertAlign w:val="superscript"/>
              </w:rPr>
              <w:t>8</w:t>
            </w:r>
          </w:p>
        </w:tc>
        <w:tc>
          <w:tcPr>
            <w:tcW w:w="1150" w:type="dxa"/>
            <w:vAlign w:val="center"/>
          </w:tcPr>
          <w:p w14:paraId="555F2370" w14:textId="3888ADED" w:rsidR="00F72209" w:rsidRPr="00D41179" w:rsidRDefault="000E1EB2" w:rsidP="001479FA">
            <w:pPr>
              <w:pStyle w:val="TableText0"/>
            </w:pPr>
            <w:r w:rsidRPr="000E1EB2">
              <w:rPr>
                <w:sz w:val="2"/>
                <w:highlight w:val="black"/>
              </w:rPr>
              <w:t>redacted content</w:t>
            </w:r>
            <w:r w:rsidR="00EB4469" w:rsidRPr="00D41179">
              <w:rPr>
                <w:vertAlign w:val="superscript"/>
              </w:rPr>
              <w:t>4</w:t>
            </w:r>
          </w:p>
        </w:tc>
        <w:tc>
          <w:tcPr>
            <w:tcW w:w="1151" w:type="dxa"/>
            <w:vAlign w:val="center"/>
          </w:tcPr>
          <w:p w14:paraId="3DDF74F3" w14:textId="0709AD54" w:rsidR="00F72209" w:rsidRPr="00D41179" w:rsidRDefault="000E1EB2" w:rsidP="001479FA">
            <w:pPr>
              <w:pStyle w:val="TableText0"/>
            </w:pPr>
            <w:r w:rsidRPr="000E1EB2">
              <w:rPr>
                <w:sz w:val="2"/>
                <w:highlight w:val="black"/>
              </w:rPr>
              <w:t>redacted content</w:t>
            </w:r>
            <w:r w:rsidR="00EB4469" w:rsidRPr="00D41179">
              <w:rPr>
                <w:vertAlign w:val="superscript"/>
              </w:rPr>
              <w:t>4</w:t>
            </w:r>
          </w:p>
        </w:tc>
        <w:tc>
          <w:tcPr>
            <w:tcW w:w="1318" w:type="dxa"/>
            <w:vAlign w:val="center"/>
          </w:tcPr>
          <w:p w14:paraId="40967262" w14:textId="749B2425" w:rsidR="00F72209" w:rsidRPr="00D41179" w:rsidRDefault="000E1EB2" w:rsidP="001479FA">
            <w:pPr>
              <w:pStyle w:val="TableText0"/>
            </w:pPr>
            <w:r w:rsidRPr="000E1EB2">
              <w:rPr>
                <w:sz w:val="2"/>
                <w:highlight w:val="black"/>
              </w:rPr>
              <w:t>redacted content</w:t>
            </w:r>
            <w:r w:rsidR="0005330C" w:rsidRPr="00D41179">
              <w:rPr>
                <w:vertAlign w:val="superscript"/>
              </w:rPr>
              <w:t>9</w:t>
            </w:r>
          </w:p>
        </w:tc>
      </w:tr>
      <w:tr w:rsidR="00F72209" w:rsidRPr="00D41179" w14:paraId="5D731AFB" w14:textId="77777777" w:rsidTr="00A42DB5">
        <w:trPr>
          <w:trHeight w:val="222"/>
        </w:trPr>
        <w:tc>
          <w:tcPr>
            <w:tcW w:w="1413" w:type="dxa"/>
            <w:vAlign w:val="center"/>
          </w:tcPr>
          <w:p w14:paraId="5EDB1D73" w14:textId="39104298" w:rsidR="00F72209" w:rsidRPr="00D41179" w:rsidRDefault="00F72209" w:rsidP="001479FA">
            <w:pPr>
              <w:pStyle w:val="TableText0"/>
            </w:pPr>
            <w:r w:rsidRPr="00D41179">
              <w:t>Net total doses administered</w:t>
            </w:r>
            <w:r w:rsidR="00D41179" w:rsidRPr="00D41179">
              <w:t xml:space="preserve"> </w:t>
            </w:r>
          </w:p>
        </w:tc>
        <w:tc>
          <w:tcPr>
            <w:tcW w:w="1292" w:type="dxa"/>
            <w:vAlign w:val="center"/>
          </w:tcPr>
          <w:p w14:paraId="17059FF8" w14:textId="262EFFF2" w:rsidR="00F72209" w:rsidRPr="00D41179" w:rsidRDefault="000E1EB2" w:rsidP="001479FA">
            <w:pPr>
              <w:pStyle w:val="TableText0"/>
              <w:rPr>
                <w:vertAlign w:val="superscript"/>
              </w:rPr>
            </w:pPr>
            <w:r w:rsidRPr="000E1EB2">
              <w:rPr>
                <w:sz w:val="2"/>
                <w:highlight w:val="black"/>
              </w:rPr>
              <w:t>redacted content</w:t>
            </w:r>
            <w:r w:rsidR="00BF3A3E" w:rsidRPr="00D41179">
              <w:rPr>
                <w:vertAlign w:val="superscript"/>
              </w:rPr>
              <w:t>1</w:t>
            </w:r>
          </w:p>
        </w:tc>
        <w:tc>
          <w:tcPr>
            <w:tcW w:w="1151" w:type="dxa"/>
            <w:vAlign w:val="center"/>
          </w:tcPr>
          <w:p w14:paraId="4DD6A2BE" w14:textId="340B42B3" w:rsidR="00F72209" w:rsidRPr="00D41179" w:rsidRDefault="000E1EB2" w:rsidP="001479FA">
            <w:pPr>
              <w:pStyle w:val="TableText0"/>
              <w:rPr>
                <w:vertAlign w:val="superscript"/>
              </w:rPr>
            </w:pPr>
            <w:r w:rsidRPr="000E1EB2">
              <w:rPr>
                <w:sz w:val="2"/>
                <w:highlight w:val="black"/>
              </w:rPr>
              <w:t>redacted content</w:t>
            </w:r>
            <w:r w:rsidR="00BF3A3E" w:rsidRPr="00D41179">
              <w:rPr>
                <w:vertAlign w:val="superscript"/>
              </w:rPr>
              <w:t>4</w:t>
            </w:r>
          </w:p>
        </w:tc>
        <w:tc>
          <w:tcPr>
            <w:tcW w:w="1150" w:type="dxa"/>
            <w:vAlign w:val="center"/>
          </w:tcPr>
          <w:p w14:paraId="3E2E2EF6" w14:textId="4717DFAA" w:rsidR="00F72209" w:rsidRPr="00D41179" w:rsidRDefault="000E1EB2" w:rsidP="001479FA">
            <w:pPr>
              <w:pStyle w:val="TableText0"/>
              <w:rPr>
                <w:vertAlign w:val="superscript"/>
              </w:rPr>
            </w:pPr>
            <w:r w:rsidRPr="000E1EB2">
              <w:rPr>
                <w:sz w:val="2"/>
                <w:highlight w:val="black"/>
              </w:rPr>
              <w:t>redacted content</w:t>
            </w:r>
            <w:r w:rsidR="00203A85" w:rsidRPr="00D41179">
              <w:rPr>
                <w:vertAlign w:val="superscript"/>
              </w:rPr>
              <w:t>7</w:t>
            </w:r>
          </w:p>
        </w:tc>
        <w:tc>
          <w:tcPr>
            <w:tcW w:w="1151" w:type="dxa"/>
            <w:vAlign w:val="center"/>
          </w:tcPr>
          <w:p w14:paraId="0CCC6857" w14:textId="7B75353B" w:rsidR="00F72209" w:rsidRPr="00D41179" w:rsidRDefault="000E1EB2" w:rsidP="001479FA">
            <w:pPr>
              <w:pStyle w:val="TableText0"/>
              <w:rPr>
                <w:vertAlign w:val="superscript"/>
              </w:rPr>
            </w:pPr>
            <w:r w:rsidRPr="000E1EB2">
              <w:rPr>
                <w:sz w:val="2"/>
                <w:highlight w:val="black"/>
              </w:rPr>
              <w:t>redacted content</w:t>
            </w:r>
            <w:r w:rsidR="00203A85" w:rsidRPr="00D41179">
              <w:rPr>
                <w:vertAlign w:val="superscript"/>
              </w:rPr>
              <w:t>10</w:t>
            </w:r>
          </w:p>
        </w:tc>
        <w:tc>
          <w:tcPr>
            <w:tcW w:w="1150" w:type="dxa"/>
            <w:vAlign w:val="center"/>
          </w:tcPr>
          <w:p w14:paraId="18CB8456" w14:textId="3408E13C" w:rsidR="00F72209" w:rsidRPr="00D41179" w:rsidRDefault="000E1EB2" w:rsidP="001479FA">
            <w:pPr>
              <w:pStyle w:val="TableText0"/>
              <w:rPr>
                <w:vertAlign w:val="superscript"/>
              </w:rPr>
            </w:pPr>
            <w:r w:rsidRPr="000E1EB2">
              <w:rPr>
                <w:sz w:val="2"/>
                <w:highlight w:val="black"/>
              </w:rPr>
              <w:t>redacted content</w:t>
            </w:r>
            <w:r w:rsidR="00C70FB2" w:rsidRPr="00D41179">
              <w:rPr>
                <w:vertAlign w:val="superscript"/>
              </w:rPr>
              <w:t>11</w:t>
            </w:r>
          </w:p>
        </w:tc>
        <w:tc>
          <w:tcPr>
            <w:tcW w:w="1151" w:type="dxa"/>
            <w:vAlign w:val="center"/>
          </w:tcPr>
          <w:p w14:paraId="52A08998" w14:textId="78C91ABC" w:rsidR="00F72209" w:rsidRPr="00D41179" w:rsidRDefault="000E1EB2" w:rsidP="001479FA">
            <w:pPr>
              <w:pStyle w:val="TableText0"/>
              <w:rPr>
                <w:vertAlign w:val="superscript"/>
              </w:rPr>
            </w:pPr>
            <w:r w:rsidRPr="000E1EB2">
              <w:rPr>
                <w:sz w:val="2"/>
                <w:highlight w:val="black"/>
              </w:rPr>
              <w:t>redacted content</w:t>
            </w:r>
            <w:r w:rsidR="00C70FB2" w:rsidRPr="00D41179">
              <w:rPr>
                <w:vertAlign w:val="superscript"/>
              </w:rPr>
              <w:t>12</w:t>
            </w:r>
          </w:p>
        </w:tc>
        <w:tc>
          <w:tcPr>
            <w:tcW w:w="1318" w:type="dxa"/>
            <w:vAlign w:val="center"/>
          </w:tcPr>
          <w:p w14:paraId="73CB6874" w14:textId="4AF9378F" w:rsidR="00F72209" w:rsidRPr="00D41179" w:rsidRDefault="000E1EB2" w:rsidP="001479FA">
            <w:pPr>
              <w:pStyle w:val="TableText0"/>
              <w:rPr>
                <w:vertAlign w:val="superscript"/>
              </w:rPr>
            </w:pPr>
            <w:r w:rsidRPr="000E1EB2">
              <w:rPr>
                <w:sz w:val="2"/>
                <w:highlight w:val="black"/>
              </w:rPr>
              <w:t>redacted content</w:t>
            </w:r>
            <w:r w:rsidR="004544B1" w:rsidRPr="00D41179">
              <w:rPr>
                <w:vertAlign w:val="superscript"/>
              </w:rPr>
              <w:t>10</w:t>
            </w:r>
          </w:p>
        </w:tc>
      </w:tr>
      <w:tr w:rsidR="00F72209" w:rsidRPr="00D41179" w14:paraId="0373C95C" w14:textId="77777777" w:rsidTr="00A42DB5">
        <w:trPr>
          <w:trHeight w:val="90"/>
        </w:trPr>
        <w:tc>
          <w:tcPr>
            <w:tcW w:w="1413" w:type="dxa"/>
            <w:vAlign w:val="center"/>
          </w:tcPr>
          <w:p w14:paraId="6030ED83" w14:textId="77777777" w:rsidR="00F72209" w:rsidRPr="00D41179" w:rsidRDefault="00F72209" w:rsidP="001479FA">
            <w:pPr>
              <w:pStyle w:val="TableText0"/>
            </w:pPr>
            <w:r w:rsidRPr="00D41179">
              <w:t xml:space="preserve">Net NIP cost </w:t>
            </w:r>
          </w:p>
        </w:tc>
        <w:tc>
          <w:tcPr>
            <w:tcW w:w="1292" w:type="dxa"/>
            <w:vAlign w:val="center"/>
          </w:tcPr>
          <w:p w14:paraId="50149E3E" w14:textId="7092BB03" w:rsidR="00F72209" w:rsidRPr="00D41179" w:rsidRDefault="00F72209" w:rsidP="001479FA">
            <w:pPr>
              <w:pStyle w:val="TableText0"/>
              <w:rPr>
                <w:vertAlign w:val="superscript"/>
              </w:rPr>
            </w:pPr>
            <w:r w:rsidRPr="00D41179">
              <w:t>$</w:t>
            </w:r>
            <w:r w:rsidR="000E1EB2" w:rsidRPr="000E1EB2">
              <w:rPr>
                <w:sz w:val="2"/>
                <w:highlight w:val="black"/>
              </w:rPr>
              <w:t>redacted content</w:t>
            </w:r>
            <w:r w:rsidR="00151407" w:rsidRPr="00D41179">
              <w:rPr>
                <w:vertAlign w:val="superscript"/>
              </w:rPr>
              <w:t>1</w:t>
            </w:r>
            <w:r w:rsidR="0097512B" w:rsidRPr="00D41179">
              <w:rPr>
                <w:vertAlign w:val="superscript"/>
              </w:rPr>
              <w:t>3</w:t>
            </w:r>
          </w:p>
        </w:tc>
        <w:tc>
          <w:tcPr>
            <w:tcW w:w="1151" w:type="dxa"/>
            <w:vAlign w:val="center"/>
          </w:tcPr>
          <w:p w14:paraId="4207A0B1" w14:textId="260F39EF" w:rsidR="00F72209" w:rsidRPr="00D41179" w:rsidRDefault="00F72209" w:rsidP="001479FA">
            <w:pPr>
              <w:pStyle w:val="TableText0"/>
              <w:rPr>
                <w:vertAlign w:val="superscript"/>
              </w:rPr>
            </w:pPr>
            <w:r w:rsidRPr="00D41179">
              <w:t>$</w:t>
            </w:r>
            <w:r w:rsidR="000E1EB2" w:rsidRPr="000E1EB2">
              <w:rPr>
                <w:sz w:val="2"/>
                <w:highlight w:val="black"/>
              </w:rPr>
              <w:t>redacted content</w:t>
            </w:r>
            <w:r w:rsidR="00AD51C5" w:rsidRPr="00D41179">
              <w:rPr>
                <w:vertAlign w:val="superscript"/>
              </w:rPr>
              <w:t>1</w:t>
            </w:r>
            <w:r w:rsidR="0097512B" w:rsidRPr="00D41179">
              <w:rPr>
                <w:vertAlign w:val="superscript"/>
              </w:rPr>
              <w:t>4</w:t>
            </w:r>
          </w:p>
        </w:tc>
        <w:tc>
          <w:tcPr>
            <w:tcW w:w="1150" w:type="dxa"/>
            <w:vAlign w:val="center"/>
          </w:tcPr>
          <w:p w14:paraId="39AC7CEB" w14:textId="59610237" w:rsidR="00F72209" w:rsidRPr="00D41179" w:rsidRDefault="00F72209" w:rsidP="001479FA">
            <w:pPr>
              <w:pStyle w:val="TableText0"/>
              <w:rPr>
                <w:vertAlign w:val="superscript"/>
              </w:rPr>
            </w:pPr>
            <w:r w:rsidRPr="00D41179">
              <w:t>$</w:t>
            </w:r>
            <w:r w:rsidR="000E1EB2" w:rsidRPr="000E1EB2">
              <w:rPr>
                <w:sz w:val="2"/>
                <w:highlight w:val="black"/>
              </w:rPr>
              <w:t>redacted content</w:t>
            </w:r>
            <w:r w:rsidR="00AD51C5" w:rsidRPr="00D41179">
              <w:rPr>
                <w:vertAlign w:val="superscript"/>
              </w:rPr>
              <w:t>1</w:t>
            </w:r>
            <w:r w:rsidR="0097512B" w:rsidRPr="00D41179">
              <w:rPr>
                <w:vertAlign w:val="superscript"/>
              </w:rPr>
              <w:t>5</w:t>
            </w:r>
          </w:p>
        </w:tc>
        <w:tc>
          <w:tcPr>
            <w:tcW w:w="1151" w:type="dxa"/>
            <w:vAlign w:val="center"/>
          </w:tcPr>
          <w:p w14:paraId="29411C50" w14:textId="5F53FAE5" w:rsidR="00F72209" w:rsidRPr="00D41179" w:rsidRDefault="00F72209" w:rsidP="001479FA">
            <w:pPr>
              <w:pStyle w:val="TableText0"/>
              <w:rPr>
                <w:vertAlign w:val="superscript"/>
              </w:rPr>
            </w:pPr>
            <w:r w:rsidRPr="00D41179">
              <w:t>$</w:t>
            </w:r>
            <w:r w:rsidR="000E1EB2" w:rsidRPr="000E1EB2">
              <w:rPr>
                <w:sz w:val="2"/>
                <w:highlight w:val="black"/>
              </w:rPr>
              <w:t>redacted content</w:t>
            </w:r>
            <w:r w:rsidR="00A42DB5" w:rsidRPr="00D41179">
              <w:rPr>
                <w:vertAlign w:val="superscript"/>
              </w:rPr>
              <w:t>1</w:t>
            </w:r>
            <w:r w:rsidR="0097512B" w:rsidRPr="00D41179">
              <w:rPr>
                <w:vertAlign w:val="superscript"/>
              </w:rPr>
              <w:t>6</w:t>
            </w:r>
          </w:p>
        </w:tc>
        <w:tc>
          <w:tcPr>
            <w:tcW w:w="1150" w:type="dxa"/>
            <w:vAlign w:val="center"/>
          </w:tcPr>
          <w:p w14:paraId="41E7F3D7" w14:textId="5DFC4092" w:rsidR="00F72209" w:rsidRPr="00D41179" w:rsidRDefault="00F72209" w:rsidP="001479FA">
            <w:pPr>
              <w:pStyle w:val="TableText0"/>
              <w:rPr>
                <w:vertAlign w:val="superscript"/>
              </w:rPr>
            </w:pPr>
            <w:r w:rsidRPr="00D41179">
              <w:t>$</w:t>
            </w:r>
            <w:r w:rsidR="000E1EB2" w:rsidRPr="000E1EB2">
              <w:rPr>
                <w:sz w:val="2"/>
                <w:highlight w:val="black"/>
              </w:rPr>
              <w:t>redacted content</w:t>
            </w:r>
            <w:r w:rsidR="00A42DB5" w:rsidRPr="00D41179">
              <w:rPr>
                <w:vertAlign w:val="superscript"/>
              </w:rPr>
              <w:t>1</w:t>
            </w:r>
            <w:r w:rsidR="0097512B" w:rsidRPr="00D41179">
              <w:rPr>
                <w:vertAlign w:val="superscript"/>
              </w:rPr>
              <w:t>6</w:t>
            </w:r>
          </w:p>
        </w:tc>
        <w:tc>
          <w:tcPr>
            <w:tcW w:w="1151" w:type="dxa"/>
            <w:vAlign w:val="center"/>
          </w:tcPr>
          <w:p w14:paraId="7A826395" w14:textId="68317351" w:rsidR="00F72209" w:rsidRPr="00D41179" w:rsidRDefault="00F72209" w:rsidP="001479FA">
            <w:pPr>
              <w:pStyle w:val="TableText0"/>
              <w:rPr>
                <w:vertAlign w:val="superscript"/>
              </w:rPr>
            </w:pPr>
            <w:r w:rsidRPr="00D41179">
              <w:t>$</w:t>
            </w:r>
            <w:r w:rsidR="000E1EB2" w:rsidRPr="000E1EB2">
              <w:rPr>
                <w:sz w:val="2"/>
                <w:highlight w:val="black"/>
              </w:rPr>
              <w:t>redacted content</w:t>
            </w:r>
            <w:r w:rsidR="00A42DB5" w:rsidRPr="00D41179">
              <w:rPr>
                <w:vertAlign w:val="superscript"/>
              </w:rPr>
              <w:t>1</w:t>
            </w:r>
            <w:r w:rsidR="0097512B" w:rsidRPr="00D41179">
              <w:rPr>
                <w:vertAlign w:val="superscript"/>
              </w:rPr>
              <w:t>6</w:t>
            </w:r>
          </w:p>
        </w:tc>
        <w:tc>
          <w:tcPr>
            <w:tcW w:w="1318" w:type="dxa"/>
            <w:vAlign w:val="center"/>
          </w:tcPr>
          <w:p w14:paraId="77333B38" w14:textId="4A6708DA" w:rsidR="00F72209" w:rsidRPr="00D41179" w:rsidRDefault="00F72209" w:rsidP="001479FA">
            <w:pPr>
              <w:pStyle w:val="TableText0"/>
              <w:rPr>
                <w:rFonts w:cs="Times New Roman"/>
                <w:vertAlign w:val="superscript"/>
              </w:rPr>
            </w:pPr>
            <w:r w:rsidRPr="00D41179">
              <w:t>$</w:t>
            </w:r>
            <w:r w:rsidR="000E1EB2" w:rsidRPr="000E1EB2">
              <w:rPr>
                <w:sz w:val="2"/>
                <w:highlight w:val="black"/>
              </w:rPr>
              <w:t>redacted content</w:t>
            </w:r>
            <w:r w:rsidR="00A42DB5" w:rsidRPr="00D41179">
              <w:rPr>
                <w:vertAlign w:val="superscript"/>
              </w:rPr>
              <w:t>1</w:t>
            </w:r>
            <w:r w:rsidR="0097512B" w:rsidRPr="00D41179">
              <w:rPr>
                <w:vertAlign w:val="superscript"/>
              </w:rPr>
              <w:t>7</w:t>
            </w:r>
          </w:p>
        </w:tc>
      </w:tr>
      <w:tr w:rsidR="00F72209" w:rsidRPr="00D41179" w14:paraId="1AE6E50D" w14:textId="77777777" w:rsidTr="00A42DB5">
        <w:trPr>
          <w:trHeight w:val="90"/>
        </w:trPr>
        <w:tc>
          <w:tcPr>
            <w:tcW w:w="1413" w:type="dxa"/>
            <w:vAlign w:val="center"/>
          </w:tcPr>
          <w:p w14:paraId="0C008533" w14:textId="77777777" w:rsidR="00F72209" w:rsidRPr="00D41179" w:rsidRDefault="00F72209" w:rsidP="001479FA">
            <w:pPr>
              <w:pStyle w:val="TableText0"/>
            </w:pPr>
            <w:r w:rsidRPr="00D41179">
              <w:lastRenderedPageBreak/>
              <w:t>Impact on other medications (PBS/RPBS)</w:t>
            </w:r>
          </w:p>
        </w:tc>
        <w:tc>
          <w:tcPr>
            <w:tcW w:w="1292" w:type="dxa"/>
            <w:vAlign w:val="center"/>
          </w:tcPr>
          <w:p w14:paraId="0B02A08A" w14:textId="3125784E" w:rsidR="00F72209" w:rsidRPr="00D41179" w:rsidRDefault="00F72209" w:rsidP="001479FA">
            <w:pPr>
              <w:pStyle w:val="TableText0"/>
              <w:rPr>
                <w:vertAlign w:val="superscript"/>
              </w:rPr>
            </w:pPr>
            <w:r w:rsidRPr="00D41179">
              <w:t>-$</w:t>
            </w:r>
            <w:r w:rsidR="000E1EB2" w:rsidRPr="000E1EB2">
              <w:rPr>
                <w:sz w:val="2"/>
                <w:highlight w:val="black"/>
              </w:rPr>
              <w:t>redacted content</w:t>
            </w:r>
            <w:r w:rsidR="008A7FEB">
              <w:rPr>
                <w:vertAlign w:val="superscript"/>
              </w:rPr>
              <w:t>2</w:t>
            </w:r>
            <w:r w:rsidR="00524B4A">
              <w:rPr>
                <w:vertAlign w:val="superscript"/>
              </w:rPr>
              <w:t>8</w:t>
            </w:r>
          </w:p>
        </w:tc>
        <w:tc>
          <w:tcPr>
            <w:tcW w:w="1151" w:type="dxa"/>
            <w:vAlign w:val="center"/>
          </w:tcPr>
          <w:p w14:paraId="7ED58BA5" w14:textId="5B949706" w:rsidR="00F72209" w:rsidRPr="00D41179" w:rsidRDefault="00F72209" w:rsidP="001479FA">
            <w:pPr>
              <w:pStyle w:val="TableText0"/>
            </w:pPr>
            <w:r w:rsidRPr="00D41179">
              <w:t>-$</w:t>
            </w:r>
            <w:r w:rsidR="000E1EB2" w:rsidRPr="000E1EB2">
              <w:rPr>
                <w:sz w:val="2"/>
                <w:highlight w:val="black"/>
              </w:rPr>
              <w:t>redacted content</w:t>
            </w:r>
            <w:r w:rsidR="008A7FEB">
              <w:rPr>
                <w:vertAlign w:val="superscript"/>
              </w:rPr>
              <w:t>2</w:t>
            </w:r>
            <w:r w:rsidR="00524B4A">
              <w:rPr>
                <w:vertAlign w:val="superscript"/>
              </w:rPr>
              <w:t>8</w:t>
            </w:r>
          </w:p>
        </w:tc>
        <w:tc>
          <w:tcPr>
            <w:tcW w:w="1150" w:type="dxa"/>
            <w:vAlign w:val="center"/>
          </w:tcPr>
          <w:p w14:paraId="615B3E03" w14:textId="3FD407EB" w:rsidR="00F72209" w:rsidRPr="00D41179" w:rsidRDefault="00F72209" w:rsidP="001479FA">
            <w:pPr>
              <w:pStyle w:val="TableText0"/>
            </w:pPr>
            <w:r w:rsidRPr="00D41179">
              <w:t>-$</w:t>
            </w:r>
            <w:r w:rsidR="000E1EB2" w:rsidRPr="000E1EB2">
              <w:rPr>
                <w:sz w:val="2"/>
                <w:highlight w:val="black"/>
              </w:rPr>
              <w:t>redacted content</w:t>
            </w:r>
            <w:r w:rsidR="008A7FEB">
              <w:rPr>
                <w:vertAlign w:val="superscript"/>
              </w:rPr>
              <w:t>2</w:t>
            </w:r>
            <w:r w:rsidR="00524B4A">
              <w:rPr>
                <w:vertAlign w:val="superscript"/>
              </w:rPr>
              <w:t>8</w:t>
            </w:r>
          </w:p>
        </w:tc>
        <w:tc>
          <w:tcPr>
            <w:tcW w:w="1151" w:type="dxa"/>
            <w:vAlign w:val="center"/>
          </w:tcPr>
          <w:p w14:paraId="0466E9B6" w14:textId="7B48B138" w:rsidR="00F72209" w:rsidRPr="00D41179" w:rsidRDefault="00F72209" w:rsidP="001479FA">
            <w:pPr>
              <w:pStyle w:val="TableText0"/>
            </w:pPr>
            <w:r w:rsidRPr="00D41179">
              <w:t>-$</w:t>
            </w:r>
            <w:r w:rsidR="000E1EB2" w:rsidRPr="000E1EB2">
              <w:rPr>
                <w:sz w:val="2"/>
                <w:highlight w:val="black"/>
              </w:rPr>
              <w:t>redacted content</w:t>
            </w:r>
            <w:r w:rsidR="00637680">
              <w:rPr>
                <w:vertAlign w:val="superscript"/>
              </w:rPr>
              <w:t>2</w:t>
            </w:r>
            <w:r w:rsidR="00524B4A">
              <w:rPr>
                <w:vertAlign w:val="superscript"/>
              </w:rPr>
              <w:t>8</w:t>
            </w:r>
          </w:p>
        </w:tc>
        <w:tc>
          <w:tcPr>
            <w:tcW w:w="1150" w:type="dxa"/>
            <w:vAlign w:val="center"/>
          </w:tcPr>
          <w:p w14:paraId="7B209ED0" w14:textId="2598CCEF" w:rsidR="00F72209" w:rsidRPr="00D41179" w:rsidRDefault="00F72209" w:rsidP="001479FA">
            <w:pPr>
              <w:pStyle w:val="TableText0"/>
            </w:pPr>
            <w:r w:rsidRPr="00D41179">
              <w:t>-$</w:t>
            </w:r>
            <w:r w:rsidR="000E1EB2" w:rsidRPr="000E1EB2">
              <w:rPr>
                <w:sz w:val="2"/>
                <w:highlight w:val="black"/>
              </w:rPr>
              <w:t>redacted content</w:t>
            </w:r>
            <w:r w:rsidR="00637680">
              <w:rPr>
                <w:vertAlign w:val="superscript"/>
              </w:rPr>
              <w:t>2</w:t>
            </w:r>
            <w:r w:rsidR="00524B4A">
              <w:rPr>
                <w:vertAlign w:val="superscript"/>
              </w:rPr>
              <w:t>8</w:t>
            </w:r>
          </w:p>
        </w:tc>
        <w:tc>
          <w:tcPr>
            <w:tcW w:w="1151" w:type="dxa"/>
            <w:vAlign w:val="center"/>
          </w:tcPr>
          <w:p w14:paraId="2D799E81" w14:textId="3A963119" w:rsidR="00F72209" w:rsidRPr="00D41179" w:rsidRDefault="00F72209" w:rsidP="001479FA">
            <w:pPr>
              <w:pStyle w:val="TableText0"/>
            </w:pPr>
            <w:r w:rsidRPr="00D41179">
              <w:t>-$</w:t>
            </w:r>
            <w:r w:rsidR="000E1EB2" w:rsidRPr="000E1EB2">
              <w:rPr>
                <w:sz w:val="2"/>
                <w:highlight w:val="black"/>
              </w:rPr>
              <w:t>redacted content</w:t>
            </w:r>
            <w:r w:rsidR="00637680">
              <w:rPr>
                <w:vertAlign w:val="superscript"/>
              </w:rPr>
              <w:t>2</w:t>
            </w:r>
            <w:r w:rsidR="00524B4A">
              <w:rPr>
                <w:vertAlign w:val="superscript"/>
              </w:rPr>
              <w:t>8</w:t>
            </w:r>
          </w:p>
        </w:tc>
        <w:tc>
          <w:tcPr>
            <w:tcW w:w="1318" w:type="dxa"/>
            <w:vAlign w:val="center"/>
          </w:tcPr>
          <w:p w14:paraId="2DC287F7" w14:textId="55DB77AF" w:rsidR="00F72209" w:rsidRPr="00D41179" w:rsidRDefault="00F72209" w:rsidP="001479FA">
            <w:pPr>
              <w:pStyle w:val="TableText0"/>
            </w:pPr>
            <w:r w:rsidRPr="00D41179">
              <w:t>-$</w:t>
            </w:r>
            <w:r w:rsidR="000E1EB2" w:rsidRPr="000E1EB2">
              <w:rPr>
                <w:sz w:val="2"/>
                <w:highlight w:val="black"/>
              </w:rPr>
              <w:t>redacted content</w:t>
            </w:r>
            <w:r w:rsidR="00637680">
              <w:rPr>
                <w:vertAlign w:val="superscript"/>
              </w:rPr>
              <w:t>2</w:t>
            </w:r>
            <w:r w:rsidR="00524B4A">
              <w:rPr>
                <w:vertAlign w:val="superscript"/>
              </w:rPr>
              <w:t>8</w:t>
            </w:r>
          </w:p>
        </w:tc>
      </w:tr>
      <w:tr w:rsidR="00C7570B" w:rsidRPr="00D41179" w14:paraId="4362E97E" w14:textId="77777777" w:rsidTr="00A42DB5">
        <w:trPr>
          <w:trHeight w:val="90"/>
        </w:trPr>
        <w:tc>
          <w:tcPr>
            <w:tcW w:w="1413" w:type="dxa"/>
            <w:vAlign w:val="center"/>
          </w:tcPr>
          <w:p w14:paraId="26EDE0CB" w14:textId="452C3611" w:rsidR="00C7570B" w:rsidRPr="00D41179" w:rsidRDefault="00C7570B" w:rsidP="001479FA">
            <w:pPr>
              <w:pStyle w:val="TableText0"/>
              <w:rPr>
                <w:vertAlign w:val="superscript"/>
              </w:rPr>
            </w:pPr>
            <w:r w:rsidRPr="00D41179">
              <w:t>Net cost to MBS</w:t>
            </w:r>
          </w:p>
        </w:tc>
        <w:tc>
          <w:tcPr>
            <w:tcW w:w="1292" w:type="dxa"/>
            <w:vAlign w:val="center"/>
          </w:tcPr>
          <w:p w14:paraId="0ED580A6" w14:textId="002934B7" w:rsidR="00C7570B" w:rsidRPr="00D41179" w:rsidRDefault="00C7570B" w:rsidP="001479FA">
            <w:pPr>
              <w:pStyle w:val="TableText0"/>
              <w:rPr>
                <w:b/>
              </w:rPr>
            </w:pPr>
            <w:r w:rsidRPr="00D41179">
              <w:t>$</w:t>
            </w:r>
            <w:r w:rsidR="000E1EB2" w:rsidRPr="000E1EB2">
              <w:rPr>
                <w:sz w:val="2"/>
                <w:highlight w:val="black"/>
              </w:rPr>
              <w:t>redacted content</w:t>
            </w:r>
            <w:r w:rsidR="00ED4DB2" w:rsidRPr="00D41179">
              <w:rPr>
                <w:vertAlign w:val="superscript"/>
              </w:rPr>
              <w:t>18</w:t>
            </w:r>
          </w:p>
        </w:tc>
        <w:tc>
          <w:tcPr>
            <w:tcW w:w="1151" w:type="dxa"/>
            <w:vAlign w:val="center"/>
          </w:tcPr>
          <w:p w14:paraId="2FB51CEC" w14:textId="46029555" w:rsidR="00C7570B" w:rsidRPr="00D41179" w:rsidRDefault="00C7570B" w:rsidP="001479FA">
            <w:pPr>
              <w:pStyle w:val="TableText0"/>
              <w:rPr>
                <w:b/>
              </w:rPr>
            </w:pPr>
            <w:r w:rsidRPr="00D41179">
              <w:t>$</w:t>
            </w:r>
            <w:r w:rsidR="000E1EB2" w:rsidRPr="000E1EB2">
              <w:rPr>
                <w:sz w:val="2"/>
                <w:highlight w:val="black"/>
              </w:rPr>
              <w:t>redacted content</w:t>
            </w:r>
            <w:r w:rsidR="00130E63" w:rsidRPr="00D41179">
              <w:rPr>
                <w:vertAlign w:val="superscript"/>
              </w:rPr>
              <w:t>18</w:t>
            </w:r>
          </w:p>
        </w:tc>
        <w:tc>
          <w:tcPr>
            <w:tcW w:w="1150" w:type="dxa"/>
            <w:vAlign w:val="center"/>
          </w:tcPr>
          <w:p w14:paraId="5223618D" w14:textId="496CAEC7" w:rsidR="00C7570B" w:rsidRPr="00D41179" w:rsidRDefault="00C7570B" w:rsidP="001479FA">
            <w:pPr>
              <w:pStyle w:val="TableText0"/>
              <w:rPr>
                <w:b/>
              </w:rPr>
            </w:pPr>
            <w:r w:rsidRPr="00D41179">
              <w:t>$</w:t>
            </w:r>
            <w:r w:rsidR="000E1EB2" w:rsidRPr="000E1EB2">
              <w:rPr>
                <w:sz w:val="2"/>
                <w:highlight w:val="black"/>
              </w:rPr>
              <w:t>redacted content</w:t>
            </w:r>
            <w:r w:rsidR="00130E63" w:rsidRPr="00D41179">
              <w:rPr>
                <w:vertAlign w:val="superscript"/>
              </w:rPr>
              <w:t>18</w:t>
            </w:r>
          </w:p>
        </w:tc>
        <w:tc>
          <w:tcPr>
            <w:tcW w:w="1151" w:type="dxa"/>
            <w:vAlign w:val="center"/>
          </w:tcPr>
          <w:p w14:paraId="32623391" w14:textId="01F69A46" w:rsidR="00C7570B" w:rsidRPr="00D41179" w:rsidRDefault="00C7570B" w:rsidP="001479FA">
            <w:pPr>
              <w:pStyle w:val="TableText0"/>
              <w:rPr>
                <w:b/>
              </w:rPr>
            </w:pPr>
            <w:r w:rsidRPr="00D41179">
              <w:t>$</w:t>
            </w:r>
            <w:r w:rsidR="000E1EB2" w:rsidRPr="000E1EB2">
              <w:rPr>
                <w:sz w:val="2"/>
                <w:highlight w:val="black"/>
              </w:rPr>
              <w:t>redacted content</w:t>
            </w:r>
            <w:r w:rsidR="00130E63" w:rsidRPr="00D41179">
              <w:rPr>
                <w:vertAlign w:val="superscript"/>
              </w:rPr>
              <w:t>18</w:t>
            </w:r>
          </w:p>
        </w:tc>
        <w:tc>
          <w:tcPr>
            <w:tcW w:w="1150" w:type="dxa"/>
            <w:vAlign w:val="center"/>
          </w:tcPr>
          <w:p w14:paraId="7C61173E" w14:textId="60F95364" w:rsidR="00C7570B" w:rsidRPr="00D41179" w:rsidRDefault="00C7570B" w:rsidP="001479FA">
            <w:pPr>
              <w:pStyle w:val="TableText0"/>
              <w:rPr>
                <w:b/>
              </w:rPr>
            </w:pPr>
            <w:r w:rsidRPr="00D41179">
              <w:t>$</w:t>
            </w:r>
            <w:r w:rsidR="000E1EB2" w:rsidRPr="000E1EB2">
              <w:rPr>
                <w:sz w:val="2"/>
                <w:highlight w:val="black"/>
              </w:rPr>
              <w:t>redacted content</w:t>
            </w:r>
            <w:r w:rsidR="00130E63" w:rsidRPr="00D41179">
              <w:rPr>
                <w:vertAlign w:val="superscript"/>
              </w:rPr>
              <w:t>18</w:t>
            </w:r>
          </w:p>
        </w:tc>
        <w:tc>
          <w:tcPr>
            <w:tcW w:w="1151" w:type="dxa"/>
            <w:vAlign w:val="center"/>
          </w:tcPr>
          <w:p w14:paraId="33C58FFF" w14:textId="391FAABE" w:rsidR="00C7570B" w:rsidRPr="00D41179" w:rsidRDefault="00C7570B" w:rsidP="001479FA">
            <w:pPr>
              <w:pStyle w:val="TableText0"/>
              <w:rPr>
                <w:b/>
              </w:rPr>
            </w:pPr>
            <w:r w:rsidRPr="00D41179">
              <w:t>-$</w:t>
            </w:r>
            <w:r w:rsidR="000E1EB2" w:rsidRPr="000E1EB2">
              <w:rPr>
                <w:sz w:val="2"/>
                <w:highlight w:val="black"/>
              </w:rPr>
              <w:t>redacted content</w:t>
            </w:r>
            <w:r w:rsidR="00B753C6">
              <w:rPr>
                <w:vertAlign w:val="superscript"/>
              </w:rPr>
              <w:t>2</w:t>
            </w:r>
            <w:r w:rsidR="00524B4A">
              <w:rPr>
                <w:vertAlign w:val="superscript"/>
              </w:rPr>
              <w:t>8</w:t>
            </w:r>
          </w:p>
        </w:tc>
        <w:tc>
          <w:tcPr>
            <w:tcW w:w="1318" w:type="dxa"/>
            <w:vAlign w:val="center"/>
          </w:tcPr>
          <w:p w14:paraId="3D3207D2" w14:textId="2A0087E0" w:rsidR="00C7570B" w:rsidRPr="00D41179" w:rsidRDefault="00C7570B" w:rsidP="001479FA">
            <w:pPr>
              <w:pStyle w:val="TableText0"/>
              <w:rPr>
                <w:b/>
              </w:rPr>
            </w:pPr>
            <w:r w:rsidRPr="00D41179">
              <w:t>$</w:t>
            </w:r>
            <w:r w:rsidR="000E1EB2" w:rsidRPr="000E1EB2">
              <w:rPr>
                <w:sz w:val="2"/>
                <w:highlight w:val="black"/>
              </w:rPr>
              <w:t>redacted content</w:t>
            </w:r>
            <w:r w:rsidR="00A42DB5" w:rsidRPr="00D41179">
              <w:rPr>
                <w:vertAlign w:val="superscript"/>
              </w:rPr>
              <w:t>1</w:t>
            </w:r>
            <w:r w:rsidR="005A45EC" w:rsidRPr="00D41179">
              <w:rPr>
                <w:vertAlign w:val="superscript"/>
              </w:rPr>
              <w:t>6</w:t>
            </w:r>
          </w:p>
        </w:tc>
      </w:tr>
      <w:tr w:rsidR="00620997" w:rsidRPr="00D41179" w14:paraId="1603B8E0" w14:textId="77777777" w:rsidTr="00A42DB5">
        <w:trPr>
          <w:trHeight w:val="90"/>
        </w:trPr>
        <w:tc>
          <w:tcPr>
            <w:tcW w:w="1413" w:type="dxa"/>
            <w:vAlign w:val="center"/>
          </w:tcPr>
          <w:p w14:paraId="55DBCCCD" w14:textId="42B63821" w:rsidR="005409B6" w:rsidRPr="00D41179" w:rsidRDefault="005409B6" w:rsidP="001479FA">
            <w:pPr>
              <w:pStyle w:val="TableText0"/>
            </w:pPr>
            <w:r w:rsidRPr="00D41179">
              <w:t>Net cost to State, Territories and Commonwealth</w:t>
            </w:r>
            <w:r w:rsidR="00E81053" w:rsidRPr="00D41179">
              <w:rPr>
                <w:vertAlign w:val="superscript"/>
              </w:rPr>
              <w:t>a</w:t>
            </w:r>
          </w:p>
        </w:tc>
        <w:tc>
          <w:tcPr>
            <w:tcW w:w="1292" w:type="dxa"/>
            <w:tcBorders>
              <w:top w:val="nil"/>
              <w:left w:val="nil"/>
              <w:bottom w:val="nil"/>
              <w:right w:val="single" w:sz="4" w:space="0" w:color="auto"/>
            </w:tcBorders>
            <w:vAlign w:val="center"/>
          </w:tcPr>
          <w:p w14:paraId="6C4CC157" w14:textId="73370CB0" w:rsidR="005409B6" w:rsidRPr="00D41179" w:rsidRDefault="005409B6" w:rsidP="001479FA">
            <w:pPr>
              <w:pStyle w:val="TableText0"/>
            </w:pPr>
            <w:r w:rsidRPr="00D41179">
              <w:t>-$</w:t>
            </w:r>
            <w:r w:rsidR="000E1EB2" w:rsidRPr="000E1EB2">
              <w:rPr>
                <w:sz w:val="2"/>
                <w:highlight w:val="black"/>
              </w:rPr>
              <w:t>redacted content</w:t>
            </w:r>
            <w:r w:rsidR="00B753C6">
              <w:rPr>
                <w:vertAlign w:val="superscript"/>
              </w:rPr>
              <w:t>2</w:t>
            </w:r>
            <w:r w:rsidR="00524B4A">
              <w:rPr>
                <w:vertAlign w:val="superscript"/>
              </w:rPr>
              <w:t>8</w:t>
            </w:r>
          </w:p>
        </w:tc>
        <w:tc>
          <w:tcPr>
            <w:tcW w:w="1151" w:type="dxa"/>
            <w:tcBorders>
              <w:top w:val="nil"/>
              <w:left w:val="single" w:sz="4" w:space="0" w:color="auto"/>
              <w:bottom w:val="nil"/>
              <w:right w:val="single" w:sz="4" w:space="0" w:color="auto"/>
            </w:tcBorders>
            <w:vAlign w:val="center"/>
          </w:tcPr>
          <w:p w14:paraId="57A223E2" w14:textId="5D6711D3" w:rsidR="005409B6" w:rsidRPr="00D41179" w:rsidRDefault="005409B6" w:rsidP="001479FA">
            <w:pPr>
              <w:pStyle w:val="TableText0"/>
            </w:pPr>
            <w:r w:rsidRPr="00D41179">
              <w:t>-$</w:t>
            </w:r>
            <w:r w:rsidR="000E1EB2" w:rsidRPr="000E1EB2">
              <w:rPr>
                <w:sz w:val="2"/>
                <w:highlight w:val="black"/>
              </w:rPr>
              <w:t>redacted content</w:t>
            </w:r>
            <w:r w:rsidR="00B753C6">
              <w:rPr>
                <w:vertAlign w:val="superscript"/>
              </w:rPr>
              <w:t>2</w:t>
            </w:r>
            <w:r w:rsidR="00524B4A">
              <w:rPr>
                <w:vertAlign w:val="superscript"/>
              </w:rPr>
              <w:t>8</w:t>
            </w:r>
          </w:p>
        </w:tc>
        <w:tc>
          <w:tcPr>
            <w:tcW w:w="1150" w:type="dxa"/>
            <w:tcBorders>
              <w:top w:val="nil"/>
              <w:left w:val="single" w:sz="4" w:space="0" w:color="auto"/>
              <w:bottom w:val="nil"/>
              <w:right w:val="single" w:sz="4" w:space="0" w:color="auto"/>
            </w:tcBorders>
            <w:vAlign w:val="center"/>
          </w:tcPr>
          <w:p w14:paraId="024789EB" w14:textId="34311AAD" w:rsidR="005409B6" w:rsidRPr="00D41179" w:rsidRDefault="005409B6" w:rsidP="001479FA">
            <w:pPr>
              <w:pStyle w:val="TableText0"/>
            </w:pPr>
            <w:r w:rsidRPr="00D41179">
              <w:t>-$</w:t>
            </w:r>
            <w:r w:rsidR="000E1EB2" w:rsidRPr="000E1EB2">
              <w:rPr>
                <w:sz w:val="2"/>
                <w:highlight w:val="black"/>
              </w:rPr>
              <w:t>redacted content</w:t>
            </w:r>
            <w:r w:rsidR="00B753C6">
              <w:rPr>
                <w:vertAlign w:val="superscript"/>
              </w:rPr>
              <w:t>2</w:t>
            </w:r>
            <w:r w:rsidR="00524B4A">
              <w:rPr>
                <w:vertAlign w:val="superscript"/>
              </w:rPr>
              <w:t>8</w:t>
            </w:r>
          </w:p>
        </w:tc>
        <w:tc>
          <w:tcPr>
            <w:tcW w:w="1151" w:type="dxa"/>
            <w:tcBorders>
              <w:top w:val="nil"/>
              <w:left w:val="single" w:sz="4" w:space="0" w:color="auto"/>
              <w:bottom w:val="nil"/>
              <w:right w:val="single" w:sz="4" w:space="0" w:color="auto"/>
            </w:tcBorders>
            <w:vAlign w:val="center"/>
          </w:tcPr>
          <w:p w14:paraId="0D82B6AB" w14:textId="564D188E" w:rsidR="005409B6" w:rsidRPr="00D41179" w:rsidRDefault="005409B6" w:rsidP="001479FA">
            <w:pPr>
              <w:pStyle w:val="TableText0"/>
            </w:pPr>
            <w:r w:rsidRPr="00D41179">
              <w:t>-$</w:t>
            </w:r>
            <w:r w:rsidR="000E1EB2" w:rsidRPr="000E1EB2">
              <w:rPr>
                <w:sz w:val="2"/>
                <w:highlight w:val="black"/>
              </w:rPr>
              <w:t>redacted content</w:t>
            </w:r>
            <w:r w:rsidR="00B753C6">
              <w:rPr>
                <w:vertAlign w:val="superscript"/>
              </w:rPr>
              <w:t>2</w:t>
            </w:r>
            <w:r w:rsidR="00524B4A">
              <w:rPr>
                <w:vertAlign w:val="superscript"/>
              </w:rPr>
              <w:t>8</w:t>
            </w:r>
          </w:p>
        </w:tc>
        <w:tc>
          <w:tcPr>
            <w:tcW w:w="1150" w:type="dxa"/>
            <w:tcBorders>
              <w:top w:val="nil"/>
              <w:left w:val="single" w:sz="4" w:space="0" w:color="auto"/>
              <w:bottom w:val="nil"/>
              <w:right w:val="single" w:sz="4" w:space="0" w:color="auto"/>
            </w:tcBorders>
            <w:vAlign w:val="center"/>
          </w:tcPr>
          <w:p w14:paraId="6AA67DBC" w14:textId="1C8F1D70" w:rsidR="005409B6" w:rsidRPr="00D41179" w:rsidRDefault="005409B6" w:rsidP="001479FA">
            <w:pPr>
              <w:pStyle w:val="TableText0"/>
            </w:pPr>
            <w:r w:rsidRPr="00D41179">
              <w:t>-$</w:t>
            </w:r>
            <w:r w:rsidR="000E1EB2" w:rsidRPr="000E1EB2">
              <w:rPr>
                <w:sz w:val="2"/>
                <w:highlight w:val="black"/>
              </w:rPr>
              <w:t>redacted content</w:t>
            </w:r>
            <w:r w:rsidR="00B753C6">
              <w:rPr>
                <w:vertAlign w:val="superscript"/>
              </w:rPr>
              <w:t>2</w:t>
            </w:r>
            <w:r w:rsidR="00524B4A">
              <w:rPr>
                <w:vertAlign w:val="superscript"/>
              </w:rPr>
              <w:t>8</w:t>
            </w:r>
          </w:p>
        </w:tc>
        <w:tc>
          <w:tcPr>
            <w:tcW w:w="1151" w:type="dxa"/>
            <w:tcBorders>
              <w:top w:val="nil"/>
              <w:left w:val="single" w:sz="4" w:space="0" w:color="auto"/>
              <w:bottom w:val="nil"/>
              <w:right w:val="single" w:sz="4" w:space="0" w:color="auto"/>
            </w:tcBorders>
            <w:vAlign w:val="center"/>
          </w:tcPr>
          <w:p w14:paraId="10328E4F" w14:textId="0CB5D0E8" w:rsidR="005409B6" w:rsidRPr="00D41179" w:rsidRDefault="005409B6" w:rsidP="001479FA">
            <w:pPr>
              <w:pStyle w:val="TableText0"/>
            </w:pPr>
            <w:r w:rsidRPr="00D41179">
              <w:t>-$</w:t>
            </w:r>
            <w:r w:rsidR="000E1EB2" w:rsidRPr="000E1EB2">
              <w:rPr>
                <w:sz w:val="2"/>
                <w:highlight w:val="black"/>
              </w:rPr>
              <w:t>redacted content</w:t>
            </w:r>
            <w:r w:rsidR="00B753C6">
              <w:rPr>
                <w:vertAlign w:val="superscript"/>
              </w:rPr>
              <w:t>2</w:t>
            </w:r>
            <w:r w:rsidR="00524B4A">
              <w:rPr>
                <w:vertAlign w:val="superscript"/>
              </w:rPr>
              <w:t>8</w:t>
            </w:r>
          </w:p>
        </w:tc>
        <w:tc>
          <w:tcPr>
            <w:tcW w:w="1318" w:type="dxa"/>
            <w:tcBorders>
              <w:top w:val="nil"/>
              <w:left w:val="single" w:sz="4" w:space="0" w:color="auto"/>
              <w:bottom w:val="nil"/>
              <w:right w:val="single" w:sz="4" w:space="0" w:color="auto"/>
            </w:tcBorders>
            <w:vAlign w:val="center"/>
          </w:tcPr>
          <w:p w14:paraId="7E8A2D95" w14:textId="6F05F0C1" w:rsidR="005409B6" w:rsidRPr="00D41179" w:rsidRDefault="005409B6" w:rsidP="001479FA">
            <w:pPr>
              <w:pStyle w:val="TableText0"/>
            </w:pPr>
            <w:r w:rsidRPr="00D41179">
              <w:t>-$</w:t>
            </w:r>
            <w:r w:rsidR="000E1EB2" w:rsidRPr="000E1EB2">
              <w:rPr>
                <w:sz w:val="2"/>
                <w:highlight w:val="black"/>
              </w:rPr>
              <w:t>redacted content</w:t>
            </w:r>
            <w:r w:rsidR="00B753C6">
              <w:rPr>
                <w:vertAlign w:val="superscript"/>
              </w:rPr>
              <w:t>2</w:t>
            </w:r>
            <w:r w:rsidR="00524B4A">
              <w:rPr>
                <w:vertAlign w:val="superscript"/>
              </w:rPr>
              <w:t>8</w:t>
            </w:r>
          </w:p>
        </w:tc>
      </w:tr>
      <w:tr w:rsidR="005409B6" w:rsidRPr="00D41179" w14:paraId="5FEBF323" w14:textId="77777777" w:rsidTr="00A42DB5">
        <w:trPr>
          <w:trHeight w:val="90"/>
        </w:trPr>
        <w:tc>
          <w:tcPr>
            <w:tcW w:w="1413" w:type="dxa"/>
            <w:vAlign w:val="center"/>
          </w:tcPr>
          <w:p w14:paraId="44A45752" w14:textId="77777777" w:rsidR="005409B6" w:rsidRPr="00D41179" w:rsidRDefault="005409B6" w:rsidP="001479FA">
            <w:pPr>
              <w:pStyle w:val="TableText0"/>
              <w:rPr>
                <w:vertAlign w:val="superscript"/>
              </w:rPr>
            </w:pPr>
            <w:r w:rsidRPr="00D41179">
              <w:t>Net cost to Health System</w:t>
            </w:r>
            <w:r w:rsidRPr="00D41179">
              <w:rPr>
                <w:vertAlign w:val="superscript"/>
              </w:rPr>
              <w:t>a</w:t>
            </w:r>
          </w:p>
        </w:tc>
        <w:tc>
          <w:tcPr>
            <w:tcW w:w="1292" w:type="dxa"/>
            <w:vAlign w:val="center"/>
          </w:tcPr>
          <w:p w14:paraId="6FB6C8BE" w14:textId="4EBC920A" w:rsidR="005409B6" w:rsidRPr="00D41179" w:rsidRDefault="005409B6" w:rsidP="001479FA">
            <w:pPr>
              <w:pStyle w:val="TableText0"/>
            </w:pPr>
            <w:r w:rsidRPr="00D41179">
              <w:t>$</w:t>
            </w:r>
            <w:r w:rsidR="000E1EB2" w:rsidRPr="000E1EB2">
              <w:rPr>
                <w:sz w:val="2"/>
                <w:highlight w:val="black"/>
              </w:rPr>
              <w:t>redacted content</w:t>
            </w:r>
            <w:r w:rsidR="00A42DB5" w:rsidRPr="00D41179">
              <w:rPr>
                <w:vertAlign w:val="superscript"/>
              </w:rPr>
              <w:t>1</w:t>
            </w:r>
            <w:r w:rsidR="00474BDA" w:rsidRPr="00D41179">
              <w:rPr>
                <w:vertAlign w:val="superscript"/>
              </w:rPr>
              <w:t>3</w:t>
            </w:r>
          </w:p>
        </w:tc>
        <w:tc>
          <w:tcPr>
            <w:tcW w:w="1151" w:type="dxa"/>
            <w:vAlign w:val="center"/>
          </w:tcPr>
          <w:p w14:paraId="524006B3" w14:textId="08BD06A0" w:rsidR="005409B6" w:rsidRPr="00D41179" w:rsidRDefault="005409B6" w:rsidP="001479FA">
            <w:pPr>
              <w:pStyle w:val="TableText0"/>
            </w:pPr>
            <w:r w:rsidRPr="00D41179">
              <w:t>$</w:t>
            </w:r>
            <w:r w:rsidR="000E1EB2" w:rsidRPr="000E1EB2">
              <w:rPr>
                <w:sz w:val="2"/>
                <w:highlight w:val="black"/>
              </w:rPr>
              <w:t>redacted content</w:t>
            </w:r>
            <w:r w:rsidR="00A42DB5" w:rsidRPr="00D41179">
              <w:rPr>
                <w:vertAlign w:val="superscript"/>
              </w:rPr>
              <w:t>1</w:t>
            </w:r>
            <w:r w:rsidR="00474BDA" w:rsidRPr="00D41179">
              <w:rPr>
                <w:vertAlign w:val="superscript"/>
              </w:rPr>
              <w:t>4</w:t>
            </w:r>
          </w:p>
        </w:tc>
        <w:tc>
          <w:tcPr>
            <w:tcW w:w="1150" w:type="dxa"/>
            <w:vAlign w:val="center"/>
          </w:tcPr>
          <w:p w14:paraId="7D4DED98" w14:textId="4B056B40" w:rsidR="005409B6" w:rsidRPr="00D41179" w:rsidRDefault="005409B6" w:rsidP="001479FA">
            <w:pPr>
              <w:pStyle w:val="TableText0"/>
            </w:pPr>
            <w:r w:rsidRPr="00D41179">
              <w:t>$</w:t>
            </w:r>
            <w:r w:rsidR="000E1EB2" w:rsidRPr="000E1EB2">
              <w:rPr>
                <w:sz w:val="2"/>
                <w:highlight w:val="black"/>
              </w:rPr>
              <w:t>redacted content</w:t>
            </w:r>
            <w:r w:rsidR="00A42DB5" w:rsidRPr="00D41179">
              <w:rPr>
                <w:vertAlign w:val="superscript"/>
              </w:rPr>
              <w:t>1</w:t>
            </w:r>
            <w:r w:rsidR="001444FA" w:rsidRPr="00D41179">
              <w:rPr>
                <w:vertAlign w:val="superscript"/>
              </w:rPr>
              <w:t>9</w:t>
            </w:r>
          </w:p>
        </w:tc>
        <w:tc>
          <w:tcPr>
            <w:tcW w:w="1151" w:type="dxa"/>
            <w:vAlign w:val="center"/>
          </w:tcPr>
          <w:p w14:paraId="31A0E7FD" w14:textId="02040221" w:rsidR="005409B6" w:rsidRPr="00D41179" w:rsidRDefault="005409B6" w:rsidP="001479FA">
            <w:pPr>
              <w:pStyle w:val="TableText0"/>
            </w:pPr>
            <w:r w:rsidRPr="00D41179">
              <w:t>$</w:t>
            </w:r>
            <w:r w:rsidR="000E1EB2" w:rsidRPr="000E1EB2">
              <w:rPr>
                <w:sz w:val="2"/>
                <w:highlight w:val="black"/>
              </w:rPr>
              <w:t>redacted content</w:t>
            </w:r>
            <w:r w:rsidR="00E82B32" w:rsidRPr="00D41179">
              <w:rPr>
                <w:vertAlign w:val="superscript"/>
              </w:rPr>
              <w:t>1</w:t>
            </w:r>
            <w:r w:rsidR="001444FA" w:rsidRPr="00D41179">
              <w:rPr>
                <w:vertAlign w:val="superscript"/>
              </w:rPr>
              <w:t>6</w:t>
            </w:r>
          </w:p>
        </w:tc>
        <w:tc>
          <w:tcPr>
            <w:tcW w:w="1150" w:type="dxa"/>
            <w:vAlign w:val="center"/>
          </w:tcPr>
          <w:p w14:paraId="04F0B3D9" w14:textId="15E79DF4" w:rsidR="005409B6" w:rsidRPr="00D41179" w:rsidRDefault="005409B6" w:rsidP="001479FA">
            <w:pPr>
              <w:pStyle w:val="TableText0"/>
            </w:pPr>
            <w:r w:rsidRPr="00D41179">
              <w:t>$</w:t>
            </w:r>
            <w:r w:rsidR="000E1EB2" w:rsidRPr="000E1EB2">
              <w:rPr>
                <w:sz w:val="2"/>
                <w:highlight w:val="black"/>
              </w:rPr>
              <w:t>redacted content</w:t>
            </w:r>
            <w:r w:rsidR="001444FA" w:rsidRPr="00D41179">
              <w:rPr>
                <w:vertAlign w:val="superscript"/>
              </w:rPr>
              <w:t>18</w:t>
            </w:r>
          </w:p>
        </w:tc>
        <w:tc>
          <w:tcPr>
            <w:tcW w:w="1151" w:type="dxa"/>
            <w:vAlign w:val="center"/>
          </w:tcPr>
          <w:p w14:paraId="213044A1" w14:textId="2230F9CB" w:rsidR="005409B6" w:rsidRPr="00D41179" w:rsidRDefault="005409B6" w:rsidP="001479FA">
            <w:pPr>
              <w:pStyle w:val="TableText0"/>
            </w:pPr>
            <w:r w:rsidRPr="00D41179">
              <w:t>$</w:t>
            </w:r>
            <w:r w:rsidR="000E1EB2" w:rsidRPr="000E1EB2">
              <w:rPr>
                <w:sz w:val="2"/>
                <w:highlight w:val="black"/>
              </w:rPr>
              <w:t>redacted content</w:t>
            </w:r>
            <w:r w:rsidR="001444FA" w:rsidRPr="00D41179">
              <w:rPr>
                <w:vertAlign w:val="superscript"/>
              </w:rPr>
              <w:t>18</w:t>
            </w:r>
          </w:p>
        </w:tc>
        <w:tc>
          <w:tcPr>
            <w:tcW w:w="1318" w:type="dxa"/>
            <w:vAlign w:val="center"/>
          </w:tcPr>
          <w:p w14:paraId="53C5A230" w14:textId="2CB565ED" w:rsidR="005409B6" w:rsidRPr="00D41179" w:rsidRDefault="005409B6" w:rsidP="001479FA">
            <w:pPr>
              <w:pStyle w:val="TableText0"/>
            </w:pPr>
            <w:r w:rsidRPr="00D41179">
              <w:t>$</w:t>
            </w:r>
            <w:r w:rsidR="000E1EB2" w:rsidRPr="000E1EB2">
              <w:rPr>
                <w:sz w:val="2"/>
                <w:highlight w:val="black"/>
              </w:rPr>
              <w:t>redacted content</w:t>
            </w:r>
            <w:r w:rsidR="00E82B32" w:rsidRPr="00D41179">
              <w:rPr>
                <w:vertAlign w:val="superscript"/>
              </w:rPr>
              <w:t>1</w:t>
            </w:r>
            <w:r w:rsidR="00067E91" w:rsidRPr="00D41179">
              <w:rPr>
                <w:vertAlign w:val="superscript"/>
              </w:rPr>
              <w:t>7</w:t>
            </w:r>
          </w:p>
        </w:tc>
      </w:tr>
      <w:tr w:rsidR="007E5193" w:rsidRPr="00D41179" w14:paraId="3A0854CD" w14:textId="77777777" w:rsidTr="00A42DB5">
        <w:trPr>
          <w:trHeight w:val="90"/>
        </w:trPr>
        <w:tc>
          <w:tcPr>
            <w:tcW w:w="9776" w:type="dxa"/>
            <w:gridSpan w:val="8"/>
            <w:vAlign w:val="center"/>
          </w:tcPr>
          <w:p w14:paraId="413C1BEE" w14:textId="2F1BFA6C" w:rsidR="007E5193" w:rsidRPr="00D41179" w:rsidRDefault="007E5193" w:rsidP="001479FA">
            <w:pPr>
              <w:pStyle w:val="TableText0"/>
            </w:pPr>
            <w:r w:rsidRPr="00D41179">
              <w:t>Updated in PSCR</w:t>
            </w:r>
          </w:p>
        </w:tc>
      </w:tr>
      <w:tr w:rsidR="002C7F85" w:rsidRPr="00D41179" w14:paraId="7978CC72" w14:textId="77777777" w:rsidTr="00A42DB5">
        <w:trPr>
          <w:trHeight w:val="90"/>
        </w:trPr>
        <w:tc>
          <w:tcPr>
            <w:tcW w:w="1413" w:type="dxa"/>
            <w:vAlign w:val="center"/>
          </w:tcPr>
          <w:p w14:paraId="219E06C0" w14:textId="06A758DE" w:rsidR="002C7F85" w:rsidRPr="00D41179" w:rsidRDefault="002C7F85" w:rsidP="001479FA">
            <w:pPr>
              <w:pStyle w:val="TableText0"/>
            </w:pPr>
            <w:r w:rsidRPr="00D41179">
              <w:t>Total doses administered 60-64</w:t>
            </w:r>
          </w:p>
        </w:tc>
        <w:tc>
          <w:tcPr>
            <w:tcW w:w="1292" w:type="dxa"/>
            <w:tcBorders>
              <w:top w:val="single" w:sz="4" w:space="0" w:color="auto"/>
              <w:left w:val="single" w:sz="4" w:space="0" w:color="auto"/>
              <w:bottom w:val="single" w:sz="4" w:space="0" w:color="auto"/>
              <w:right w:val="single" w:sz="4" w:space="0" w:color="auto"/>
            </w:tcBorders>
            <w:vAlign w:val="center"/>
          </w:tcPr>
          <w:p w14:paraId="4675BD41" w14:textId="074C445E" w:rsidR="002C7F85" w:rsidRPr="00D41179" w:rsidRDefault="000E1EB2" w:rsidP="001479FA">
            <w:pPr>
              <w:pStyle w:val="TableText0"/>
              <w:rPr>
                <w:i/>
                <w:iCs/>
              </w:rPr>
            </w:pPr>
            <w:r w:rsidRPr="000E1EB2">
              <w:rPr>
                <w:sz w:val="2"/>
                <w:highlight w:val="black"/>
              </w:rPr>
              <w:t>redacted content</w:t>
            </w:r>
            <w:r w:rsidR="001A711C" w:rsidRPr="00D41179">
              <w:rPr>
                <w:vertAlign w:val="superscript"/>
              </w:rPr>
              <w:t>2</w:t>
            </w:r>
          </w:p>
        </w:tc>
        <w:tc>
          <w:tcPr>
            <w:tcW w:w="1151" w:type="dxa"/>
            <w:tcBorders>
              <w:top w:val="single" w:sz="4" w:space="0" w:color="auto"/>
              <w:left w:val="nil"/>
              <w:bottom w:val="single" w:sz="4" w:space="0" w:color="auto"/>
              <w:right w:val="single" w:sz="4" w:space="0" w:color="auto"/>
            </w:tcBorders>
            <w:vAlign w:val="center"/>
          </w:tcPr>
          <w:p w14:paraId="2DEA47B9" w14:textId="339A2B7D" w:rsidR="002C7F85" w:rsidRPr="00D41179" w:rsidRDefault="000E1EB2" w:rsidP="001479FA">
            <w:pPr>
              <w:pStyle w:val="TableText0"/>
              <w:rPr>
                <w:i/>
                <w:iCs/>
              </w:rPr>
            </w:pPr>
            <w:r w:rsidRPr="000E1EB2">
              <w:rPr>
                <w:sz w:val="2"/>
                <w:highlight w:val="black"/>
              </w:rPr>
              <w:t>redacted content</w:t>
            </w:r>
            <w:r w:rsidR="001A711C" w:rsidRPr="00D41179">
              <w:rPr>
                <w:vertAlign w:val="superscript"/>
              </w:rPr>
              <w:t>8</w:t>
            </w:r>
          </w:p>
        </w:tc>
        <w:tc>
          <w:tcPr>
            <w:tcW w:w="1150" w:type="dxa"/>
            <w:tcBorders>
              <w:top w:val="single" w:sz="4" w:space="0" w:color="auto"/>
              <w:left w:val="nil"/>
              <w:bottom w:val="single" w:sz="4" w:space="0" w:color="auto"/>
              <w:right w:val="single" w:sz="4" w:space="0" w:color="auto"/>
            </w:tcBorders>
            <w:vAlign w:val="center"/>
          </w:tcPr>
          <w:p w14:paraId="0FCE4745" w14:textId="0C2E3E54" w:rsidR="002C7F85" w:rsidRPr="00D41179" w:rsidRDefault="000E1EB2" w:rsidP="001479FA">
            <w:pPr>
              <w:pStyle w:val="TableText0"/>
              <w:rPr>
                <w:i/>
                <w:iCs/>
                <w:vertAlign w:val="superscript"/>
              </w:rPr>
            </w:pPr>
            <w:r w:rsidRPr="000E1EB2">
              <w:rPr>
                <w:sz w:val="2"/>
                <w:highlight w:val="black"/>
              </w:rPr>
              <w:t>redacted content</w:t>
            </w:r>
            <w:r w:rsidR="00067E91" w:rsidRPr="00D41179">
              <w:rPr>
                <w:vertAlign w:val="superscript"/>
              </w:rPr>
              <w:t>7</w:t>
            </w:r>
          </w:p>
        </w:tc>
        <w:tc>
          <w:tcPr>
            <w:tcW w:w="1151" w:type="dxa"/>
            <w:tcBorders>
              <w:top w:val="single" w:sz="4" w:space="0" w:color="auto"/>
              <w:left w:val="nil"/>
              <w:bottom w:val="single" w:sz="4" w:space="0" w:color="auto"/>
              <w:right w:val="single" w:sz="4" w:space="0" w:color="auto"/>
            </w:tcBorders>
            <w:vAlign w:val="center"/>
          </w:tcPr>
          <w:p w14:paraId="7790EB58" w14:textId="2A6F9365" w:rsidR="002C7F85" w:rsidRPr="00D41179" w:rsidRDefault="000E1EB2" w:rsidP="001479FA">
            <w:pPr>
              <w:pStyle w:val="TableText0"/>
              <w:rPr>
                <w:i/>
                <w:iCs/>
              </w:rPr>
            </w:pPr>
            <w:r w:rsidRPr="000E1EB2">
              <w:rPr>
                <w:sz w:val="2"/>
                <w:highlight w:val="black"/>
              </w:rPr>
              <w:t>redacted content</w:t>
            </w:r>
            <w:r w:rsidR="0021030B" w:rsidRPr="00D41179">
              <w:rPr>
                <w:vertAlign w:val="superscript"/>
              </w:rPr>
              <w:t>7</w:t>
            </w:r>
          </w:p>
        </w:tc>
        <w:tc>
          <w:tcPr>
            <w:tcW w:w="1150" w:type="dxa"/>
            <w:tcBorders>
              <w:top w:val="single" w:sz="4" w:space="0" w:color="auto"/>
              <w:left w:val="nil"/>
              <w:bottom w:val="single" w:sz="4" w:space="0" w:color="auto"/>
              <w:right w:val="single" w:sz="4" w:space="0" w:color="auto"/>
            </w:tcBorders>
            <w:vAlign w:val="center"/>
          </w:tcPr>
          <w:p w14:paraId="0DA1818A" w14:textId="781A7DFE" w:rsidR="002C7F85" w:rsidRPr="00D41179" w:rsidRDefault="000E1EB2" w:rsidP="001479FA">
            <w:pPr>
              <w:pStyle w:val="TableText0"/>
              <w:rPr>
                <w:i/>
                <w:iCs/>
              </w:rPr>
            </w:pPr>
            <w:r w:rsidRPr="000E1EB2">
              <w:rPr>
                <w:sz w:val="2"/>
                <w:highlight w:val="black"/>
              </w:rPr>
              <w:t>redacted content</w:t>
            </w:r>
            <w:r w:rsidR="0021030B" w:rsidRPr="00D41179">
              <w:rPr>
                <w:vertAlign w:val="superscript"/>
              </w:rPr>
              <w:t>7</w:t>
            </w:r>
          </w:p>
        </w:tc>
        <w:tc>
          <w:tcPr>
            <w:tcW w:w="1151" w:type="dxa"/>
            <w:tcBorders>
              <w:top w:val="single" w:sz="4" w:space="0" w:color="auto"/>
              <w:left w:val="nil"/>
              <w:bottom w:val="single" w:sz="4" w:space="0" w:color="auto"/>
              <w:right w:val="single" w:sz="4" w:space="0" w:color="auto"/>
            </w:tcBorders>
            <w:vAlign w:val="center"/>
          </w:tcPr>
          <w:p w14:paraId="07F33446" w14:textId="2C6F2E1B" w:rsidR="002C7F85" w:rsidRPr="00D41179" w:rsidRDefault="000E1EB2" w:rsidP="001479FA">
            <w:pPr>
              <w:pStyle w:val="TableText0"/>
              <w:rPr>
                <w:i/>
                <w:iCs/>
              </w:rPr>
            </w:pPr>
            <w:r w:rsidRPr="000E1EB2">
              <w:rPr>
                <w:sz w:val="2"/>
                <w:highlight w:val="black"/>
              </w:rPr>
              <w:t>redacted content</w:t>
            </w:r>
            <w:r w:rsidR="0021030B" w:rsidRPr="00D41179">
              <w:rPr>
                <w:vertAlign w:val="superscript"/>
              </w:rPr>
              <w:t>7</w:t>
            </w:r>
          </w:p>
        </w:tc>
        <w:tc>
          <w:tcPr>
            <w:tcW w:w="1318" w:type="dxa"/>
            <w:tcBorders>
              <w:top w:val="single" w:sz="4" w:space="0" w:color="auto"/>
              <w:left w:val="nil"/>
              <w:bottom w:val="single" w:sz="4" w:space="0" w:color="auto"/>
              <w:right w:val="single" w:sz="4" w:space="0" w:color="auto"/>
            </w:tcBorders>
            <w:vAlign w:val="center"/>
          </w:tcPr>
          <w:p w14:paraId="18290A32" w14:textId="3C402436" w:rsidR="002C7F85" w:rsidRPr="00D41179" w:rsidRDefault="000E1EB2" w:rsidP="001479FA">
            <w:pPr>
              <w:pStyle w:val="TableText0"/>
              <w:rPr>
                <w:i/>
                <w:iCs/>
              </w:rPr>
            </w:pPr>
            <w:r w:rsidRPr="000E1EB2">
              <w:rPr>
                <w:sz w:val="2"/>
                <w:highlight w:val="black"/>
              </w:rPr>
              <w:t>redacted content</w:t>
            </w:r>
            <w:r w:rsidR="00F825C1" w:rsidRPr="00D41179">
              <w:rPr>
                <w:vertAlign w:val="superscript"/>
              </w:rPr>
              <w:t>2</w:t>
            </w:r>
            <w:r w:rsidR="0021030B" w:rsidRPr="00D41179">
              <w:rPr>
                <w:vertAlign w:val="superscript"/>
              </w:rPr>
              <w:t>0</w:t>
            </w:r>
          </w:p>
        </w:tc>
      </w:tr>
      <w:tr w:rsidR="005409B6" w:rsidRPr="00D41179" w14:paraId="26C3BA2C" w14:textId="77777777" w:rsidTr="00A42DB5">
        <w:trPr>
          <w:trHeight w:val="90"/>
        </w:trPr>
        <w:tc>
          <w:tcPr>
            <w:tcW w:w="1413" w:type="dxa"/>
            <w:vAlign w:val="center"/>
          </w:tcPr>
          <w:p w14:paraId="31128892" w14:textId="5D08E422" w:rsidR="005409B6" w:rsidRPr="00D41179" w:rsidRDefault="005409B6" w:rsidP="001479FA">
            <w:pPr>
              <w:pStyle w:val="TableText0"/>
            </w:pPr>
            <w:r w:rsidRPr="00D41179">
              <w:t>Total doses administered (existing program)</w:t>
            </w:r>
          </w:p>
        </w:tc>
        <w:tc>
          <w:tcPr>
            <w:tcW w:w="1292" w:type="dxa"/>
            <w:tcBorders>
              <w:top w:val="single" w:sz="4" w:space="0" w:color="auto"/>
              <w:left w:val="single" w:sz="4" w:space="0" w:color="auto"/>
              <w:bottom w:val="single" w:sz="4" w:space="0" w:color="auto"/>
              <w:right w:val="single" w:sz="4" w:space="0" w:color="auto"/>
            </w:tcBorders>
            <w:vAlign w:val="center"/>
          </w:tcPr>
          <w:p w14:paraId="2F0E182B" w14:textId="109020C7" w:rsidR="005409B6" w:rsidRPr="00D41179" w:rsidRDefault="000E1EB2" w:rsidP="001479FA">
            <w:pPr>
              <w:pStyle w:val="TableText0"/>
            </w:pPr>
            <w:r w:rsidRPr="000E1EB2">
              <w:rPr>
                <w:sz w:val="2"/>
                <w:highlight w:val="black"/>
              </w:rPr>
              <w:t>redacted content</w:t>
            </w:r>
            <w:r w:rsidR="00160F9C" w:rsidRPr="00D41179">
              <w:rPr>
                <w:vertAlign w:val="superscript"/>
              </w:rPr>
              <w:t>6</w:t>
            </w:r>
          </w:p>
        </w:tc>
        <w:tc>
          <w:tcPr>
            <w:tcW w:w="1151" w:type="dxa"/>
            <w:tcBorders>
              <w:top w:val="single" w:sz="4" w:space="0" w:color="auto"/>
              <w:left w:val="nil"/>
              <w:bottom w:val="single" w:sz="4" w:space="0" w:color="auto"/>
              <w:right w:val="single" w:sz="4" w:space="0" w:color="auto"/>
            </w:tcBorders>
            <w:vAlign w:val="center"/>
          </w:tcPr>
          <w:p w14:paraId="4AC1ECE8" w14:textId="11B96D07" w:rsidR="005409B6" w:rsidRPr="00D41179" w:rsidRDefault="000E1EB2" w:rsidP="001479FA">
            <w:pPr>
              <w:pStyle w:val="TableText0"/>
              <w:rPr>
                <w:i/>
                <w:iCs/>
              </w:rPr>
            </w:pPr>
            <w:r w:rsidRPr="000E1EB2">
              <w:rPr>
                <w:sz w:val="2"/>
                <w:highlight w:val="black"/>
              </w:rPr>
              <w:t>redacted content</w:t>
            </w:r>
            <w:r w:rsidR="00160F9C" w:rsidRPr="00D41179">
              <w:rPr>
                <w:vertAlign w:val="superscript"/>
              </w:rPr>
              <w:t>1</w:t>
            </w:r>
            <w:r w:rsidR="008A5F1B" w:rsidRPr="00D41179">
              <w:rPr>
                <w:vertAlign w:val="superscript"/>
              </w:rPr>
              <w:t>2</w:t>
            </w:r>
          </w:p>
        </w:tc>
        <w:tc>
          <w:tcPr>
            <w:tcW w:w="1150" w:type="dxa"/>
            <w:tcBorders>
              <w:top w:val="single" w:sz="4" w:space="0" w:color="auto"/>
              <w:left w:val="nil"/>
              <w:bottom w:val="single" w:sz="4" w:space="0" w:color="auto"/>
              <w:right w:val="single" w:sz="4" w:space="0" w:color="auto"/>
            </w:tcBorders>
            <w:vAlign w:val="center"/>
          </w:tcPr>
          <w:p w14:paraId="0CAA5E78" w14:textId="1C6548F3" w:rsidR="005409B6" w:rsidRPr="00D41179" w:rsidRDefault="000E1EB2" w:rsidP="001479FA">
            <w:pPr>
              <w:pStyle w:val="TableText0"/>
              <w:rPr>
                <w:i/>
                <w:iCs/>
                <w:vertAlign w:val="superscript"/>
              </w:rPr>
            </w:pPr>
            <w:r w:rsidRPr="000E1EB2">
              <w:rPr>
                <w:sz w:val="2"/>
                <w:highlight w:val="black"/>
              </w:rPr>
              <w:t>redacted content</w:t>
            </w:r>
            <w:r w:rsidR="00102691" w:rsidRPr="00D41179">
              <w:rPr>
                <w:vertAlign w:val="superscript"/>
              </w:rPr>
              <w:t>9</w:t>
            </w:r>
          </w:p>
        </w:tc>
        <w:tc>
          <w:tcPr>
            <w:tcW w:w="1151" w:type="dxa"/>
            <w:tcBorders>
              <w:top w:val="single" w:sz="4" w:space="0" w:color="auto"/>
              <w:left w:val="nil"/>
              <w:bottom w:val="single" w:sz="4" w:space="0" w:color="auto"/>
              <w:right w:val="single" w:sz="4" w:space="0" w:color="auto"/>
            </w:tcBorders>
            <w:vAlign w:val="center"/>
          </w:tcPr>
          <w:p w14:paraId="7EF6E16E" w14:textId="1027ECD9" w:rsidR="005409B6" w:rsidRPr="00D41179" w:rsidRDefault="000E1EB2" w:rsidP="001479FA">
            <w:pPr>
              <w:pStyle w:val="TableText0"/>
              <w:rPr>
                <w:i/>
                <w:iCs/>
              </w:rPr>
            </w:pPr>
            <w:r w:rsidRPr="000E1EB2">
              <w:rPr>
                <w:sz w:val="2"/>
                <w:highlight w:val="black"/>
              </w:rPr>
              <w:t>redacted content</w:t>
            </w:r>
            <w:r w:rsidR="00774935" w:rsidRPr="00D41179">
              <w:rPr>
                <w:vertAlign w:val="superscript"/>
              </w:rPr>
              <w:t>10</w:t>
            </w:r>
          </w:p>
        </w:tc>
        <w:tc>
          <w:tcPr>
            <w:tcW w:w="1150" w:type="dxa"/>
            <w:tcBorders>
              <w:top w:val="single" w:sz="4" w:space="0" w:color="auto"/>
              <w:left w:val="nil"/>
              <w:bottom w:val="single" w:sz="4" w:space="0" w:color="auto"/>
              <w:right w:val="single" w:sz="4" w:space="0" w:color="auto"/>
            </w:tcBorders>
            <w:vAlign w:val="center"/>
          </w:tcPr>
          <w:p w14:paraId="60332FDF" w14:textId="6F97F347" w:rsidR="005409B6" w:rsidRPr="00D41179" w:rsidRDefault="000E1EB2" w:rsidP="001479FA">
            <w:pPr>
              <w:pStyle w:val="TableText0"/>
              <w:rPr>
                <w:i/>
                <w:iCs/>
              </w:rPr>
            </w:pPr>
            <w:r w:rsidRPr="000E1EB2">
              <w:rPr>
                <w:sz w:val="2"/>
                <w:highlight w:val="black"/>
              </w:rPr>
              <w:t>redacted content</w:t>
            </w:r>
            <w:r w:rsidR="00A55CEB" w:rsidRPr="00D41179">
              <w:rPr>
                <w:vertAlign w:val="superscript"/>
              </w:rPr>
              <w:t>10</w:t>
            </w:r>
          </w:p>
        </w:tc>
        <w:tc>
          <w:tcPr>
            <w:tcW w:w="1151" w:type="dxa"/>
            <w:tcBorders>
              <w:top w:val="single" w:sz="4" w:space="0" w:color="auto"/>
              <w:left w:val="nil"/>
              <w:bottom w:val="single" w:sz="4" w:space="0" w:color="auto"/>
              <w:right w:val="single" w:sz="4" w:space="0" w:color="auto"/>
            </w:tcBorders>
            <w:vAlign w:val="center"/>
          </w:tcPr>
          <w:p w14:paraId="26C0620B" w14:textId="0F8A808F" w:rsidR="005409B6" w:rsidRPr="00D41179" w:rsidRDefault="000E1EB2" w:rsidP="001479FA">
            <w:pPr>
              <w:pStyle w:val="TableText0"/>
              <w:rPr>
                <w:i/>
                <w:iCs/>
              </w:rPr>
            </w:pPr>
            <w:r w:rsidRPr="000E1EB2">
              <w:rPr>
                <w:sz w:val="2"/>
                <w:highlight w:val="black"/>
              </w:rPr>
              <w:t>redacted content</w:t>
            </w:r>
            <w:r w:rsidR="00A55CEB" w:rsidRPr="00D41179">
              <w:rPr>
                <w:vertAlign w:val="superscript"/>
              </w:rPr>
              <w:t>7</w:t>
            </w:r>
          </w:p>
        </w:tc>
        <w:tc>
          <w:tcPr>
            <w:tcW w:w="1318" w:type="dxa"/>
            <w:tcBorders>
              <w:top w:val="single" w:sz="4" w:space="0" w:color="auto"/>
              <w:left w:val="nil"/>
              <w:bottom w:val="single" w:sz="4" w:space="0" w:color="auto"/>
              <w:right w:val="single" w:sz="4" w:space="0" w:color="auto"/>
            </w:tcBorders>
            <w:vAlign w:val="center"/>
          </w:tcPr>
          <w:p w14:paraId="3D7E0648" w14:textId="7BB043E1" w:rsidR="005409B6" w:rsidRPr="00D41179" w:rsidRDefault="000E1EB2" w:rsidP="001479FA">
            <w:pPr>
              <w:pStyle w:val="TableText0"/>
              <w:rPr>
                <w:i/>
                <w:iCs/>
              </w:rPr>
            </w:pPr>
            <w:r w:rsidRPr="000E1EB2">
              <w:rPr>
                <w:sz w:val="2"/>
                <w:highlight w:val="black"/>
              </w:rPr>
              <w:t>redacted content</w:t>
            </w:r>
            <w:r w:rsidR="003658DD" w:rsidRPr="00D41179">
              <w:rPr>
                <w:vertAlign w:val="superscript"/>
              </w:rPr>
              <w:t>2</w:t>
            </w:r>
            <w:r w:rsidR="00AC6E95" w:rsidRPr="00D41179">
              <w:rPr>
                <w:vertAlign w:val="superscript"/>
              </w:rPr>
              <w:t>1</w:t>
            </w:r>
          </w:p>
        </w:tc>
      </w:tr>
      <w:tr w:rsidR="005409B6" w:rsidRPr="00D41179" w14:paraId="6CB651BB" w14:textId="77777777" w:rsidTr="00A42DB5">
        <w:trPr>
          <w:trHeight w:val="90"/>
        </w:trPr>
        <w:tc>
          <w:tcPr>
            <w:tcW w:w="1413" w:type="dxa"/>
            <w:vAlign w:val="center"/>
          </w:tcPr>
          <w:p w14:paraId="0BDE3D9A" w14:textId="4A9B8032" w:rsidR="005409B6" w:rsidRPr="00D41179" w:rsidRDefault="005409B6" w:rsidP="001479FA">
            <w:pPr>
              <w:pStyle w:val="TableText0"/>
            </w:pPr>
            <w:r w:rsidRPr="00D41179">
              <w:t>Net total doses administered</w:t>
            </w:r>
            <w:r w:rsidR="00D41179" w:rsidRPr="00D41179">
              <w:t xml:space="preserve"> </w:t>
            </w:r>
          </w:p>
        </w:tc>
        <w:tc>
          <w:tcPr>
            <w:tcW w:w="1292" w:type="dxa"/>
            <w:vAlign w:val="center"/>
          </w:tcPr>
          <w:p w14:paraId="67EDE7E1" w14:textId="24437B57" w:rsidR="005409B6" w:rsidRPr="00D41179" w:rsidRDefault="000E1EB2" w:rsidP="001479FA">
            <w:pPr>
              <w:pStyle w:val="TableText0"/>
              <w:rPr>
                <w:vertAlign w:val="superscript"/>
              </w:rPr>
            </w:pPr>
            <w:r w:rsidRPr="000E1EB2">
              <w:rPr>
                <w:sz w:val="2"/>
                <w:highlight w:val="black"/>
              </w:rPr>
              <w:t>redacted content</w:t>
            </w:r>
            <w:r w:rsidR="00D01669" w:rsidRPr="00D41179">
              <w:rPr>
                <w:vertAlign w:val="superscript"/>
              </w:rPr>
              <w:t>2</w:t>
            </w:r>
          </w:p>
        </w:tc>
        <w:tc>
          <w:tcPr>
            <w:tcW w:w="1151" w:type="dxa"/>
            <w:vAlign w:val="center"/>
          </w:tcPr>
          <w:p w14:paraId="2CE57FA7" w14:textId="57503BA2" w:rsidR="005409B6" w:rsidRPr="00D41179" w:rsidRDefault="000E1EB2" w:rsidP="001479FA">
            <w:pPr>
              <w:pStyle w:val="TableText0"/>
              <w:rPr>
                <w:vertAlign w:val="superscript"/>
              </w:rPr>
            </w:pPr>
            <w:r w:rsidRPr="000E1EB2">
              <w:rPr>
                <w:sz w:val="2"/>
                <w:highlight w:val="black"/>
              </w:rPr>
              <w:t>redacted content</w:t>
            </w:r>
            <w:r w:rsidR="00EB5CC0" w:rsidRPr="00D41179">
              <w:rPr>
                <w:vertAlign w:val="superscript"/>
              </w:rPr>
              <w:t>7</w:t>
            </w:r>
          </w:p>
        </w:tc>
        <w:tc>
          <w:tcPr>
            <w:tcW w:w="1150" w:type="dxa"/>
            <w:vAlign w:val="center"/>
          </w:tcPr>
          <w:p w14:paraId="7B5EE622" w14:textId="4AD7151E" w:rsidR="005409B6" w:rsidRPr="00D41179" w:rsidRDefault="000E1EB2" w:rsidP="001479FA">
            <w:pPr>
              <w:pStyle w:val="TableText0"/>
              <w:rPr>
                <w:vertAlign w:val="superscript"/>
              </w:rPr>
            </w:pPr>
            <w:r w:rsidRPr="000E1EB2">
              <w:rPr>
                <w:sz w:val="2"/>
                <w:highlight w:val="black"/>
              </w:rPr>
              <w:t>redacted content</w:t>
            </w:r>
            <w:r w:rsidR="00EB5CC0" w:rsidRPr="00D41179">
              <w:rPr>
                <w:vertAlign w:val="superscript"/>
              </w:rPr>
              <w:t>10</w:t>
            </w:r>
          </w:p>
        </w:tc>
        <w:tc>
          <w:tcPr>
            <w:tcW w:w="1151" w:type="dxa"/>
            <w:vAlign w:val="center"/>
          </w:tcPr>
          <w:p w14:paraId="02AF9699" w14:textId="3AF24453" w:rsidR="005409B6" w:rsidRPr="00D41179" w:rsidRDefault="000E1EB2" w:rsidP="001479FA">
            <w:pPr>
              <w:pStyle w:val="TableText0"/>
              <w:rPr>
                <w:vertAlign w:val="superscript"/>
              </w:rPr>
            </w:pPr>
            <w:r w:rsidRPr="000E1EB2">
              <w:rPr>
                <w:sz w:val="2"/>
                <w:highlight w:val="black"/>
              </w:rPr>
              <w:t>redacted content</w:t>
            </w:r>
            <w:r w:rsidR="00EB5CC0" w:rsidRPr="00D41179">
              <w:rPr>
                <w:vertAlign w:val="superscript"/>
              </w:rPr>
              <w:t>10</w:t>
            </w:r>
          </w:p>
        </w:tc>
        <w:tc>
          <w:tcPr>
            <w:tcW w:w="1150" w:type="dxa"/>
            <w:vAlign w:val="center"/>
          </w:tcPr>
          <w:p w14:paraId="253122F5" w14:textId="1553230F" w:rsidR="005409B6" w:rsidRPr="00D41179" w:rsidRDefault="000E1EB2" w:rsidP="001479FA">
            <w:pPr>
              <w:pStyle w:val="TableText0"/>
              <w:rPr>
                <w:vertAlign w:val="superscript"/>
              </w:rPr>
            </w:pPr>
            <w:r w:rsidRPr="000E1EB2">
              <w:rPr>
                <w:sz w:val="2"/>
                <w:highlight w:val="black"/>
              </w:rPr>
              <w:t>redacted content</w:t>
            </w:r>
            <w:r w:rsidR="003867E8" w:rsidRPr="00D41179">
              <w:rPr>
                <w:vertAlign w:val="superscript"/>
              </w:rPr>
              <w:t>22</w:t>
            </w:r>
          </w:p>
        </w:tc>
        <w:tc>
          <w:tcPr>
            <w:tcW w:w="1151" w:type="dxa"/>
            <w:vAlign w:val="center"/>
          </w:tcPr>
          <w:p w14:paraId="6916CD65" w14:textId="662B9DCC" w:rsidR="005409B6" w:rsidRPr="00D41179" w:rsidRDefault="000E1EB2" w:rsidP="001479FA">
            <w:pPr>
              <w:pStyle w:val="TableText0"/>
              <w:rPr>
                <w:vertAlign w:val="superscript"/>
              </w:rPr>
            </w:pPr>
            <w:r w:rsidRPr="000E1EB2">
              <w:rPr>
                <w:sz w:val="2"/>
                <w:highlight w:val="black"/>
              </w:rPr>
              <w:t>redacted content</w:t>
            </w:r>
            <w:r w:rsidR="00210D78" w:rsidRPr="00D41179">
              <w:rPr>
                <w:vertAlign w:val="superscript"/>
              </w:rPr>
              <w:t>2</w:t>
            </w:r>
            <w:r w:rsidR="003867E8" w:rsidRPr="00D41179">
              <w:rPr>
                <w:vertAlign w:val="superscript"/>
              </w:rPr>
              <w:t>3</w:t>
            </w:r>
          </w:p>
        </w:tc>
        <w:tc>
          <w:tcPr>
            <w:tcW w:w="1318" w:type="dxa"/>
            <w:vAlign w:val="center"/>
          </w:tcPr>
          <w:p w14:paraId="2AD29BF8" w14:textId="7F52E2A5" w:rsidR="005409B6" w:rsidRPr="00D41179" w:rsidRDefault="000E1EB2" w:rsidP="001479FA">
            <w:pPr>
              <w:pStyle w:val="TableText0"/>
              <w:rPr>
                <w:vertAlign w:val="superscript"/>
              </w:rPr>
            </w:pPr>
            <w:r w:rsidRPr="000E1EB2">
              <w:rPr>
                <w:sz w:val="2"/>
                <w:highlight w:val="black"/>
              </w:rPr>
              <w:t>redacted content</w:t>
            </w:r>
            <w:r w:rsidR="001479FA" w:rsidRPr="00D41179">
              <w:rPr>
                <w:vertAlign w:val="superscript"/>
              </w:rPr>
              <w:t>9</w:t>
            </w:r>
          </w:p>
        </w:tc>
      </w:tr>
      <w:tr w:rsidR="005409B6" w:rsidRPr="00D41179" w14:paraId="215F2C8D" w14:textId="77777777" w:rsidTr="00A42DB5">
        <w:trPr>
          <w:trHeight w:val="90"/>
        </w:trPr>
        <w:tc>
          <w:tcPr>
            <w:tcW w:w="1413" w:type="dxa"/>
            <w:vAlign w:val="center"/>
          </w:tcPr>
          <w:p w14:paraId="5CF5DDB9" w14:textId="111313DB" w:rsidR="005409B6" w:rsidRPr="00D41179" w:rsidRDefault="005409B6" w:rsidP="001479FA">
            <w:pPr>
              <w:pStyle w:val="TableText0"/>
            </w:pPr>
            <w:r w:rsidRPr="00D41179">
              <w:t xml:space="preserve">Net NIP cost </w:t>
            </w:r>
          </w:p>
        </w:tc>
        <w:tc>
          <w:tcPr>
            <w:tcW w:w="1292" w:type="dxa"/>
            <w:tcBorders>
              <w:top w:val="single" w:sz="4" w:space="0" w:color="auto"/>
              <w:left w:val="single" w:sz="4" w:space="0" w:color="auto"/>
              <w:bottom w:val="single" w:sz="4" w:space="0" w:color="auto"/>
              <w:right w:val="single" w:sz="4" w:space="0" w:color="auto"/>
            </w:tcBorders>
            <w:vAlign w:val="center"/>
          </w:tcPr>
          <w:p w14:paraId="5F47E69C" w14:textId="58B7DC88" w:rsidR="005409B6" w:rsidRPr="00D41179" w:rsidRDefault="005409B6" w:rsidP="001479FA">
            <w:pPr>
              <w:pStyle w:val="TableText0"/>
            </w:pPr>
            <w:r w:rsidRPr="00D41179">
              <w:t>$</w:t>
            </w:r>
            <w:r w:rsidR="000E1EB2" w:rsidRPr="000E1EB2">
              <w:rPr>
                <w:sz w:val="2"/>
                <w:highlight w:val="black"/>
              </w:rPr>
              <w:t>redacted content</w:t>
            </w:r>
            <w:r w:rsidR="00210D78" w:rsidRPr="00D41179">
              <w:rPr>
                <w:vertAlign w:val="superscript"/>
              </w:rPr>
              <w:t>2</w:t>
            </w:r>
            <w:r w:rsidR="001479FA" w:rsidRPr="00D41179">
              <w:rPr>
                <w:vertAlign w:val="superscript"/>
              </w:rPr>
              <w:t>4</w:t>
            </w:r>
            <w:r w:rsidRPr="00D41179">
              <w:t xml:space="preserve"> </w:t>
            </w:r>
          </w:p>
        </w:tc>
        <w:tc>
          <w:tcPr>
            <w:tcW w:w="1151" w:type="dxa"/>
            <w:tcBorders>
              <w:top w:val="single" w:sz="4" w:space="0" w:color="auto"/>
              <w:left w:val="nil"/>
              <w:bottom w:val="single" w:sz="4" w:space="0" w:color="auto"/>
              <w:right w:val="single" w:sz="4" w:space="0" w:color="auto"/>
            </w:tcBorders>
            <w:vAlign w:val="center"/>
          </w:tcPr>
          <w:p w14:paraId="6466D7CB" w14:textId="706FF983" w:rsidR="005409B6" w:rsidRPr="00D41179" w:rsidRDefault="005409B6" w:rsidP="001479FA">
            <w:pPr>
              <w:pStyle w:val="TableText0"/>
            </w:pPr>
            <w:r w:rsidRPr="00D41179">
              <w:t>$</w:t>
            </w:r>
            <w:r w:rsidR="000E1EB2" w:rsidRPr="000E1EB2">
              <w:rPr>
                <w:sz w:val="2"/>
                <w:highlight w:val="black"/>
              </w:rPr>
              <w:t>redacted content</w:t>
            </w:r>
            <w:r w:rsidR="00210D78" w:rsidRPr="00D41179">
              <w:rPr>
                <w:vertAlign w:val="superscript"/>
              </w:rPr>
              <w:t>2</w:t>
            </w:r>
            <w:r w:rsidR="00C479F1" w:rsidRPr="00D41179">
              <w:rPr>
                <w:vertAlign w:val="superscript"/>
              </w:rPr>
              <w:t>5</w:t>
            </w:r>
            <w:r w:rsidRPr="00D41179">
              <w:t xml:space="preserve"> </w:t>
            </w:r>
          </w:p>
        </w:tc>
        <w:tc>
          <w:tcPr>
            <w:tcW w:w="1150" w:type="dxa"/>
            <w:tcBorders>
              <w:top w:val="single" w:sz="4" w:space="0" w:color="auto"/>
              <w:left w:val="nil"/>
              <w:bottom w:val="single" w:sz="4" w:space="0" w:color="auto"/>
              <w:right w:val="single" w:sz="4" w:space="0" w:color="auto"/>
            </w:tcBorders>
            <w:vAlign w:val="center"/>
          </w:tcPr>
          <w:p w14:paraId="587180E1" w14:textId="03DCC743" w:rsidR="005409B6" w:rsidRPr="00D41179" w:rsidRDefault="005409B6" w:rsidP="001479FA">
            <w:pPr>
              <w:pStyle w:val="TableText0"/>
            </w:pPr>
            <w:r w:rsidRPr="00D41179">
              <w:t>$</w:t>
            </w:r>
            <w:r w:rsidR="000E1EB2" w:rsidRPr="000E1EB2">
              <w:rPr>
                <w:sz w:val="2"/>
                <w:highlight w:val="black"/>
              </w:rPr>
              <w:t>redacted content</w:t>
            </w:r>
            <w:r w:rsidR="007C5D56" w:rsidRPr="00D41179">
              <w:rPr>
                <w:vertAlign w:val="superscript"/>
              </w:rPr>
              <w:t>26</w:t>
            </w:r>
            <w:r w:rsidRPr="00D41179">
              <w:t xml:space="preserve"> </w:t>
            </w:r>
          </w:p>
        </w:tc>
        <w:tc>
          <w:tcPr>
            <w:tcW w:w="1151" w:type="dxa"/>
            <w:tcBorders>
              <w:top w:val="single" w:sz="4" w:space="0" w:color="auto"/>
              <w:left w:val="nil"/>
              <w:bottom w:val="single" w:sz="4" w:space="0" w:color="auto"/>
              <w:right w:val="single" w:sz="4" w:space="0" w:color="auto"/>
            </w:tcBorders>
            <w:vAlign w:val="center"/>
          </w:tcPr>
          <w:p w14:paraId="156A146D" w14:textId="551310D4" w:rsidR="005409B6" w:rsidRPr="00D41179" w:rsidRDefault="005409B6" w:rsidP="001479FA">
            <w:pPr>
              <w:pStyle w:val="TableText0"/>
            </w:pPr>
            <w:r w:rsidRPr="00D41179">
              <w:t>$</w:t>
            </w:r>
            <w:r w:rsidR="000E1EB2" w:rsidRPr="000E1EB2">
              <w:rPr>
                <w:sz w:val="2"/>
                <w:highlight w:val="black"/>
              </w:rPr>
              <w:t>redacted content</w:t>
            </w:r>
            <w:r w:rsidR="00AA01D7" w:rsidRPr="00D41179">
              <w:rPr>
                <w:vertAlign w:val="superscript"/>
              </w:rPr>
              <w:t>1</w:t>
            </w:r>
            <w:r w:rsidR="007C5D56" w:rsidRPr="00D41179">
              <w:rPr>
                <w:vertAlign w:val="superscript"/>
              </w:rPr>
              <w:t>6</w:t>
            </w:r>
            <w:r w:rsidRPr="00D41179">
              <w:t xml:space="preserve"> </w:t>
            </w:r>
          </w:p>
        </w:tc>
        <w:tc>
          <w:tcPr>
            <w:tcW w:w="1150" w:type="dxa"/>
            <w:tcBorders>
              <w:top w:val="single" w:sz="4" w:space="0" w:color="auto"/>
              <w:left w:val="nil"/>
              <w:bottom w:val="single" w:sz="4" w:space="0" w:color="auto"/>
              <w:right w:val="single" w:sz="4" w:space="0" w:color="auto"/>
            </w:tcBorders>
            <w:vAlign w:val="center"/>
          </w:tcPr>
          <w:p w14:paraId="219E6786" w14:textId="673189A7" w:rsidR="005409B6" w:rsidRPr="00D41179" w:rsidRDefault="005409B6" w:rsidP="001479FA">
            <w:pPr>
              <w:pStyle w:val="TableText0"/>
            </w:pPr>
            <w:r w:rsidRPr="00D41179">
              <w:t>$</w:t>
            </w:r>
            <w:r w:rsidR="000E1EB2" w:rsidRPr="000E1EB2">
              <w:rPr>
                <w:sz w:val="2"/>
                <w:highlight w:val="black"/>
              </w:rPr>
              <w:t>redacted content</w:t>
            </w:r>
            <w:r w:rsidR="001C7225" w:rsidRPr="00D41179">
              <w:rPr>
                <w:vertAlign w:val="superscript"/>
              </w:rPr>
              <w:t>18</w:t>
            </w:r>
            <w:r w:rsidRPr="00D41179">
              <w:t xml:space="preserve"> </w:t>
            </w:r>
          </w:p>
        </w:tc>
        <w:tc>
          <w:tcPr>
            <w:tcW w:w="1151" w:type="dxa"/>
            <w:tcBorders>
              <w:top w:val="single" w:sz="4" w:space="0" w:color="auto"/>
              <w:left w:val="nil"/>
              <w:bottom w:val="single" w:sz="4" w:space="0" w:color="auto"/>
              <w:right w:val="single" w:sz="4" w:space="0" w:color="auto"/>
            </w:tcBorders>
            <w:vAlign w:val="center"/>
          </w:tcPr>
          <w:p w14:paraId="54F655EC" w14:textId="69CCB420" w:rsidR="005409B6" w:rsidRPr="00D41179" w:rsidRDefault="005409B6" w:rsidP="001479FA">
            <w:pPr>
              <w:pStyle w:val="TableText0"/>
            </w:pPr>
            <w:r w:rsidRPr="00D41179">
              <w:t>$</w:t>
            </w:r>
            <w:r w:rsidR="000E1EB2" w:rsidRPr="000E1EB2">
              <w:rPr>
                <w:sz w:val="2"/>
                <w:highlight w:val="black"/>
              </w:rPr>
              <w:t>redacted content</w:t>
            </w:r>
            <w:r w:rsidR="001C7225" w:rsidRPr="00D41179">
              <w:rPr>
                <w:vertAlign w:val="superscript"/>
              </w:rPr>
              <w:t>18</w:t>
            </w:r>
            <w:r w:rsidRPr="00D41179">
              <w:t xml:space="preserve"> </w:t>
            </w:r>
          </w:p>
        </w:tc>
        <w:tc>
          <w:tcPr>
            <w:tcW w:w="1318" w:type="dxa"/>
            <w:tcBorders>
              <w:top w:val="single" w:sz="4" w:space="0" w:color="auto"/>
              <w:left w:val="nil"/>
              <w:bottom w:val="single" w:sz="4" w:space="0" w:color="auto"/>
              <w:right w:val="single" w:sz="4" w:space="0" w:color="auto"/>
            </w:tcBorders>
            <w:vAlign w:val="center"/>
          </w:tcPr>
          <w:p w14:paraId="094B1B33" w14:textId="0F521882" w:rsidR="005409B6" w:rsidRPr="00D41179" w:rsidRDefault="005409B6" w:rsidP="001479FA">
            <w:pPr>
              <w:pStyle w:val="TableText0"/>
            </w:pPr>
            <w:r w:rsidRPr="00D41179">
              <w:t>$</w:t>
            </w:r>
            <w:r w:rsidR="000E1EB2" w:rsidRPr="000E1EB2">
              <w:rPr>
                <w:sz w:val="2"/>
                <w:highlight w:val="black"/>
              </w:rPr>
              <w:t>redacted content</w:t>
            </w:r>
            <w:r w:rsidR="00FC5B8B" w:rsidRPr="00D41179">
              <w:rPr>
                <w:vertAlign w:val="superscript"/>
              </w:rPr>
              <w:t>13</w:t>
            </w:r>
            <w:r w:rsidRPr="00D41179">
              <w:t xml:space="preserve"> </w:t>
            </w:r>
          </w:p>
        </w:tc>
      </w:tr>
      <w:tr w:rsidR="005409B6" w:rsidRPr="00D41179" w14:paraId="1D41C3BD" w14:textId="77777777" w:rsidTr="00A42DB5">
        <w:trPr>
          <w:trHeight w:val="90"/>
        </w:trPr>
        <w:tc>
          <w:tcPr>
            <w:tcW w:w="1413" w:type="dxa"/>
            <w:vAlign w:val="center"/>
          </w:tcPr>
          <w:p w14:paraId="38E7EC11" w14:textId="7E82C69E" w:rsidR="005409B6" w:rsidRPr="00D41179" w:rsidRDefault="005409B6" w:rsidP="001479FA">
            <w:pPr>
              <w:pStyle w:val="TableText0"/>
            </w:pPr>
            <w:r w:rsidRPr="00D41179">
              <w:t>Impact on other medications (PBS/RPBS)</w:t>
            </w:r>
          </w:p>
        </w:tc>
        <w:tc>
          <w:tcPr>
            <w:tcW w:w="1292" w:type="dxa"/>
            <w:tcBorders>
              <w:top w:val="single" w:sz="4" w:space="0" w:color="auto"/>
              <w:left w:val="single" w:sz="4" w:space="0" w:color="auto"/>
              <w:bottom w:val="single" w:sz="4" w:space="0" w:color="auto"/>
              <w:right w:val="single" w:sz="4" w:space="0" w:color="auto"/>
            </w:tcBorders>
            <w:vAlign w:val="center"/>
          </w:tcPr>
          <w:p w14:paraId="345823F7" w14:textId="47216157" w:rsidR="005409B6" w:rsidRPr="00D41179" w:rsidRDefault="005409B6" w:rsidP="001479FA">
            <w:pPr>
              <w:pStyle w:val="TableText0"/>
            </w:pPr>
            <w:r w:rsidRPr="00D41179">
              <w:t>-$</w:t>
            </w:r>
            <w:r w:rsidR="000E1EB2" w:rsidRPr="000E1EB2">
              <w:rPr>
                <w:sz w:val="2"/>
                <w:highlight w:val="black"/>
              </w:rPr>
              <w:t>redacted content</w:t>
            </w:r>
            <w:r w:rsidR="00C81762">
              <w:rPr>
                <w:vertAlign w:val="superscript"/>
              </w:rPr>
              <w:t>27</w:t>
            </w:r>
          </w:p>
        </w:tc>
        <w:tc>
          <w:tcPr>
            <w:tcW w:w="1151" w:type="dxa"/>
            <w:tcBorders>
              <w:top w:val="single" w:sz="4" w:space="0" w:color="auto"/>
              <w:left w:val="nil"/>
              <w:bottom w:val="single" w:sz="4" w:space="0" w:color="auto"/>
              <w:right w:val="single" w:sz="4" w:space="0" w:color="auto"/>
            </w:tcBorders>
            <w:vAlign w:val="center"/>
          </w:tcPr>
          <w:p w14:paraId="346881C3" w14:textId="27405024" w:rsidR="005409B6" w:rsidRPr="00D41179" w:rsidRDefault="005409B6" w:rsidP="001479FA">
            <w:pPr>
              <w:pStyle w:val="TableText0"/>
            </w:pPr>
            <w:r w:rsidRPr="00D41179">
              <w:t>-$</w:t>
            </w:r>
            <w:r w:rsidR="000E1EB2" w:rsidRPr="000E1EB2">
              <w:rPr>
                <w:sz w:val="2"/>
                <w:highlight w:val="black"/>
              </w:rPr>
              <w:t>redacted content</w:t>
            </w:r>
            <w:r w:rsidR="00C81762">
              <w:rPr>
                <w:vertAlign w:val="superscript"/>
              </w:rPr>
              <w:t>2</w:t>
            </w:r>
            <w:r w:rsidR="00242657">
              <w:rPr>
                <w:vertAlign w:val="superscript"/>
              </w:rPr>
              <w:t>8</w:t>
            </w:r>
          </w:p>
        </w:tc>
        <w:tc>
          <w:tcPr>
            <w:tcW w:w="1150" w:type="dxa"/>
            <w:tcBorders>
              <w:top w:val="single" w:sz="4" w:space="0" w:color="auto"/>
              <w:left w:val="nil"/>
              <w:bottom w:val="single" w:sz="4" w:space="0" w:color="auto"/>
              <w:right w:val="single" w:sz="4" w:space="0" w:color="auto"/>
            </w:tcBorders>
            <w:vAlign w:val="center"/>
          </w:tcPr>
          <w:p w14:paraId="2846F72C" w14:textId="1FBEFFA3" w:rsidR="005409B6" w:rsidRPr="00D41179" w:rsidRDefault="005409B6" w:rsidP="001479FA">
            <w:pPr>
              <w:pStyle w:val="TableText0"/>
            </w:pPr>
            <w:r w:rsidRPr="00D41179">
              <w:t>-$</w:t>
            </w:r>
            <w:r w:rsidR="000E1EB2" w:rsidRPr="000E1EB2">
              <w:rPr>
                <w:sz w:val="2"/>
                <w:highlight w:val="black"/>
              </w:rPr>
              <w:t>redacted content</w:t>
            </w:r>
            <w:r w:rsidR="00C81762">
              <w:rPr>
                <w:vertAlign w:val="superscript"/>
              </w:rPr>
              <w:t>2</w:t>
            </w:r>
            <w:r w:rsidR="00242657">
              <w:rPr>
                <w:vertAlign w:val="superscript"/>
              </w:rPr>
              <w:t>8</w:t>
            </w:r>
          </w:p>
        </w:tc>
        <w:tc>
          <w:tcPr>
            <w:tcW w:w="1151" w:type="dxa"/>
            <w:tcBorders>
              <w:top w:val="single" w:sz="4" w:space="0" w:color="auto"/>
              <w:left w:val="nil"/>
              <w:bottom w:val="single" w:sz="4" w:space="0" w:color="auto"/>
              <w:right w:val="single" w:sz="4" w:space="0" w:color="auto"/>
            </w:tcBorders>
            <w:vAlign w:val="center"/>
          </w:tcPr>
          <w:p w14:paraId="45852AF3" w14:textId="2AF36B18" w:rsidR="005409B6" w:rsidRPr="00D41179" w:rsidRDefault="005409B6" w:rsidP="001479FA">
            <w:pPr>
              <w:pStyle w:val="TableText0"/>
            </w:pPr>
            <w:r w:rsidRPr="00D41179">
              <w:t>-$</w:t>
            </w:r>
            <w:r w:rsidR="000E1EB2" w:rsidRPr="000E1EB2">
              <w:rPr>
                <w:sz w:val="2"/>
                <w:highlight w:val="black"/>
              </w:rPr>
              <w:t>redacted content</w:t>
            </w:r>
            <w:r w:rsidR="00C81762">
              <w:rPr>
                <w:vertAlign w:val="superscript"/>
              </w:rPr>
              <w:t>2</w:t>
            </w:r>
            <w:r w:rsidR="00242657">
              <w:rPr>
                <w:vertAlign w:val="superscript"/>
              </w:rPr>
              <w:t>8</w:t>
            </w:r>
          </w:p>
        </w:tc>
        <w:tc>
          <w:tcPr>
            <w:tcW w:w="1150" w:type="dxa"/>
            <w:tcBorders>
              <w:top w:val="single" w:sz="4" w:space="0" w:color="auto"/>
              <w:left w:val="nil"/>
              <w:bottom w:val="single" w:sz="4" w:space="0" w:color="auto"/>
              <w:right w:val="single" w:sz="4" w:space="0" w:color="auto"/>
            </w:tcBorders>
            <w:vAlign w:val="center"/>
          </w:tcPr>
          <w:p w14:paraId="20CD8F8F" w14:textId="23CCBC24" w:rsidR="005409B6" w:rsidRPr="00D41179" w:rsidRDefault="005409B6" w:rsidP="001479FA">
            <w:pPr>
              <w:pStyle w:val="TableText0"/>
            </w:pPr>
            <w:r w:rsidRPr="00D41179">
              <w:t>-$</w:t>
            </w:r>
            <w:r w:rsidR="000E1EB2" w:rsidRPr="000E1EB2">
              <w:rPr>
                <w:sz w:val="2"/>
                <w:highlight w:val="black"/>
              </w:rPr>
              <w:t>redacted content</w:t>
            </w:r>
            <w:r w:rsidR="00C81762">
              <w:rPr>
                <w:vertAlign w:val="superscript"/>
              </w:rPr>
              <w:t>2</w:t>
            </w:r>
            <w:r w:rsidR="00242657">
              <w:rPr>
                <w:vertAlign w:val="superscript"/>
              </w:rPr>
              <w:t>8</w:t>
            </w:r>
          </w:p>
        </w:tc>
        <w:tc>
          <w:tcPr>
            <w:tcW w:w="1151" w:type="dxa"/>
            <w:tcBorders>
              <w:top w:val="single" w:sz="4" w:space="0" w:color="auto"/>
              <w:left w:val="nil"/>
              <w:bottom w:val="single" w:sz="4" w:space="0" w:color="auto"/>
              <w:right w:val="single" w:sz="4" w:space="0" w:color="auto"/>
            </w:tcBorders>
            <w:vAlign w:val="center"/>
          </w:tcPr>
          <w:p w14:paraId="09092E47" w14:textId="2BDDF310" w:rsidR="005409B6" w:rsidRPr="00D41179" w:rsidRDefault="005409B6" w:rsidP="001479FA">
            <w:pPr>
              <w:pStyle w:val="TableText0"/>
            </w:pPr>
            <w:r w:rsidRPr="00D41179">
              <w:t>-$</w:t>
            </w:r>
            <w:r w:rsidR="000E1EB2" w:rsidRPr="000E1EB2">
              <w:rPr>
                <w:sz w:val="2"/>
                <w:highlight w:val="black"/>
              </w:rPr>
              <w:t>redacted content</w:t>
            </w:r>
            <w:r w:rsidR="00C81762">
              <w:rPr>
                <w:vertAlign w:val="superscript"/>
              </w:rPr>
              <w:t>2</w:t>
            </w:r>
            <w:r w:rsidR="00242657">
              <w:rPr>
                <w:vertAlign w:val="superscript"/>
              </w:rPr>
              <w:t>8</w:t>
            </w:r>
          </w:p>
        </w:tc>
        <w:tc>
          <w:tcPr>
            <w:tcW w:w="1318" w:type="dxa"/>
            <w:tcBorders>
              <w:top w:val="single" w:sz="4" w:space="0" w:color="auto"/>
              <w:left w:val="nil"/>
              <w:bottom w:val="single" w:sz="4" w:space="0" w:color="auto"/>
              <w:right w:val="single" w:sz="4" w:space="0" w:color="auto"/>
            </w:tcBorders>
            <w:vAlign w:val="center"/>
          </w:tcPr>
          <w:p w14:paraId="40411EA7" w14:textId="4BAF2C01" w:rsidR="005409B6" w:rsidRPr="00D41179" w:rsidRDefault="005409B6" w:rsidP="001479FA">
            <w:pPr>
              <w:pStyle w:val="TableText0"/>
            </w:pPr>
            <w:r w:rsidRPr="00D41179">
              <w:t>-$</w:t>
            </w:r>
            <w:r w:rsidR="000E1EB2" w:rsidRPr="000E1EB2">
              <w:rPr>
                <w:sz w:val="2"/>
                <w:highlight w:val="black"/>
              </w:rPr>
              <w:t>redacted content</w:t>
            </w:r>
            <w:r w:rsidR="00C81762">
              <w:rPr>
                <w:vertAlign w:val="superscript"/>
              </w:rPr>
              <w:t>2</w:t>
            </w:r>
            <w:r w:rsidR="00242657">
              <w:rPr>
                <w:vertAlign w:val="superscript"/>
              </w:rPr>
              <w:t>8</w:t>
            </w:r>
          </w:p>
        </w:tc>
      </w:tr>
      <w:tr w:rsidR="005409B6" w:rsidRPr="00D41179" w14:paraId="11122667" w14:textId="77777777" w:rsidTr="00A42DB5">
        <w:trPr>
          <w:trHeight w:val="90"/>
        </w:trPr>
        <w:tc>
          <w:tcPr>
            <w:tcW w:w="1413" w:type="dxa"/>
            <w:vAlign w:val="center"/>
          </w:tcPr>
          <w:p w14:paraId="3159AECB" w14:textId="21ADC762" w:rsidR="005409B6" w:rsidRPr="00D41179" w:rsidRDefault="005409B6" w:rsidP="001479FA">
            <w:pPr>
              <w:pStyle w:val="TableText0"/>
            </w:pPr>
            <w:r w:rsidRPr="00D41179">
              <w:t>Net cost to MBS</w:t>
            </w:r>
          </w:p>
        </w:tc>
        <w:tc>
          <w:tcPr>
            <w:tcW w:w="1292" w:type="dxa"/>
            <w:tcBorders>
              <w:top w:val="single" w:sz="4" w:space="0" w:color="auto"/>
              <w:left w:val="single" w:sz="4" w:space="0" w:color="auto"/>
              <w:bottom w:val="single" w:sz="4" w:space="0" w:color="auto"/>
              <w:right w:val="single" w:sz="4" w:space="0" w:color="auto"/>
            </w:tcBorders>
            <w:vAlign w:val="center"/>
          </w:tcPr>
          <w:p w14:paraId="58936F39" w14:textId="71FE1B1C" w:rsidR="005409B6" w:rsidRPr="00D41179" w:rsidRDefault="005409B6" w:rsidP="001479FA">
            <w:pPr>
              <w:pStyle w:val="TableText0"/>
            </w:pPr>
            <w:r w:rsidRPr="00D41179">
              <w:t>$</w:t>
            </w:r>
            <w:r w:rsidR="000E1EB2" w:rsidRPr="000E1EB2">
              <w:rPr>
                <w:sz w:val="2"/>
                <w:highlight w:val="black"/>
              </w:rPr>
              <w:t>redacted content</w:t>
            </w:r>
            <w:r w:rsidR="00EA1322" w:rsidRPr="00D41179">
              <w:rPr>
                <w:vertAlign w:val="superscript"/>
              </w:rPr>
              <w:t>18</w:t>
            </w:r>
            <w:r w:rsidR="00D41179" w:rsidRPr="00D41179">
              <w:t xml:space="preserve"> </w:t>
            </w:r>
          </w:p>
        </w:tc>
        <w:tc>
          <w:tcPr>
            <w:tcW w:w="1151" w:type="dxa"/>
            <w:tcBorders>
              <w:top w:val="single" w:sz="4" w:space="0" w:color="auto"/>
              <w:left w:val="nil"/>
              <w:bottom w:val="single" w:sz="4" w:space="0" w:color="auto"/>
              <w:right w:val="single" w:sz="4" w:space="0" w:color="auto"/>
            </w:tcBorders>
            <w:vAlign w:val="center"/>
          </w:tcPr>
          <w:p w14:paraId="2B1EB081" w14:textId="3C2A5DC7" w:rsidR="005409B6" w:rsidRPr="00D41179" w:rsidRDefault="005409B6" w:rsidP="001479FA">
            <w:pPr>
              <w:pStyle w:val="TableText0"/>
            </w:pPr>
            <w:r w:rsidRPr="00D41179">
              <w:t>$</w:t>
            </w:r>
            <w:r w:rsidR="000E1EB2" w:rsidRPr="000E1EB2">
              <w:rPr>
                <w:sz w:val="2"/>
                <w:highlight w:val="black"/>
              </w:rPr>
              <w:t>redacted content</w:t>
            </w:r>
            <w:r w:rsidR="00EA1322" w:rsidRPr="00D41179">
              <w:rPr>
                <w:vertAlign w:val="superscript"/>
              </w:rPr>
              <w:t>18</w:t>
            </w:r>
            <w:r w:rsidR="00D41179" w:rsidRPr="00D41179">
              <w:t xml:space="preserve"> </w:t>
            </w:r>
          </w:p>
        </w:tc>
        <w:tc>
          <w:tcPr>
            <w:tcW w:w="1150" w:type="dxa"/>
            <w:tcBorders>
              <w:top w:val="single" w:sz="4" w:space="0" w:color="auto"/>
              <w:left w:val="nil"/>
              <w:bottom w:val="single" w:sz="4" w:space="0" w:color="auto"/>
              <w:right w:val="single" w:sz="4" w:space="0" w:color="auto"/>
            </w:tcBorders>
            <w:vAlign w:val="center"/>
          </w:tcPr>
          <w:p w14:paraId="536613B0" w14:textId="3790394E" w:rsidR="005409B6" w:rsidRPr="00D41179" w:rsidRDefault="005409B6" w:rsidP="001479FA">
            <w:pPr>
              <w:pStyle w:val="TableText0"/>
            </w:pPr>
            <w:r w:rsidRPr="00D41179">
              <w:t>$</w:t>
            </w:r>
            <w:r w:rsidR="000E1EB2" w:rsidRPr="000E1EB2">
              <w:rPr>
                <w:sz w:val="2"/>
                <w:highlight w:val="black"/>
              </w:rPr>
              <w:t>redacted content</w:t>
            </w:r>
            <w:r w:rsidR="00EA1322" w:rsidRPr="00D41179">
              <w:rPr>
                <w:vertAlign w:val="superscript"/>
              </w:rPr>
              <w:t>18</w:t>
            </w:r>
            <w:r w:rsidR="00D41179" w:rsidRPr="00D41179">
              <w:t xml:space="preserve"> </w:t>
            </w:r>
          </w:p>
        </w:tc>
        <w:tc>
          <w:tcPr>
            <w:tcW w:w="1151" w:type="dxa"/>
            <w:tcBorders>
              <w:top w:val="single" w:sz="4" w:space="0" w:color="auto"/>
              <w:left w:val="nil"/>
              <w:bottom w:val="single" w:sz="4" w:space="0" w:color="auto"/>
              <w:right w:val="single" w:sz="4" w:space="0" w:color="auto"/>
            </w:tcBorders>
            <w:vAlign w:val="center"/>
          </w:tcPr>
          <w:p w14:paraId="0E0E2414" w14:textId="3A5B010B" w:rsidR="005409B6" w:rsidRPr="00D41179" w:rsidRDefault="005409B6" w:rsidP="001479FA">
            <w:pPr>
              <w:pStyle w:val="TableText0"/>
            </w:pPr>
            <w:r w:rsidRPr="00D41179">
              <w:t>$</w:t>
            </w:r>
            <w:r w:rsidR="000E1EB2" w:rsidRPr="000E1EB2">
              <w:rPr>
                <w:sz w:val="2"/>
                <w:highlight w:val="black"/>
              </w:rPr>
              <w:t>redacted content</w:t>
            </w:r>
            <w:r w:rsidR="00EA1322" w:rsidRPr="00D41179">
              <w:rPr>
                <w:vertAlign w:val="superscript"/>
              </w:rPr>
              <w:t>18</w:t>
            </w:r>
            <w:r w:rsidR="00D41179" w:rsidRPr="00D41179">
              <w:t xml:space="preserve"> </w:t>
            </w:r>
          </w:p>
        </w:tc>
        <w:tc>
          <w:tcPr>
            <w:tcW w:w="1150" w:type="dxa"/>
            <w:tcBorders>
              <w:top w:val="single" w:sz="4" w:space="0" w:color="auto"/>
              <w:left w:val="nil"/>
              <w:bottom w:val="single" w:sz="4" w:space="0" w:color="auto"/>
              <w:right w:val="single" w:sz="4" w:space="0" w:color="auto"/>
            </w:tcBorders>
            <w:vAlign w:val="center"/>
          </w:tcPr>
          <w:p w14:paraId="4F8ABE46" w14:textId="56CF2BAA" w:rsidR="005409B6" w:rsidRPr="00D41179" w:rsidRDefault="005409B6" w:rsidP="001479FA">
            <w:pPr>
              <w:pStyle w:val="TableText0"/>
            </w:pPr>
            <w:r w:rsidRPr="00D41179">
              <w:t>$</w:t>
            </w:r>
            <w:r w:rsidR="000E1EB2" w:rsidRPr="000E1EB2">
              <w:rPr>
                <w:sz w:val="2"/>
                <w:highlight w:val="black"/>
              </w:rPr>
              <w:t>redacted content</w:t>
            </w:r>
            <w:r w:rsidR="00EA1322" w:rsidRPr="00D41179">
              <w:rPr>
                <w:vertAlign w:val="superscript"/>
              </w:rPr>
              <w:t>18</w:t>
            </w:r>
            <w:r w:rsidR="00D41179" w:rsidRPr="00D41179">
              <w:t xml:space="preserve"> </w:t>
            </w:r>
          </w:p>
        </w:tc>
        <w:tc>
          <w:tcPr>
            <w:tcW w:w="1151" w:type="dxa"/>
            <w:tcBorders>
              <w:top w:val="single" w:sz="4" w:space="0" w:color="auto"/>
              <w:left w:val="nil"/>
              <w:bottom w:val="single" w:sz="4" w:space="0" w:color="auto"/>
              <w:right w:val="single" w:sz="4" w:space="0" w:color="auto"/>
            </w:tcBorders>
            <w:vAlign w:val="center"/>
          </w:tcPr>
          <w:p w14:paraId="18B26750" w14:textId="580ED1A9" w:rsidR="005409B6" w:rsidRPr="00D41179" w:rsidRDefault="005409B6" w:rsidP="001479FA">
            <w:pPr>
              <w:pStyle w:val="TableText0"/>
            </w:pPr>
            <w:r w:rsidRPr="00D41179">
              <w:t>$</w:t>
            </w:r>
            <w:r w:rsidR="000E1EB2" w:rsidRPr="000E1EB2">
              <w:rPr>
                <w:sz w:val="2"/>
                <w:highlight w:val="black"/>
              </w:rPr>
              <w:t>redacted content</w:t>
            </w:r>
            <w:r w:rsidR="00EA1322" w:rsidRPr="00D41179">
              <w:rPr>
                <w:vertAlign w:val="superscript"/>
              </w:rPr>
              <w:t>18</w:t>
            </w:r>
            <w:r w:rsidR="00D41179" w:rsidRPr="00D41179">
              <w:t xml:space="preserve"> </w:t>
            </w:r>
          </w:p>
        </w:tc>
        <w:tc>
          <w:tcPr>
            <w:tcW w:w="1318" w:type="dxa"/>
            <w:tcBorders>
              <w:top w:val="single" w:sz="4" w:space="0" w:color="auto"/>
              <w:left w:val="nil"/>
              <w:bottom w:val="single" w:sz="4" w:space="0" w:color="auto"/>
              <w:right w:val="single" w:sz="4" w:space="0" w:color="auto"/>
            </w:tcBorders>
            <w:vAlign w:val="center"/>
          </w:tcPr>
          <w:p w14:paraId="0F322069" w14:textId="25662369" w:rsidR="005409B6" w:rsidRPr="00D41179" w:rsidRDefault="005409B6" w:rsidP="001479FA">
            <w:pPr>
              <w:pStyle w:val="TableText0"/>
            </w:pPr>
            <w:r w:rsidRPr="00D41179">
              <w:t>$</w:t>
            </w:r>
            <w:r w:rsidR="000E1EB2" w:rsidRPr="000E1EB2">
              <w:rPr>
                <w:sz w:val="2"/>
                <w:highlight w:val="black"/>
              </w:rPr>
              <w:t>redacted content</w:t>
            </w:r>
            <w:r w:rsidR="00926C5C" w:rsidRPr="00D41179">
              <w:rPr>
                <w:vertAlign w:val="superscript"/>
              </w:rPr>
              <w:t>1</w:t>
            </w:r>
            <w:r w:rsidR="00EA1322" w:rsidRPr="00D41179">
              <w:rPr>
                <w:vertAlign w:val="superscript"/>
              </w:rPr>
              <w:t>6</w:t>
            </w:r>
            <w:r w:rsidR="00D41179" w:rsidRPr="00D41179">
              <w:t xml:space="preserve"> </w:t>
            </w:r>
          </w:p>
        </w:tc>
      </w:tr>
      <w:tr w:rsidR="00620997" w:rsidRPr="00D41179" w14:paraId="0E331A65" w14:textId="77777777" w:rsidTr="00A42DB5">
        <w:trPr>
          <w:trHeight w:val="90"/>
        </w:trPr>
        <w:tc>
          <w:tcPr>
            <w:tcW w:w="1413" w:type="dxa"/>
            <w:vAlign w:val="center"/>
          </w:tcPr>
          <w:p w14:paraId="41492D33" w14:textId="294F6DD4" w:rsidR="00620997" w:rsidRPr="00D41179" w:rsidRDefault="00620997" w:rsidP="001479FA">
            <w:pPr>
              <w:pStyle w:val="TableText0"/>
            </w:pPr>
            <w:r w:rsidRPr="00D41179">
              <w:t>Net cost to State, Territories and Commonwealth</w:t>
            </w:r>
            <w:r w:rsidRPr="00D41179">
              <w:rPr>
                <w:vertAlign w:val="superscript"/>
              </w:rPr>
              <w:t>a</w:t>
            </w:r>
          </w:p>
        </w:tc>
        <w:tc>
          <w:tcPr>
            <w:tcW w:w="1292" w:type="dxa"/>
            <w:tcBorders>
              <w:top w:val="nil"/>
              <w:left w:val="nil"/>
              <w:bottom w:val="nil"/>
              <w:right w:val="single" w:sz="4" w:space="0" w:color="auto"/>
            </w:tcBorders>
            <w:vAlign w:val="bottom"/>
          </w:tcPr>
          <w:p w14:paraId="2F57E5C1" w14:textId="126DEBBC" w:rsidR="00620997" w:rsidRPr="00D41179" w:rsidRDefault="00620997" w:rsidP="001479FA">
            <w:pPr>
              <w:pStyle w:val="TableText0"/>
            </w:pPr>
            <w:r w:rsidRPr="00D41179">
              <w:t>-$</w:t>
            </w:r>
            <w:r w:rsidR="000E1EB2" w:rsidRPr="000E1EB2">
              <w:rPr>
                <w:sz w:val="2"/>
                <w:highlight w:val="black"/>
              </w:rPr>
              <w:t>redacted content</w:t>
            </w:r>
            <w:r w:rsidR="00524B4A">
              <w:rPr>
                <w:vertAlign w:val="superscript"/>
              </w:rPr>
              <w:t>2</w:t>
            </w:r>
            <w:r w:rsidR="00242657">
              <w:rPr>
                <w:vertAlign w:val="superscript"/>
              </w:rPr>
              <w:t>8</w:t>
            </w:r>
          </w:p>
        </w:tc>
        <w:tc>
          <w:tcPr>
            <w:tcW w:w="1151" w:type="dxa"/>
            <w:tcBorders>
              <w:top w:val="nil"/>
              <w:left w:val="single" w:sz="4" w:space="0" w:color="auto"/>
              <w:bottom w:val="nil"/>
              <w:right w:val="single" w:sz="4" w:space="0" w:color="auto"/>
            </w:tcBorders>
            <w:vAlign w:val="bottom"/>
          </w:tcPr>
          <w:p w14:paraId="5A15E9FD" w14:textId="7DF862F4" w:rsidR="00620997" w:rsidRPr="00D41179" w:rsidRDefault="00620997" w:rsidP="001479FA">
            <w:pPr>
              <w:pStyle w:val="TableText0"/>
            </w:pPr>
            <w:r w:rsidRPr="00D41179">
              <w:t>-$</w:t>
            </w:r>
            <w:r w:rsidR="000E1EB2" w:rsidRPr="000E1EB2">
              <w:rPr>
                <w:sz w:val="2"/>
                <w:highlight w:val="black"/>
              </w:rPr>
              <w:t>redacted content</w:t>
            </w:r>
            <w:r w:rsidR="00524B4A">
              <w:rPr>
                <w:vertAlign w:val="superscript"/>
              </w:rPr>
              <w:t>2</w:t>
            </w:r>
            <w:r w:rsidR="00242657">
              <w:rPr>
                <w:vertAlign w:val="superscript"/>
              </w:rPr>
              <w:t>8</w:t>
            </w:r>
          </w:p>
        </w:tc>
        <w:tc>
          <w:tcPr>
            <w:tcW w:w="1150" w:type="dxa"/>
            <w:tcBorders>
              <w:top w:val="nil"/>
              <w:left w:val="single" w:sz="4" w:space="0" w:color="auto"/>
              <w:bottom w:val="nil"/>
              <w:right w:val="single" w:sz="4" w:space="0" w:color="auto"/>
            </w:tcBorders>
            <w:vAlign w:val="bottom"/>
          </w:tcPr>
          <w:p w14:paraId="15BE76B0" w14:textId="3AC5B6A2" w:rsidR="00620997" w:rsidRPr="00D41179" w:rsidRDefault="00620997" w:rsidP="001479FA">
            <w:pPr>
              <w:pStyle w:val="TableText0"/>
            </w:pPr>
            <w:r w:rsidRPr="00D41179">
              <w:t>-$</w:t>
            </w:r>
            <w:r w:rsidR="000E1EB2" w:rsidRPr="000E1EB2">
              <w:rPr>
                <w:sz w:val="2"/>
                <w:highlight w:val="black"/>
              </w:rPr>
              <w:t>redacted content</w:t>
            </w:r>
            <w:r w:rsidR="00242657">
              <w:rPr>
                <w:vertAlign w:val="superscript"/>
              </w:rPr>
              <w:t>28</w:t>
            </w:r>
          </w:p>
        </w:tc>
        <w:tc>
          <w:tcPr>
            <w:tcW w:w="1151" w:type="dxa"/>
            <w:tcBorders>
              <w:top w:val="nil"/>
              <w:left w:val="single" w:sz="4" w:space="0" w:color="auto"/>
              <w:bottom w:val="nil"/>
              <w:right w:val="single" w:sz="4" w:space="0" w:color="auto"/>
            </w:tcBorders>
            <w:vAlign w:val="bottom"/>
          </w:tcPr>
          <w:p w14:paraId="46DC075E" w14:textId="5E549C9F" w:rsidR="00620997" w:rsidRPr="00D41179" w:rsidRDefault="00620997" w:rsidP="001479FA">
            <w:pPr>
              <w:pStyle w:val="TableText0"/>
            </w:pPr>
            <w:r w:rsidRPr="00D41179">
              <w:t>-$</w:t>
            </w:r>
            <w:r w:rsidR="000E1EB2" w:rsidRPr="000E1EB2">
              <w:rPr>
                <w:sz w:val="2"/>
                <w:highlight w:val="black"/>
              </w:rPr>
              <w:t>redacted content</w:t>
            </w:r>
            <w:r w:rsidR="00242657">
              <w:rPr>
                <w:vertAlign w:val="superscript"/>
              </w:rPr>
              <w:t>28</w:t>
            </w:r>
          </w:p>
        </w:tc>
        <w:tc>
          <w:tcPr>
            <w:tcW w:w="1150" w:type="dxa"/>
            <w:tcBorders>
              <w:top w:val="nil"/>
              <w:left w:val="single" w:sz="4" w:space="0" w:color="auto"/>
              <w:bottom w:val="nil"/>
              <w:right w:val="single" w:sz="4" w:space="0" w:color="auto"/>
            </w:tcBorders>
            <w:vAlign w:val="bottom"/>
          </w:tcPr>
          <w:p w14:paraId="02137B4B" w14:textId="57517D00" w:rsidR="00620997" w:rsidRPr="00D41179" w:rsidRDefault="00620997" w:rsidP="001479FA">
            <w:pPr>
              <w:pStyle w:val="TableText0"/>
            </w:pPr>
            <w:r w:rsidRPr="00D41179">
              <w:t>-$</w:t>
            </w:r>
            <w:r w:rsidR="000E1EB2" w:rsidRPr="000E1EB2">
              <w:rPr>
                <w:sz w:val="2"/>
                <w:highlight w:val="black"/>
              </w:rPr>
              <w:t>redacted content</w:t>
            </w:r>
            <w:r w:rsidR="00242657">
              <w:rPr>
                <w:vertAlign w:val="superscript"/>
              </w:rPr>
              <w:t>28</w:t>
            </w:r>
          </w:p>
        </w:tc>
        <w:tc>
          <w:tcPr>
            <w:tcW w:w="1151" w:type="dxa"/>
            <w:tcBorders>
              <w:top w:val="nil"/>
              <w:left w:val="single" w:sz="4" w:space="0" w:color="auto"/>
              <w:bottom w:val="nil"/>
              <w:right w:val="single" w:sz="4" w:space="0" w:color="auto"/>
            </w:tcBorders>
            <w:vAlign w:val="bottom"/>
          </w:tcPr>
          <w:p w14:paraId="406D8D11" w14:textId="5490E9E9" w:rsidR="00620997" w:rsidRPr="00D41179" w:rsidRDefault="00620997" w:rsidP="001479FA">
            <w:pPr>
              <w:pStyle w:val="TableText0"/>
            </w:pPr>
            <w:r w:rsidRPr="00D41179">
              <w:t>-$</w:t>
            </w:r>
            <w:r w:rsidR="000E1EB2" w:rsidRPr="000E1EB2">
              <w:rPr>
                <w:sz w:val="2"/>
                <w:highlight w:val="black"/>
              </w:rPr>
              <w:t>redacted content</w:t>
            </w:r>
            <w:r w:rsidR="00242657">
              <w:rPr>
                <w:vertAlign w:val="superscript"/>
              </w:rPr>
              <w:t>28</w:t>
            </w:r>
          </w:p>
        </w:tc>
        <w:tc>
          <w:tcPr>
            <w:tcW w:w="1318" w:type="dxa"/>
            <w:tcBorders>
              <w:top w:val="nil"/>
              <w:left w:val="single" w:sz="4" w:space="0" w:color="auto"/>
              <w:bottom w:val="nil"/>
              <w:right w:val="single" w:sz="4" w:space="0" w:color="auto"/>
            </w:tcBorders>
            <w:vAlign w:val="bottom"/>
          </w:tcPr>
          <w:p w14:paraId="45C98E15" w14:textId="4E48EA18" w:rsidR="00620997" w:rsidRPr="00D41179" w:rsidRDefault="00620997" w:rsidP="001479FA">
            <w:pPr>
              <w:pStyle w:val="TableText0"/>
              <w:rPr>
                <w:vertAlign w:val="superscript"/>
              </w:rPr>
            </w:pPr>
            <w:r w:rsidRPr="00D41179">
              <w:t>-$</w:t>
            </w:r>
            <w:r w:rsidR="000E1EB2" w:rsidRPr="000E1EB2">
              <w:rPr>
                <w:sz w:val="2"/>
                <w:highlight w:val="black"/>
              </w:rPr>
              <w:t>redacted content</w:t>
            </w:r>
            <w:r w:rsidR="00EA1322" w:rsidRPr="00D41179">
              <w:rPr>
                <w:vertAlign w:val="superscript"/>
              </w:rPr>
              <w:t>2</w:t>
            </w:r>
            <w:r w:rsidR="00753916">
              <w:rPr>
                <w:vertAlign w:val="superscript"/>
              </w:rPr>
              <w:t>8</w:t>
            </w:r>
          </w:p>
        </w:tc>
      </w:tr>
      <w:tr w:rsidR="00620997" w:rsidRPr="00D41179" w14:paraId="72F3ED6A" w14:textId="77777777" w:rsidTr="00A42DB5">
        <w:trPr>
          <w:trHeight w:val="90"/>
        </w:trPr>
        <w:tc>
          <w:tcPr>
            <w:tcW w:w="1413" w:type="dxa"/>
            <w:vAlign w:val="center"/>
          </w:tcPr>
          <w:p w14:paraId="2C2ECFEF" w14:textId="5E90CB88" w:rsidR="00620997" w:rsidRPr="00D41179" w:rsidRDefault="00620997" w:rsidP="001479FA">
            <w:pPr>
              <w:pStyle w:val="TableText0"/>
            </w:pPr>
            <w:r w:rsidRPr="00D41179">
              <w:t>Net cost to Health System</w:t>
            </w:r>
          </w:p>
        </w:tc>
        <w:tc>
          <w:tcPr>
            <w:tcW w:w="1292" w:type="dxa"/>
            <w:tcBorders>
              <w:top w:val="single" w:sz="4" w:space="0" w:color="auto"/>
              <w:left w:val="single" w:sz="4" w:space="0" w:color="auto"/>
              <w:bottom w:val="single" w:sz="4" w:space="0" w:color="auto"/>
              <w:right w:val="single" w:sz="4" w:space="0" w:color="auto"/>
            </w:tcBorders>
            <w:vAlign w:val="center"/>
          </w:tcPr>
          <w:p w14:paraId="1AEBBF65" w14:textId="435F9FBE" w:rsidR="00620997" w:rsidRPr="00D41179" w:rsidRDefault="00620997" w:rsidP="001479FA">
            <w:pPr>
              <w:pStyle w:val="TableText0"/>
              <w:rPr>
                <w:i/>
                <w:iCs/>
              </w:rPr>
            </w:pPr>
            <w:r w:rsidRPr="00D41179">
              <w:t>$</w:t>
            </w:r>
            <w:r w:rsidR="000E1EB2" w:rsidRPr="000E1EB2">
              <w:rPr>
                <w:sz w:val="2"/>
                <w:highlight w:val="black"/>
              </w:rPr>
              <w:t>redacted content</w:t>
            </w:r>
            <w:r w:rsidR="00C63786" w:rsidRPr="00D41179">
              <w:rPr>
                <w:vertAlign w:val="superscript"/>
              </w:rPr>
              <w:t>2</w:t>
            </w:r>
            <w:r w:rsidR="00EA1322" w:rsidRPr="00D41179">
              <w:rPr>
                <w:vertAlign w:val="superscript"/>
              </w:rPr>
              <w:t>7</w:t>
            </w:r>
            <w:r w:rsidRPr="00D41179">
              <w:t xml:space="preserve"> </w:t>
            </w:r>
          </w:p>
        </w:tc>
        <w:tc>
          <w:tcPr>
            <w:tcW w:w="1151" w:type="dxa"/>
            <w:tcBorders>
              <w:top w:val="single" w:sz="4" w:space="0" w:color="auto"/>
              <w:left w:val="nil"/>
              <w:bottom w:val="single" w:sz="4" w:space="0" w:color="auto"/>
              <w:right w:val="single" w:sz="4" w:space="0" w:color="auto"/>
            </w:tcBorders>
            <w:vAlign w:val="center"/>
          </w:tcPr>
          <w:p w14:paraId="611A48AD" w14:textId="397AA07A" w:rsidR="00620997" w:rsidRPr="00D41179" w:rsidRDefault="00620997" w:rsidP="001479FA">
            <w:pPr>
              <w:pStyle w:val="TableText0"/>
              <w:rPr>
                <w:i/>
                <w:iCs/>
              </w:rPr>
            </w:pPr>
            <w:r w:rsidRPr="00D41179">
              <w:t>$</w:t>
            </w:r>
            <w:r w:rsidR="000E1EB2" w:rsidRPr="000E1EB2">
              <w:rPr>
                <w:sz w:val="2"/>
                <w:highlight w:val="black"/>
              </w:rPr>
              <w:t>redacted content</w:t>
            </w:r>
            <w:r w:rsidR="00EA6201" w:rsidRPr="00D41179">
              <w:rPr>
                <w:vertAlign w:val="superscript"/>
              </w:rPr>
              <w:t>2</w:t>
            </w:r>
            <w:r w:rsidR="00895D0A" w:rsidRPr="00D41179">
              <w:rPr>
                <w:vertAlign w:val="superscript"/>
              </w:rPr>
              <w:t>5</w:t>
            </w:r>
          </w:p>
        </w:tc>
        <w:tc>
          <w:tcPr>
            <w:tcW w:w="1150" w:type="dxa"/>
            <w:tcBorders>
              <w:top w:val="single" w:sz="4" w:space="0" w:color="auto"/>
              <w:left w:val="nil"/>
              <w:bottom w:val="single" w:sz="4" w:space="0" w:color="auto"/>
              <w:right w:val="single" w:sz="4" w:space="0" w:color="auto"/>
            </w:tcBorders>
            <w:vAlign w:val="center"/>
          </w:tcPr>
          <w:p w14:paraId="4862FD86" w14:textId="1D23B896" w:rsidR="00620997" w:rsidRPr="00D41179" w:rsidRDefault="00620997" w:rsidP="001479FA">
            <w:pPr>
              <w:pStyle w:val="TableText0"/>
              <w:rPr>
                <w:i/>
                <w:iCs/>
              </w:rPr>
            </w:pPr>
            <w:r w:rsidRPr="00D41179">
              <w:t>$</w:t>
            </w:r>
            <w:r w:rsidR="000E1EB2" w:rsidRPr="000E1EB2">
              <w:rPr>
                <w:sz w:val="2"/>
                <w:highlight w:val="black"/>
              </w:rPr>
              <w:t>redacted content</w:t>
            </w:r>
            <w:r w:rsidR="00895D0A" w:rsidRPr="00D41179">
              <w:rPr>
                <w:vertAlign w:val="superscript"/>
              </w:rPr>
              <w:t>26</w:t>
            </w:r>
          </w:p>
        </w:tc>
        <w:tc>
          <w:tcPr>
            <w:tcW w:w="1151" w:type="dxa"/>
            <w:tcBorders>
              <w:top w:val="single" w:sz="4" w:space="0" w:color="auto"/>
              <w:left w:val="nil"/>
              <w:bottom w:val="single" w:sz="4" w:space="0" w:color="auto"/>
              <w:right w:val="single" w:sz="4" w:space="0" w:color="auto"/>
            </w:tcBorders>
            <w:vAlign w:val="center"/>
          </w:tcPr>
          <w:p w14:paraId="18A4CE01" w14:textId="3B4521D4" w:rsidR="00620997" w:rsidRPr="00D41179" w:rsidRDefault="00620997" w:rsidP="001479FA">
            <w:pPr>
              <w:pStyle w:val="TableText0"/>
              <w:rPr>
                <w:i/>
                <w:iCs/>
              </w:rPr>
            </w:pPr>
            <w:r w:rsidRPr="00D41179">
              <w:t>$</w:t>
            </w:r>
            <w:r w:rsidR="000E1EB2" w:rsidRPr="000E1EB2">
              <w:rPr>
                <w:sz w:val="2"/>
                <w:highlight w:val="black"/>
              </w:rPr>
              <w:t>redacted content</w:t>
            </w:r>
            <w:r w:rsidR="00895D0A" w:rsidRPr="00D41179">
              <w:rPr>
                <w:vertAlign w:val="superscript"/>
              </w:rPr>
              <w:t>18</w:t>
            </w:r>
          </w:p>
        </w:tc>
        <w:tc>
          <w:tcPr>
            <w:tcW w:w="1150" w:type="dxa"/>
            <w:tcBorders>
              <w:top w:val="single" w:sz="4" w:space="0" w:color="auto"/>
              <w:left w:val="nil"/>
              <w:bottom w:val="single" w:sz="4" w:space="0" w:color="auto"/>
              <w:right w:val="single" w:sz="4" w:space="0" w:color="auto"/>
            </w:tcBorders>
            <w:vAlign w:val="center"/>
          </w:tcPr>
          <w:p w14:paraId="057FCB6B" w14:textId="4D5DDC81" w:rsidR="00620997" w:rsidRPr="00D41179" w:rsidRDefault="00620997" w:rsidP="001479FA">
            <w:pPr>
              <w:pStyle w:val="TableText0"/>
              <w:rPr>
                <w:i/>
                <w:iCs/>
              </w:rPr>
            </w:pPr>
            <w:r w:rsidRPr="00D41179">
              <w:t>$</w:t>
            </w:r>
            <w:r w:rsidR="000E1EB2" w:rsidRPr="000E1EB2">
              <w:rPr>
                <w:sz w:val="2"/>
                <w:highlight w:val="black"/>
              </w:rPr>
              <w:t>redacted content</w:t>
            </w:r>
            <w:r w:rsidR="00895D0A" w:rsidRPr="00D41179">
              <w:rPr>
                <w:vertAlign w:val="superscript"/>
              </w:rPr>
              <w:t>18</w:t>
            </w:r>
          </w:p>
        </w:tc>
        <w:tc>
          <w:tcPr>
            <w:tcW w:w="1151" w:type="dxa"/>
            <w:tcBorders>
              <w:top w:val="single" w:sz="4" w:space="0" w:color="auto"/>
              <w:left w:val="nil"/>
              <w:bottom w:val="single" w:sz="4" w:space="0" w:color="auto"/>
              <w:right w:val="single" w:sz="4" w:space="0" w:color="auto"/>
            </w:tcBorders>
            <w:vAlign w:val="center"/>
          </w:tcPr>
          <w:p w14:paraId="12AB6D30" w14:textId="6A7400F1" w:rsidR="00620997" w:rsidRPr="00D41179" w:rsidRDefault="00620997" w:rsidP="001479FA">
            <w:pPr>
              <w:pStyle w:val="TableText0"/>
              <w:rPr>
                <w:i/>
                <w:iCs/>
              </w:rPr>
            </w:pPr>
            <w:r w:rsidRPr="00D41179">
              <w:t>$</w:t>
            </w:r>
            <w:r w:rsidR="000E1EB2" w:rsidRPr="000E1EB2">
              <w:rPr>
                <w:sz w:val="2"/>
                <w:highlight w:val="black"/>
              </w:rPr>
              <w:t>redacted content</w:t>
            </w:r>
            <w:r w:rsidR="00895D0A" w:rsidRPr="00D41179">
              <w:rPr>
                <w:vertAlign w:val="superscript"/>
              </w:rPr>
              <w:t>18</w:t>
            </w:r>
          </w:p>
        </w:tc>
        <w:tc>
          <w:tcPr>
            <w:tcW w:w="1318" w:type="dxa"/>
            <w:tcBorders>
              <w:top w:val="single" w:sz="4" w:space="0" w:color="auto"/>
              <w:left w:val="nil"/>
              <w:bottom w:val="single" w:sz="4" w:space="0" w:color="auto"/>
              <w:right w:val="single" w:sz="4" w:space="0" w:color="auto"/>
            </w:tcBorders>
            <w:vAlign w:val="center"/>
          </w:tcPr>
          <w:p w14:paraId="55888F72" w14:textId="7AD9FB08" w:rsidR="00620997" w:rsidRPr="00D41179" w:rsidRDefault="00620997" w:rsidP="001479FA">
            <w:pPr>
              <w:pStyle w:val="TableText0"/>
              <w:rPr>
                <w:i/>
                <w:iCs/>
              </w:rPr>
            </w:pPr>
            <w:r w:rsidRPr="00D41179">
              <w:t>$</w:t>
            </w:r>
            <w:r w:rsidR="000E1EB2" w:rsidRPr="000E1EB2">
              <w:rPr>
                <w:sz w:val="2"/>
                <w:highlight w:val="black"/>
              </w:rPr>
              <w:t>redacted content</w:t>
            </w:r>
            <w:r w:rsidR="00C6721E" w:rsidRPr="00D41179">
              <w:rPr>
                <w:vertAlign w:val="superscript"/>
              </w:rPr>
              <w:t>1</w:t>
            </w:r>
            <w:r w:rsidR="00895D0A" w:rsidRPr="00D41179">
              <w:rPr>
                <w:vertAlign w:val="superscript"/>
              </w:rPr>
              <w:t>3</w:t>
            </w:r>
          </w:p>
        </w:tc>
      </w:tr>
    </w:tbl>
    <w:p w14:paraId="38712902" w14:textId="77777777" w:rsidR="00F72209" w:rsidRPr="00D41179" w:rsidRDefault="00F72209" w:rsidP="00F72209">
      <w:pPr>
        <w:pStyle w:val="FooterTableFigure"/>
        <w:rPr>
          <w:rStyle w:val="CommentReference"/>
        </w:rPr>
      </w:pPr>
      <w:r w:rsidRPr="00D41179">
        <w:t>Source: Tables 4-3 &amp; 4-25, pp352 of the submission</w:t>
      </w:r>
    </w:p>
    <w:p w14:paraId="683EFEAD" w14:textId="7BE8C3D0" w:rsidR="00F72209" w:rsidRPr="00D41179" w:rsidRDefault="00F72209" w:rsidP="00F72209">
      <w:pPr>
        <w:pStyle w:val="FooterTableFigure"/>
      </w:pPr>
      <w:r w:rsidRPr="00D41179">
        <w:t>MBS</w:t>
      </w:r>
      <w:r w:rsidR="00BC5F32" w:rsidRPr="00D41179">
        <w:t xml:space="preserve"> = </w:t>
      </w:r>
      <w:r w:rsidRPr="00D41179">
        <w:t>Medicare Benefits Schedule; PBS</w:t>
      </w:r>
      <w:r w:rsidR="00BC5F32" w:rsidRPr="00D41179">
        <w:t xml:space="preserve"> = </w:t>
      </w:r>
      <w:r w:rsidRPr="00D41179">
        <w:t>Pharmaceutical Benefits Schedule; RPBS</w:t>
      </w:r>
      <w:r w:rsidR="00BC5F32" w:rsidRPr="00D41179">
        <w:t xml:space="preserve"> = </w:t>
      </w:r>
      <w:r w:rsidRPr="00D41179">
        <w:t>Repatriation Pharmaceutical Benefits Scheme</w:t>
      </w:r>
    </w:p>
    <w:p w14:paraId="5A4B61B3" w14:textId="157315CC" w:rsidR="008221C9" w:rsidRPr="00D41179" w:rsidRDefault="008221C9" w:rsidP="00BD6604">
      <w:pPr>
        <w:pStyle w:val="FooterTableFigure"/>
        <w:jc w:val="left"/>
        <w:rPr>
          <w:i/>
          <w:iCs/>
        </w:rPr>
      </w:pPr>
      <w:r w:rsidRPr="00D41179">
        <w:t xml:space="preserve">a Includes </w:t>
      </w:r>
      <w:r w:rsidR="00E81053" w:rsidRPr="00D41179">
        <w:t xml:space="preserve">costs/ savings for </w:t>
      </w:r>
      <w:r w:rsidR="00C855C7" w:rsidRPr="00D41179">
        <w:t>emergency visits, hospitalisation</w:t>
      </w:r>
      <w:r w:rsidR="00F24B26" w:rsidRPr="00D41179">
        <w:t>s</w:t>
      </w:r>
      <w:r w:rsidR="00E81053" w:rsidRPr="00D41179">
        <w:t xml:space="preserve"> and </w:t>
      </w:r>
      <w:r w:rsidR="00F24B26" w:rsidRPr="00D41179">
        <w:t xml:space="preserve">pharmacy vaccination </w:t>
      </w:r>
      <w:r w:rsidR="00BD6604" w:rsidRPr="00D41179">
        <w:br/>
      </w:r>
      <w:r w:rsidR="00BD6604" w:rsidRPr="00D41179">
        <w:rPr>
          <w:i/>
          <w:iCs/>
        </w:rPr>
        <w:t xml:space="preserve">The </w:t>
      </w:r>
      <w:r w:rsidR="00BF7440" w:rsidRPr="00D41179">
        <w:rPr>
          <w:i/>
          <w:iCs/>
        </w:rPr>
        <w:t>redacted values correspond to the following ranges:</w:t>
      </w:r>
      <w:r w:rsidR="00BF7440" w:rsidRPr="00D41179">
        <w:rPr>
          <w:i/>
          <w:iCs/>
        </w:rPr>
        <w:br/>
      </w:r>
      <w:r w:rsidR="00BF7440" w:rsidRPr="00D41179">
        <w:rPr>
          <w:i/>
          <w:iCs/>
          <w:vertAlign w:val="superscript"/>
        </w:rPr>
        <w:t>1</w:t>
      </w:r>
      <w:r w:rsidR="00BF7440" w:rsidRPr="00D41179">
        <w:rPr>
          <w:i/>
          <w:iCs/>
        </w:rPr>
        <w:t xml:space="preserve"> 900,000 to &lt; 1,000,000</w:t>
      </w:r>
      <w:r w:rsidR="00BF7440" w:rsidRPr="00D41179">
        <w:rPr>
          <w:i/>
          <w:iCs/>
        </w:rPr>
        <w:br/>
      </w:r>
      <w:r w:rsidR="00BF7440" w:rsidRPr="00D41179">
        <w:rPr>
          <w:i/>
          <w:iCs/>
          <w:vertAlign w:val="superscript"/>
        </w:rPr>
        <w:t>2</w:t>
      </w:r>
      <w:r w:rsidR="00BF7440" w:rsidRPr="00D41179">
        <w:rPr>
          <w:i/>
          <w:iCs/>
        </w:rPr>
        <w:t xml:space="preserve"> 600,000 to &lt; 700,000</w:t>
      </w:r>
      <w:r w:rsidR="00BF7440" w:rsidRPr="00D41179">
        <w:rPr>
          <w:i/>
          <w:iCs/>
        </w:rPr>
        <w:br/>
      </w:r>
      <w:r w:rsidR="00BF7440" w:rsidRPr="00D41179">
        <w:rPr>
          <w:i/>
          <w:iCs/>
          <w:vertAlign w:val="superscript"/>
        </w:rPr>
        <w:t>3</w:t>
      </w:r>
      <w:r w:rsidR="00BF7440" w:rsidRPr="00D41179">
        <w:rPr>
          <w:i/>
          <w:iCs/>
        </w:rPr>
        <w:t xml:space="preserve"> 500,000 to &lt; 600,000</w:t>
      </w:r>
      <w:r w:rsidR="00BF7440" w:rsidRPr="00D41179">
        <w:rPr>
          <w:i/>
          <w:iCs/>
        </w:rPr>
        <w:br/>
      </w:r>
      <w:r w:rsidR="00BF7440" w:rsidRPr="00D41179">
        <w:rPr>
          <w:i/>
          <w:iCs/>
          <w:vertAlign w:val="superscript"/>
        </w:rPr>
        <w:t>4</w:t>
      </w:r>
      <w:r w:rsidR="00BF7440" w:rsidRPr="00D41179">
        <w:rPr>
          <w:i/>
          <w:iCs/>
        </w:rPr>
        <w:t xml:space="preserve"> 400,000 to &lt; 500,000</w:t>
      </w:r>
    </w:p>
    <w:p w14:paraId="1A30B546" w14:textId="53DBE782" w:rsidR="00BF3A3E" w:rsidRPr="00D41179" w:rsidRDefault="00BF3A3E" w:rsidP="00BD6604">
      <w:pPr>
        <w:pStyle w:val="FooterTableFigure"/>
        <w:jc w:val="left"/>
        <w:rPr>
          <w:i/>
          <w:iCs/>
        </w:rPr>
      </w:pPr>
      <w:r w:rsidRPr="00D41179">
        <w:rPr>
          <w:i/>
          <w:iCs/>
          <w:vertAlign w:val="superscript"/>
        </w:rPr>
        <w:t>5</w:t>
      </w:r>
      <w:r w:rsidRPr="00D41179">
        <w:rPr>
          <w:i/>
          <w:iCs/>
        </w:rPr>
        <w:t xml:space="preserve"> 3,000,000 to &lt; 4,000,000</w:t>
      </w:r>
    </w:p>
    <w:p w14:paraId="58B24E6C" w14:textId="77777777" w:rsidR="00673066" w:rsidRPr="00D41179" w:rsidRDefault="00BF3A3E" w:rsidP="00673066">
      <w:pPr>
        <w:pStyle w:val="FooterTableFigure"/>
        <w:jc w:val="left"/>
        <w:rPr>
          <w:i/>
          <w:iCs/>
        </w:rPr>
      </w:pPr>
      <w:r w:rsidRPr="00D41179">
        <w:rPr>
          <w:i/>
          <w:iCs/>
          <w:vertAlign w:val="superscript"/>
        </w:rPr>
        <w:t>6</w:t>
      </w:r>
      <w:r w:rsidRPr="00D41179">
        <w:rPr>
          <w:i/>
          <w:iCs/>
        </w:rPr>
        <w:t xml:space="preserve"> </w:t>
      </w:r>
      <w:r w:rsidR="00673066" w:rsidRPr="00D41179">
        <w:rPr>
          <w:i/>
          <w:iCs/>
        </w:rPr>
        <w:t>&lt; 500</w:t>
      </w:r>
    </w:p>
    <w:p w14:paraId="637CDB7F" w14:textId="481D2A2C" w:rsidR="00673066" w:rsidRPr="00D41179" w:rsidRDefault="00673066" w:rsidP="00BF3A3E">
      <w:pPr>
        <w:pStyle w:val="FooterTableFigure"/>
        <w:jc w:val="left"/>
        <w:rPr>
          <w:i/>
          <w:iCs/>
        </w:rPr>
      </w:pPr>
      <w:r w:rsidRPr="00D41179">
        <w:rPr>
          <w:i/>
          <w:iCs/>
          <w:vertAlign w:val="superscript"/>
        </w:rPr>
        <w:t xml:space="preserve">7 </w:t>
      </w:r>
      <w:r w:rsidR="00BF3A3E" w:rsidRPr="00D41179">
        <w:rPr>
          <w:i/>
          <w:iCs/>
        </w:rPr>
        <w:t>200,000 to &lt; 300,000</w:t>
      </w:r>
      <w:r w:rsidR="00BF3A3E" w:rsidRPr="00D41179">
        <w:rPr>
          <w:i/>
          <w:iCs/>
        </w:rPr>
        <w:br/>
      </w:r>
      <w:r w:rsidRPr="00D41179">
        <w:rPr>
          <w:i/>
          <w:iCs/>
          <w:vertAlign w:val="superscript"/>
        </w:rPr>
        <w:t>8</w:t>
      </w:r>
      <w:r w:rsidR="00BF3A3E" w:rsidRPr="00D41179">
        <w:rPr>
          <w:i/>
          <w:iCs/>
        </w:rPr>
        <w:t xml:space="preserve"> </w:t>
      </w:r>
      <w:r w:rsidRPr="00D41179">
        <w:rPr>
          <w:i/>
          <w:iCs/>
        </w:rPr>
        <w:t>300,000 to &lt; 400,000</w:t>
      </w:r>
    </w:p>
    <w:p w14:paraId="23DD55E4" w14:textId="5994A513" w:rsidR="0005330C" w:rsidRPr="00D41179" w:rsidRDefault="0005330C" w:rsidP="00BF3A3E">
      <w:pPr>
        <w:pStyle w:val="FooterTableFigure"/>
        <w:jc w:val="left"/>
        <w:rPr>
          <w:i/>
          <w:iCs/>
        </w:rPr>
      </w:pPr>
      <w:r w:rsidRPr="00D41179">
        <w:rPr>
          <w:i/>
          <w:iCs/>
          <w:vertAlign w:val="superscript"/>
        </w:rPr>
        <w:t>9</w:t>
      </w:r>
      <w:r w:rsidR="00D41179" w:rsidRPr="00D41179">
        <w:rPr>
          <w:i/>
          <w:iCs/>
          <w:vertAlign w:val="superscript"/>
        </w:rPr>
        <w:t xml:space="preserve"> </w:t>
      </w:r>
      <w:r w:rsidRPr="00D41179">
        <w:rPr>
          <w:i/>
          <w:iCs/>
        </w:rPr>
        <w:t>1,000,000 to &lt; 2,000,000</w:t>
      </w:r>
    </w:p>
    <w:p w14:paraId="4A0C0AC1" w14:textId="1594B70C" w:rsidR="00310BA2" w:rsidRPr="00D41179" w:rsidRDefault="004544B1" w:rsidP="00310BA2">
      <w:pPr>
        <w:pStyle w:val="FooterTableFigure"/>
        <w:jc w:val="left"/>
        <w:rPr>
          <w:i/>
          <w:iCs/>
        </w:rPr>
      </w:pPr>
      <w:r w:rsidRPr="00D41179">
        <w:rPr>
          <w:i/>
          <w:iCs/>
          <w:vertAlign w:val="superscript"/>
        </w:rPr>
        <w:t>10</w:t>
      </w:r>
      <w:r w:rsidR="00203A85" w:rsidRPr="00D41179">
        <w:rPr>
          <w:i/>
          <w:iCs/>
          <w:vertAlign w:val="superscript"/>
        </w:rPr>
        <w:t xml:space="preserve"> </w:t>
      </w:r>
      <w:r w:rsidR="00203A85" w:rsidRPr="00D41179">
        <w:rPr>
          <w:i/>
          <w:iCs/>
        </w:rPr>
        <w:t>100,000 to &lt; 200,000</w:t>
      </w:r>
    </w:p>
    <w:p w14:paraId="232023BF" w14:textId="5BE8E80E" w:rsidR="004544B1" w:rsidRPr="00D41179" w:rsidRDefault="00C70FB2" w:rsidP="00BF3A3E">
      <w:pPr>
        <w:pStyle w:val="FooterTableFigure"/>
        <w:jc w:val="left"/>
        <w:rPr>
          <w:i/>
          <w:iCs/>
        </w:rPr>
      </w:pPr>
      <w:r w:rsidRPr="00D41179">
        <w:rPr>
          <w:i/>
          <w:iCs/>
          <w:vertAlign w:val="superscript"/>
        </w:rPr>
        <w:t>11</w:t>
      </w:r>
      <w:r w:rsidR="00310BA2" w:rsidRPr="00D41179">
        <w:rPr>
          <w:i/>
          <w:iCs/>
        </w:rPr>
        <w:t xml:space="preserve"> 80,000 to &lt; 90,000</w:t>
      </w:r>
      <w:r w:rsidR="00310BA2" w:rsidRPr="00D41179">
        <w:rPr>
          <w:i/>
          <w:iCs/>
        </w:rPr>
        <w:br/>
      </w:r>
      <w:r w:rsidRPr="00D41179">
        <w:rPr>
          <w:i/>
          <w:iCs/>
          <w:vertAlign w:val="superscript"/>
        </w:rPr>
        <w:t>12</w:t>
      </w:r>
      <w:r w:rsidR="00310BA2" w:rsidRPr="00D41179">
        <w:rPr>
          <w:i/>
          <w:iCs/>
        </w:rPr>
        <w:t xml:space="preserve"> 70,000 to &lt; 80,000</w:t>
      </w:r>
      <w:r w:rsidR="00151407" w:rsidRPr="00D41179">
        <w:rPr>
          <w:i/>
          <w:iCs/>
        </w:rPr>
        <w:br/>
      </w:r>
      <w:r w:rsidR="00151407" w:rsidRPr="00D41179">
        <w:rPr>
          <w:i/>
          <w:iCs/>
          <w:vertAlign w:val="superscript"/>
        </w:rPr>
        <w:t>1</w:t>
      </w:r>
      <w:r w:rsidR="003D1E80" w:rsidRPr="00D41179">
        <w:rPr>
          <w:i/>
          <w:iCs/>
          <w:vertAlign w:val="superscript"/>
        </w:rPr>
        <w:t>3</w:t>
      </w:r>
      <w:r w:rsidR="00151407" w:rsidRPr="00D41179">
        <w:rPr>
          <w:i/>
          <w:iCs/>
          <w:vertAlign w:val="superscript"/>
        </w:rPr>
        <w:t xml:space="preserve"> </w:t>
      </w:r>
      <w:r w:rsidR="00151407" w:rsidRPr="00D41179">
        <w:rPr>
          <w:i/>
          <w:iCs/>
        </w:rPr>
        <w:t>$100 million to &lt; $200 million</w:t>
      </w:r>
      <w:r w:rsidR="00151407" w:rsidRPr="00D41179">
        <w:rPr>
          <w:i/>
          <w:iCs/>
        </w:rPr>
        <w:br/>
      </w:r>
      <w:r w:rsidR="00151407" w:rsidRPr="00D41179">
        <w:rPr>
          <w:i/>
          <w:iCs/>
          <w:vertAlign w:val="superscript"/>
        </w:rPr>
        <w:t>1</w:t>
      </w:r>
      <w:r w:rsidR="003D1E80" w:rsidRPr="00D41179">
        <w:rPr>
          <w:i/>
          <w:iCs/>
          <w:vertAlign w:val="superscript"/>
        </w:rPr>
        <w:t>4</w:t>
      </w:r>
      <w:r w:rsidR="00151407" w:rsidRPr="00D41179">
        <w:rPr>
          <w:i/>
          <w:iCs/>
          <w:vertAlign w:val="superscript"/>
        </w:rPr>
        <w:t xml:space="preserve"> </w:t>
      </w:r>
      <w:r w:rsidR="00151407" w:rsidRPr="00D41179">
        <w:rPr>
          <w:i/>
          <w:iCs/>
        </w:rPr>
        <w:t>$</w:t>
      </w:r>
      <w:r w:rsidR="00AD51C5" w:rsidRPr="00D41179">
        <w:rPr>
          <w:i/>
          <w:iCs/>
        </w:rPr>
        <w:t>60 million to &lt; $70 million</w:t>
      </w:r>
      <w:r w:rsidR="00AD51C5" w:rsidRPr="00D41179">
        <w:rPr>
          <w:i/>
          <w:iCs/>
        </w:rPr>
        <w:br/>
      </w:r>
      <w:r w:rsidR="00AD51C5" w:rsidRPr="00D41179">
        <w:rPr>
          <w:i/>
          <w:iCs/>
          <w:vertAlign w:val="superscript"/>
        </w:rPr>
        <w:t>1</w:t>
      </w:r>
      <w:r w:rsidR="003D1E80" w:rsidRPr="00D41179">
        <w:rPr>
          <w:i/>
          <w:iCs/>
          <w:vertAlign w:val="superscript"/>
        </w:rPr>
        <w:t>5</w:t>
      </w:r>
      <w:r w:rsidR="00AD51C5" w:rsidRPr="00D41179">
        <w:rPr>
          <w:i/>
          <w:iCs/>
          <w:vertAlign w:val="superscript"/>
        </w:rPr>
        <w:t xml:space="preserve"> </w:t>
      </w:r>
      <w:r w:rsidR="00AD51C5" w:rsidRPr="00D41179">
        <w:rPr>
          <w:i/>
          <w:iCs/>
        </w:rPr>
        <w:t>$30 million to &lt; $40 million</w:t>
      </w:r>
    </w:p>
    <w:p w14:paraId="4ED2FCDC" w14:textId="7C0E87D0" w:rsidR="00A42DB5" w:rsidRPr="00D41179" w:rsidRDefault="00A42DB5" w:rsidP="00BF3A3E">
      <w:pPr>
        <w:pStyle w:val="FooterTableFigure"/>
        <w:jc w:val="left"/>
        <w:rPr>
          <w:i/>
          <w:iCs/>
        </w:rPr>
      </w:pPr>
      <w:r w:rsidRPr="00D41179">
        <w:rPr>
          <w:i/>
          <w:iCs/>
          <w:vertAlign w:val="superscript"/>
        </w:rPr>
        <w:t>1</w:t>
      </w:r>
      <w:r w:rsidR="003D1E80" w:rsidRPr="00D41179">
        <w:rPr>
          <w:i/>
          <w:iCs/>
          <w:vertAlign w:val="superscript"/>
        </w:rPr>
        <w:t>6</w:t>
      </w:r>
      <w:r w:rsidRPr="00D41179">
        <w:rPr>
          <w:i/>
          <w:iCs/>
          <w:vertAlign w:val="superscript"/>
        </w:rPr>
        <w:t xml:space="preserve"> </w:t>
      </w:r>
      <w:r w:rsidRPr="00D41179">
        <w:rPr>
          <w:i/>
          <w:iCs/>
        </w:rPr>
        <w:t>$10 million to &lt; $20 million</w:t>
      </w:r>
      <w:r w:rsidRPr="00D41179">
        <w:rPr>
          <w:i/>
          <w:iCs/>
        </w:rPr>
        <w:br/>
      </w:r>
      <w:r w:rsidRPr="00D41179">
        <w:rPr>
          <w:i/>
          <w:iCs/>
          <w:vertAlign w:val="superscript"/>
        </w:rPr>
        <w:t>1</w:t>
      </w:r>
      <w:r w:rsidR="003D1E80" w:rsidRPr="00D41179">
        <w:rPr>
          <w:i/>
          <w:iCs/>
          <w:vertAlign w:val="superscript"/>
        </w:rPr>
        <w:t>7</w:t>
      </w:r>
      <w:r w:rsidRPr="00D41179">
        <w:rPr>
          <w:i/>
          <w:iCs/>
          <w:vertAlign w:val="superscript"/>
        </w:rPr>
        <w:t xml:space="preserve"> </w:t>
      </w:r>
      <w:r w:rsidRPr="00D41179">
        <w:rPr>
          <w:i/>
          <w:iCs/>
        </w:rPr>
        <w:t>$200 million to &lt; $300 million</w:t>
      </w:r>
    </w:p>
    <w:p w14:paraId="42E91C35" w14:textId="77777777" w:rsidR="005A45EC" w:rsidRPr="00D41179" w:rsidRDefault="00A42DB5" w:rsidP="00BD6604">
      <w:pPr>
        <w:pStyle w:val="FooterTableFigure"/>
        <w:jc w:val="left"/>
        <w:rPr>
          <w:i/>
          <w:iCs/>
        </w:rPr>
      </w:pPr>
      <w:r w:rsidRPr="00D41179">
        <w:rPr>
          <w:i/>
          <w:iCs/>
          <w:vertAlign w:val="superscript"/>
        </w:rPr>
        <w:t>1</w:t>
      </w:r>
      <w:r w:rsidR="003D1E80" w:rsidRPr="00D41179">
        <w:rPr>
          <w:i/>
          <w:iCs/>
          <w:vertAlign w:val="superscript"/>
        </w:rPr>
        <w:t>8</w:t>
      </w:r>
      <w:r w:rsidRPr="00D41179">
        <w:rPr>
          <w:i/>
          <w:iCs/>
          <w:vertAlign w:val="superscript"/>
        </w:rPr>
        <w:t xml:space="preserve"> </w:t>
      </w:r>
      <w:r w:rsidR="00F444EA" w:rsidRPr="00D41179">
        <w:rPr>
          <w:i/>
          <w:iCs/>
        </w:rPr>
        <w:t>$0 to &lt; $10 million</w:t>
      </w:r>
    </w:p>
    <w:p w14:paraId="33EA1D9C" w14:textId="77777777" w:rsidR="003867E8" w:rsidRPr="00D41179" w:rsidRDefault="00A42DB5" w:rsidP="00BD6604">
      <w:pPr>
        <w:pStyle w:val="FooterTableFigure"/>
        <w:jc w:val="left"/>
        <w:rPr>
          <w:i/>
          <w:iCs/>
        </w:rPr>
      </w:pPr>
      <w:r w:rsidRPr="00D41179">
        <w:rPr>
          <w:i/>
          <w:iCs/>
          <w:vertAlign w:val="superscript"/>
        </w:rPr>
        <w:t>1</w:t>
      </w:r>
      <w:r w:rsidR="003D1E80" w:rsidRPr="00D41179">
        <w:rPr>
          <w:i/>
          <w:iCs/>
          <w:vertAlign w:val="superscript"/>
        </w:rPr>
        <w:t>9</w:t>
      </w:r>
      <w:r w:rsidRPr="00D41179">
        <w:rPr>
          <w:i/>
          <w:iCs/>
        </w:rPr>
        <w:t xml:space="preserve"> $20 million to &lt; $30 million</w:t>
      </w:r>
      <w:r w:rsidRPr="00D41179">
        <w:rPr>
          <w:i/>
          <w:iCs/>
        </w:rPr>
        <w:br/>
      </w:r>
      <w:r w:rsidR="002879C0" w:rsidRPr="00D41179">
        <w:rPr>
          <w:i/>
          <w:iCs/>
          <w:vertAlign w:val="superscript"/>
        </w:rPr>
        <w:t>20</w:t>
      </w:r>
      <w:r w:rsidR="00D01669" w:rsidRPr="00D41179">
        <w:rPr>
          <w:i/>
          <w:iCs/>
          <w:vertAlign w:val="superscript"/>
        </w:rPr>
        <w:t xml:space="preserve"> </w:t>
      </w:r>
      <w:r w:rsidR="00D01669" w:rsidRPr="00D41179">
        <w:rPr>
          <w:i/>
          <w:iCs/>
        </w:rPr>
        <w:t>2,000,000 to &lt; 3,000,000</w:t>
      </w:r>
      <w:r w:rsidR="00210D78" w:rsidRPr="00D41179">
        <w:rPr>
          <w:i/>
          <w:iCs/>
        </w:rPr>
        <w:br/>
      </w:r>
      <w:r w:rsidR="002879C0" w:rsidRPr="00D41179">
        <w:rPr>
          <w:i/>
          <w:iCs/>
          <w:vertAlign w:val="superscript"/>
        </w:rPr>
        <w:t>21</w:t>
      </w:r>
      <w:r w:rsidR="00210D78" w:rsidRPr="00D41179">
        <w:rPr>
          <w:i/>
          <w:iCs/>
          <w:vertAlign w:val="superscript"/>
        </w:rPr>
        <w:t xml:space="preserve"> </w:t>
      </w:r>
      <w:r w:rsidR="0038117F" w:rsidRPr="00D41179">
        <w:rPr>
          <w:i/>
          <w:iCs/>
        </w:rPr>
        <w:t>700,000 to &lt; 800,000</w:t>
      </w:r>
      <w:r w:rsidR="00210D78" w:rsidRPr="00D41179">
        <w:rPr>
          <w:i/>
          <w:iCs/>
        </w:rPr>
        <w:br/>
      </w:r>
      <w:r w:rsidR="002879C0" w:rsidRPr="00D41179">
        <w:rPr>
          <w:i/>
          <w:iCs/>
          <w:vertAlign w:val="superscript"/>
        </w:rPr>
        <w:t>22</w:t>
      </w:r>
      <w:r w:rsidR="00210D78" w:rsidRPr="00D41179">
        <w:rPr>
          <w:i/>
          <w:iCs/>
          <w:vertAlign w:val="superscript"/>
        </w:rPr>
        <w:t xml:space="preserve"> </w:t>
      </w:r>
      <w:r w:rsidR="003867E8" w:rsidRPr="00D41179">
        <w:rPr>
          <w:i/>
          <w:iCs/>
        </w:rPr>
        <w:t>60,000 to &lt; 70,000</w:t>
      </w:r>
    </w:p>
    <w:p w14:paraId="2331F806" w14:textId="6261E4B4" w:rsidR="003867E8" w:rsidRPr="00D41179" w:rsidRDefault="00210D78" w:rsidP="00BD6604">
      <w:pPr>
        <w:pStyle w:val="FooterTableFigure"/>
        <w:jc w:val="left"/>
        <w:rPr>
          <w:i/>
          <w:iCs/>
        </w:rPr>
      </w:pPr>
      <w:r w:rsidRPr="00D41179">
        <w:rPr>
          <w:i/>
          <w:iCs/>
          <w:vertAlign w:val="superscript"/>
        </w:rPr>
        <w:t>2</w:t>
      </w:r>
      <w:r w:rsidR="002879C0" w:rsidRPr="00D41179">
        <w:rPr>
          <w:i/>
          <w:iCs/>
          <w:vertAlign w:val="superscript"/>
        </w:rPr>
        <w:t>3</w:t>
      </w:r>
      <w:r w:rsidRPr="00D41179">
        <w:rPr>
          <w:i/>
          <w:iCs/>
        </w:rPr>
        <w:t xml:space="preserve"> </w:t>
      </w:r>
      <w:r w:rsidR="003867E8" w:rsidRPr="00D41179">
        <w:rPr>
          <w:i/>
          <w:iCs/>
        </w:rPr>
        <w:t>50,000 to &lt;</w:t>
      </w:r>
      <w:r w:rsidR="003867E8" w:rsidRPr="00D41179">
        <w:rPr>
          <w:i/>
          <w:iCs/>
          <w:vertAlign w:val="superscript"/>
        </w:rPr>
        <w:t xml:space="preserve"> </w:t>
      </w:r>
      <w:r w:rsidR="003867E8" w:rsidRPr="00D41179">
        <w:rPr>
          <w:i/>
          <w:iCs/>
        </w:rPr>
        <w:t xml:space="preserve">60,000 </w:t>
      </w:r>
    </w:p>
    <w:p w14:paraId="03D26846" w14:textId="7B0E9DC0" w:rsidR="00C479F1" w:rsidRPr="00D41179" w:rsidRDefault="00210D78" w:rsidP="00BD6604">
      <w:pPr>
        <w:pStyle w:val="FooterTableFigure"/>
        <w:jc w:val="left"/>
        <w:rPr>
          <w:i/>
          <w:iCs/>
        </w:rPr>
      </w:pPr>
      <w:r w:rsidRPr="00D41179">
        <w:rPr>
          <w:i/>
          <w:iCs/>
          <w:vertAlign w:val="superscript"/>
        </w:rPr>
        <w:lastRenderedPageBreak/>
        <w:t>2</w:t>
      </w:r>
      <w:r w:rsidR="002879C0" w:rsidRPr="00D41179">
        <w:rPr>
          <w:i/>
          <w:iCs/>
          <w:vertAlign w:val="superscript"/>
        </w:rPr>
        <w:t>4</w:t>
      </w:r>
      <w:r w:rsidR="00C479F1" w:rsidRPr="00D41179">
        <w:rPr>
          <w:i/>
          <w:iCs/>
          <w:vertAlign w:val="superscript"/>
        </w:rPr>
        <w:t xml:space="preserve"> </w:t>
      </w:r>
      <w:r w:rsidR="00C479F1" w:rsidRPr="00D41179">
        <w:rPr>
          <w:i/>
          <w:iCs/>
        </w:rPr>
        <w:t>$80 million to &lt; $90 million</w:t>
      </w:r>
      <w:r w:rsidRPr="00D41179">
        <w:rPr>
          <w:i/>
          <w:iCs/>
        </w:rPr>
        <w:br/>
      </w:r>
      <w:r w:rsidRPr="00D41179">
        <w:rPr>
          <w:i/>
          <w:iCs/>
          <w:vertAlign w:val="superscript"/>
        </w:rPr>
        <w:t>2</w:t>
      </w:r>
      <w:r w:rsidR="002879C0" w:rsidRPr="00D41179">
        <w:rPr>
          <w:i/>
          <w:iCs/>
          <w:vertAlign w:val="superscript"/>
        </w:rPr>
        <w:t>5</w:t>
      </w:r>
      <w:r w:rsidRPr="00D41179">
        <w:rPr>
          <w:i/>
          <w:iCs/>
        </w:rPr>
        <w:t xml:space="preserve"> </w:t>
      </w:r>
      <w:r w:rsidR="00C479F1" w:rsidRPr="00D41179">
        <w:rPr>
          <w:i/>
          <w:iCs/>
        </w:rPr>
        <w:t xml:space="preserve">$40 million to &lt; $50 million </w:t>
      </w:r>
    </w:p>
    <w:p w14:paraId="21ED3C7D" w14:textId="2536587C" w:rsidR="007C5D56" w:rsidRPr="00D41179" w:rsidRDefault="00C63786" w:rsidP="00BD6604">
      <w:pPr>
        <w:pStyle w:val="FooterTableFigure"/>
        <w:jc w:val="left"/>
        <w:rPr>
          <w:i/>
          <w:iCs/>
        </w:rPr>
      </w:pPr>
      <w:r w:rsidRPr="00D41179">
        <w:rPr>
          <w:i/>
          <w:iCs/>
          <w:vertAlign w:val="superscript"/>
        </w:rPr>
        <w:t>2</w:t>
      </w:r>
      <w:r w:rsidR="002879C0" w:rsidRPr="00D41179">
        <w:rPr>
          <w:i/>
          <w:iCs/>
          <w:vertAlign w:val="superscript"/>
        </w:rPr>
        <w:t>6</w:t>
      </w:r>
      <w:r w:rsidRPr="00D41179">
        <w:rPr>
          <w:i/>
          <w:iCs/>
        </w:rPr>
        <w:t xml:space="preserve"> </w:t>
      </w:r>
      <w:r w:rsidR="007C5D56" w:rsidRPr="00D41179">
        <w:rPr>
          <w:i/>
          <w:iCs/>
        </w:rPr>
        <w:t xml:space="preserve">$20 million to &lt; $30 million </w:t>
      </w:r>
    </w:p>
    <w:p w14:paraId="28F855C7" w14:textId="2452D707" w:rsidR="00D473EC" w:rsidRDefault="009531B0" w:rsidP="00BD6604">
      <w:pPr>
        <w:pStyle w:val="FooterTableFigure"/>
        <w:jc w:val="left"/>
        <w:rPr>
          <w:i/>
          <w:iCs/>
        </w:rPr>
      </w:pPr>
      <w:r w:rsidRPr="00D41179">
        <w:rPr>
          <w:i/>
          <w:iCs/>
          <w:vertAlign w:val="superscript"/>
        </w:rPr>
        <w:t xml:space="preserve">27 </w:t>
      </w:r>
      <w:r w:rsidR="00C63786" w:rsidRPr="00D41179">
        <w:rPr>
          <w:i/>
          <w:iCs/>
        </w:rPr>
        <w:t>$90 million to &lt; $100 million</w:t>
      </w:r>
    </w:p>
    <w:p w14:paraId="2073C711" w14:textId="02CCF6FF" w:rsidR="00227DB6" w:rsidRPr="00C944DB" w:rsidRDefault="00214AFF" w:rsidP="00BD6604">
      <w:pPr>
        <w:pStyle w:val="FooterTableFigure"/>
        <w:jc w:val="left"/>
        <w:rPr>
          <w:i/>
          <w:iCs/>
        </w:rPr>
      </w:pPr>
      <w:r>
        <w:rPr>
          <w:i/>
          <w:iCs/>
          <w:vertAlign w:val="superscript"/>
        </w:rPr>
        <w:t>28</w:t>
      </w:r>
      <w:r w:rsidR="00C944DB">
        <w:rPr>
          <w:i/>
          <w:iCs/>
        </w:rPr>
        <w:t xml:space="preserve"> net cost saving </w:t>
      </w:r>
    </w:p>
    <w:p w14:paraId="068B988E" w14:textId="5A6F71FD" w:rsidR="00F72209" w:rsidRPr="00D41179" w:rsidRDefault="00F72209" w:rsidP="00A64F5D">
      <w:pPr>
        <w:numPr>
          <w:ilvl w:val="1"/>
          <w:numId w:val="8"/>
        </w:numPr>
        <w:spacing w:before="60" w:after="60"/>
        <w:ind w:left="709"/>
        <w:rPr>
          <w:rFonts w:asciiTheme="minorHAnsi" w:eastAsiaTheme="minorHAnsi" w:hAnsiTheme="minorHAnsi" w:cstheme="minorBidi"/>
          <w:szCs w:val="22"/>
        </w:rPr>
      </w:pPr>
      <w:r w:rsidRPr="00D41179">
        <w:rPr>
          <w:rFonts w:asciiTheme="minorHAnsi" w:eastAsiaTheme="minorHAnsi" w:hAnsiTheme="minorHAnsi" w:cstheme="minorBidi"/>
          <w:szCs w:val="22"/>
        </w:rPr>
        <w:t>The total cost to the NIP of listing RZV for non-Indigenous adults aged 60-64 was estimated to be $</w:t>
      </w:r>
      <w:r w:rsidR="00A51FC9" w:rsidRPr="00D41179">
        <w:rPr>
          <w:rFonts w:asciiTheme="minorHAnsi" w:eastAsiaTheme="minorHAnsi" w:hAnsiTheme="minorHAnsi" w:cstheme="minorBidi"/>
          <w:szCs w:val="22"/>
        </w:rPr>
        <w:t>120 million to &lt; $130 million</w:t>
      </w:r>
      <w:r w:rsidRPr="00D41179">
        <w:rPr>
          <w:rFonts w:asciiTheme="minorHAnsi" w:eastAsiaTheme="minorHAnsi" w:hAnsiTheme="minorHAnsi" w:cstheme="minorBidi"/>
          <w:szCs w:val="22"/>
        </w:rPr>
        <w:t xml:space="preserve"> in Year 1 decreasing to $</w:t>
      </w:r>
      <w:r w:rsidR="00A51FC9" w:rsidRPr="00D41179">
        <w:rPr>
          <w:rFonts w:asciiTheme="minorHAnsi" w:eastAsiaTheme="minorHAnsi" w:hAnsiTheme="minorHAnsi" w:cstheme="minorBidi"/>
          <w:szCs w:val="22"/>
        </w:rPr>
        <w:t>10 million to &lt; $20 million</w:t>
      </w:r>
      <w:r w:rsidRPr="00D41179">
        <w:rPr>
          <w:rFonts w:asciiTheme="minorHAnsi" w:eastAsiaTheme="minorHAnsi" w:hAnsiTheme="minorHAnsi" w:cstheme="minorBidi"/>
          <w:szCs w:val="22"/>
        </w:rPr>
        <w:t xml:space="preserve"> in Year 6, and a total cost of $</w:t>
      </w:r>
      <w:r w:rsidR="00A51FC9" w:rsidRPr="00D41179">
        <w:rPr>
          <w:rFonts w:asciiTheme="minorHAnsi" w:eastAsiaTheme="minorHAnsi" w:hAnsiTheme="minorHAnsi" w:cstheme="minorBidi"/>
          <w:szCs w:val="22"/>
        </w:rPr>
        <w:t>200 million to 300 million</w:t>
      </w:r>
      <w:r w:rsidRPr="00D41179">
        <w:rPr>
          <w:rFonts w:asciiTheme="minorHAnsi" w:eastAsiaTheme="minorHAnsi" w:hAnsiTheme="minorHAnsi" w:cstheme="minorBidi"/>
          <w:szCs w:val="22"/>
        </w:rPr>
        <w:t>. These estimates are uncertain for several reasons:</w:t>
      </w:r>
    </w:p>
    <w:p w14:paraId="34682F3E" w14:textId="2DE049E9" w:rsidR="00F72209" w:rsidRPr="00D41179" w:rsidRDefault="00F72209" w:rsidP="00A64F5D">
      <w:pPr>
        <w:numPr>
          <w:ilvl w:val="0"/>
          <w:numId w:val="7"/>
        </w:numPr>
        <w:spacing w:after="120"/>
        <w:ind w:left="785"/>
        <w:rPr>
          <w:rFonts w:asciiTheme="minorHAnsi" w:hAnsiTheme="minorHAnsi"/>
          <w:snapToGrid w:val="0"/>
        </w:rPr>
      </w:pPr>
      <w:r w:rsidRPr="00D41179">
        <w:rPr>
          <w:rFonts w:asciiTheme="minorHAnsi" w:hAnsiTheme="minorHAnsi"/>
          <w:snapToGrid w:val="0"/>
        </w:rPr>
        <w:t>The absolute growth in uptake rate for non-Indigenous adults aged ≥65 was predicted for years 1-2 based on extrapolation using ordinary least squares regression of AIR data since NIP listing November 2023 (39.2% in May 2025 extrapolated to 40.4% for 1</w:t>
      </w:r>
      <w:r w:rsidRPr="00D41179">
        <w:rPr>
          <w:rFonts w:asciiTheme="minorHAnsi" w:hAnsiTheme="minorHAnsi"/>
          <w:snapToGrid w:val="0"/>
          <w:vertAlign w:val="superscript"/>
        </w:rPr>
        <w:t>st</w:t>
      </w:r>
      <w:r w:rsidRPr="00D41179">
        <w:rPr>
          <w:rFonts w:asciiTheme="minorHAnsi" w:hAnsiTheme="minorHAnsi"/>
          <w:snapToGrid w:val="0"/>
        </w:rPr>
        <w:t xml:space="preserve"> Jan 2026) for over 65s. For years 3-6 a relative growth rate assumption of 50% was applied which the submission reported aligned with UK data on </w:t>
      </w:r>
      <w:r w:rsidRPr="00D41179">
        <w:rPr>
          <w:rFonts w:asciiTheme="minorHAnsi" w:eastAsiaTheme="majorEastAsia" w:hAnsiTheme="minorHAnsi"/>
          <w:snapToGrid w:val="0"/>
        </w:rPr>
        <w:t>HZ vaccine coverage for over 70s by the end of June</w:t>
      </w:r>
      <w:r w:rsidRPr="00D41179">
        <w:rPr>
          <w:rFonts w:asciiTheme="minorHAnsi" w:hAnsiTheme="minorHAnsi"/>
          <w:snapToGrid w:val="0"/>
        </w:rPr>
        <w:t xml:space="preserve"> </w:t>
      </w:r>
      <w:r w:rsidRPr="00D41179">
        <w:rPr>
          <w:rFonts w:asciiTheme="minorHAnsi" w:eastAsiaTheme="majorEastAsia" w:hAnsiTheme="minorHAnsi"/>
          <w:snapToGrid w:val="0"/>
        </w:rPr>
        <w:t xml:space="preserve">2023 (UK Health Security Agency, 2024b). ATAGI </w:t>
      </w:r>
      <w:r w:rsidR="00B3232F" w:rsidRPr="00D41179">
        <w:rPr>
          <w:rFonts w:asciiTheme="minorHAnsi" w:eastAsiaTheme="majorEastAsia" w:hAnsiTheme="minorHAnsi"/>
          <w:snapToGrid w:val="0"/>
        </w:rPr>
        <w:t xml:space="preserve">considered </w:t>
      </w:r>
      <w:r w:rsidRPr="00D41179">
        <w:rPr>
          <w:rFonts w:asciiTheme="minorHAnsi" w:eastAsiaTheme="majorEastAsia" w:hAnsiTheme="minorHAnsi"/>
          <w:snapToGrid w:val="0"/>
        </w:rPr>
        <w:t>that UK data would likely overestimate vaccine uptake as it is from an older cohort who are likely to have more contact with primary providers and for whom vaccination is likely to be seen as a higher priority, and furthermore the UK health system is different to Australia’s ( ATAGI pre-PBAC advice, April 2025).</w:t>
      </w:r>
      <w:r w:rsidR="00B4057C" w:rsidRPr="00D41179">
        <w:rPr>
          <w:rFonts w:asciiTheme="minorHAnsi" w:eastAsiaTheme="majorEastAsia" w:hAnsiTheme="minorHAnsi"/>
          <w:snapToGrid w:val="0"/>
        </w:rPr>
        <w:t xml:space="preserve"> The PSCR provided revised financials using AIR data to </w:t>
      </w:r>
      <w:r w:rsidR="00A64EE3" w:rsidRPr="00D41179">
        <w:rPr>
          <w:rFonts w:asciiTheme="minorHAnsi" w:eastAsiaTheme="majorEastAsia" w:hAnsiTheme="minorHAnsi"/>
          <w:snapToGrid w:val="0"/>
        </w:rPr>
        <w:t>2 September 2025</w:t>
      </w:r>
      <w:r w:rsidR="00307FC8" w:rsidRPr="00D41179">
        <w:rPr>
          <w:rFonts w:asciiTheme="minorHAnsi" w:eastAsiaTheme="majorEastAsia" w:hAnsiTheme="minorHAnsi"/>
          <w:snapToGrid w:val="0"/>
        </w:rPr>
        <w:t xml:space="preserve"> to estimate uptake in individuals </w:t>
      </w:r>
      <w:r w:rsidR="00FC4620" w:rsidRPr="00D41179">
        <w:rPr>
          <w:rFonts w:asciiTheme="minorHAnsi" w:eastAsiaTheme="majorEastAsia" w:hAnsiTheme="minorHAnsi" w:cstheme="minorHAnsi"/>
          <w:snapToGrid w:val="0"/>
        </w:rPr>
        <w:t>≥</w:t>
      </w:r>
      <w:r w:rsidR="00FC4620" w:rsidRPr="00D41179">
        <w:rPr>
          <w:rFonts w:asciiTheme="minorHAnsi" w:eastAsiaTheme="majorEastAsia" w:hAnsiTheme="minorHAnsi"/>
          <w:snapToGrid w:val="0"/>
        </w:rPr>
        <w:t xml:space="preserve"> 65 YOA</w:t>
      </w:r>
      <w:r w:rsidR="00D93DB5" w:rsidRPr="00D41179">
        <w:rPr>
          <w:rFonts w:asciiTheme="minorHAnsi" w:eastAsiaTheme="majorEastAsia" w:hAnsiTheme="minorHAnsi"/>
          <w:snapToGrid w:val="0"/>
        </w:rPr>
        <w:t xml:space="preserve"> (based on an exponential model fitted to monthly data)</w:t>
      </w:r>
      <w:r w:rsidR="00B4057C" w:rsidRPr="00D41179">
        <w:rPr>
          <w:rFonts w:asciiTheme="minorHAnsi" w:eastAsiaTheme="majorEastAsia" w:hAnsiTheme="minorHAnsi"/>
          <w:snapToGrid w:val="0"/>
        </w:rPr>
        <w:t xml:space="preserve">. </w:t>
      </w:r>
      <w:r w:rsidR="00307FC8" w:rsidRPr="00D41179">
        <w:rPr>
          <w:rFonts w:asciiTheme="minorHAnsi" w:eastAsiaTheme="majorEastAsia" w:hAnsiTheme="minorHAnsi"/>
          <w:snapToGrid w:val="0"/>
        </w:rPr>
        <w:t xml:space="preserve">The </w:t>
      </w:r>
      <w:r w:rsidR="00FC4620" w:rsidRPr="00D41179">
        <w:rPr>
          <w:rFonts w:asciiTheme="minorHAnsi" w:eastAsiaTheme="majorEastAsia" w:hAnsiTheme="minorHAnsi"/>
          <w:snapToGrid w:val="0"/>
        </w:rPr>
        <w:t>coverage for individuals</w:t>
      </w:r>
      <w:r w:rsidR="00307FC8" w:rsidRPr="00D41179">
        <w:rPr>
          <w:rFonts w:asciiTheme="minorHAnsi" w:eastAsiaTheme="majorEastAsia" w:hAnsiTheme="minorHAnsi"/>
          <w:snapToGrid w:val="0"/>
        </w:rPr>
        <w:t xml:space="preserve"> 60-64 YOA was assumed to be the same as predicted for ≥65 YOA with 1) a 21.6% reduction to account for lower uptake in the 65-69 vs ≥65 YOA cohort (42.5% vs 54.2%</w:t>
      </w:r>
      <w:r w:rsidR="007922BA" w:rsidRPr="00D41179">
        <w:rPr>
          <w:rFonts w:asciiTheme="minorHAnsi" w:eastAsiaTheme="majorEastAsia" w:hAnsiTheme="minorHAnsi"/>
          <w:snapToGrid w:val="0"/>
        </w:rPr>
        <w:t>, based on September 2025 data</w:t>
      </w:r>
      <w:r w:rsidR="00307FC8" w:rsidRPr="00D41179">
        <w:rPr>
          <w:rFonts w:asciiTheme="minorHAnsi" w:eastAsiaTheme="majorEastAsia" w:hAnsiTheme="minorHAnsi"/>
          <w:snapToGrid w:val="0"/>
        </w:rPr>
        <w:t>), and 2) another 20% reduction to account for predicted lower coverage in the 60-64 vs 65-69 YOA cohort.</w:t>
      </w:r>
      <w:r w:rsidR="00307FC8" w:rsidRPr="00D41179">
        <w:rPr>
          <w:rFonts w:asciiTheme="minorHAnsi" w:eastAsiaTheme="majorEastAsia" w:hAnsiTheme="minorHAnsi"/>
          <w:i/>
          <w:iCs/>
          <w:snapToGrid w:val="0"/>
        </w:rPr>
        <w:t xml:space="preserve"> </w:t>
      </w:r>
    </w:p>
    <w:p w14:paraId="1BE92515" w14:textId="2D5223E7" w:rsidR="00F72209" w:rsidRPr="00D41179" w:rsidRDefault="00F72209" w:rsidP="00A64F5D">
      <w:pPr>
        <w:numPr>
          <w:ilvl w:val="0"/>
          <w:numId w:val="7"/>
        </w:numPr>
        <w:spacing w:after="120"/>
        <w:ind w:left="785"/>
        <w:rPr>
          <w:rFonts w:asciiTheme="minorHAnsi" w:hAnsiTheme="minorHAnsi"/>
          <w:snapToGrid w:val="0"/>
        </w:rPr>
      </w:pPr>
      <w:r w:rsidRPr="00D41179">
        <w:rPr>
          <w:rFonts w:asciiTheme="minorHAnsi" w:hAnsiTheme="minorHAnsi"/>
          <w:snapToGrid w:val="0"/>
          <w:lang w:val="en-GB"/>
        </w:rPr>
        <w:t xml:space="preserve">Vaccine uptake rates in non-Indigenous adults aged 60-64 were assumed to be 15% lower than those aged ≥65. This is higher that the ATAGI pre-PBAC advice which reported that a base case which applied a 20% reduction relative to ≥65 (with sensitivity analyses at 15% and 20%) was reasonable (ATAGI pre-PBAC advice, April 2025). </w:t>
      </w:r>
      <w:r w:rsidR="00B4057C" w:rsidRPr="00D41179">
        <w:rPr>
          <w:rFonts w:asciiTheme="minorHAnsi" w:hAnsiTheme="minorHAnsi"/>
          <w:snapToGrid w:val="0"/>
          <w:lang w:val="en-GB"/>
        </w:rPr>
        <w:t>The PSCR provided updated financials assuming a 20% relative reduction.</w:t>
      </w:r>
      <w:r w:rsidRPr="00D41179">
        <w:rPr>
          <w:rFonts w:asciiTheme="minorHAnsi" w:hAnsiTheme="minorHAnsi"/>
          <w:snapToGrid w:val="0"/>
          <w:lang w:val="en-GB"/>
        </w:rPr>
        <w:t xml:space="preserve"> </w:t>
      </w:r>
    </w:p>
    <w:p w14:paraId="5A405C03" w14:textId="6151B206" w:rsidR="00F72209" w:rsidRPr="00D41179" w:rsidRDefault="00F72209" w:rsidP="00A64F5D">
      <w:pPr>
        <w:numPr>
          <w:ilvl w:val="0"/>
          <w:numId w:val="7"/>
        </w:numPr>
        <w:spacing w:after="120"/>
        <w:ind w:left="785"/>
        <w:rPr>
          <w:rFonts w:asciiTheme="minorHAnsi" w:hAnsiTheme="minorHAnsi"/>
          <w:iCs/>
          <w:snapToGrid w:val="0"/>
        </w:rPr>
      </w:pPr>
      <w:r w:rsidRPr="00D41179">
        <w:rPr>
          <w:rFonts w:asciiTheme="minorHAnsi" w:hAnsiTheme="minorHAnsi"/>
          <w:snapToGrid w:val="0"/>
        </w:rPr>
        <w:t>Second dose compliance was assumed to be 82% in both the 60-64 YOA cohort and those ≥65. This rate was based on the midpoint of 12-month series completion rates reported across post-marketing studies in Canada and the USA</w:t>
      </w:r>
      <w:r w:rsidR="000B0B3B" w:rsidRPr="00D41179">
        <w:rPr>
          <w:rFonts w:asciiTheme="minorHAnsi" w:hAnsiTheme="minorHAnsi"/>
          <w:iCs/>
          <w:snapToGrid w:val="0"/>
        </w:rPr>
        <w:t xml:space="preserve"> </w:t>
      </w:r>
      <w:r w:rsidR="00801881" w:rsidRPr="00D41179">
        <w:rPr>
          <w:rFonts w:asciiTheme="minorHAnsi" w:hAnsiTheme="minorHAnsi"/>
          <w:iCs/>
          <w:snapToGrid w:val="0"/>
        </w:rPr>
        <w:t xml:space="preserve">The PSCR provided updated financials assuming second dose compliance of 80.3% in the </w:t>
      </w:r>
      <w:r w:rsidR="00155FE1" w:rsidRPr="00D41179">
        <w:rPr>
          <w:rFonts w:asciiTheme="minorHAnsi" w:hAnsiTheme="minorHAnsi"/>
          <w:iCs/>
          <w:snapToGrid w:val="0"/>
        </w:rPr>
        <w:t xml:space="preserve">60 to 64 YOA cohort. </w:t>
      </w:r>
    </w:p>
    <w:p w14:paraId="0E8399EA" w14:textId="6A33AA03" w:rsidR="00F02CB6" w:rsidRPr="00D41179" w:rsidRDefault="00F02CB6" w:rsidP="00A64F5D">
      <w:pPr>
        <w:numPr>
          <w:ilvl w:val="1"/>
          <w:numId w:val="8"/>
        </w:numPr>
        <w:spacing w:before="60" w:after="60"/>
        <w:ind w:left="709"/>
        <w:rPr>
          <w:rFonts w:asciiTheme="minorHAnsi" w:eastAsiaTheme="minorHAnsi" w:hAnsiTheme="minorHAnsi" w:cstheme="minorBidi"/>
          <w:szCs w:val="22"/>
        </w:rPr>
      </w:pPr>
      <w:bookmarkStart w:id="71" w:name="_Ref211778626"/>
      <w:r w:rsidRPr="00D41179">
        <w:rPr>
          <w:rFonts w:asciiTheme="minorHAnsi" w:eastAsiaTheme="minorHAnsi" w:hAnsiTheme="minorHAnsi" w:cstheme="minorBidi"/>
          <w:szCs w:val="22"/>
        </w:rPr>
        <w:t xml:space="preserve">The PSCR provided revised financials that estimated the net cost to the NIP of listing RZV for non-Indigenous adults aged 60-64 was estimated to be </w:t>
      </w:r>
      <w:r w:rsidR="001F28E4" w:rsidRPr="00D41179">
        <w:rPr>
          <w:rFonts w:asciiTheme="minorHAnsi" w:eastAsiaTheme="minorHAnsi" w:hAnsiTheme="minorHAnsi" w:cstheme="minorBidi"/>
          <w:szCs w:val="22"/>
        </w:rPr>
        <w:t xml:space="preserve">$80 million to &lt; $90 million </w:t>
      </w:r>
      <w:r w:rsidRPr="00D41179">
        <w:rPr>
          <w:rFonts w:asciiTheme="minorHAnsi" w:eastAsiaTheme="minorHAnsi" w:hAnsiTheme="minorHAnsi" w:cstheme="minorBidi"/>
          <w:szCs w:val="22"/>
        </w:rPr>
        <w:t xml:space="preserve">in Year 1 decreasing to </w:t>
      </w:r>
      <w:r w:rsidR="001F28E4" w:rsidRPr="00D41179">
        <w:rPr>
          <w:rFonts w:asciiTheme="minorHAnsi" w:eastAsiaTheme="minorHAnsi" w:hAnsiTheme="minorHAnsi" w:cstheme="minorBidi"/>
          <w:szCs w:val="22"/>
        </w:rPr>
        <w:t>$0 to &lt; $10 million</w:t>
      </w:r>
      <w:r w:rsidRPr="00D41179">
        <w:rPr>
          <w:rFonts w:asciiTheme="minorHAnsi" w:eastAsiaTheme="minorHAnsi" w:hAnsiTheme="minorHAnsi" w:cstheme="minorBidi"/>
          <w:szCs w:val="22"/>
        </w:rPr>
        <w:t xml:space="preserve"> in Year 6, and a total cost of </w:t>
      </w:r>
      <w:r w:rsidR="001F28E4" w:rsidRPr="00D41179">
        <w:rPr>
          <w:rFonts w:asciiTheme="minorHAnsi" w:eastAsiaTheme="minorHAnsi" w:hAnsiTheme="minorHAnsi" w:cstheme="minorBidi"/>
          <w:szCs w:val="22"/>
        </w:rPr>
        <w:t>$100 million to &lt; $200 million.</w:t>
      </w:r>
      <w:bookmarkEnd w:id="71"/>
    </w:p>
    <w:p w14:paraId="7216C092" w14:textId="614FEEDC" w:rsidR="00F72209" w:rsidRPr="00D41179" w:rsidRDefault="00F72209" w:rsidP="00A64F5D">
      <w:pPr>
        <w:numPr>
          <w:ilvl w:val="1"/>
          <w:numId w:val="8"/>
        </w:numPr>
        <w:spacing w:before="60" w:after="60"/>
        <w:ind w:left="709"/>
        <w:rPr>
          <w:rFonts w:asciiTheme="minorHAnsi" w:eastAsiaTheme="minorHAnsi" w:hAnsiTheme="minorHAnsi" w:cstheme="minorBidi"/>
          <w:iCs/>
          <w:szCs w:val="22"/>
        </w:rPr>
      </w:pPr>
      <w:r w:rsidRPr="00D41179">
        <w:rPr>
          <w:rFonts w:asciiTheme="minorHAnsi" w:eastAsiaTheme="minorHAnsi" w:hAnsiTheme="minorHAnsi" w:cstheme="minorBidi"/>
          <w:iCs/>
          <w:szCs w:val="22"/>
        </w:rPr>
        <w:lastRenderedPageBreak/>
        <w:t>The submission anticipated a reduction in the use of medications used to treat HZ, PHN and non-PHN complications which would result in a total PBS/RPBS saving of</w:t>
      </w:r>
      <w:r w:rsidR="00611934" w:rsidRPr="00D41179">
        <w:rPr>
          <w:rFonts w:asciiTheme="minorHAnsi" w:eastAsiaTheme="minorHAnsi" w:hAnsiTheme="minorHAnsi" w:cstheme="minorBidi"/>
          <w:iCs/>
          <w:szCs w:val="22"/>
        </w:rPr>
        <w:t>$0 to &lt; $10 million</w:t>
      </w:r>
      <w:r w:rsidRPr="00D41179">
        <w:rPr>
          <w:rFonts w:asciiTheme="minorHAnsi" w:eastAsiaTheme="minorHAnsi" w:hAnsiTheme="minorHAnsi" w:cstheme="minorBidi"/>
          <w:iCs/>
          <w:szCs w:val="22"/>
        </w:rPr>
        <w:t xml:space="preserve">. These estimates are reliant on outputs from the economic </w:t>
      </w:r>
      <w:proofErr w:type="gramStart"/>
      <w:r w:rsidRPr="00D41179">
        <w:rPr>
          <w:rFonts w:asciiTheme="minorHAnsi" w:eastAsiaTheme="minorHAnsi" w:hAnsiTheme="minorHAnsi" w:cstheme="minorBidi"/>
          <w:iCs/>
          <w:szCs w:val="22"/>
        </w:rPr>
        <w:t>model</w:t>
      </w:r>
      <w:proofErr w:type="gramEnd"/>
      <w:r w:rsidR="000C4FF9" w:rsidRPr="00D41179">
        <w:rPr>
          <w:rFonts w:asciiTheme="minorHAnsi" w:eastAsiaTheme="minorHAnsi" w:hAnsiTheme="minorHAnsi" w:cstheme="minorBidi"/>
          <w:iCs/>
          <w:szCs w:val="22"/>
        </w:rPr>
        <w:t xml:space="preserve"> and </w:t>
      </w:r>
      <w:r w:rsidRPr="00D41179">
        <w:rPr>
          <w:rFonts w:asciiTheme="minorHAnsi" w:eastAsiaTheme="minorHAnsi" w:hAnsiTheme="minorHAnsi" w:cstheme="minorBidi"/>
          <w:iCs/>
          <w:szCs w:val="22"/>
        </w:rPr>
        <w:t>it is likely that the cost-savings to the PBS/RPBS have been overestimated.</w:t>
      </w:r>
    </w:p>
    <w:p w14:paraId="6DE686F0" w14:textId="5D5418E2" w:rsidR="00F72209" w:rsidRPr="00D41179" w:rsidRDefault="00F72209" w:rsidP="00A64F5D">
      <w:pPr>
        <w:numPr>
          <w:ilvl w:val="1"/>
          <w:numId w:val="8"/>
        </w:numPr>
        <w:spacing w:before="60" w:after="60"/>
        <w:ind w:left="709"/>
        <w:rPr>
          <w:rFonts w:asciiTheme="minorHAnsi" w:eastAsiaTheme="minorHAnsi" w:hAnsiTheme="minorHAnsi" w:cstheme="minorBidi"/>
          <w:szCs w:val="22"/>
        </w:rPr>
      </w:pPr>
      <w:r w:rsidRPr="00D41179">
        <w:rPr>
          <w:rFonts w:asciiTheme="minorHAnsi" w:eastAsiaTheme="minorHAnsi" w:hAnsiTheme="minorHAnsi" w:cstheme="minorBidi"/>
          <w:szCs w:val="22"/>
        </w:rPr>
        <w:t xml:space="preserve">The total net cost to the MBS was estimated at </w:t>
      </w:r>
      <w:r w:rsidR="00611934" w:rsidRPr="00D41179">
        <w:rPr>
          <w:rFonts w:asciiTheme="minorHAnsi" w:eastAsiaTheme="minorHAnsi" w:hAnsiTheme="minorHAnsi" w:cstheme="minorBidi"/>
          <w:szCs w:val="22"/>
        </w:rPr>
        <w:t>$10 million to &lt; $20 million</w:t>
      </w:r>
      <w:r w:rsidRPr="00D41179">
        <w:rPr>
          <w:rFonts w:asciiTheme="minorHAnsi" w:eastAsiaTheme="minorHAnsi" w:hAnsiTheme="minorHAnsi" w:cstheme="minorBidi"/>
          <w:szCs w:val="22"/>
        </w:rPr>
        <w:t xml:space="preserve"> in Year 1 </w:t>
      </w:r>
      <w:r w:rsidR="00E72859" w:rsidRPr="00D41179">
        <w:rPr>
          <w:rFonts w:asciiTheme="minorHAnsi" w:eastAsiaTheme="minorHAnsi" w:hAnsiTheme="minorHAnsi" w:cstheme="minorBidi"/>
          <w:szCs w:val="22"/>
        </w:rPr>
        <w:t>(</w:t>
      </w:r>
      <w:r w:rsidR="00611934" w:rsidRPr="00D41179">
        <w:rPr>
          <w:rFonts w:asciiTheme="minorHAnsi" w:eastAsiaTheme="minorHAnsi" w:hAnsiTheme="minorHAnsi" w:cstheme="minorBidi"/>
          <w:szCs w:val="22"/>
        </w:rPr>
        <w:t xml:space="preserve">$0 to &lt; $10 million </w:t>
      </w:r>
      <w:r w:rsidR="00F02CB6" w:rsidRPr="00D41179">
        <w:rPr>
          <w:rFonts w:asciiTheme="minorHAnsi" w:eastAsiaTheme="minorHAnsi" w:hAnsiTheme="minorHAnsi" w:cstheme="minorBidi"/>
          <w:szCs w:val="22"/>
        </w:rPr>
        <w:t xml:space="preserve">in PSCR) </w:t>
      </w:r>
      <w:r w:rsidRPr="00D41179">
        <w:rPr>
          <w:rFonts w:asciiTheme="minorHAnsi" w:eastAsiaTheme="minorHAnsi" w:hAnsiTheme="minorHAnsi" w:cstheme="minorBidi"/>
          <w:szCs w:val="22"/>
        </w:rPr>
        <w:t xml:space="preserve">decreasing to </w:t>
      </w:r>
      <w:r w:rsidR="00611934" w:rsidRPr="00D41179">
        <w:rPr>
          <w:rFonts w:asciiTheme="minorHAnsi" w:eastAsiaTheme="minorHAnsi" w:hAnsiTheme="minorHAnsi" w:cstheme="minorBidi"/>
          <w:szCs w:val="22"/>
        </w:rPr>
        <w:t xml:space="preserve">$0 to &lt; $10 million </w:t>
      </w:r>
      <w:r w:rsidRPr="00D41179">
        <w:rPr>
          <w:rFonts w:asciiTheme="minorHAnsi" w:eastAsiaTheme="minorHAnsi" w:hAnsiTheme="minorHAnsi" w:cstheme="minorBidi"/>
          <w:szCs w:val="22"/>
        </w:rPr>
        <w:t>in Year 6</w:t>
      </w:r>
      <w:r w:rsidR="00F02CB6" w:rsidRPr="00D41179">
        <w:rPr>
          <w:rFonts w:asciiTheme="minorHAnsi" w:eastAsiaTheme="minorHAnsi" w:hAnsiTheme="minorHAnsi" w:cstheme="minorBidi"/>
          <w:szCs w:val="22"/>
        </w:rPr>
        <w:t xml:space="preserve"> (</w:t>
      </w:r>
      <w:r w:rsidR="00611934" w:rsidRPr="00D41179">
        <w:rPr>
          <w:rFonts w:asciiTheme="minorHAnsi" w:eastAsiaTheme="minorHAnsi" w:hAnsiTheme="minorHAnsi" w:cstheme="minorBidi"/>
          <w:szCs w:val="22"/>
        </w:rPr>
        <w:t>$0 to &lt; $10 million</w:t>
      </w:r>
      <w:r w:rsidR="00AF29F9" w:rsidRPr="00D41179">
        <w:rPr>
          <w:rFonts w:asciiTheme="minorHAnsi" w:eastAsiaTheme="minorHAnsi" w:hAnsiTheme="minorHAnsi" w:cstheme="minorBidi"/>
          <w:szCs w:val="22"/>
        </w:rPr>
        <w:t xml:space="preserve"> </w:t>
      </w:r>
      <w:r w:rsidR="00F02CB6" w:rsidRPr="00D41179">
        <w:rPr>
          <w:rFonts w:asciiTheme="minorHAnsi" w:eastAsiaTheme="minorHAnsi" w:hAnsiTheme="minorHAnsi" w:cstheme="minorBidi"/>
          <w:szCs w:val="22"/>
        </w:rPr>
        <w:t>in PSCR)</w:t>
      </w:r>
      <w:r w:rsidRPr="00D41179">
        <w:rPr>
          <w:rFonts w:asciiTheme="minorHAnsi" w:eastAsiaTheme="minorHAnsi" w:hAnsiTheme="minorHAnsi" w:cstheme="minorBidi"/>
          <w:szCs w:val="22"/>
        </w:rPr>
        <w:t xml:space="preserve">. Increases in costs to the MBS were driven by administration costs for RZV and vaccine associated adverse events. Cost offsets to the MBS were driven by reduced incidence of HZ, PHN and non-PHN complications. These cost offsets were likely overestimated as they were based on outputs from the economic model. </w:t>
      </w:r>
    </w:p>
    <w:p w14:paraId="2238DEE9" w14:textId="781D279F" w:rsidR="00576972" w:rsidRPr="00D41179" w:rsidRDefault="00576972" w:rsidP="000F1D34">
      <w:pPr>
        <w:pStyle w:val="Actual4Subsection"/>
      </w:pPr>
      <w:bookmarkStart w:id="72" w:name="_Toc22897648"/>
      <w:bookmarkStart w:id="73" w:name="_Toc209001310"/>
      <w:r w:rsidRPr="00D41179">
        <w:t xml:space="preserve">Quality Use of </w:t>
      </w:r>
      <w:bookmarkEnd w:id="72"/>
      <w:bookmarkEnd w:id="73"/>
      <w:r w:rsidR="002F132D" w:rsidRPr="00D41179">
        <w:t>Vaccines</w:t>
      </w:r>
    </w:p>
    <w:p w14:paraId="215B45AE" w14:textId="77777777" w:rsidR="002F132D" w:rsidRPr="00D41179" w:rsidRDefault="00F72209" w:rsidP="002F132D">
      <w:pPr>
        <w:numPr>
          <w:ilvl w:val="1"/>
          <w:numId w:val="8"/>
        </w:numPr>
        <w:spacing w:before="60" w:after="60"/>
        <w:ind w:left="709"/>
        <w:rPr>
          <w:rFonts w:asciiTheme="minorHAnsi" w:eastAsiaTheme="minorHAnsi" w:hAnsiTheme="minorHAnsi" w:cstheme="minorBidi"/>
          <w:szCs w:val="22"/>
        </w:rPr>
      </w:pPr>
      <w:r w:rsidRPr="00D41179">
        <w:rPr>
          <w:lang w:val="en-GB"/>
        </w:rPr>
        <w:t xml:space="preserve">The submission indicated ongoing educational activities for RZV, targeted at immunisation providers and other healthcare professionals, which support optimal RZV administration and 2-dose schedule adherence. The submission further indicated a commitment to working closely with various implementation partners, vaccine providers and consumer groups in Australia to help ensure quality use of medicines (QUM) principles are upheld according to The National Strategy for QUM. </w:t>
      </w:r>
    </w:p>
    <w:p w14:paraId="33A61812" w14:textId="3D73DFBE" w:rsidR="002F132D" w:rsidRPr="00D41179" w:rsidRDefault="002F132D" w:rsidP="002F132D">
      <w:pPr>
        <w:numPr>
          <w:ilvl w:val="1"/>
          <w:numId w:val="8"/>
        </w:numPr>
        <w:spacing w:before="60" w:after="60"/>
        <w:ind w:left="709"/>
        <w:rPr>
          <w:rFonts w:asciiTheme="minorHAnsi" w:eastAsiaTheme="minorHAnsi" w:hAnsiTheme="minorHAnsi" w:cstheme="minorBidi"/>
          <w:szCs w:val="22"/>
        </w:rPr>
      </w:pPr>
      <w:r w:rsidRPr="00D41179">
        <w:t>The priority of vaccinating different populations was discussed at the ESC meeting. It was noted that (i) increasing uptake in individuals aged over 65 years of age and (ii) improving access for individuals over 18 years of age with a broader range of conditions that have a moderate risk of HZ infection may be of a higher priority than broadening access to individuals 60 to 64 years of age.</w:t>
      </w:r>
    </w:p>
    <w:p w14:paraId="3AB617A7" w14:textId="77777777" w:rsidR="00A95396" w:rsidRPr="00D41179" w:rsidRDefault="00A95396" w:rsidP="00A95396">
      <w:pPr>
        <w:pStyle w:val="3-BodyText"/>
        <w:numPr>
          <w:ilvl w:val="0"/>
          <w:numId w:val="0"/>
        </w:numPr>
        <w:ind w:firstLine="720"/>
        <w:rPr>
          <w:i/>
          <w:iCs/>
        </w:rPr>
      </w:pPr>
      <w:bookmarkStart w:id="74" w:name="_Hlk103934877"/>
      <w:r w:rsidRPr="00D41179">
        <w:rPr>
          <w:i/>
          <w:iCs/>
        </w:rPr>
        <w:t>For more detail on PBAC’s view, see section 7 PBAC outcome.</w:t>
      </w:r>
    </w:p>
    <w:bookmarkEnd w:id="74"/>
    <w:p w14:paraId="61731C24" w14:textId="77777777" w:rsidR="00237861" w:rsidRPr="00D41179" w:rsidRDefault="00237861" w:rsidP="00237861">
      <w:pPr>
        <w:pStyle w:val="2-SectionHeading"/>
        <w:numPr>
          <w:ilvl w:val="0"/>
          <w:numId w:val="1"/>
        </w:numPr>
      </w:pPr>
      <w:r w:rsidRPr="00D41179">
        <w:t>PBAC Outcome</w:t>
      </w:r>
    </w:p>
    <w:p w14:paraId="19911B43" w14:textId="7658F8F4" w:rsidR="000324A8" w:rsidRPr="00D41179" w:rsidRDefault="0066695E" w:rsidP="00237861">
      <w:pPr>
        <w:pStyle w:val="3-BodyText"/>
        <w:rPr>
          <w:lang w:val="en-GB"/>
        </w:rPr>
      </w:pPr>
      <w:r w:rsidRPr="00D41179">
        <w:rPr>
          <w:lang w:val="en-GB"/>
        </w:rPr>
        <w:t>The PBAC did not recommend a change to the circumstances under which recombinant zoster vaccine (</w:t>
      </w:r>
      <w:r w:rsidR="00992391" w:rsidRPr="00D41179">
        <w:rPr>
          <w:lang w:val="en-GB"/>
        </w:rPr>
        <w:t>R</w:t>
      </w:r>
      <w:r w:rsidR="006F19EF" w:rsidRPr="00D41179">
        <w:rPr>
          <w:lang w:val="en-GB"/>
        </w:rPr>
        <w:t>Z</w:t>
      </w:r>
      <w:r w:rsidR="00992391" w:rsidRPr="00D41179">
        <w:rPr>
          <w:lang w:val="en-GB"/>
        </w:rPr>
        <w:t>V</w:t>
      </w:r>
      <w:r w:rsidRPr="00D41179">
        <w:rPr>
          <w:lang w:val="en-GB"/>
        </w:rPr>
        <w:t>) is made available as a designated vaccine</w:t>
      </w:r>
      <w:r w:rsidR="00017E55" w:rsidRPr="00D41179">
        <w:rPr>
          <w:rFonts w:cs="Arial"/>
          <w:snapToGrid w:val="0"/>
          <w:lang w:val="en-GB"/>
        </w:rPr>
        <w:t xml:space="preserve"> for the purposes of the National Health Act 1953</w:t>
      </w:r>
      <w:r w:rsidRPr="00D41179">
        <w:rPr>
          <w:lang w:val="en-GB"/>
        </w:rPr>
        <w:t>.</w:t>
      </w:r>
      <w:r w:rsidR="00017E55" w:rsidRPr="00D41179">
        <w:rPr>
          <w:lang w:val="en-GB"/>
        </w:rPr>
        <w:t xml:space="preserve"> </w:t>
      </w:r>
      <w:r w:rsidR="00A90AD5" w:rsidRPr="00D41179">
        <w:rPr>
          <w:lang w:val="en-GB"/>
        </w:rPr>
        <w:t xml:space="preserve">The PBAC considered </w:t>
      </w:r>
      <w:r w:rsidR="00C42319" w:rsidRPr="00D41179">
        <w:rPr>
          <w:lang w:val="en-GB"/>
        </w:rPr>
        <w:t>vaccinating individuals at 60 years of age w</w:t>
      </w:r>
      <w:r w:rsidR="00DA2C95" w:rsidRPr="00D41179">
        <w:rPr>
          <w:lang w:val="en-GB"/>
        </w:rPr>
        <w:t xml:space="preserve">ould </w:t>
      </w:r>
      <w:r w:rsidR="00C42319" w:rsidRPr="00D41179">
        <w:rPr>
          <w:lang w:val="en-GB"/>
        </w:rPr>
        <w:t xml:space="preserve">result in </w:t>
      </w:r>
      <w:r w:rsidR="00B30248" w:rsidRPr="00D41179">
        <w:rPr>
          <w:lang w:val="en-GB"/>
        </w:rPr>
        <w:t xml:space="preserve">a reduction in protection </w:t>
      </w:r>
      <w:r w:rsidR="00C42319" w:rsidRPr="00D41179">
        <w:rPr>
          <w:lang w:val="en-GB"/>
        </w:rPr>
        <w:t xml:space="preserve">in older individuals when </w:t>
      </w:r>
      <w:r w:rsidR="009330C6" w:rsidRPr="00D41179">
        <w:rPr>
          <w:lang w:val="en-GB"/>
        </w:rPr>
        <w:t xml:space="preserve">the prevalence of </w:t>
      </w:r>
      <w:r w:rsidR="00C42319" w:rsidRPr="00D41179">
        <w:rPr>
          <w:lang w:val="en-GB"/>
        </w:rPr>
        <w:t>herpes zoster</w:t>
      </w:r>
      <w:r w:rsidR="00A2700E" w:rsidRPr="00D41179">
        <w:rPr>
          <w:lang w:val="en-GB"/>
        </w:rPr>
        <w:t xml:space="preserve"> (HZ)</w:t>
      </w:r>
      <w:r w:rsidR="00C42319" w:rsidRPr="00D41179">
        <w:rPr>
          <w:lang w:val="en-GB"/>
        </w:rPr>
        <w:t xml:space="preserve"> and post-</w:t>
      </w:r>
      <w:r w:rsidR="00A2700E" w:rsidRPr="00D41179">
        <w:rPr>
          <w:lang w:val="en-GB"/>
        </w:rPr>
        <w:t>herpetic</w:t>
      </w:r>
      <w:r w:rsidR="00C42319" w:rsidRPr="00D41179">
        <w:rPr>
          <w:lang w:val="en-GB"/>
        </w:rPr>
        <w:t xml:space="preserve"> neuralgia </w:t>
      </w:r>
      <w:r w:rsidR="00A2700E" w:rsidRPr="00D41179">
        <w:rPr>
          <w:lang w:val="en-GB"/>
        </w:rPr>
        <w:t xml:space="preserve">(PHN) </w:t>
      </w:r>
      <w:r w:rsidR="009330C6" w:rsidRPr="00D41179">
        <w:rPr>
          <w:lang w:val="en-GB"/>
        </w:rPr>
        <w:t xml:space="preserve">was higher </w:t>
      </w:r>
      <w:r w:rsidR="00A2700E" w:rsidRPr="00D41179">
        <w:rPr>
          <w:lang w:val="en-GB"/>
        </w:rPr>
        <w:t>and morbidity</w:t>
      </w:r>
      <w:r w:rsidR="006B7D55" w:rsidRPr="00D41179">
        <w:rPr>
          <w:lang w:val="en-GB"/>
        </w:rPr>
        <w:t xml:space="preserve"> could be more severe</w:t>
      </w:r>
      <w:r w:rsidR="00C42319" w:rsidRPr="00D41179">
        <w:rPr>
          <w:lang w:val="en-GB"/>
        </w:rPr>
        <w:t xml:space="preserve">. </w:t>
      </w:r>
      <w:r w:rsidR="00073DEC" w:rsidRPr="00D41179">
        <w:rPr>
          <w:lang w:val="en-GB"/>
        </w:rPr>
        <w:t>The PBAC considered the incremental cost effectiveness ratio presented in the submission was high and highly uncertain.</w:t>
      </w:r>
      <w:r w:rsidR="000F433D" w:rsidRPr="00D41179">
        <w:rPr>
          <w:lang w:val="en-GB"/>
        </w:rPr>
        <w:t xml:space="preserve"> </w:t>
      </w:r>
      <w:r w:rsidR="00992391" w:rsidRPr="00D41179">
        <w:rPr>
          <w:lang w:val="en-GB"/>
        </w:rPr>
        <w:t xml:space="preserve">The PBAC noted </w:t>
      </w:r>
      <w:r w:rsidR="00992391" w:rsidRPr="00D41179">
        <w:t>assumptions regarding waning</w:t>
      </w:r>
      <w:r w:rsidR="001C51AD" w:rsidRPr="00D41179">
        <w:t xml:space="preserve"> of vaccine efficacy</w:t>
      </w:r>
      <w:r w:rsidR="00280927" w:rsidRPr="00D41179">
        <w:t xml:space="preserve"> (VE)</w:t>
      </w:r>
      <w:r w:rsidR="00992391" w:rsidRPr="00D41179">
        <w:t xml:space="preserve"> </w:t>
      </w:r>
      <w:r w:rsidR="007F11AA" w:rsidRPr="00D41179">
        <w:t xml:space="preserve">over time </w:t>
      </w:r>
      <w:r w:rsidR="00992391" w:rsidRPr="00D41179">
        <w:t xml:space="preserve">were uncertain (particularly after around </w:t>
      </w:r>
      <w:r w:rsidR="00205C34" w:rsidRPr="00D41179">
        <w:t xml:space="preserve">8 to </w:t>
      </w:r>
      <w:r w:rsidR="00992391" w:rsidRPr="00D41179">
        <w:t xml:space="preserve">10 years) and this was a key driver of the economic model. </w:t>
      </w:r>
      <w:r w:rsidR="004F746C" w:rsidRPr="00D41179">
        <w:t xml:space="preserve">The PBAC noted the </w:t>
      </w:r>
      <w:r w:rsidR="00D63769" w:rsidRPr="00D41179">
        <w:t xml:space="preserve">financial </w:t>
      </w:r>
      <w:r w:rsidR="004F746C" w:rsidRPr="00D41179">
        <w:t>cost of lowering the age of vaccination was high.</w:t>
      </w:r>
      <w:r w:rsidR="00D41179" w:rsidRPr="00D41179">
        <w:t xml:space="preserve"> </w:t>
      </w:r>
    </w:p>
    <w:p w14:paraId="7DAAB706" w14:textId="267401C2" w:rsidR="0054504A" w:rsidRPr="00D41179" w:rsidRDefault="0054504A" w:rsidP="0054504A">
      <w:pPr>
        <w:pStyle w:val="3-BodyText"/>
        <w:rPr>
          <w:lang w:val="en-GB"/>
        </w:rPr>
      </w:pPr>
      <w:r w:rsidRPr="00D41179">
        <w:rPr>
          <w:lang w:val="en-GB"/>
        </w:rPr>
        <w:t>The PBAC considered that the primary reason for this outcome was the economic evaluation.</w:t>
      </w:r>
    </w:p>
    <w:p w14:paraId="0CA2DFFD" w14:textId="3A60C392" w:rsidR="00C80DC4" w:rsidRPr="00D41179" w:rsidRDefault="00470B0F" w:rsidP="00237861">
      <w:pPr>
        <w:pStyle w:val="3-BodyText"/>
      </w:pPr>
      <w:r w:rsidRPr="00D41179">
        <w:rPr>
          <w:rFonts w:cs="Arial"/>
          <w:snapToGrid w:val="0"/>
        </w:rPr>
        <w:t>The PBAC noted the consumer comments were supportive of expanding the access to RZV on the NIP.</w:t>
      </w:r>
      <w:r w:rsidR="006B7C7F" w:rsidRPr="00D41179">
        <w:rPr>
          <w:rFonts w:cs="Arial"/>
          <w:snapToGrid w:val="0"/>
        </w:rPr>
        <w:t xml:space="preserve"> </w:t>
      </w:r>
      <w:r w:rsidR="005E1E25" w:rsidRPr="00D41179">
        <w:rPr>
          <w:rFonts w:cs="Arial"/>
          <w:snapToGrid w:val="0"/>
        </w:rPr>
        <w:t xml:space="preserve">Comments noted the </w:t>
      </w:r>
      <w:r w:rsidR="00297C7E" w:rsidRPr="00D41179">
        <w:rPr>
          <w:rFonts w:cs="Arial"/>
          <w:snapToGrid w:val="0"/>
        </w:rPr>
        <w:t xml:space="preserve">potential </w:t>
      </w:r>
      <w:r w:rsidR="005E1E25" w:rsidRPr="00D41179">
        <w:rPr>
          <w:rFonts w:cs="Arial"/>
          <w:snapToGrid w:val="0"/>
        </w:rPr>
        <w:t>long</w:t>
      </w:r>
      <w:r w:rsidR="00EB6797" w:rsidRPr="00D41179">
        <w:rPr>
          <w:rFonts w:cs="Arial"/>
          <w:snapToGrid w:val="0"/>
        </w:rPr>
        <w:t>-</w:t>
      </w:r>
      <w:r w:rsidR="005E1E25" w:rsidRPr="00D41179">
        <w:rPr>
          <w:rFonts w:cs="Arial"/>
          <w:snapToGrid w:val="0"/>
        </w:rPr>
        <w:t xml:space="preserve">term </w:t>
      </w:r>
      <w:r w:rsidR="00285005" w:rsidRPr="00D41179">
        <w:rPr>
          <w:rFonts w:cs="Arial"/>
          <w:snapToGrid w:val="0"/>
        </w:rPr>
        <w:t xml:space="preserve">negative </w:t>
      </w:r>
      <w:r w:rsidR="00297C7E" w:rsidRPr="00D41179">
        <w:rPr>
          <w:rFonts w:cs="Arial"/>
          <w:snapToGrid w:val="0"/>
        </w:rPr>
        <w:t xml:space="preserve">health and quality </w:t>
      </w:r>
      <w:r w:rsidR="00297C7E" w:rsidRPr="00D41179">
        <w:rPr>
          <w:rFonts w:cs="Arial"/>
          <w:snapToGrid w:val="0"/>
        </w:rPr>
        <w:lastRenderedPageBreak/>
        <w:t xml:space="preserve">of life implications of HZ and PHN. </w:t>
      </w:r>
      <w:r w:rsidR="00FB1579" w:rsidRPr="00D41179">
        <w:rPr>
          <w:rFonts w:cs="Arial"/>
          <w:snapToGrid w:val="0"/>
        </w:rPr>
        <w:t>The PBAC noted some comments were not specifically related to expand</w:t>
      </w:r>
      <w:r w:rsidR="005E1E25" w:rsidRPr="00D41179">
        <w:rPr>
          <w:rFonts w:cs="Arial"/>
          <w:snapToGrid w:val="0"/>
        </w:rPr>
        <w:t xml:space="preserve">ing </w:t>
      </w:r>
      <w:r w:rsidR="00FB1579" w:rsidRPr="00D41179">
        <w:rPr>
          <w:rFonts w:cs="Arial"/>
          <w:snapToGrid w:val="0"/>
        </w:rPr>
        <w:t xml:space="preserve">access to individuals </w:t>
      </w:r>
      <w:r w:rsidR="005E1E25" w:rsidRPr="00D41179">
        <w:rPr>
          <w:rFonts w:cs="Arial"/>
          <w:snapToGrid w:val="0"/>
        </w:rPr>
        <w:t xml:space="preserve">from 60 years of age but expanding the definition of </w:t>
      </w:r>
      <w:r w:rsidR="00285005" w:rsidRPr="00D41179">
        <w:rPr>
          <w:rFonts w:cs="Arial"/>
          <w:snapToGrid w:val="0"/>
        </w:rPr>
        <w:t>the</w:t>
      </w:r>
      <w:r w:rsidR="005E1E25" w:rsidRPr="00D41179">
        <w:rPr>
          <w:rFonts w:cs="Arial"/>
          <w:snapToGrid w:val="0"/>
        </w:rPr>
        <w:t xml:space="preserve"> </w:t>
      </w:r>
      <w:r w:rsidR="00A3668D" w:rsidRPr="00D41179">
        <w:rPr>
          <w:rFonts w:cs="Arial"/>
          <w:snapToGrid w:val="0"/>
        </w:rPr>
        <w:t xml:space="preserve">immunocompromised </w:t>
      </w:r>
      <w:r w:rsidR="005E1E25" w:rsidRPr="00D41179">
        <w:rPr>
          <w:rFonts w:cs="Arial"/>
          <w:snapToGrid w:val="0"/>
        </w:rPr>
        <w:t>population</w:t>
      </w:r>
      <w:r w:rsidR="00A3668D" w:rsidRPr="00D41179">
        <w:rPr>
          <w:rFonts w:cs="Arial"/>
          <w:snapToGrid w:val="0"/>
        </w:rPr>
        <w:t xml:space="preserve"> who can currently access RZV on the NIP</w:t>
      </w:r>
      <w:r w:rsidR="005E1E25" w:rsidRPr="00D41179">
        <w:rPr>
          <w:rFonts w:cs="Arial"/>
          <w:snapToGrid w:val="0"/>
        </w:rPr>
        <w:t>.</w:t>
      </w:r>
    </w:p>
    <w:p w14:paraId="687B7B75" w14:textId="01B46796" w:rsidR="00690737" w:rsidRPr="00D41179" w:rsidRDefault="00297C7E" w:rsidP="00237861">
      <w:pPr>
        <w:pStyle w:val="3-BodyText"/>
        <w:rPr>
          <w:lang w:val="en-GB"/>
        </w:rPr>
      </w:pPr>
      <w:r w:rsidRPr="00D41179">
        <w:rPr>
          <w:snapToGrid w:val="0"/>
        </w:rPr>
        <w:t xml:space="preserve">The PBAC noted the comments from </w:t>
      </w:r>
      <w:r w:rsidR="00EB6797" w:rsidRPr="00D41179">
        <w:rPr>
          <w:snapToGrid w:val="0"/>
        </w:rPr>
        <w:t>Crohn’s and Colitis Australia regarding</w:t>
      </w:r>
      <w:r w:rsidR="00EB6797" w:rsidRPr="00D41179">
        <w:t xml:space="preserve"> the importance of access for individuals </w:t>
      </w:r>
      <w:r w:rsidR="00EB6797" w:rsidRPr="00D41179">
        <w:rPr>
          <w:snapToGrid w:val="0"/>
        </w:rPr>
        <w:t>on (or about to commence) therapies that result in immunosuppression (such as some inflammatory bowel disease treatments).</w:t>
      </w:r>
      <w:r w:rsidR="00D41179" w:rsidRPr="00D41179">
        <w:rPr>
          <w:snapToGrid w:val="0"/>
        </w:rPr>
        <w:t xml:space="preserve"> </w:t>
      </w:r>
      <w:r w:rsidR="00FA2206" w:rsidRPr="00D41179">
        <w:rPr>
          <w:snapToGrid w:val="0"/>
        </w:rPr>
        <w:t xml:space="preserve">The PBAC noted that the </w:t>
      </w:r>
      <w:r w:rsidR="003C6603" w:rsidRPr="00D41179">
        <w:rPr>
          <w:snapToGrid w:val="0"/>
        </w:rPr>
        <w:t xml:space="preserve">Australian </w:t>
      </w:r>
      <w:r w:rsidR="00FA2206" w:rsidRPr="00D41179">
        <w:rPr>
          <w:snapToGrid w:val="0"/>
        </w:rPr>
        <w:t xml:space="preserve">Immunisation Handbook recommends that </w:t>
      </w:r>
      <w:r w:rsidR="00FA2206" w:rsidRPr="00D41179">
        <w:rPr>
          <w:i/>
          <w:iCs/>
          <w:snapToGrid w:val="0"/>
        </w:rPr>
        <w:t>“When feasible, all indicated vaccines should be given ≥4 weeks before starting immunosuppressive medications”</w:t>
      </w:r>
      <w:r w:rsidR="00FA2206" w:rsidRPr="00D41179">
        <w:rPr>
          <w:snapToGrid w:val="0"/>
        </w:rPr>
        <w:t xml:space="preserve"> for patients with secondary immunodeficiency due to medical therapies.</w:t>
      </w:r>
    </w:p>
    <w:p w14:paraId="6ED47512" w14:textId="0EEFB86D" w:rsidR="00ED5E2A" w:rsidRPr="00D41179" w:rsidRDefault="00ED5E2A" w:rsidP="00237861">
      <w:pPr>
        <w:pStyle w:val="3-BodyText"/>
        <w:rPr>
          <w:lang w:val="en-GB"/>
        </w:rPr>
      </w:pPr>
      <w:r w:rsidRPr="00D41179">
        <w:rPr>
          <w:rFonts w:cs="Arial"/>
          <w:snapToGrid w:val="0"/>
          <w:lang w:val="en-GB"/>
        </w:rPr>
        <w:t xml:space="preserve">The PBAC noted the submission nominated no vaccination in individuals 60 to 64 years of age as the comparator </w:t>
      </w:r>
      <w:r w:rsidR="00F12D37" w:rsidRPr="00D41179">
        <w:rPr>
          <w:rFonts w:cs="Arial"/>
          <w:snapToGrid w:val="0"/>
          <w:lang w:val="en-GB"/>
        </w:rPr>
        <w:t>and considered this was appropriate</w:t>
      </w:r>
      <w:r w:rsidR="001B2088" w:rsidRPr="00D41179">
        <w:rPr>
          <w:rFonts w:cs="Arial"/>
          <w:snapToGrid w:val="0"/>
          <w:lang w:val="en-GB"/>
        </w:rPr>
        <w:t>, in the context that t</w:t>
      </w:r>
      <w:r w:rsidR="00D840E4" w:rsidRPr="00D41179">
        <w:rPr>
          <w:rFonts w:cs="Arial"/>
          <w:snapToGrid w:val="0"/>
          <w:lang w:val="en-GB"/>
        </w:rPr>
        <w:t xml:space="preserve">he economic analysis and financial estimates were based on a comparison of vaccination at </w:t>
      </w:r>
      <w:r w:rsidR="002261C3" w:rsidRPr="00D41179">
        <w:rPr>
          <w:rFonts w:cs="Arial"/>
          <w:snapToGrid w:val="0"/>
          <w:lang w:val="en-GB"/>
        </w:rPr>
        <w:t>60 years of age to vaccination at 65 years of age.</w:t>
      </w:r>
      <w:r w:rsidR="00D41179" w:rsidRPr="00D41179">
        <w:rPr>
          <w:rFonts w:cs="Arial"/>
          <w:snapToGrid w:val="0"/>
          <w:lang w:val="en-GB"/>
        </w:rPr>
        <w:t xml:space="preserve"> </w:t>
      </w:r>
    </w:p>
    <w:p w14:paraId="3C7B2BF2" w14:textId="10285393" w:rsidR="00984A3B" w:rsidRPr="00D41179" w:rsidRDefault="00581131" w:rsidP="00237861">
      <w:pPr>
        <w:pStyle w:val="3-BodyText"/>
        <w:rPr>
          <w:lang w:val="en-GB"/>
        </w:rPr>
      </w:pPr>
      <w:r w:rsidRPr="00D41179">
        <w:rPr>
          <w:lang w:val="en-GB"/>
        </w:rPr>
        <w:t xml:space="preserve">The PBAC noted </w:t>
      </w:r>
      <w:r w:rsidR="00221905" w:rsidRPr="00D41179">
        <w:rPr>
          <w:lang w:val="en-GB"/>
        </w:rPr>
        <w:t xml:space="preserve">the submission was based on </w:t>
      </w:r>
      <w:r w:rsidR="00A25C63" w:rsidRPr="00D41179">
        <w:rPr>
          <w:lang w:val="en-GB"/>
        </w:rPr>
        <w:t>studies it had previously considered</w:t>
      </w:r>
      <w:r w:rsidR="006075E5" w:rsidRPr="00D41179">
        <w:rPr>
          <w:lang w:val="en-GB"/>
        </w:rPr>
        <w:t>,</w:t>
      </w:r>
      <w:r w:rsidR="00A25C63" w:rsidRPr="00D41179">
        <w:rPr>
          <w:lang w:val="en-GB"/>
        </w:rPr>
        <w:t xml:space="preserve"> </w:t>
      </w:r>
      <w:r w:rsidR="00221905" w:rsidRPr="00D41179">
        <w:rPr>
          <w:lang w:val="en-GB"/>
        </w:rPr>
        <w:t xml:space="preserve">two </w:t>
      </w:r>
      <w:r w:rsidR="00FD2A4E" w:rsidRPr="00D41179">
        <w:rPr>
          <w:lang w:val="en-GB"/>
        </w:rPr>
        <w:t>head</w:t>
      </w:r>
      <w:r w:rsidR="00E02534" w:rsidRPr="00D41179">
        <w:rPr>
          <w:lang w:val="en-GB"/>
        </w:rPr>
        <w:t>-</w:t>
      </w:r>
      <w:r w:rsidR="00FD2A4E" w:rsidRPr="00D41179">
        <w:rPr>
          <w:lang w:val="en-GB"/>
        </w:rPr>
        <w:t>to</w:t>
      </w:r>
      <w:r w:rsidR="00E02534" w:rsidRPr="00D41179">
        <w:rPr>
          <w:lang w:val="en-GB"/>
        </w:rPr>
        <w:t>-</w:t>
      </w:r>
      <w:r w:rsidR="00FD2A4E" w:rsidRPr="00D41179">
        <w:rPr>
          <w:lang w:val="en-GB"/>
        </w:rPr>
        <w:t xml:space="preserve">head randomised </w:t>
      </w:r>
      <w:r w:rsidR="00221905" w:rsidRPr="00D41179">
        <w:rPr>
          <w:lang w:val="en-GB"/>
        </w:rPr>
        <w:t>studies</w:t>
      </w:r>
      <w:r w:rsidR="002705AC" w:rsidRPr="00D41179">
        <w:rPr>
          <w:lang w:val="en-GB"/>
        </w:rPr>
        <w:t xml:space="preserve"> comparing RZV to placebo (ZOE-50 and ZOE-70) and a long term </w:t>
      </w:r>
      <w:r w:rsidR="0092313F" w:rsidRPr="00D41179">
        <w:rPr>
          <w:lang w:val="en-GB"/>
        </w:rPr>
        <w:t>follow up study (ZOSTER-</w:t>
      </w:r>
      <w:r w:rsidR="006F5059" w:rsidRPr="00D41179">
        <w:rPr>
          <w:lang w:val="en-GB"/>
        </w:rPr>
        <w:t>0</w:t>
      </w:r>
      <w:r w:rsidR="0092313F" w:rsidRPr="00D41179">
        <w:rPr>
          <w:lang w:val="en-GB"/>
        </w:rPr>
        <w:t>49)</w:t>
      </w:r>
      <w:r w:rsidR="00FB18F2" w:rsidRPr="00D41179">
        <w:rPr>
          <w:lang w:val="en-GB"/>
        </w:rPr>
        <w:t>. The ZOE-50 and ZOE-70 data remained unchanged from the previous</w:t>
      </w:r>
      <w:r w:rsidR="00635E32" w:rsidRPr="00D41179">
        <w:rPr>
          <w:lang w:val="en-GB"/>
        </w:rPr>
        <w:t xml:space="preserve"> submissions</w:t>
      </w:r>
      <w:r w:rsidR="00FB18F2" w:rsidRPr="00D41179">
        <w:rPr>
          <w:lang w:val="en-GB"/>
        </w:rPr>
        <w:t xml:space="preserve">. The PBAC noted </w:t>
      </w:r>
      <w:r w:rsidR="00DC2E22" w:rsidRPr="00D41179">
        <w:rPr>
          <w:lang w:val="en-GB"/>
        </w:rPr>
        <w:t xml:space="preserve">additional follow up was provided for the ZOSTER-049 study </w:t>
      </w:r>
      <w:r w:rsidR="00845DA6" w:rsidRPr="00D41179">
        <w:rPr>
          <w:lang w:val="en-GB"/>
        </w:rPr>
        <w:t xml:space="preserve">(median of </w:t>
      </w:r>
      <w:r w:rsidR="00A25C63" w:rsidRPr="00D41179">
        <w:rPr>
          <w:lang w:val="en-GB"/>
        </w:rPr>
        <w:t>11.5 years post-vaccination</w:t>
      </w:r>
      <w:r w:rsidR="00F1029F" w:rsidRPr="00D41179">
        <w:rPr>
          <w:lang w:val="en-GB"/>
        </w:rPr>
        <w:t xml:space="preserve"> in this submission</w:t>
      </w:r>
      <w:r w:rsidR="00A25C63" w:rsidRPr="00D41179">
        <w:rPr>
          <w:lang w:val="en-GB"/>
        </w:rPr>
        <w:t>, compared to mean of 9.6 years post-vaccination</w:t>
      </w:r>
      <w:r w:rsidR="00F1029F" w:rsidRPr="00D41179">
        <w:rPr>
          <w:lang w:val="en-GB"/>
        </w:rPr>
        <w:t xml:space="preserve"> considered previously</w:t>
      </w:r>
      <w:r w:rsidR="00A25C63" w:rsidRPr="00D41179">
        <w:rPr>
          <w:lang w:val="en-GB"/>
        </w:rPr>
        <w:t>)</w:t>
      </w:r>
      <w:r w:rsidR="00DC2E22" w:rsidRPr="00D41179">
        <w:rPr>
          <w:lang w:val="en-GB"/>
        </w:rPr>
        <w:t xml:space="preserve">. </w:t>
      </w:r>
      <w:r w:rsidR="00703C17" w:rsidRPr="00D41179">
        <w:rPr>
          <w:lang w:val="en-GB"/>
        </w:rPr>
        <w:t>The PBAC noted the ZOSTER-049 study</w:t>
      </w:r>
      <w:r w:rsidR="00E87FFC" w:rsidRPr="00D41179">
        <w:rPr>
          <w:lang w:val="en-GB"/>
        </w:rPr>
        <w:t xml:space="preserve"> used historical contr</w:t>
      </w:r>
      <w:r w:rsidR="0028633F" w:rsidRPr="00D41179">
        <w:rPr>
          <w:lang w:val="en-GB"/>
        </w:rPr>
        <w:t>ols derived from the placebo arms of the ZOE-50 and ZOE-70 studies.</w:t>
      </w:r>
      <w:r w:rsidR="00D41179" w:rsidRPr="00D41179">
        <w:rPr>
          <w:lang w:val="en-GB"/>
        </w:rPr>
        <w:t xml:space="preserve"> </w:t>
      </w:r>
      <w:r w:rsidR="002B7E0B" w:rsidRPr="00D41179">
        <w:t xml:space="preserve">The PBAC noted </w:t>
      </w:r>
      <w:r w:rsidR="00814C5A" w:rsidRPr="00D41179">
        <w:rPr>
          <w:lang w:val="en-GB"/>
        </w:rPr>
        <w:t xml:space="preserve">there was a decline in </w:t>
      </w:r>
      <w:r w:rsidR="005C6E0D" w:rsidRPr="00D41179">
        <w:rPr>
          <w:lang w:val="en-GB"/>
        </w:rPr>
        <w:t xml:space="preserve">vaccine efficacy </w:t>
      </w:r>
      <w:r w:rsidR="00331050" w:rsidRPr="00D41179">
        <w:rPr>
          <w:lang w:val="en-GB"/>
        </w:rPr>
        <w:t>against HZ (</w:t>
      </w:r>
      <w:r w:rsidR="00814C5A" w:rsidRPr="00D41179">
        <w:rPr>
          <w:lang w:val="en-GB"/>
        </w:rPr>
        <w:t>VE</w:t>
      </w:r>
      <w:r w:rsidR="00955900" w:rsidRPr="00D41179">
        <w:rPr>
          <w:vertAlign w:val="subscript"/>
          <w:lang w:val="en-GB"/>
        </w:rPr>
        <w:t>HZ</w:t>
      </w:r>
      <w:r w:rsidR="00331050" w:rsidRPr="00D41179">
        <w:rPr>
          <w:lang w:val="en-GB"/>
        </w:rPr>
        <w:t>)</w:t>
      </w:r>
      <w:r w:rsidR="00814C5A" w:rsidRPr="00D41179">
        <w:rPr>
          <w:lang w:val="en-GB"/>
        </w:rPr>
        <w:t xml:space="preserve"> over time </w:t>
      </w:r>
      <w:r w:rsidR="00E63A51" w:rsidRPr="00D41179">
        <w:rPr>
          <w:lang w:val="en-GB"/>
        </w:rPr>
        <w:t xml:space="preserve">in the overall cohort </w:t>
      </w:r>
      <w:r w:rsidR="00814C5A" w:rsidRPr="00D41179">
        <w:rPr>
          <w:lang w:val="en-GB"/>
        </w:rPr>
        <w:t>with increasing variability</w:t>
      </w:r>
      <w:r w:rsidR="003E5DD0" w:rsidRPr="00D41179">
        <w:rPr>
          <w:lang w:val="en-GB"/>
        </w:rPr>
        <w:t>, with VE</w:t>
      </w:r>
      <w:r w:rsidR="003E5DD0" w:rsidRPr="00D41179">
        <w:rPr>
          <w:vertAlign w:val="subscript"/>
          <w:lang w:val="en-GB"/>
        </w:rPr>
        <w:t>HZ</w:t>
      </w:r>
      <w:r w:rsidR="003E5DD0" w:rsidRPr="00D41179">
        <w:rPr>
          <w:lang w:val="en-GB"/>
        </w:rPr>
        <w:t xml:space="preserve"> </w:t>
      </w:r>
      <w:r w:rsidR="00397446" w:rsidRPr="00D41179">
        <w:rPr>
          <w:lang w:val="en-GB"/>
        </w:rPr>
        <w:t xml:space="preserve">of </w:t>
      </w:r>
      <w:r w:rsidR="003E5DD0" w:rsidRPr="00D41179">
        <w:rPr>
          <w:lang w:val="en-GB"/>
        </w:rPr>
        <w:t>7</w:t>
      </w:r>
      <w:r w:rsidR="00FC4CCD" w:rsidRPr="00D41179">
        <w:rPr>
          <w:lang w:val="en-GB"/>
        </w:rPr>
        <w:t>3.68</w:t>
      </w:r>
      <w:r w:rsidR="003E5DD0" w:rsidRPr="00D41179">
        <w:rPr>
          <w:lang w:val="en-GB"/>
        </w:rPr>
        <w:t xml:space="preserve">% (95%CI: </w:t>
      </w:r>
      <w:r w:rsidR="00FC4CCD" w:rsidRPr="00D41179">
        <w:rPr>
          <w:lang w:val="en-GB"/>
        </w:rPr>
        <w:t>52.89</w:t>
      </w:r>
      <w:r w:rsidR="00397446" w:rsidRPr="00D41179">
        <w:rPr>
          <w:lang w:val="en-GB"/>
        </w:rPr>
        <w:t>,</w:t>
      </w:r>
      <w:r w:rsidR="003E5DD0" w:rsidRPr="00D41179">
        <w:rPr>
          <w:lang w:val="en-GB"/>
        </w:rPr>
        <w:t xml:space="preserve"> </w:t>
      </w:r>
      <w:r w:rsidR="00397446" w:rsidRPr="00D41179">
        <w:rPr>
          <w:lang w:val="en-GB"/>
        </w:rPr>
        <w:t>8</w:t>
      </w:r>
      <w:r w:rsidR="00FC4CCD" w:rsidRPr="00D41179">
        <w:rPr>
          <w:lang w:val="en-GB"/>
        </w:rPr>
        <w:t>6.16</w:t>
      </w:r>
      <w:r w:rsidR="00397446" w:rsidRPr="00D41179">
        <w:rPr>
          <w:lang w:val="en-GB"/>
        </w:rPr>
        <w:t xml:space="preserve">) at Year 9 and </w:t>
      </w:r>
      <w:r w:rsidR="00FC4CCD" w:rsidRPr="00D41179">
        <w:rPr>
          <w:lang w:val="en-GB"/>
        </w:rPr>
        <w:t>71.70% (95%CI: 49.03</w:t>
      </w:r>
      <w:r w:rsidR="00DB0787" w:rsidRPr="00D41179">
        <w:rPr>
          <w:lang w:val="en-GB"/>
        </w:rPr>
        <w:t>,</w:t>
      </w:r>
      <w:r w:rsidR="00FC4CCD" w:rsidRPr="00D41179">
        <w:rPr>
          <w:lang w:val="en-GB"/>
        </w:rPr>
        <w:t xml:space="preserve"> 85.18) at Year 10</w:t>
      </w:r>
      <w:r w:rsidR="001A5018" w:rsidRPr="00D41179">
        <w:rPr>
          <w:lang w:val="en-GB"/>
        </w:rPr>
        <w:t>.</w:t>
      </w:r>
      <w:r w:rsidR="007576A0" w:rsidRPr="00D41179">
        <w:rPr>
          <w:lang w:val="en-GB"/>
        </w:rPr>
        <w:t xml:space="preserve"> The PBAC noted the VE</w:t>
      </w:r>
      <w:r w:rsidR="007576A0" w:rsidRPr="00D41179">
        <w:rPr>
          <w:vertAlign w:val="subscript"/>
          <w:lang w:val="en-GB"/>
        </w:rPr>
        <w:t>HZ</w:t>
      </w:r>
      <w:r w:rsidR="007576A0" w:rsidRPr="00D41179">
        <w:rPr>
          <w:lang w:val="en-GB"/>
        </w:rPr>
        <w:t xml:space="preserve"> at Year 11 increased but </w:t>
      </w:r>
      <w:r w:rsidR="0096186F" w:rsidRPr="00D41179">
        <w:rPr>
          <w:lang w:val="en-GB"/>
        </w:rPr>
        <w:t>maintained that</w:t>
      </w:r>
      <w:r w:rsidR="00703C17" w:rsidRPr="00D41179">
        <w:rPr>
          <w:lang w:val="en-GB"/>
        </w:rPr>
        <w:t xml:space="preserve">, overall, </w:t>
      </w:r>
      <w:r w:rsidR="0096186F" w:rsidRPr="00D41179">
        <w:rPr>
          <w:lang w:val="en-GB"/>
        </w:rPr>
        <w:t xml:space="preserve">the data </w:t>
      </w:r>
      <w:r w:rsidR="001E4E13" w:rsidRPr="00D41179">
        <w:rPr>
          <w:lang w:val="en-GB"/>
        </w:rPr>
        <w:t xml:space="preserve">indicate </w:t>
      </w:r>
      <w:r w:rsidR="003A7EDC" w:rsidRPr="00D41179">
        <w:rPr>
          <w:lang w:val="en-GB"/>
        </w:rPr>
        <w:t>a decline in VE</w:t>
      </w:r>
      <w:r w:rsidR="003A7EDC" w:rsidRPr="00D41179">
        <w:rPr>
          <w:vertAlign w:val="subscript"/>
          <w:lang w:val="en-GB"/>
        </w:rPr>
        <w:t>HZ</w:t>
      </w:r>
      <w:r w:rsidR="003A7EDC" w:rsidRPr="00D41179">
        <w:rPr>
          <w:lang w:val="en-GB"/>
        </w:rPr>
        <w:t xml:space="preserve"> over time</w:t>
      </w:r>
      <w:r w:rsidR="00703C17" w:rsidRPr="00D41179">
        <w:rPr>
          <w:lang w:val="en-GB"/>
        </w:rPr>
        <w:t>.</w:t>
      </w:r>
      <w:r w:rsidR="007576A0" w:rsidRPr="00D41179">
        <w:rPr>
          <w:lang w:val="en-GB"/>
        </w:rPr>
        <w:t xml:space="preserve"> </w:t>
      </w:r>
      <w:r w:rsidR="00CE7180" w:rsidRPr="00D41179">
        <w:rPr>
          <w:lang w:val="en-GB"/>
        </w:rPr>
        <w:t xml:space="preserve">The PBAC noted the </w:t>
      </w:r>
      <w:r w:rsidR="003A114F" w:rsidRPr="00D41179">
        <w:t xml:space="preserve">safety </w:t>
      </w:r>
      <w:r w:rsidR="00BD7B77" w:rsidRPr="00D41179">
        <w:t xml:space="preserve">data </w:t>
      </w:r>
      <w:r w:rsidR="003A114F" w:rsidRPr="00D41179">
        <w:t>remained essentially unchanged from the previous submissions.</w:t>
      </w:r>
      <w:r w:rsidR="00D41179" w:rsidRPr="00D41179">
        <w:rPr>
          <w:lang w:val="en-GB"/>
        </w:rPr>
        <w:t xml:space="preserve"> </w:t>
      </w:r>
      <w:r w:rsidR="003A114F" w:rsidRPr="00D41179">
        <w:rPr>
          <w:lang w:val="en-GB"/>
        </w:rPr>
        <w:t xml:space="preserve">The </w:t>
      </w:r>
      <w:r w:rsidR="00A804D1" w:rsidRPr="00D41179">
        <w:rPr>
          <w:lang w:val="en-GB"/>
        </w:rPr>
        <w:t xml:space="preserve">PBAC considered the claim that RZV is superior </w:t>
      </w:r>
      <w:r w:rsidR="008A56A0" w:rsidRPr="00D41179">
        <w:rPr>
          <w:lang w:val="en-GB"/>
        </w:rPr>
        <w:t xml:space="preserve">in terms of </w:t>
      </w:r>
      <w:r w:rsidR="00C02A28" w:rsidRPr="00D41179">
        <w:rPr>
          <w:lang w:val="en-GB"/>
        </w:rPr>
        <w:t xml:space="preserve">effectiveness and inferior </w:t>
      </w:r>
      <w:r w:rsidR="008A56A0" w:rsidRPr="00D41179">
        <w:rPr>
          <w:lang w:val="en-GB"/>
        </w:rPr>
        <w:t xml:space="preserve">in terms of </w:t>
      </w:r>
      <w:r w:rsidR="00C02A28" w:rsidRPr="00D41179">
        <w:rPr>
          <w:lang w:val="en-GB"/>
        </w:rPr>
        <w:t>safety</w:t>
      </w:r>
      <w:r w:rsidR="008A56A0" w:rsidRPr="00D41179">
        <w:rPr>
          <w:lang w:val="en-GB"/>
        </w:rPr>
        <w:t xml:space="preserve"> compared to no vaccination in individuals 60 to 64 years of age was reasonable</w:t>
      </w:r>
      <w:r w:rsidR="00C02A28" w:rsidRPr="00D41179">
        <w:rPr>
          <w:lang w:val="en-GB"/>
        </w:rPr>
        <w:t xml:space="preserve">. </w:t>
      </w:r>
    </w:p>
    <w:p w14:paraId="53530476" w14:textId="3C1DB6AD" w:rsidR="00581131" w:rsidRPr="00D41179" w:rsidRDefault="002D1E18" w:rsidP="00237861">
      <w:pPr>
        <w:pStyle w:val="3-BodyText"/>
        <w:rPr>
          <w:lang w:val="en-GB"/>
        </w:rPr>
      </w:pPr>
      <w:r w:rsidRPr="00D41179">
        <w:rPr>
          <w:lang w:val="en-GB"/>
        </w:rPr>
        <w:t>Despite the concerns regarding the ZOSTER-</w:t>
      </w:r>
      <w:r w:rsidR="001C14F7" w:rsidRPr="00D41179">
        <w:rPr>
          <w:lang w:val="en-GB"/>
        </w:rPr>
        <w:t>0</w:t>
      </w:r>
      <w:r w:rsidRPr="00D41179">
        <w:rPr>
          <w:lang w:val="en-GB"/>
        </w:rPr>
        <w:t>49 study (see paragraph</w:t>
      </w:r>
      <w:r w:rsidR="00E701B6" w:rsidRPr="00D41179">
        <w:rPr>
          <w:lang w:val="en-GB"/>
        </w:rPr>
        <w:t xml:space="preserve"> </w:t>
      </w:r>
      <w:r w:rsidR="00E701B6" w:rsidRPr="00D41179">
        <w:rPr>
          <w:lang w:val="en-GB"/>
        </w:rPr>
        <w:fldChar w:fldCharType="begin"/>
      </w:r>
      <w:r w:rsidR="00E701B6" w:rsidRPr="00D41179">
        <w:rPr>
          <w:lang w:val="en-GB"/>
        </w:rPr>
        <w:instrText xml:space="preserve"> REF _Ref215923153 \r \h </w:instrText>
      </w:r>
      <w:r w:rsidR="00D41179">
        <w:rPr>
          <w:lang w:val="en-GB"/>
        </w:rPr>
        <w:instrText xml:space="preserve"> \* MERGEFORMAT </w:instrText>
      </w:r>
      <w:r w:rsidR="00E701B6" w:rsidRPr="00D41179">
        <w:rPr>
          <w:lang w:val="en-GB"/>
        </w:rPr>
      </w:r>
      <w:r w:rsidR="00E701B6" w:rsidRPr="00D41179">
        <w:rPr>
          <w:lang w:val="en-GB"/>
        </w:rPr>
        <w:fldChar w:fldCharType="separate"/>
      </w:r>
      <w:r w:rsidR="000F75F1">
        <w:rPr>
          <w:lang w:val="en-GB"/>
        </w:rPr>
        <w:t>6.13</w:t>
      </w:r>
      <w:r w:rsidR="00E701B6" w:rsidRPr="00D41179">
        <w:rPr>
          <w:lang w:val="en-GB"/>
        </w:rPr>
        <w:fldChar w:fldCharType="end"/>
      </w:r>
      <w:r w:rsidRPr="00D41179">
        <w:rPr>
          <w:lang w:val="en-GB"/>
        </w:rPr>
        <w:t>), t</w:t>
      </w:r>
      <w:r w:rsidR="00791016" w:rsidRPr="00D41179">
        <w:rPr>
          <w:lang w:val="en-GB"/>
        </w:rPr>
        <w:t xml:space="preserve">he PBAC considered </w:t>
      </w:r>
      <w:r w:rsidRPr="00D41179">
        <w:rPr>
          <w:lang w:val="en-GB"/>
        </w:rPr>
        <w:t xml:space="preserve">it provided </w:t>
      </w:r>
      <w:r w:rsidR="00791016" w:rsidRPr="00D41179">
        <w:rPr>
          <w:lang w:val="en-GB"/>
        </w:rPr>
        <w:t xml:space="preserve">reasonable evidence that RZV </w:t>
      </w:r>
      <w:r w:rsidR="00793E39" w:rsidRPr="00D41179">
        <w:rPr>
          <w:lang w:val="en-GB"/>
        </w:rPr>
        <w:t xml:space="preserve">resulted in </w:t>
      </w:r>
      <w:r w:rsidR="006E0FE2" w:rsidRPr="00D41179">
        <w:rPr>
          <w:lang w:val="en-GB"/>
        </w:rPr>
        <w:t xml:space="preserve">durable </w:t>
      </w:r>
      <w:r w:rsidR="00791016" w:rsidRPr="00D41179">
        <w:rPr>
          <w:lang w:val="en-GB"/>
        </w:rPr>
        <w:t>protection against HZ and PHN for up to</w:t>
      </w:r>
      <w:r w:rsidR="00F35A1B" w:rsidRPr="00D41179">
        <w:rPr>
          <w:lang w:val="en-GB"/>
        </w:rPr>
        <w:t xml:space="preserve"> approximately</w:t>
      </w:r>
      <w:r w:rsidR="00791016" w:rsidRPr="00D41179">
        <w:rPr>
          <w:lang w:val="en-GB"/>
        </w:rPr>
        <w:t xml:space="preserve"> </w:t>
      </w:r>
      <w:r w:rsidR="006E0FE2" w:rsidRPr="00D41179">
        <w:rPr>
          <w:lang w:val="en-GB"/>
        </w:rPr>
        <w:t xml:space="preserve">8 to </w:t>
      </w:r>
      <w:r w:rsidR="00791016" w:rsidRPr="00D41179">
        <w:rPr>
          <w:lang w:val="en-GB"/>
        </w:rPr>
        <w:t>10 years</w:t>
      </w:r>
      <w:r w:rsidR="002E3AC9" w:rsidRPr="00D41179">
        <w:rPr>
          <w:lang w:val="en-GB"/>
        </w:rPr>
        <w:t>; however, the PBAC considered there were some uncertainties regarding the</w:t>
      </w:r>
      <w:r w:rsidR="00F331CC" w:rsidRPr="00D41179">
        <w:rPr>
          <w:lang w:val="en-GB"/>
        </w:rPr>
        <w:t xml:space="preserve"> </w:t>
      </w:r>
      <w:proofErr w:type="gramStart"/>
      <w:r w:rsidR="00983B29" w:rsidRPr="00D41179">
        <w:rPr>
          <w:lang w:val="en-GB"/>
        </w:rPr>
        <w:t>long term</w:t>
      </w:r>
      <w:proofErr w:type="gramEnd"/>
      <w:r w:rsidR="00983B29" w:rsidRPr="00D41179">
        <w:rPr>
          <w:lang w:val="en-GB"/>
        </w:rPr>
        <w:t xml:space="preserve"> </w:t>
      </w:r>
      <w:r w:rsidR="00F331CC" w:rsidRPr="00D41179">
        <w:rPr>
          <w:lang w:val="en-GB"/>
        </w:rPr>
        <w:t>estimates of vaccine</w:t>
      </w:r>
      <w:r w:rsidR="003F7446" w:rsidRPr="00D41179">
        <w:rPr>
          <w:lang w:val="en-GB"/>
        </w:rPr>
        <w:t xml:space="preserve"> efficacy</w:t>
      </w:r>
      <w:r w:rsidR="00791016" w:rsidRPr="00D41179">
        <w:rPr>
          <w:lang w:val="en-GB"/>
        </w:rPr>
        <w:t>.</w:t>
      </w:r>
      <w:r w:rsidR="00F35A1B" w:rsidRPr="00D41179">
        <w:rPr>
          <w:lang w:val="en-GB"/>
        </w:rPr>
        <w:t xml:space="preserve"> The </w:t>
      </w:r>
      <w:r w:rsidR="002C6DB6" w:rsidRPr="00D41179">
        <w:rPr>
          <w:lang w:val="en-GB"/>
        </w:rPr>
        <w:t>PBAC</w:t>
      </w:r>
      <w:r w:rsidR="00F35A1B" w:rsidRPr="00D41179">
        <w:rPr>
          <w:lang w:val="en-GB"/>
        </w:rPr>
        <w:t xml:space="preserve"> considered it was likely protection</w:t>
      </w:r>
      <w:r w:rsidR="002C6DB6" w:rsidRPr="00D41179">
        <w:rPr>
          <w:lang w:val="en-GB"/>
        </w:rPr>
        <w:t xml:space="preserve"> would reduce over time (see </w:t>
      </w:r>
      <w:r w:rsidR="002C6DB6" w:rsidRPr="00D41179">
        <w:rPr>
          <w:lang w:val="en-GB"/>
        </w:rPr>
        <w:fldChar w:fldCharType="begin"/>
      </w:r>
      <w:r w:rsidR="002C6DB6" w:rsidRPr="00D41179">
        <w:rPr>
          <w:lang w:val="en-GB"/>
        </w:rPr>
        <w:instrText xml:space="preserve"> REF _Ref210987383 \h </w:instrText>
      </w:r>
      <w:r w:rsidR="00D41179">
        <w:rPr>
          <w:lang w:val="en-GB"/>
        </w:rPr>
        <w:instrText xml:space="preserve"> \* MERGEFORMAT </w:instrText>
      </w:r>
      <w:r w:rsidR="002C6DB6" w:rsidRPr="00D41179">
        <w:rPr>
          <w:lang w:val="en-GB"/>
        </w:rPr>
      </w:r>
      <w:r w:rsidR="002C6DB6" w:rsidRPr="00D41179">
        <w:rPr>
          <w:lang w:val="en-GB"/>
        </w:rPr>
        <w:fldChar w:fldCharType="separate"/>
      </w:r>
      <w:r w:rsidR="002C6DB6" w:rsidRPr="00D41179">
        <w:t xml:space="preserve">Figure </w:t>
      </w:r>
      <w:r w:rsidR="002C6DB6" w:rsidRPr="00D41179">
        <w:rPr>
          <w:noProof/>
        </w:rPr>
        <w:t>1</w:t>
      </w:r>
      <w:r w:rsidR="002C6DB6" w:rsidRPr="00D41179">
        <w:rPr>
          <w:lang w:val="en-GB"/>
        </w:rPr>
        <w:fldChar w:fldCharType="end"/>
      </w:r>
      <w:r w:rsidR="002C6DB6" w:rsidRPr="00D41179">
        <w:rPr>
          <w:lang w:val="en-GB"/>
        </w:rPr>
        <w:t>)</w:t>
      </w:r>
      <w:r w:rsidR="007A6B30" w:rsidRPr="00D41179">
        <w:rPr>
          <w:lang w:val="en-GB"/>
        </w:rPr>
        <w:t xml:space="preserve"> and </w:t>
      </w:r>
      <w:r w:rsidR="00CD0B39" w:rsidRPr="00D41179">
        <w:rPr>
          <w:lang w:val="en-GB"/>
        </w:rPr>
        <w:t xml:space="preserve">vaccinating individuals at 60 years of age </w:t>
      </w:r>
      <w:r w:rsidR="00E70E9E" w:rsidRPr="00D41179">
        <w:rPr>
          <w:lang w:val="en-GB"/>
        </w:rPr>
        <w:t xml:space="preserve">(compared to 65 years of age) </w:t>
      </w:r>
      <w:r w:rsidR="00CD0B39" w:rsidRPr="00D41179">
        <w:rPr>
          <w:lang w:val="en-GB"/>
        </w:rPr>
        <w:t xml:space="preserve">would result in a reduction in protection in older individuals when the prevalence of HZ and PHN was higher and morbidity </w:t>
      </w:r>
      <w:r w:rsidR="0000649D" w:rsidRPr="00D41179">
        <w:rPr>
          <w:lang w:val="en-GB"/>
        </w:rPr>
        <w:t>is generally</w:t>
      </w:r>
      <w:r w:rsidR="00CD0B39" w:rsidRPr="00D41179">
        <w:rPr>
          <w:lang w:val="en-GB"/>
        </w:rPr>
        <w:t xml:space="preserve"> more severe.</w:t>
      </w:r>
    </w:p>
    <w:p w14:paraId="4FFEA040" w14:textId="4D1C74F7" w:rsidR="008D618D" w:rsidRPr="00D41179" w:rsidRDefault="00490A5E" w:rsidP="005B1D08">
      <w:pPr>
        <w:pStyle w:val="3-BodyText"/>
        <w:rPr>
          <w:lang w:val="en-GB"/>
        </w:rPr>
      </w:pPr>
      <w:r w:rsidRPr="00D41179">
        <w:rPr>
          <w:lang w:val="en-GB"/>
        </w:rPr>
        <w:t xml:space="preserve">The PBAC noted the </w:t>
      </w:r>
      <w:r w:rsidR="00FA2BCB" w:rsidRPr="00D41179">
        <w:rPr>
          <w:lang w:val="en-GB"/>
        </w:rPr>
        <w:t xml:space="preserve">base case ICER </w:t>
      </w:r>
      <w:r w:rsidR="004B6CCB" w:rsidRPr="00D41179">
        <w:rPr>
          <w:lang w:val="en-GB"/>
        </w:rPr>
        <w:t xml:space="preserve">(applying a 5% discount rate) </w:t>
      </w:r>
      <w:r w:rsidR="00FA2BCB" w:rsidRPr="00D41179">
        <w:rPr>
          <w:lang w:val="en-GB"/>
        </w:rPr>
        <w:t xml:space="preserve">was </w:t>
      </w:r>
      <w:r w:rsidR="00AF29F9" w:rsidRPr="00D41179">
        <w:rPr>
          <w:lang w:val="en-GB"/>
        </w:rPr>
        <w:t>$15,000 to &lt; $25,000</w:t>
      </w:r>
      <w:r w:rsidR="00B16E83">
        <w:rPr>
          <w:lang w:val="en-GB"/>
        </w:rPr>
        <w:t xml:space="preserve"> </w:t>
      </w:r>
      <w:r w:rsidR="004B6CCB" w:rsidRPr="00D41179">
        <w:rPr>
          <w:lang w:val="en-GB"/>
        </w:rPr>
        <w:t xml:space="preserve">per quality adjusted life year (QALY). </w:t>
      </w:r>
      <w:r w:rsidR="005F6FC4" w:rsidRPr="00D41179">
        <w:rPr>
          <w:lang w:val="en-GB"/>
        </w:rPr>
        <w:t xml:space="preserve">The PBAC noted this was higher than the </w:t>
      </w:r>
      <w:r w:rsidR="005F6FC4" w:rsidRPr="00D41179">
        <w:rPr>
          <w:lang w:val="en-GB"/>
        </w:rPr>
        <w:lastRenderedPageBreak/>
        <w:t>ICER recommended for individuals vaccinated at 65 years of age (</w:t>
      </w:r>
      <w:r w:rsidR="00BA4158" w:rsidRPr="00D41179">
        <w:rPr>
          <w:lang w:val="en-GB"/>
        </w:rPr>
        <w:t>$5,000 to &lt; $15,000</w:t>
      </w:r>
      <w:r w:rsidR="00AD1974" w:rsidRPr="00D41179">
        <w:t>to</w:t>
      </w:r>
      <w:r w:rsidR="000671D2" w:rsidRPr="00D41179">
        <w:t xml:space="preserve"> </w:t>
      </w:r>
      <w:r w:rsidR="00BA4158" w:rsidRPr="00D41179">
        <w:t>$15,000 to &lt; $25,000</w:t>
      </w:r>
      <w:r w:rsidR="000671D2" w:rsidRPr="00D41179">
        <w:t xml:space="preserve"> </w:t>
      </w:r>
      <w:r w:rsidR="00CB5592" w:rsidRPr="00D41179">
        <w:t>per QALY</w:t>
      </w:r>
      <w:r w:rsidR="000671D2" w:rsidRPr="00D41179">
        <w:t xml:space="preserve"> depending on the source of </w:t>
      </w:r>
      <w:r w:rsidR="007D4941" w:rsidRPr="00D41179">
        <w:t>HZ incidence</w:t>
      </w:r>
      <w:r w:rsidR="00432374" w:rsidRPr="00D41179">
        <w:t xml:space="preserve">, paragraph 5.7, RZV </w:t>
      </w:r>
      <w:r w:rsidR="00E44D89" w:rsidRPr="00D41179">
        <w:t>PSD</w:t>
      </w:r>
      <w:r w:rsidR="00432374" w:rsidRPr="00D41179">
        <w:t>, July 2023 PBAC meeting</w:t>
      </w:r>
      <w:r w:rsidR="00CB5592" w:rsidRPr="00D41179">
        <w:t xml:space="preserve">). </w:t>
      </w:r>
    </w:p>
    <w:p w14:paraId="6CAC882B" w14:textId="22B84F20" w:rsidR="00E5638B" w:rsidRPr="00D41179" w:rsidRDefault="003F3DD0" w:rsidP="005B1D08">
      <w:pPr>
        <w:pStyle w:val="3-BodyText"/>
        <w:rPr>
          <w:lang w:val="en-GB"/>
        </w:rPr>
      </w:pPr>
      <w:bookmarkStart w:id="75" w:name="_Ref216189705"/>
      <w:r w:rsidRPr="00D41179">
        <w:rPr>
          <w:lang w:val="en-GB"/>
        </w:rPr>
        <w:t xml:space="preserve">The PBAC noted the economic model was sensitive to assumptions regarding </w:t>
      </w:r>
      <w:r w:rsidR="006C2CC4" w:rsidRPr="00D41179">
        <w:rPr>
          <w:lang w:val="en-GB"/>
        </w:rPr>
        <w:t xml:space="preserve">long term </w:t>
      </w:r>
      <w:r w:rsidR="00841F2C" w:rsidRPr="00D41179">
        <w:rPr>
          <w:lang w:val="en-GB"/>
        </w:rPr>
        <w:t>VE</w:t>
      </w:r>
      <w:r w:rsidR="00C75B2B" w:rsidRPr="00D41179">
        <w:rPr>
          <w:lang w:val="en-GB"/>
        </w:rPr>
        <w:t xml:space="preserve"> and how quickly VE would wan</w:t>
      </w:r>
      <w:r w:rsidR="001652B7" w:rsidRPr="00D41179">
        <w:rPr>
          <w:lang w:val="en-GB"/>
        </w:rPr>
        <w:t>e. The PBAC noted the model assumed VE</w:t>
      </w:r>
      <w:r w:rsidR="001652B7" w:rsidRPr="00D41179">
        <w:rPr>
          <w:vertAlign w:val="subscript"/>
          <w:lang w:val="en-GB"/>
        </w:rPr>
        <w:t>HZ</w:t>
      </w:r>
      <w:r w:rsidR="001652B7" w:rsidRPr="00D41179">
        <w:rPr>
          <w:lang w:val="en-GB"/>
        </w:rPr>
        <w:t xml:space="preserve"> of </w:t>
      </w:r>
      <w:r w:rsidR="00A77284" w:rsidRPr="00D41179">
        <w:rPr>
          <w:lang w:val="en-GB"/>
        </w:rPr>
        <w:t xml:space="preserve">more than </w:t>
      </w:r>
      <w:r w:rsidR="001652B7" w:rsidRPr="00D41179">
        <w:rPr>
          <w:lang w:val="en-GB"/>
        </w:rPr>
        <w:t>5</w:t>
      </w:r>
      <w:r w:rsidR="00A77284" w:rsidRPr="00D41179">
        <w:rPr>
          <w:lang w:val="en-GB"/>
        </w:rPr>
        <w:t>0</w:t>
      </w:r>
      <w:r w:rsidR="00E82E3A" w:rsidRPr="00D41179">
        <w:rPr>
          <w:lang w:val="en-GB"/>
        </w:rPr>
        <w:t>%</w:t>
      </w:r>
      <w:r w:rsidR="001652B7" w:rsidRPr="00D41179">
        <w:rPr>
          <w:lang w:val="en-GB"/>
        </w:rPr>
        <w:t xml:space="preserve"> at 20 years</w:t>
      </w:r>
      <w:r w:rsidR="00C5142C" w:rsidRPr="00D41179">
        <w:rPr>
          <w:lang w:val="en-GB"/>
        </w:rPr>
        <w:t xml:space="preserve"> post-vaccination</w:t>
      </w:r>
      <w:r w:rsidR="001652B7" w:rsidRPr="00D41179">
        <w:rPr>
          <w:lang w:val="en-GB"/>
        </w:rPr>
        <w:t xml:space="preserve">. </w:t>
      </w:r>
      <w:r w:rsidR="002C52C6" w:rsidRPr="00D41179">
        <w:rPr>
          <w:lang w:val="en-GB"/>
        </w:rPr>
        <w:t xml:space="preserve">The PBAC </w:t>
      </w:r>
      <w:r w:rsidRPr="00D41179">
        <w:rPr>
          <w:lang w:val="en-GB"/>
        </w:rPr>
        <w:t xml:space="preserve">noted the </w:t>
      </w:r>
      <w:r w:rsidR="005229CF" w:rsidRPr="00D41179">
        <w:rPr>
          <w:lang w:val="en-GB"/>
        </w:rPr>
        <w:t xml:space="preserve">economic model </w:t>
      </w:r>
      <w:r w:rsidRPr="00D41179">
        <w:rPr>
          <w:lang w:val="en-GB"/>
        </w:rPr>
        <w:t>appl</w:t>
      </w:r>
      <w:r w:rsidR="005229CF" w:rsidRPr="00D41179">
        <w:rPr>
          <w:lang w:val="en-GB"/>
        </w:rPr>
        <w:t xml:space="preserve">ied </w:t>
      </w:r>
      <w:r w:rsidRPr="00D41179">
        <w:rPr>
          <w:lang w:val="en-GB"/>
        </w:rPr>
        <w:t xml:space="preserve">different waning rates to individuals </w:t>
      </w:r>
      <w:r w:rsidR="00B44006" w:rsidRPr="00D41179">
        <w:rPr>
          <w:lang w:val="en-GB"/>
        </w:rPr>
        <w:t xml:space="preserve">&lt; </w:t>
      </w:r>
      <w:r w:rsidRPr="00D41179">
        <w:rPr>
          <w:lang w:val="en-GB"/>
        </w:rPr>
        <w:t xml:space="preserve">70 years of age and </w:t>
      </w:r>
      <w:r w:rsidR="00B44006" w:rsidRPr="00D41179">
        <w:rPr>
          <w:rFonts w:cstheme="minorHAnsi"/>
          <w:lang w:val="en-GB"/>
        </w:rPr>
        <w:t>≥</w:t>
      </w:r>
      <w:r w:rsidR="00B44006" w:rsidRPr="00D41179">
        <w:rPr>
          <w:lang w:val="en-GB"/>
        </w:rPr>
        <w:t xml:space="preserve"> 70 years of age (see paragraph </w:t>
      </w:r>
      <w:r w:rsidR="004F0BA9" w:rsidRPr="00D41179">
        <w:rPr>
          <w:lang w:val="en-GB"/>
        </w:rPr>
        <w:fldChar w:fldCharType="begin"/>
      </w:r>
      <w:r w:rsidR="004F0BA9" w:rsidRPr="00D41179">
        <w:rPr>
          <w:lang w:val="en-GB"/>
        </w:rPr>
        <w:instrText xml:space="preserve"> REF _Ref215926525 \r \h </w:instrText>
      </w:r>
      <w:r w:rsidR="00D41179">
        <w:rPr>
          <w:lang w:val="en-GB"/>
        </w:rPr>
        <w:instrText xml:space="preserve"> \* MERGEFORMAT </w:instrText>
      </w:r>
      <w:r w:rsidR="004F0BA9" w:rsidRPr="00D41179">
        <w:rPr>
          <w:lang w:val="en-GB"/>
        </w:rPr>
      </w:r>
      <w:r w:rsidR="004F0BA9" w:rsidRPr="00D41179">
        <w:rPr>
          <w:lang w:val="en-GB"/>
        </w:rPr>
        <w:fldChar w:fldCharType="separate"/>
      </w:r>
      <w:r w:rsidR="000F75F1">
        <w:rPr>
          <w:lang w:val="en-GB"/>
        </w:rPr>
        <w:t>6.51</w:t>
      </w:r>
      <w:r w:rsidR="004F0BA9" w:rsidRPr="00D41179">
        <w:rPr>
          <w:lang w:val="en-GB"/>
        </w:rPr>
        <w:fldChar w:fldCharType="end"/>
      </w:r>
      <w:r w:rsidR="004F0BA9" w:rsidRPr="00D41179">
        <w:rPr>
          <w:lang w:val="en-GB"/>
        </w:rPr>
        <w:t>)</w:t>
      </w:r>
      <w:r w:rsidR="00FF2A5B" w:rsidRPr="00D41179">
        <w:rPr>
          <w:lang w:val="en-GB"/>
        </w:rPr>
        <w:t xml:space="preserve"> which</w:t>
      </w:r>
      <w:r w:rsidR="005229CF" w:rsidRPr="00D41179">
        <w:rPr>
          <w:lang w:val="en-GB"/>
        </w:rPr>
        <w:t xml:space="preserve"> resulted in</w:t>
      </w:r>
      <w:r w:rsidR="00474135" w:rsidRPr="00D41179">
        <w:rPr>
          <w:lang w:val="en-GB"/>
        </w:rPr>
        <w:t xml:space="preserve"> </w:t>
      </w:r>
      <w:r w:rsidR="00B00A43" w:rsidRPr="00D41179">
        <w:rPr>
          <w:lang w:val="en-GB"/>
        </w:rPr>
        <w:t>VE wan</w:t>
      </w:r>
      <w:r w:rsidR="005229CF" w:rsidRPr="00D41179">
        <w:rPr>
          <w:lang w:val="en-GB"/>
        </w:rPr>
        <w:t xml:space="preserve">ing </w:t>
      </w:r>
      <w:r w:rsidR="00B00A43" w:rsidRPr="00D41179">
        <w:rPr>
          <w:lang w:val="en-GB"/>
        </w:rPr>
        <w:t>faster after 10 years for individual</w:t>
      </w:r>
      <w:r w:rsidR="005229CF" w:rsidRPr="00D41179">
        <w:rPr>
          <w:lang w:val="en-GB"/>
        </w:rPr>
        <w:t>s</w:t>
      </w:r>
      <w:r w:rsidR="00B00A43" w:rsidRPr="00D41179">
        <w:rPr>
          <w:lang w:val="en-GB"/>
        </w:rPr>
        <w:t xml:space="preserve"> vaccinated at 60 years of age compared to after 5 years for individual vaccinated at 65 years of age. </w:t>
      </w:r>
      <w:r w:rsidR="0000214F" w:rsidRPr="00D41179">
        <w:rPr>
          <w:lang w:val="en-GB"/>
        </w:rPr>
        <w:t xml:space="preserve">The PBAC noted </w:t>
      </w:r>
      <w:r w:rsidR="006E0365" w:rsidRPr="00D41179">
        <w:rPr>
          <w:lang w:val="en-GB"/>
        </w:rPr>
        <w:t>a</w:t>
      </w:r>
      <w:r w:rsidR="0000214F" w:rsidRPr="00D41179">
        <w:rPr>
          <w:lang w:val="en-GB"/>
        </w:rPr>
        <w:t>pplying a</w:t>
      </w:r>
      <w:r w:rsidR="00D116F6" w:rsidRPr="00D41179">
        <w:rPr>
          <w:lang w:val="en-GB"/>
        </w:rPr>
        <w:t xml:space="preserve"> constant</w:t>
      </w:r>
      <w:r w:rsidR="0000214F" w:rsidRPr="00D41179">
        <w:rPr>
          <w:lang w:val="en-GB"/>
        </w:rPr>
        <w:t xml:space="preserve"> annual waning of 1.2% </w:t>
      </w:r>
      <w:r w:rsidR="007411D5" w:rsidRPr="00D41179">
        <w:rPr>
          <w:lang w:val="en-GB"/>
        </w:rPr>
        <w:t xml:space="preserve">to </w:t>
      </w:r>
      <w:r w:rsidR="001A0486" w:rsidRPr="00D41179">
        <w:rPr>
          <w:lang w:val="en-GB"/>
        </w:rPr>
        <w:t xml:space="preserve">all individuals </w:t>
      </w:r>
      <w:r w:rsidR="00A16B8F" w:rsidRPr="00D41179">
        <w:rPr>
          <w:lang w:val="en-GB"/>
        </w:rPr>
        <w:t xml:space="preserve">decreased the ICER by </w:t>
      </w:r>
      <w:r w:rsidR="000E1EB2" w:rsidRPr="000E1EB2">
        <w:rPr>
          <w:sz w:val="2"/>
          <w:highlight w:val="black"/>
          <w:lang w:val="en-GB"/>
        </w:rPr>
        <w:t>redacted content</w:t>
      </w:r>
      <w:r w:rsidR="00A16B8F" w:rsidRPr="00D41179">
        <w:rPr>
          <w:lang w:val="en-GB"/>
        </w:rPr>
        <w:t>% and applying a</w:t>
      </w:r>
      <w:r w:rsidR="00D116F6" w:rsidRPr="00D41179">
        <w:rPr>
          <w:lang w:val="en-GB"/>
        </w:rPr>
        <w:t xml:space="preserve"> constant</w:t>
      </w:r>
      <w:r w:rsidR="00A16B8F" w:rsidRPr="00D41179">
        <w:rPr>
          <w:lang w:val="en-GB"/>
        </w:rPr>
        <w:t xml:space="preserve"> annual waning of 2.1% </w:t>
      </w:r>
      <w:r w:rsidR="00D27719" w:rsidRPr="00D41179">
        <w:rPr>
          <w:lang w:val="en-GB"/>
        </w:rPr>
        <w:t xml:space="preserve">(i.e., a difference of </w:t>
      </w:r>
      <w:r w:rsidR="00746041" w:rsidRPr="00D41179">
        <w:rPr>
          <w:lang w:val="en-GB"/>
        </w:rPr>
        <w:t xml:space="preserve">less than </w:t>
      </w:r>
      <w:r w:rsidR="00D27719" w:rsidRPr="00D41179">
        <w:rPr>
          <w:lang w:val="en-GB"/>
        </w:rPr>
        <w:t xml:space="preserve">one percentage point) </w:t>
      </w:r>
      <w:r w:rsidR="00A16B8F" w:rsidRPr="00D41179">
        <w:rPr>
          <w:lang w:val="en-GB"/>
        </w:rPr>
        <w:t xml:space="preserve">increased the </w:t>
      </w:r>
      <w:r w:rsidR="00D27719" w:rsidRPr="00D41179">
        <w:rPr>
          <w:lang w:val="en-GB"/>
        </w:rPr>
        <w:t>ICER</w:t>
      </w:r>
      <w:r w:rsidR="00A16B8F" w:rsidRPr="00D41179">
        <w:rPr>
          <w:lang w:val="en-GB"/>
        </w:rPr>
        <w:t xml:space="preserve"> by </w:t>
      </w:r>
      <w:r w:rsidR="000E1EB2" w:rsidRPr="000E1EB2">
        <w:rPr>
          <w:sz w:val="2"/>
          <w:highlight w:val="black"/>
          <w:lang w:val="en-GB"/>
        </w:rPr>
        <w:t>redacted content</w:t>
      </w:r>
      <w:r w:rsidR="006E0365" w:rsidRPr="00D41179">
        <w:rPr>
          <w:lang w:val="en-GB"/>
        </w:rPr>
        <w:t xml:space="preserve">%. </w:t>
      </w:r>
      <w:r w:rsidR="00282BD6" w:rsidRPr="00D41179">
        <w:rPr>
          <w:lang w:val="en-GB"/>
        </w:rPr>
        <w:t>Additionally</w:t>
      </w:r>
      <w:r w:rsidR="001A0486" w:rsidRPr="00D41179">
        <w:rPr>
          <w:lang w:val="en-GB"/>
        </w:rPr>
        <w:t xml:space="preserve">, the PBAC noted the ESC considered it </w:t>
      </w:r>
      <w:r w:rsidR="00282BD6" w:rsidRPr="00D41179">
        <w:rPr>
          <w:lang w:val="en-GB"/>
        </w:rPr>
        <w:t>remained uncertain i</w:t>
      </w:r>
      <w:r w:rsidR="006B6DEC" w:rsidRPr="00D41179">
        <w:rPr>
          <w:lang w:val="en-GB"/>
        </w:rPr>
        <w:t>f</w:t>
      </w:r>
      <w:r w:rsidR="00282BD6" w:rsidRPr="00D41179">
        <w:rPr>
          <w:lang w:val="en-GB"/>
        </w:rPr>
        <w:t xml:space="preserve"> a linear waning model was reasonable and the PBAC noted it was not possible to assess the impact o</w:t>
      </w:r>
      <w:r w:rsidR="006B6DEC" w:rsidRPr="00D41179">
        <w:rPr>
          <w:lang w:val="en-GB"/>
        </w:rPr>
        <w:t>n cost-effectiveness of</w:t>
      </w:r>
      <w:r w:rsidR="00282BD6" w:rsidRPr="00D41179">
        <w:rPr>
          <w:lang w:val="en-GB"/>
        </w:rPr>
        <w:t xml:space="preserve"> assuming non-linear waning.</w:t>
      </w:r>
      <w:bookmarkEnd w:id="75"/>
      <w:r w:rsidR="00282BD6" w:rsidRPr="00D41179">
        <w:rPr>
          <w:lang w:val="en-GB"/>
        </w:rPr>
        <w:t xml:space="preserve"> </w:t>
      </w:r>
    </w:p>
    <w:p w14:paraId="7C6FA90F" w14:textId="7FA699A5" w:rsidR="00016373" w:rsidRPr="00D41179" w:rsidRDefault="00016373">
      <w:pPr>
        <w:pStyle w:val="3-BodyText"/>
        <w:rPr>
          <w:lang w:val="en-GB"/>
        </w:rPr>
      </w:pPr>
      <w:r w:rsidRPr="00D41179">
        <w:rPr>
          <w:lang w:val="en"/>
        </w:rPr>
        <w:t>Noting concerns regarding the model assumptions (</w:t>
      </w:r>
      <w:r w:rsidR="00081A1E" w:rsidRPr="00D41179">
        <w:rPr>
          <w:lang w:val="en"/>
        </w:rPr>
        <w:t xml:space="preserve">as outlined in paragraph </w:t>
      </w:r>
      <w:r w:rsidR="00081A1E" w:rsidRPr="00D41179">
        <w:rPr>
          <w:lang w:val="en"/>
        </w:rPr>
        <w:fldChar w:fldCharType="begin"/>
      </w:r>
      <w:r w:rsidR="00081A1E" w:rsidRPr="00D41179">
        <w:rPr>
          <w:lang w:val="en"/>
        </w:rPr>
        <w:instrText xml:space="preserve"> REF _Ref216189705 \r \h </w:instrText>
      </w:r>
      <w:r w:rsidR="00D41179">
        <w:rPr>
          <w:lang w:val="en"/>
        </w:rPr>
        <w:instrText xml:space="preserve"> \* MERGEFORMAT </w:instrText>
      </w:r>
      <w:r w:rsidR="00081A1E" w:rsidRPr="00D41179">
        <w:rPr>
          <w:lang w:val="en"/>
        </w:rPr>
      </w:r>
      <w:r w:rsidR="00081A1E" w:rsidRPr="00D41179">
        <w:rPr>
          <w:lang w:val="en"/>
        </w:rPr>
        <w:fldChar w:fldCharType="separate"/>
      </w:r>
      <w:r w:rsidR="000F75F1">
        <w:rPr>
          <w:lang w:val="en"/>
        </w:rPr>
        <w:t>7.9</w:t>
      </w:r>
      <w:r w:rsidR="00081A1E" w:rsidRPr="00D41179">
        <w:rPr>
          <w:lang w:val="en"/>
        </w:rPr>
        <w:fldChar w:fldCharType="end"/>
      </w:r>
      <w:r w:rsidRPr="00D41179">
        <w:rPr>
          <w:lang w:val="en"/>
        </w:rPr>
        <w:t>), the PBAC noted the economic model predicted vaccinating 1 million individuals at 60 years of age rather than 65 years of age would result in 48,459 fewer HZ cases in individuals aged 60 to 64 years. However, this is offset by an additional 14,053 HZ cases in individuals aged 65</w:t>
      </w:r>
      <w:r w:rsidR="005F5010" w:rsidRPr="00D41179">
        <w:rPr>
          <w:lang w:val="en"/>
        </w:rPr>
        <w:t xml:space="preserve"> to </w:t>
      </w:r>
      <w:r w:rsidRPr="00D41179">
        <w:rPr>
          <w:lang w:val="en"/>
        </w:rPr>
        <w:t>100</w:t>
      </w:r>
      <w:r w:rsidR="005F5010" w:rsidRPr="00D41179">
        <w:rPr>
          <w:lang w:val="en"/>
        </w:rPr>
        <w:t xml:space="preserve"> years</w:t>
      </w:r>
      <w:r w:rsidRPr="00D41179">
        <w:rPr>
          <w:lang w:val="en"/>
        </w:rPr>
        <w:t xml:space="preserve">, including an additional 4,027 HZ cases in individuals aged ≥ 80 years. The PBAC considered the more serious sequelae of HZ that can be experienced by older cohorts may not have been adequately captured in the model given the QALY loss per HZ case in individuals over 80 years of age was only marginally higher than the QALY loss in individuals 60 to 69 years of age </w:t>
      </w:r>
      <w:r w:rsidR="005F5010" w:rsidRPr="00D41179">
        <w:rPr>
          <w:lang w:val="en"/>
        </w:rPr>
        <w:t xml:space="preserve">(see paragraph </w:t>
      </w:r>
      <w:r w:rsidR="000516F7" w:rsidRPr="00D41179">
        <w:rPr>
          <w:lang w:val="en"/>
        </w:rPr>
        <w:fldChar w:fldCharType="begin"/>
      </w:r>
      <w:r w:rsidR="000516F7" w:rsidRPr="00D41179">
        <w:rPr>
          <w:lang w:val="en"/>
        </w:rPr>
        <w:instrText xml:space="preserve"> REF _Ref216188590 \r \h </w:instrText>
      </w:r>
      <w:r w:rsidR="00D41179">
        <w:rPr>
          <w:lang w:val="en"/>
        </w:rPr>
        <w:instrText xml:space="preserve"> \* MERGEFORMAT </w:instrText>
      </w:r>
      <w:r w:rsidR="000516F7" w:rsidRPr="00D41179">
        <w:rPr>
          <w:lang w:val="en"/>
        </w:rPr>
      </w:r>
      <w:r w:rsidR="000516F7" w:rsidRPr="00D41179">
        <w:rPr>
          <w:lang w:val="en"/>
        </w:rPr>
        <w:fldChar w:fldCharType="separate"/>
      </w:r>
      <w:r w:rsidR="000F75F1">
        <w:rPr>
          <w:lang w:val="en"/>
        </w:rPr>
        <w:t>6.53</w:t>
      </w:r>
      <w:r w:rsidR="000516F7" w:rsidRPr="00D41179">
        <w:rPr>
          <w:lang w:val="en"/>
        </w:rPr>
        <w:fldChar w:fldCharType="end"/>
      </w:r>
      <w:r w:rsidR="000516F7" w:rsidRPr="00D41179">
        <w:rPr>
          <w:lang w:val="en"/>
        </w:rPr>
        <w:t>)</w:t>
      </w:r>
      <w:r w:rsidRPr="00D41179">
        <w:rPr>
          <w:lang w:val="en"/>
        </w:rPr>
        <w:t>.</w:t>
      </w:r>
    </w:p>
    <w:p w14:paraId="7520CDE7" w14:textId="69616092" w:rsidR="00602E90" w:rsidRPr="00D41179" w:rsidRDefault="00CD0B39" w:rsidP="00602E90">
      <w:pPr>
        <w:pStyle w:val="3-BodyText"/>
        <w:rPr>
          <w:lang w:val="en-GB"/>
        </w:rPr>
      </w:pPr>
      <w:r w:rsidRPr="00D41179">
        <w:rPr>
          <w:lang w:val="en-GB"/>
        </w:rPr>
        <w:t xml:space="preserve">The PBAC noted the incremental cost of lowering the age of vaccination </w:t>
      </w:r>
      <w:r w:rsidR="00A5517A" w:rsidRPr="00D41179">
        <w:rPr>
          <w:lang w:val="en-GB"/>
        </w:rPr>
        <w:t xml:space="preserve">from 65 to 60 years of age </w:t>
      </w:r>
      <w:r w:rsidRPr="00D41179">
        <w:rPr>
          <w:lang w:val="en-GB"/>
        </w:rPr>
        <w:t>was high</w:t>
      </w:r>
      <w:r w:rsidR="00F32ED1" w:rsidRPr="00D41179">
        <w:rPr>
          <w:lang w:val="en-GB"/>
        </w:rPr>
        <w:t xml:space="preserve"> ($</w:t>
      </w:r>
      <w:r w:rsidR="000E1EB2" w:rsidRPr="000E1EB2">
        <w:rPr>
          <w:sz w:val="2"/>
          <w:highlight w:val="black"/>
          <w:lang w:val="en-GB"/>
        </w:rPr>
        <w:t>redacted content</w:t>
      </w:r>
      <w:r w:rsidR="00F32ED1" w:rsidRPr="00D41179">
        <w:rPr>
          <w:lang w:val="en-GB"/>
        </w:rPr>
        <w:t xml:space="preserve"> over 6 years</w:t>
      </w:r>
      <w:r w:rsidR="004338D3" w:rsidRPr="00D41179">
        <w:rPr>
          <w:lang w:val="en-GB"/>
        </w:rPr>
        <w:t xml:space="preserve"> in the PSCR</w:t>
      </w:r>
      <w:r w:rsidR="00F32ED1" w:rsidRPr="00D41179">
        <w:rPr>
          <w:lang w:val="en-GB"/>
        </w:rPr>
        <w:t>)</w:t>
      </w:r>
      <w:r w:rsidRPr="00D41179">
        <w:rPr>
          <w:lang w:val="en-GB"/>
        </w:rPr>
        <w:t xml:space="preserve">. </w:t>
      </w:r>
    </w:p>
    <w:p w14:paraId="7A63A10A" w14:textId="54668752" w:rsidR="00984A3B" w:rsidRPr="00D41179" w:rsidRDefault="00076AF5" w:rsidP="00076AF5">
      <w:pPr>
        <w:pStyle w:val="3-BodyText"/>
        <w:rPr>
          <w:snapToGrid w:val="0"/>
          <w:lang w:val="en-GB"/>
        </w:rPr>
      </w:pPr>
      <w:r w:rsidRPr="00D41179">
        <w:t>The PBAC noted that this submission is not eligible for an independent review as independent review is only relevant to requests for PBS listing</w:t>
      </w:r>
      <w:r w:rsidR="000A33D6" w:rsidRPr="00D41179">
        <w:t>.</w:t>
      </w:r>
    </w:p>
    <w:p w14:paraId="68BFF9EC" w14:textId="2C535B5C" w:rsidR="005B1D08" w:rsidRPr="00D41179" w:rsidRDefault="005B1D08" w:rsidP="005B1D08">
      <w:pPr>
        <w:pStyle w:val="3-BodyText"/>
        <w:numPr>
          <w:ilvl w:val="0"/>
          <w:numId w:val="0"/>
        </w:numPr>
        <w:rPr>
          <w:b/>
          <w:bCs/>
          <w:lang w:val="en-GB"/>
        </w:rPr>
      </w:pPr>
      <w:r w:rsidRPr="00D41179">
        <w:rPr>
          <w:b/>
          <w:bCs/>
          <w:lang w:val="en-GB"/>
        </w:rPr>
        <w:t>Outcome:</w:t>
      </w:r>
    </w:p>
    <w:p w14:paraId="011EAB2F" w14:textId="5CE61080" w:rsidR="005B1D08" w:rsidRPr="00D41179" w:rsidRDefault="005B1D08" w:rsidP="005B1D08">
      <w:pPr>
        <w:pStyle w:val="3-BodyText"/>
        <w:numPr>
          <w:ilvl w:val="0"/>
          <w:numId w:val="0"/>
        </w:numPr>
        <w:rPr>
          <w:lang w:val="en-GB"/>
        </w:rPr>
      </w:pPr>
      <w:r w:rsidRPr="00D41179">
        <w:rPr>
          <w:lang w:val="en-GB"/>
        </w:rPr>
        <w:t>Not recommended.</w:t>
      </w:r>
    </w:p>
    <w:p w14:paraId="05ECD0C4" w14:textId="77777777" w:rsidR="005B1D08" w:rsidRPr="00D41179" w:rsidRDefault="005B1D08" w:rsidP="005B1D08">
      <w:pPr>
        <w:pStyle w:val="3-BodyText"/>
        <w:numPr>
          <w:ilvl w:val="0"/>
          <w:numId w:val="0"/>
        </w:numPr>
        <w:rPr>
          <w:lang w:val="en-GB"/>
        </w:rPr>
      </w:pPr>
    </w:p>
    <w:p w14:paraId="3C7AAF01" w14:textId="1180FCEC" w:rsidR="00C91386" w:rsidRPr="00D41179" w:rsidRDefault="00C91386" w:rsidP="00C91386">
      <w:pPr>
        <w:pStyle w:val="2-SectionHeading"/>
        <w:rPr>
          <w:lang w:val="en-GB"/>
        </w:rPr>
      </w:pPr>
      <w:r w:rsidRPr="00D41179">
        <w:rPr>
          <w:lang w:val="en-GB"/>
        </w:rPr>
        <w:t>Context for Decision</w:t>
      </w:r>
    </w:p>
    <w:p w14:paraId="499888A3" w14:textId="542DF36A" w:rsidR="00C91386" w:rsidRPr="00D41179" w:rsidRDefault="00C91386" w:rsidP="00C91386">
      <w:pPr>
        <w:pStyle w:val="3-BodyText"/>
        <w:numPr>
          <w:ilvl w:val="0"/>
          <w:numId w:val="0"/>
        </w:numPr>
        <w:ind w:left="720"/>
        <w:rPr>
          <w:lang w:val="en-GB"/>
        </w:rPr>
      </w:pPr>
      <w:r w:rsidRPr="00D41179">
        <w:rPr>
          <w:lang w:val="en-GB"/>
        </w:rPr>
        <w:t xml:space="preserve">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w:t>
      </w:r>
      <w:r w:rsidRPr="00D41179">
        <w:rPr>
          <w:lang w:val="en-GB"/>
        </w:rPr>
        <w:lastRenderedPageBreak/>
        <w:t>through the PBS. The PBAC welcomes applications containing new information at any time.</w:t>
      </w:r>
    </w:p>
    <w:p w14:paraId="7BBEB5CB" w14:textId="75219B0B" w:rsidR="00C91386" w:rsidRPr="00D41179" w:rsidRDefault="00C91386" w:rsidP="00C91386">
      <w:pPr>
        <w:pStyle w:val="2-SectionHeading"/>
        <w:rPr>
          <w:lang w:val="en-GB"/>
        </w:rPr>
      </w:pPr>
      <w:r w:rsidRPr="00D41179">
        <w:rPr>
          <w:lang w:val="en-GB"/>
        </w:rPr>
        <w:t>Sponsor’s Comment</w:t>
      </w:r>
    </w:p>
    <w:p w14:paraId="61CD6F82" w14:textId="058410F8" w:rsidR="005B1D08" w:rsidRDefault="00140E09" w:rsidP="00AC13B9">
      <w:pPr>
        <w:pStyle w:val="3-BodyText"/>
        <w:numPr>
          <w:ilvl w:val="0"/>
          <w:numId w:val="0"/>
        </w:numPr>
        <w:ind w:left="709"/>
        <w:rPr>
          <w:lang w:val="en-GB"/>
        </w:rPr>
      </w:pPr>
      <w:r w:rsidRPr="00D41179">
        <w:t>GSK acknowledges the PBAC’s decision regarding Shingrix for adults aged 60–64 years. We remain committed to ensuring Australians have access to effective prevention against shingles and its complications. Herpes zoster continues to impose a significant impact on health, productivity and quality-of-life burden, and vaccination is the most effective way to reduce this risk. We look forward to continuing to work with the Government to improve coverage in the existing populations, while also seeking to expand eligibility for Shingrix vaccination on the NIP to populations who remain at risk of shingles.</w:t>
      </w:r>
    </w:p>
    <w:p w14:paraId="158F3206" w14:textId="77777777" w:rsidR="005B1D08" w:rsidRPr="00984A3B" w:rsidRDefault="005B1D08" w:rsidP="00AC13B9">
      <w:pPr>
        <w:pStyle w:val="3-BodyText"/>
        <w:numPr>
          <w:ilvl w:val="0"/>
          <w:numId w:val="0"/>
        </w:numPr>
        <w:ind w:left="709"/>
        <w:rPr>
          <w:lang w:val="en-GB"/>
        </w:rPr>
      </w:pPr>
    </w:p>
    <w:sectPr w:rsidR="005B1D08" w:rsidRPr="00984A3B" w:rsidSect="004C7790">
      <w:headerReference w:type="even" r:id="rId15"/>
      <w:headerReference w:type="default" r:id="rId16"/>
      <w:footerReference w:type="even" r:id="rId17"/>
      <w:footerReference w:type="default" r:id="rId18"/>
      <w:headerReference w:type="first" r:id="rId19"/>
      <w:footerReference w:type="first" r:id="rId20"/>
      <w:pgSz w:w="11907" w:h="16840" w:code="9"/>
      <w:pgMar w:top="1440" w:right="1440" w:bottom="1440" w:left="1440" w:header="1440" w:footer="14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0AF717" w14:textId="77777777" w:rsidR="008F70ED" w:rsidRDefault="008F70ED" w:rsidP="00124A51">
      <w:r>
        <w:separator/>
      </w:r>
    </w:p>
    <w:p w14:paraId="7FB5FC40" w14:textId="77777777" w:rsidR="008F70ED" w:rsidRDefault="008F70ED"/>
  </w:endnote>
  <w:endnote w:type="continuationSeparator" w:id="0">
    <w:p w14:paraId="7335B918" w14:textId="77777777" w:rsidR="008F70ED" w:rsidRDefault="008F70ED" w:rsidP="00124A51">
      <w:r>
        <w:continuationSeparator/>
      </w:r>
    </w:p>
    <w:p w14:paraId="6F0AB1F8" w14:textId="77777777" w:rsidR="008F70ED" w:rsidRDefault="008F70E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MS Mincho">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7C3E2C" w14:textId="3330DAB1" w:rsidR="008305D3" w:rsidRDefault="004429AB">
    <w:pPr>
      <w:pStyle w:val="Footer"/>
    </w:pPr>
    <w:r>
      <w:rPr>
        <w:noProof/>
      </w:rPr>
      <mc:AlternateContent>
        <mc:Choice Requires="wps">
          <w:drawing>
            <wp:anchor distT="0" distB="0" distL="0" distR="0" simplePos="0" relativeHeight="251663365" behindDoc="0" locked="0" layoutInCell="1" allowOverlap="1" wp14:anchorId="744274EA" wp14:editId="38849681">
              <wp:simplePos x="635" y="635"/>
              <wp:positionH relativeFrom="page">
                <wp:align>center</wp:align>
              </wp:positionH>
              <wp:positionV relativeFrom="page">
                <wp:align>bottom</wp:align>
              </wp:positionV>
              <wp:extent cx="622300" cy="376555"/>
              <wp:effectExtent l="0" t="0" r="6350" b="0"/>
              <wp:wrapNone/>
              <wp:docPr id="175871843" name="Text Box 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01948DC9" w14:textId="3B10073A" w:rsidR="004429AB" w:rsidRPr="004429AB" w:rsidRDefault="004429AB" w:rsidP="004429AB">
                          <w:pPr>
                            <w:rPr>
                              <w:rFonts w:ascii="Aptos" w:eastAsia="Aptos" w:hAnsi="Aptos" w:cs="Aptos"/>
                              <w:noProof/>
                              <w:color w:val="FF0000"/>
                            </w:rPr>
                          </w:pPr>
                          <w:r w:rsidRPr="004429AB">
                            <w:rPr>
                              <w:rFonts w:ascii="Aptos" w:eastAsia="Aptos" w:hAnsi="Aptos" w:cs="Aptos"/>
                              <w:noProof/>
                              <w:color w:val="FF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44274EA" id="_x0000_t202" coordsize="21600,21600" o:spt="202" path="m,l,21600r21600,l21600,xe">
              <v:stroke joinstyle="miter"/>
              <v:path gradientshapeok="t" o:connecttype="rect"/>
            </v:shapetype>
            <v:shape id="Text Box 5" o:spid="_x0000_s1028" type="#_x0000_t202" alt="OFFICIAL" style="position:absolute;left:0;text-align:left;margin-left:0;margin-top:0;width:49pt;height:29.65pt;z-index:251663365;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" filled="f" stroked="f">
              <v:textbox style="mso-fit-shape-to-text:t" inset="0,0,0,15pt">
                <w:txbxContent>
                  <w:p w14:paraId="01948DC9" w14:textId="3B10073A" w:rsidR="004429AB" w:rsidRPr="004429AB" w:rsidRDefault="004429AB" w:rsidP="004429AB">
                    <w:pPr>
                      <w:rPr>
                        <w:rFonts w:ascii="Aptos" w:eastAsia="Aptos" w:hAnsi="Aptos" w:cs="Aptos"/>
                        <w:noProof/>
                        <w:color w:val="FF0000"/>
                      </w:rPr>
                    </w:pPr>
                    <w:r w:rsidRPr="004429AB">
                      <w:rPr>
                        <w:rFonts w:ascii="Aptos" w:eastAsia="Aptos" w:hAnsi="Aptos" w:cs="Aptos"/>
                        <w:noProof/>
                        <w:color w:val="FF0000"/>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063511" w14:textId="681A175B" w:rsidR="00D843F2" w:rsidRDefault="004429AB" w:rsidP="00753B29">
    <w:pPr>
      <w:pStyle w:val="Footer"/>
      <w:jc w:val="center"/>
    </w:pPr>
    <w:r>
      <w:rPr>
        <w:noProof/>
      </w:rPr>
      <mc:AlternateContent>
        <mc:Choice Requires="wps">
          <w:drawing>
            <wp:anchor distT="0" distB="0" distL="0" distR="0" simplePos="0" relativeHeight="251664389" behindDoc="0" locked="0" layoutInCell="1" allowOverlap="1" wp14:anchorId="4BFEEBFA" wp14:editId="0D3A5F65">
              <wp:simplePos x="635" y="635"/>
              <wp:positionH relativeFrom="page">
                <wp:align>center</wp:align>
              </wp:positionH>
              <wp:positionV relativeFrom="page">
                <wp:align>bottom</wp:align>
              </wp:positionV>
              <wp:extent cx="622300" cy="376555"/>
              <wp:effectExtent l="0" t="0" r="6350" b="0"/>
              <wp:wrapNone/>
              <wp:docPr id="836311259" name="Text Box 6"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2AA1B929" w14:textId="19491970" w:rsidR="004429AB" w:rsidRPr="004429AB" w:rsidRDefault="004429AB" w:rsidP="004429AB">
                          <w:pPr>
                            <w:rPr>
                              <w:rFonts w:ascii="Aptos" w:eastAsia="Aptos" w:hAnsi="Aptos" w:cs="Aptos"/>
                              <w:noProof/>
                              <w:color w:val="FF0000"/>
                            </w:rPr>
                          </w:pPr>
                          <w:r w:rsidRPr="004429AB">
                            <w:rPr>
                              <w:rFonts w:ascii="Aptos" w:eastAsia="Aptos" w:hAnsi="Aptos" w:cs="Aptos"/>
                              <w:noProof/>
                              <w:color w:val="FF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BFEEBFA" id="_x0000_t202" coordsize="21600,21600" o:spt="202" path="m,l,21600r21600,l21600,xe">
              <v:stroke joinstyle="miter"/>
              <v:path gradientshapeok="t" o:connecttype="rect"/>
            </v:shapetype>
            <v:shape id="Text Box 6" o:spid="_x0000_s1029" type="#_x0000_t202" alt="OFFICIAL" style="position:absolute;left:0;text-align:left;margin-left:0;margin-top:0;width:49pt;height:29.65pt;z-index:251664389;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" filled="f" stroked="f">
              <v:textbox style="mso-fit-shape-to-text:t" inset="0,0,0,15pt">
                <w:txbxContent>
                  <w:p w14:paraId="2AA1B929" w14:textId="19491970" w:rsidR="004429AB" w:rsidRPr="004429AB" w:rsidRDefault="004429AB" w:rsidP="004429AB">
                    <w:pPr>
                      <w:rPr>
                        <w:rFonts w:ascii="Aptos" w:eastAsia="Aptos" w:hAnsi="Aptos" w:cs="Aptos"/>
                        <w:noProof/>
                        <w:color w:val="FF0000"/>
                      </w:rPr>
                    </w:pPr>
                    <w:r w:rsidRPr="004429AB">
                      <w:rPr>
                        <w:rFonts w:ascii="Aptos" w:eastAsia="Aptos" w:hAnsi="Aptos" w:cs="Aptos"/>
                        <w:noProof/>
                        <w:color w:val="FF0000"/>
                      </w:rPr>
                      <w:t>OFFICIAL</w:t>
                    </w:r>
                  </w:p>
                </w:txbxContent>
              </v:textbox>
              <w10:wrap anchorx="page" anchory="page"/>
            </v:shape>
          </w:pict>
        </mc:Fallback>
      </mc:AlternateContent>
    </w:r>
  </w:p>
  <w:p w14:paraId="5A112387" w14:textId="166CF4F7" w:rsidR="00A233FC" w:rsidRPr="007C1CD9" w:rsidRDefault="00000000" w:rsidP="00A233FC">
    <w:pPr>
      <w:pStyle w:val="PageFooter"/>
    </w:pPr>
    <w:sdt>
      <w:sdtPr>
        <w:id w:val="1036156457"/>
        <w:docPartObj>
          <w:docPartGallery w:val="Page Numbers (Bottom of Page)"/>
          <w:docPartUnique/>
        </w:docPartObj>
      </w:sdtPr>
      <w:sdtEndPr>
        <w:rPr>
          <w:noProof/>
        </w:rPr>
      </w:sdtEndPr>
      <w:sdtContent>
        <w:r w:rsidR="00A233FC">
          <w:fldChar w:fldCharType="begin"/>
        </w:r>
        <w:r w:rsidR="00A233FC">
          <w:instrText xml:space="preserve"> PAGE   \* MERGEFORMAT </w:instrText>
        </w:r>
        <w:r w:rsidR="00A233FC">
          <w:fldChar w:fldCharType="separate"/>
        </w:r>
        <w:r w:rsidR="00A233FC">
          <w:t>i</w:t>
        </w:r>
        <w:r w:rsidR="00A233FC">
          <w:rPr>
            <w:noProof/>
          </w:rPr>
          <w:fldChar w:fldCharType="end"/>
        </w:r>
      </w:sdtContent>
    </w:sdt>
  </w:p>
  <w:p w14:paraId="37484CD3" w14:textId="7141FE47" w:rsidR="00D843F2" w:rsidRPr="007C1CD9" w:rsidRDefault="00D843F2" w:rsidP="00715E85">
    <w:pPr>
      <w:pStyle w:val="Page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443AFF" w14:textId="7E29DA09" w:rsidR="008305D3" w:rsidRDefault="004429AB">
    <w:pPr>
      <w:pStyle w:val="Footer"/>
    </w:pPr>
    <w:r>
      <w:rPr>
        <w:noProof/>
      </w:rPr>
      <mc:AlternateContent>
        <mc:Choice Requires="wps">
          <w:drawing>
            <wp:anchor distT="0" distB="0" distL="0" distR="0" simplePos="0" relativeHeight="251662341" behindDoc="0" locked="0" layoutInCell="1" allowOverlap="1" wp14:anchorId="269E9703" wp14:editId="33349840">
              <wp:simplePos x="635" y="635"/>
              <wp:positionH relativeFrom="page">
                <wp:align>center</wp:align>
              </wp:positionH>
              <wp:positionV relativeFrom="page">
                <wp:align>bottom</wp:align>
              </wp:positionV>
              <wp:extent cx="622300" cy="376555"/>
              <wp:effectExtent l="0" t="0" r="6350" b="0"/>
              <wp:wrapNone/>
              <wp:docPr id="110741996" name="Text Box 4"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77EDF6E8" w14:textId="7F262614" w:rsidR="004429AB" w:rsidRPr="004429AB" w:rsidRDefault="004429AB" w:rsidP="004429AB">
                          <w:pPr>
                            <w:rPr>
                              <w:rFonts w:ascii="Aptos" w:eastAsia="Aptos" w:hAnsi="Aptos" w:cs="Aptos"/>
                              <w:noProof/>
                              <w:color w:val="FF0000"/>
                            </w:rPr>
                          </w:pPr>
                          <w:r w:rsidRPr="004429AB">
                            <w:rPr>
                              <w:rFonts w:ascii="Aptos" w:eastAsia="Aptos" w:hAnsi="Aptos" w:cs="Aptos"/>
                              <w:noProof/>
                              <w:color w:val="FF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69E9703" id="_x0000_t202" coordsize="21600,21600" o:spt="202" path="m,l,21600r21600,l21600,xe">
              <v:stroke joinstyle="miter"/>
              <v:path gradientshapeok="t" o:connecttype="rect"/>
            </v:shapetype>
            <v:shape id="Text Box 4" o:spid="_x0000_s1031" type="#_x0000_t202" alt="OFFICIAL" style="position:absolute;left:0;text-align:left;margin-left:0;margin-top:0;width:49pt;height:29.65pt;z-index:251662341;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" filled="f" stroked="f">
              <v:textbox style="mso-fit-shape-to-text:t" inset="0,0,0,15pt">
                <w:txbxContent>
                  <w:p w14:paraId="77EDF6E8" w14:textId="7F262614" w:rsidR="004429AB" w:rsidRPr="004429AB" w:rsidRDefault="004429AB" w:rsidP="004429AB">
                    <w:pPr>
                      <w:rPr>
                        <w:rFonts w:ascii="Aptos" w:eastAsia="Aptos" w:hAnsi="Aptos" w:cs="Aptos"/>
                        <w:noProof/>
                        <w:color w:val="FF0000"/>
                      </w:rPr>
                    </w:pPr>
                    <w:r w:rsidRPr="004429AB">
                      <w:rPr>
                        <w:rFonts w:ascii="Aptos" w:eastAsia="Aptos" w:hAnsi="Aptos" w:cs="Aptos"/>
                        <w:noProof/>
                        <w:color w:val="FF0000"/>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BA2611" w14:textId="77777777" w:rsidR="008F70ED" w:rsidRDefault="008F70ED" w:rsidP="00124A51">
      <w:r>
        <w:separator/>
      </w:r>
    </w:p>
    <w:p w14:paraId="2E530543" w14:textId="77777777" w:rsidR="008F70ED" w:rsidRDefault="008F70ED"/>
  </w:footnote>
  <w:footnote w:type="continuationSeparator" w:id="0">
    <w:p w14:paraId="39E93C3E" w14:textId="77777777" w:rsidR="008F70ED" w:rsidRDefault="008F70ED" w:rsidP="00124A51">
      <w:r>
        <w:continuationSeparator/>
      </w:r>
    </w:p>
    <w:p w14:paraId="43B8E127" w14:textId="77777777" w:rsidR="008F70ED" w:rsidRDefault="008F70ED"/>
  </w:footnote>
  <w:footnote w:id="1">
    <w:p w14:paraId="782717D0" w14:textId="0ACF5A71" w:rsidR="006C5D4B" w:rsidRDefault="006C5D4B">
      <w:pPr>
        <w:pStyle w:val="FootnoteText"/>
      </w:pPr>
      <w:r>
        <w:rPr>
          <w:rStyle w:val="FootnoteReference"/>
        </w:rPr>
        <w:footnoteRef/>
      </w:r>
      <w:r>
        <w:t xml:space="preserve"> </w:t>
      </w:r>
      <w:hyperlink r:id="rId1" w:history="1">
        <w:r w:rsidRPr="00E8262F">
          <w:rPr>
            <w:rStyle w:val="Hyperlink"/>
          </w:rPr>
          <w:t>https://immunisationhandbook.health.gov.au/contents/vaccine-preventable-diseases/zoster-herpes-zoster</w:t>
        </w:r>
      </w:hyperlink>
      <w:r>
        <w:t xml:space="preserve"> [last updated 7 February 2025]</w:t>
      </w:r>
    </w:p>
  </w:footnote>
  <w:footnote w:id="2">
    <w:p w14:paraId="389A3BD3" w14:textId="201DF879" w:rsidR="001045B8" w:rsidRPr="00B74A4B" w:rsidRDefault="001045B8" w:rsidP="00F00B14">
      <w:pPr>
        <w:widowControl w:val="0"/>
        <w:autoSpaceDE w:val="0"/>
        <w:autoSpaceDN w:val="0"/>
        <w:adjustRightInd w:val="0"/>
        <w:ind w:left="142" w:hanging="142"/>
        <w:rPr>
          <w:rFonts w:cs="Times New Roman"/>
          <w:noProof/>
          <w:sz w:val="20"/>
          <w:szCs w:val="20"/>
        </w:rPr>
      </w:pPr>
      <w:r w:rsidRPr="00B74A4B">
        <w:rPr>
          <w:rStyle w:val="FootnoteReference"/>
          <w:sz w:val="20"/>
          <w:szCs w:val="20"/>
        </w:rPr>
        <w:footnoteRef/>
      </w:r>
      <w:r w:rsidRPr="00B74A4B">
        <w:rPr>
          <w:sz w:val="20"/>
          <w:szCs w:val="20"/>
        </w:rPr>
        <w:t xml:space="preserve"> </w:t>
      </w:r>
      <w:r w:rsidRPr="00B74A4B">
        <w:rPr>
          <w:rFonts w:cs="Times New Roman"/>
          <w:noProof/>
          <w:sz w:val="20"/>
          <w:szCs w:val="20"/>
        </w:rPr>
        <w:t>Kawai, Gebremeskel, &amp; Acosta. (2014). Systematic review of incidence and complications of herpes zoster: towards a global perspective. BMJ Open, 4(6), e004833–e004833. https://doi.org/10.1136/bmjopen-2014-004833.</w:t>
      </w:r>
    </w:p>
  </w:footnote>
  <w:footnote w:id="3">
    <w:p w14:paraId="152001D4" w14:textId="7197F382" w:rsidR="00DD2335" w:rsidRPr="00B74A4B" w:rsidRDefault="00DD2335" w:rsidP="00DC0581">
      <w:pPr>
        <w:widowControl w:val="0"/>
        <w:autoSpaceDE w:val="0"/>
        <w:autoSpaceDN w:val="0"/>
        <w:adjustRightInd w:val="0"/>
        <w:ind w:left="142" w:hanging="142"/>
        <w:rPr>
          <w:rFonts w:cs="Times New Roman"/>
          <w:noProof/>
          <w:sz w:val="20"/>
          <w:szCs w:val="20"/>
        </w:rPr>
      </w:pPr>
      <w:r w:rsidRPr="00B74A4B">
        <w:rPr>
          <w:rStyle w:val="FootnoteReference"/>
        </w:rPr>
        <w:footnoteRef/>
      </w:r>
      <w:r w:rsidRPr="00B74A4B">
        <w:t xml:space="preserve"> </w:t>
      </w:r>
      <w:r w:rsidRPr="00B74A4B">
        <w:rPr>
          <w:rFonts w:cs="Times New Roman"/>
          <w:noProof/>
          <w:sz w:val="20"/>
          <w:szCs w:val="20"/>
        </w:rPr>
        <w:t xml:space="preserve">MacIntyre, Stein, Harrison, Britt, Mahimbo, &amp; Cunningham. (2015). Increasing Trends of Herpes Zoster in Australia. PLOS ONE, 10(4), e0125025. </w:t>
      </w:r>
      <w:hyperlink r:id="rId2" w:history="1">
        <w:r w:rsidR="00F00B14" w:rsidRPr="00B74A4B">
          <w:rPr>
            <w:rStyle w:val="Hyperlink"/>
            <w:rFonts w:cs="Times New Roman"/>
            <w:noProof/>
            <w:sz w:val="20"/>
            <w:szCs w:val="20"/>
          </w:rPr>
          <w:t>https://doi.org/10.1371/journal.pone.0125025</w:t>
        </w:r>
      </w:hyperlink>
      <w:r w:rsidR="00F00B14" w:rsidRPr="00B74A4B">
        <w:rPr>
          <w:rFonts w:cs="Times New Roman"/>
          <w:noProof/>
          <w:sz w:val="20"/>
          <w:szCs w:val="20"/>
        </w:rPr>
        <w:t xml:space="preserve"> </w:t>
      </w:r>
    </w:p>
  </w:footnote>
  <w:footnote w:id="4">
    <w:p w14:paraId="01BE4CB5" w14:textId="4A958E2E" w:rsidR="00F00B14" w:rsidRPr="00B74A4B" w:rsidRDefault="00F00B14" w:rsidP="00DC0581">
      <w:pPr>
        <w:widowControl w:val="0"/>
        <w:autoSpaceDE w:val="0"/>
        <w:autoSpaceDN w:val="0"/>
        <w:adjustRightInd w:val="0"/>
        <w:ind w:left="142" w:hanging="142"/>
        <w:rPr>
          <w:rFonts w:cs="Times New Roman"/>
          <w:noProof/>
          <w:sz w:val="20"/>
          <w:szCs w:val="20"/>
        </w:rPr>
      </w:pPr>
      <w:r w:rsidRPr="00B74A4B">
        <w:rPr>
          <w:rFonts w:cs="Times New Roman"/>
          <w:noProof/>
          <w:sz w:val="20"/>
          <w:szCs w:val="20"/>
        </w:rPr>
        <w:footnoteRef/>
      </w:r>
      <w:r w:rsidRPr="00B74A4B">
        <w:rPr>
          <w:rFonts w:cs="Times New Roman"/>
          <w:noProof/>
          <w:sz w:val="20"/>
          <w:szCs w:val="20"/>
        </w:rPr>
        <w:t xml:space="preserve"> Sheel, Beard, Quinn, Dey, Kirk, Koehler, Markey, McIntyre, &amp; Macartney. (2018). Australian vaccine preventable disease epidemiological review series: varicella-zoster virus infections, 1998–2015. Commun Dis Intell.</w:t>
      </w:r>
    </w:p>
  </w:footnote>
  <w:footnote w:id="5">
    <w:p w14:paraId="2B8C4B28" w14:textId="1CA04F32" w:rsidR="00DC0581" w:rsidRPr="0005173E" w:rsidRDefault="00DC0581" w:rsidP="0005173E">
      <w:pPr>
        <w:widowControl w:val="0"/>
        <w:autoSpaceDE w:val="0"/>
        <w:autoSpaceDN w:val="0"/>
        <w:adjustRightInd w:val="0"/>
        <w:ind w:left="142" w:hanging="142"/>
        <w:rPr>
          <w:rFonts w:cs="Times New Roman"/>
          <w:i/>
          <w:iCs/>
          <w:noProof/>
          <w:sz w:val="20"/>
          <w:szCs w:val="20"/>
        </w:rPr>
      </w:pPr>
      <w:r w:rsidRPr="00B74A4B">
        <w:rPr>
          <w:rFonts w:cs="Times New Roman"/>
          <w:noProof/>
          <w:sz w:val="20"/>
          <w:szCs w:val="20"/>
        </w:rPr>
        <w:footnoteRef/>
      </w:r>
      <w:r w:rsidRPr="00B74A4B">
        <w:rPr>
          <w:rFonts w:cs="Times New Roman"/>
          <w:noProof/>
          <w:sz w:val="20"/>
          <w:szCs w:val="20"/>
        </w:rPr>
        <w:t xml:space="preserve"> Qian, Macartney, Heywood, Sheridan, &amp; Liu. (2021). Risk of recurrent herpes zoster in a population-based cohort study of older adults. Journal of the American Academy of Dermatology, 85(3), 611–618. https://doi.org/10.1016/j.jaad.2020.06.1013</w:t>
      </w:r>
    </w:p>
  </w:footnote>
  <w:footnote w:id="6">
    <w:p w14:paraId="5A9B8008" w14:textId="77777777" w:rsidR="0005173E" w:rsidRPr="0005173E" w:rsidRDefault="0005173E" w:rsidP="0005173E">
      <w:pPr>
        <w:widowControl w:val="0"/>
        <w:autoSpaceDE w:val="0"/>
        <w:autoSpaceDN w:val="0"/>
        <w:adjustRightInd w:val="0"/>
        <w:ind w:left="142" w:hanging="142"/>
        <w:rPr>
          <w:rFonts w:cs="Times New Roman"/>
          <w:i/>
          <w:iCs/>
          <w:noProof/>
          <w:sz w:val="20"/>
          <w:szCs w:val="20"/>
        </w:rPr>
      </w:pPr>
      <w:r w:rsidRPr="0005173E">
        <w:rPr>
          <w:rFonts w:cs="Times New Roman"/>
          <w:i/>
          <w:iCs/>
          <w:noProof/>
          <w:sz w:val="20"/>
          <w:szCs w:val="20"/>
        </w:rPr>
        <w:footnoteRef/>
      </w:r>
      <w:r w:rsidRPr="0005173E">
        <w:rPr>
          <w:rFonts w:cs="Times New Roman"/>
          <w:i/>
          <w:iCs/>
          <w:noProof/>
          <w:sz w:val="20"/>
          <w:szCs w:val="20"/>
        </w:rPr>
        <w:t xml:space="preserve"> </w:t>
      </w:r>
      <w:r w:rsidRPr="00CE2377">
        <w:rPr>
          <w:rFonts w:cs="Times New Roman"/>
          <w:noProof/>
          <w:sz w:val="20"/>
          <w:szCs w:val="20"/>
        </w:rPr>
        <w:t>Stein, Britt, Harrison, Conway, Cunningham, &amp; MacIntyre. (2009). Herpes zoster burden of illness and health care resource utilisation in the Australian population aged 50 years and older. Vaccine. https://doi.org/10.1016/j.vaccine.2008.11.012</w:t>
      </w:r>
    </w:p>
    <w:p w14:paraId="5D69714D" w14:textId="1A8B9823" w:rsidR="0005173E" w:rsidRDefault="0005173E">
      <w:pPr>
        <w:pStyle w:val="FootnoteText"/>
      </w:pPr>
    </w:p>
  </w:footnote>
  <w:footnote w:id="7">
    <w:p w14:paraId="53AE9417" w14:textId="0E98057F" w:rsidR="001C62B9" w:rsidRDefault="001C62B9">
      <w:pPr>
        <w:pStyle w:val="FootnoteText"/>
      </w:pPr>
      <w:r>
        <w:rPr>
          <w:rStyle w:val="FootnoteReference"/>
        </w:rPr>
        <w:footnoteRef/>
      </w:r>
      <w:r>
        <w:t xml:space="preserve"> </w:t>
      </w:r>
      <w:hyperlink r:id="rId3" w:history="1">
        <w:r w:rsidRPr="001C62B9">
          <w:rPr>
            <w:rStyle w:val="Hyperlink"/>
          </w:rPr>
          <w:t>Study Details | NCT05371080 | A Study on the Long-term Efficacy, Safety and Persistence of Immune Response of a Vaccine Against Herpes Zoster in Older Adults | ClinicalTrials.gov</w:t>
        </w:r>
      </w:hyperlink>
    </w:p>
  </w:footnote>
  <w:footnote w:id="8">
    <w:p w14:paraId="285735CD" w14:textId="77777777" w:rsidR="00F714D1" w:rsidRPr="00333CB5" w:rsidRDefault="00F714D1" w:rsidP="00F714D1">
      <w:pPr>
        <w:pStyle w:val="FootnoteText"/>
        <w:rPr>
          <w:lang w:val="en-US"/>
        </w:rPr>
      </w:pPr>
      <w:r>
        <w:rPr>
          <w:rStyle w:val="FootnoteReference"/>
          <w:rFonts w:eastAsiaTheme="majorEastAsia"/>
        </w:rPr>
        <w:footnoteRef/>
      </w:r>
      <w:r>
        <w:t xml:space="preserve"> EPI-ZOSTER-032 (EMA real-world data entry): </w:t>
      </w:r>
      <w:hyperlink r:id="rId4" w:history="1">
        <w:r w:rsidRPr="00CC0E55">
          <w:rPr>
            <w:rStyle w:val="Hyperlink"/>
          </w:rPr>
          <w:t>https://catalogues.ema.europa.eu/node/3357/resources</w:t>
        </w:r>
      </w:hyperlink>
      <w:r>
        <w:t xml:space="preserve"> </w:t>
      </w:r>
    </w:p>
  </w:footnote>
  <w:footnote w:id="9">
    <w:p w14:paraId="0AA875EC" w14:textId="107C40DD" w:rsidR="00F81D77" w:rsidRPr="00F81D77" w:rsidRDefault="00F81D77" w:rsidP="00B06ECF">
      <w:pPr>
        <w:spacing w:after="20"/>
        <w:ind w:left="142" w:hanging="153"/>
        <w:jc w:val="left"/>
        <w:rPr>
          <w:rFonts w:asciiTheme="minorHAnsi" w:eastAsiaTheme="majorEastAsia" w:hAnsiTheme="minorHAnsi" w:cstheme="minorHAnsi"/>
          <w:sz w:val="20"/>
          <w:szCs w:val="20"/>
        </w:rPr>
      </w:pPr>
      <w:r>
        <w:rPr>
          <w:rStyle w:val="FootnoteReference"/>
        </w:rPr>
        <w:footnoteRef/>
      </w:r>
      <w:r>
        <w:t xml:space="preserve"> </w:t>
      </w:r>
      <w:r w:rsidRPr="007E5193">
        <w:rPr>
          <w:rStyle w:val="cf01"/>
          <w:rFonts w:asciiTheme="minorHAnsi" w:eastAsiaTheme="majorEastAsia" w:hAnsiTheme="minorHAnsi" w:cstheme="minorHAnsi"/>
          <w:i/>
          <w:iCs/>
          <w:sz w:val="20"/>
          <w:szCs w:val="20"/>
        </w:rPr>
        <w:t>ABS. (2024). Labour Force, Australia, Detailed. December 2024. https://www.abs.gov.au/statistics/labour/employment-and-unemployment/labour-force-australia-detailed/latest-release</w:t>
      </w:r>
    </w:p>
  </w:footnote>
  <w:footnote w:id="10">
    <w:p w14:paraId="52434AEF" w14:textId="6B48F3EF" w:rsidR="000E0A78" w:rsidRDefault="000E0A78">
      <w:pPr>
        <w:pStyle w:val="FootnoteText"/>
      </w:pPr>
      <w:r>
        <w:rPr>
          <w:rStyle w:val="FootnoteReference"/>
        </w:rPr>
        <w:footnoteRef/>
      </w:r>
      <w:r>
        <w:t xml:space="preserve"> $</w:t>
      </w:r>
      <w:r w:rsidR="000E1EB2" w:rsidRPr="000E1EB2">
        <w:rPr>
          <w:sz w:val="2"/>
          <w:highlight w:val="black"/>
        </w:rPr>
        <w:t>redacted content</w:t>
      </w:r>
      <w:r>
        <w:t xml:space="preserve"> + 82% x $</w:t>
      </w:r>
      <w:r w:rsidR="000E1EB2" w:rsidRPr="000E1EB2">
        <w:rPr>
          <w:sz w:val="2"/>
          <w:highlight w:val="black"/>
        </w:rPr>
        <w:t>redacted content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F9AEEB" w14:textId="61B65177" w:rsidR="008305D3" w:rsidRDefault="004429AB">
    <w:pPr>
      <w:pStyle w:val="Header"/>
    </w:pPr>
    <w:r>
      <w:rPr>
        <w:noProof/>
      </w:rPr>
      <mc:AlternateContent>
        <mc:Choice Requires="wps">
          <w:drawing>
            <wp:anchor distT="0" distB="0" distL="0" distR="0" simplePos="0" relativeHeight="251660293" behindDoc="0" locked="0" layoutInCell="1" allowOverlap="1" wp14:anchorId="2A60286F" wp14:editId="075430B5">
              <wp:simplePos x="635" y="635"/>
              <wp:positionH relativeFrom="page">
                <wp:align>center</wp:align>
              </wp:positionH>
              <wp:positionV relativeFrom="page">
                <wp:align>top</wp:align>
              </wp:positionV>
              <wp:extent cx="622300" cy="376555"/>
              <wp:effectExtent l="0" t="0" r="6350" b="4445"/>
              <wp:wrapNone/>
              <wp:docPr id="1547078191"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6ED420F7" w14:textId="5B018968" w:rsidR="004429AB" w:rsidRPr="004429AB" w:rsidRDefault="004429AB" w:rsidP="004429AB">
                          <w:pPr>
                            <w:rPr>
                              <w:rFonts w:ascii="Aptos" w:eastAsia="Aptos" w:hAnsi="Aptos" w:cs="Aptos"/>
                              <w:noProof/>
                              <w:color w:val="FF0000"/>
                            </w:rPr>
                          </w:pPr>
                          <w:r w:rsidRPr="004429AB">
                            <w:rPr>
                              <w:rFonts w:ascii="Aptos" w:eastAsia="Aptos" w:hAnsi="Aptos" w:cs="Aptos"/>
                              <w:noProof/>
                              <w:color w:val="FF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2A60286F" id="_x0000_t202" coordsize="21600,21600" o:spt="202" path="m,l,21600r21600,l21600,xe">
              <v:stroke joinstyle="miter"/>
              <v:path gradientshapeok="t" o:connecttype="rect"/>
            </v:shapetype>
            <v:shape id="Text Box 2" o:spid="_x0000_s1026" type="#_x0000_t202" alt="OFFICIAL" style="position:absolute;left:0;text-align:left;margin-left:0;margin-top:0;width:49pt;height:29.65pt;z-index:251660293;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" filled="f" stroked="f">
              <v:textbox style="mso-fit-shape-to-text:t" inset="0,15pt,0,0">
                <w:txbxContent>
                  <w:p w14:paraId="6ED420F7" w14:textId="5B018968" w:rsidR="004429AB" w:rsidRPr="004429AB" w:rsidRDefault="004429AB" w:rsidP="004429AB">
                    <w:pPr>
                      <w:rPr>
                        <w:rFonts w:ascii="Aptos" w:eastAsia="Aptos" w:hAnsi="Aptos" w:cs="Aptos"/>
                        <w:noProof/>
                        <w:color w:val="FF0000"/>
                      </w:rPr>
                    </w:pPr>
                    <w:r w:rsidRPr="004429AB">
                      <w:rPr>
                        <w:rFonts w:ascii="Aptos" w:eastAsia="Aptos" w:hAnsi="Aptos" w:cs="Aptos"/>
                        <w:noProof/>
                        <w:color w:val="FF0000"/>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F5E204" w14:textId="33035418" w:rsidR="00D843F2" w:rsidRPr="00195452" w:rsidRDefault="004429AB" w:rsidP="00D822E2">
    <w:pPr>
      <w:pStyle w:val="Header"/>
      <w:rPr>
        <w:rFonts w:asciiTheme="minorHAnsi" w:hAnsiTheme="minorHAnsi"/>
        <w:i w:val="0"/>
        <w:color w:val="808080"/>
      </w:rPr>
    </w:pPr>
    <w:r>
      <w:rPr>
        <w:rFonts w:asciiTheme="minorHAnsi" w:hAnsiTheme="minorHAnsi"/>
        <w:noProof/>
        <w:color w:val="808080"/>
      </w:rPr>
      <mc:AlternateContent>
        <mc:Choice Requires="wps">
          <w:drawing>
            <wp:anchor distT="0" distB="0" distL="0" distR="0" simplePos="0" relativeHeight="251661317" behindDoc="0" locked="0" layoutInCell="1" allowOverlap="1" wp14:anchorId="1798B0C9" wp14:editId="04B299EC">
              <wp:simplePos x="635" y="635"/>
              <wp:positionH relativeFrom="page">
                <wp:align>center</wp:align>
              </wp:positionH>
              <wp:positionV relativeFrom="page">
                <wp:align>top</wp:align>
              </wp:positionV>
              <wp:extent cx="622300" cy="376555"/>
              <wp:effectExtent l="0" t="0" r="6350" b="4445"/>
              <wp:wrapNone/>
              <wp:docPr id="564203637"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69B16582" w14:textId="55901A72" w:rsidR="004429AB" w:rsidRPr="004429AB" w:rsidRDefault="004429AB" w:rsidP="004429AB">
                          <w:pPr>
                            <w:rPr>
                              <w:rFonts w:ascii="Aptos" w:eastAsia="Aptos" w:hAnsi="Aptos" w:cs="Aptos"/>
                              <w:noProof/>
                              <w:color w:val="FF0000"/>
                            </w:rPr>
                          </w:pPr>
                          <w:r w:rsidRPr="004429AB">
                            <w:rPr>
                              <w:rFonts w:ascii="Aptos" w:eastAsia="Aptos" w:hAnsi="Aptos" w:cs="Aptos"/>
                              <w:noProof/>
                              <w:color w:val="FF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798B0C9" id="_x0000_t202" coordsize="21600,21600" o:spt="202" path="m,l,21600r21600,l21600,xe">
              <v:stroke joinstyle="miter"/>
              <v:path gradientshapeok="t" o:connecttype="rect"/>
            </v:shapetype>
            <v:shape id="Text Box 3" o:spid="_x0000_s1027" type="#_x0000_t202" alt="OFFICIAL" style="position:absolute;left:0;text-align:left;margin-left:0;margin-top:0;width:49pt;height:29.65pt;z-index:251661317;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" filled="f" stroked="f">
              <v:textbox style="mso-fit-shape-to-text:t" inset="0,15pt,0,0">
                <w:txbxContent>
                  <w:p w14:paraId="69B16582" w14:textId="55901A72" w:rsidR="004429AB" w:rsidRPr="004429AB" w:rsidRDefault="004429AB" w:rsidP="004429AB">
                    <w:pPr>
                      <w:rPr>
                        <w:rFonts w:ascii="Aptos" w:eastAsia="Aptos" w:hAnsi="Aptos" w:cs="Aptos"/>
                        <w:noProof/>
                        <w:color w:val="FF0000"/>
                      </w:rPr>
                    </w:pPr>
                    <w:r w:rsidRPr="004429AB">
                      <w:rPr>
                        <w:rFonts w:ascii="Aptos" w:eastAsia="Aptos" w:hAnsi="Aptos" w:cs="Aptos"/>
                        <w:noProof/>
                        <w:color w:val="FF0000"/>
                      </w:rPr>
                      <w:t>OFFICIAL</w:t>
                    </w:r>
                  </w:p>
                </w:txbxContent>
              </v:textbox>
              <w10:wrap anchorx="page" anchory="page"/>
            </v:shape>
          </w:pict>
        </mc:Fallback>
      </mc:AlternateContent>
    </w:r>
    <w:r w:rsidR="0066347A">
      <w:rPr>
        <w:rFonts w:asciiTheme="minorHAnsi" w:hAnsiTheme="minorHAnsi"/>
        <w:color w:val="808080"/>
      </w:rPr>
      <w:t xml:space="preserve"> Public Summary Document</w:t>
    </w:r>
    <w:r w:rsidR="00B07B0B">
      <w:rPr>
        <w:rFonts w:asciiTheme="minorHAnsi" w:hAnsiTheme="minorHAnsi"/>
        <w:color w:val="808080"/>
      </w:rPr>
      <w:t xml:space="preserve"> </w:t>
    </w:r>
    <w:r w:rsidR="000155C8">
      <w:rPr>
        <w:rFonts w:asciiTheme="minorHAnsi" w:hAnsiTheme="minorHAnsi"/>
        <w:color w:val="808080"/>
      </w:rPr>
      <w:t xml:space="preserve">- </w:t>
    </w:r>
    <w:r w:rsidR="00CC2259">
      <w:rPr>
        <w:rFonts w:asciiTheme="minorHAnsi" w:hAnsiTheme="minorHAnsi"/>
        <w:color w:val="808080"/>
      </w:rPr>
      <w:t>November 2025</w:t>
    </w:r>
    <w:r w:rsidR="00D843F2">
      <w:rPr>
        <w:rFonts w:asciiTheme="minorHAnsi" w:hAnsiTheme="minorHAnsi"/>
        <w:color w:val="808080"/>
      </w:rPr>
      <w:t xml:space="preserve"> </w:t>
    </w:r>
    <w:r w:rsidR="00D843F2" w:rsidRPr="00195452">
      <w:rPr>
        <w:rFonts w:asciiTheme="minorHAnsi" w:hAnsiTheme="minorHAnsi"/>
        <w:color w:val="808080"/>
      </w:rPr>
      <w:t>PBAC Meeting</w:t>
    </w:r>
  </w:p>
  <w:p w14:paraId="03AF943B" w14:textId="77777777" w:rsidR="00D843F2" w:rsidRPr="008C7ECB" w:rsidRDefault="00D843F2" w:rsidP="009C1A81">
    <w:pPr>
      <w:pStyle w:val="Header"/>
      <w:jc w:val="both"/>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E46254" w14:textId="00F9CED6" w:rsidR="008305D3" w:rsidRDefault="004429AB">
    <w:pPr>
      <w:pStyle w:val="Header"/>
    </w:pPr>
    <w:r>
      <w:rPr>
        <w:noProof/>
      </w:rPr>
      <mc:AlternateContent>
        <mc:Choice Requires="wps">
          <w:drawing>
            <wp:anchor distT="0" distB="0" distL="0" distR="0" simplePos="0" relativeHeight="251659269" behindDoc="0" locked="0" layoutInCell="1" allowOverlap="1" wp14:anchorId="0A809B5F" wp14:editId="708E023B">
              <wp:simplePos x="635" y="635"/>
              <wp:positionH relativeFrom="page">
                <wp:align>center</wp:align>
              </wp:positionH>
              <wp:positionV relativeFrom="page">
                <wp:align>top</wp:align>
              </wp:positionV>
              <wp:extent cx="622300" cy="376555"/>
              <wp:effectExtent l="0" t="0" r="6350" b="4445"/>
              <wp:wrapNone/>
              <wp:docPr id="996523249"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4ABBA320" w14:textId="1B6DE041" w:rsidR="004429AB" w:rsidRPr="004429AB" w:rsidRDefault="004429AB" w:rsidP="004429AB">
                          <w:pPr>
                            <w:rPr>
                              <w:rFonts w:ascii="Aptos" w:eastAsia="Aptos" w:hAnsi="Aptos" w:cs="Aptos"/>
                              <w:noProof/>
                              <w:color w:val="FF0000"/>
                            </w:rPr>
                          </w:pPr>
                          <w:r w:rsidRPr="004429AB">
                            <w:rPr>
                              <w:rFonts w:ascii="Aptos" w:eastAsia="Aptos" w:hAnsi="Aptos" w:cs="Aptos"/>
                              <w:noProof/>
                              <w:color w:val="FF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A809B5F" id="_x0000_t202" coordsize="21600,21600" o:spt="202" path="m,l,21600r21600,l21600,xe">
              <v:stroke joinstyle="miter"/>
              <v:path gradientshapeok="t" o:connecttype="rect"/>
            </v:shapetype>
            <v:shape id="Text Box 1" o:spid="_x0000_s1030" type="#_x0000_t202" alt="OFFICIAL" style="position:absolute;left:0;text-align:left;margin-left:0;margin-top:0;width:49pt;height:29.65pt;z-index:251659269;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" filled="f" stroked="f">
              <v:textbox style="mso-fit-shape-to-text:t" inset="0,15pt,0,0">
                <w:txbxContent>
                  <w:p w14:paraId="4ABBA320" w14:textId="1B6DE041" w:rsidR="004429AB" w:rsidRPr="004429AB" w:rsidRDefault="004429AB" w:rsidP="004429AB">
                    <w:pPr>
                      <w:rPr>
                        <w:rFonts w:ascii="Aptos" w:eastAsia="Aptos" w:hAnsi="Aptos" w:cs="Aptos"/>
                        <w:noProof/>
                        <w:color w:val="FF0000"/>
                      </w:rPr>
                    </w:pPr>
                    <w:r w:rsidRPr="004429AB">
                      <w:rPr>
                        <w:rFonts w:ascii="Aptos" w:eastAsia="Aptos" w:hAnsi="Aptos" w:cs="Aptos"/>
                        <w:noProof/>
                        <w:color w:val="FF0000"/>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84EE4700"/>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44B6058"/>
    <w:multiLevelType w:val="hybridMultilevel"/>
    <w:tmpl w:val="CB4A8BE2"/>
    <w:lvl w:ilvl="0" w:tplc="E9588A16">
      <w:start w:val="1"/>
      <w:numFmt w:val="bullet"/>
      <w:lvlText w:val="•"/>
      <w:lvlJc w:val="left"/>
      <w:pPr>
        <w:tabs>
          <w:tab w:val="num" w:pos="720"/>
        </w:tabs>
        <w:ind w:left="720" w:hanging="360"/>
      </w:pPr>
      <w:rPr>
        <w:rFonts w:ascii="Arial" w:hAnsi="Arial" w:hint="default"/>
      </w:rPr>
    </w:lvl>
    <w:lvl w:ilvl="1" w:tplc="E1F0363E">
      <w:start w:val="1"/>
      <w:numFmt w:val="bullet"/>
      <w:lvlText w:val="•"/>
      <w:lvlJc w:val="left"/>
      <w:pPr>
        <w:tabs>
          <w:tab w:val="num" w:pos="1440"/>
        </w:tabs>
        <w:ind w:left="1440" w:hanging="360"/>
      </w:pPr>
      <w:rPr>
        <w:rFonts w:ascii="Arial" w:hAnsi="Arial" w:hint="default"/>
      </w:rPr>
    </w:lvl>
    <w:lvl w:ilvl="2" w:tplc="3F40F3B4" w:tentative="1">
      <w:start w:val="1"/>
      <w:numFmt w:val="bullet"/>
      <w:lvlText w:val="•"/>
      <w:lvlJc w:val="left"/>
      <w:pPr>
        <w:tabs>
          <w:tab w:val="num" w:pos="2160"/>
        </w:tabs>
        <w:ind w:left="2160" w:hanging="360"/>
      </w:pPr>
      <w:rPr>
        <w:rFonts w:ascii="Arial" w:hAnsi="Arial" w:hint="default"/>
      </w:rPr>
    </w:lvl>
    <w:lvl w:ilvl="3" w:tplc="DD628470" w:tentative="1">
      <w:start w:val="1"/>
      <w:numFmt w:val="bullet"/>
      <w:lvlText w:val="•"/>
      <w:lvlJc w:val="left"/>
      <w:pPr>
        <w:tabs>
          <w:tab w:val="num" w:pos="2880"/>
        </w:tabs>
        <w:ind w:left="2880" w:hanging="360"/>
      </w:pPr>
      <w:rPr>
        <w:rFonts w:ascii="Arial" w:hAnsi="Arial" w:hint="default"/>
      </w:rPr>
    </w:lvl>
    <w:lvl w:ilvl="4" w:tplc="4558BEAC" w:tentative="1">
      <w:start w:val="1"/>
      <w:numFmt w:val="bullet"/>
      <w:lvlText w:val="•"/>
      <w:lvlJc w:val="left"/>
      <w:pPr>
        <w:tabs>
          <w:tab w:val="num" w:pos="3600"/>
        </w:tabs>
        <w:ind w:left="3600" w:hanging="360"/>
      </w:pPr>
      <w:rPr>
        <w:rFonts w:ascii="Arial" w:hAnsi="Arial" w:hint="default"/>
      </w:rPr>
    </w:lvl>
    <w:lvl w:ilvl="5" w:tplc="5B8A5256" w:tentative="1">
      <w:start w:val="1"/>
      <w:numFmt w:val="bullet"/>
      <w:lvlText w:val="•"/>
      <w:lvlJc w:val="left"/>
      <w:pPr>
        <w:tabs>
          <w:tab w:val="num" w:pos="4320"/>
        </w:tabs>
        <w:ind w:left="4320" w:hanging="360"/>
      </w:pPr>
      <w:rPr>
        <w:rFonts w:ascii="Arial" w:hAnsi="Arial" w:hint="default"/>
      </w:rPr>
    </w:lvl>
    <w:lvl w:ilvl="6" w:tplc="200262AA" w:tentative="1">
      <w:start w:val="1"/>
      <w:numFmt w:val="bullet"/>
      <w:lvlText w:val="•"/>
      <w:lvlJc w:val="left"/>
      <w:pPr>
        <w:tabs>
          <w:tab w:val="num" w:pos="5040"/>
        </w:tabs>
        <w:ind w:left="5040" w:hanging="360"/>
      </w:pPr>
      <w:rPr>
        <w:rFonts w:ascii="Arial" w:hAnsi="Arial" w:hint="default"/>
      </w:rPr>
    </w:lvl>
    <w:lvl w:ilvl="7" w:tplc="9C2E3C0C" w:tentative="1">
      <w:start w:val="1"/>
      <w:numFmt w:val="bullet"/>
      <w:lvlText w:val="•"/>
      <w:lvlJc w:val="left"/>
      <w:pPr>
        <w:tabs>
          <w:tab w:val="num" w:pos="5760"/>
        </w:tabs>
        <w:ind w:left="5760" w:hanging="360"/>
      </w:pPr>
      <w:rPr>
        <w:rFonts w:ascii="Arial" w:hAnsi="Arial" w:hint="default"/>
      </w:rPr>
    </w:lvl>
    <w:lvl w:ilvl="8" w:tplc="27AC701A"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07AC08F5"/>
    <w:multiLevelType w:val="hybridMultilevel"/>
    <w:tmpl w:val="A062506C"/>
    <w:lvl w:ilvl="0" w:tplc="24A2B9B4">
      <w:numFmt w:val="bullet"/>
      <w:lvlText w:val="-"/>
      <w:lvlJc w:val="left"/>
      <w:pPr>
        <w:ind w:left="720" w:hanging="360"/>
      </w:pPr>
      <w:rPr>
        <w:rFonts w:ascii="Arial Narrow" w:eastAsiaTheme="majorEastAsia" w:hAnsi="Arial Narrow" w:cstheme="maj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B375C63"/>
    <w:multiLevelType w:val="multilevel"/>
    <w:tmpl w:val="771CFE04"/>
    <w:lvl w:ilvl="0">
      <w:start w:val="1"/>
      <w:numFmt w:val="decimal"/>
      <w:lvlText w:val="%1"/>
      <w:lvlJc w:val="left"/>
      <w:pPr>
        <w:ind w:left="720" w:hanging="720"/>
      </w:pPr>
      <w:rPr>
        <w:rFonts w:hint="default"/>
        <w:b/>
      </w:rPr>
    </w:lvl>
    <w:lvl w:ilvl="1">
      <w:start w:val="1"/>
      <w:numFmt w:val="bullet"/>
      <w:lvlText w:val=""/>
      <w:lvlJc w:val="left"/>
      <w:pPr>
        <w:ind w:left="360" w:hanging="360"/>
      </w:pPr>
      <w:rPr>
        <w:rFonts w:ascii="Symbol" w:hAnsi="Symbol"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CB10B66"/>
    <w:multiLevelType w:val="hybridMultilevel"/>
    <w:tmpl w:val="10BC7614"/>
    <w:lvl w:ilvl="0" w:tplc="3F2CE72A">
      <w:start w:val="1"/>
      <w:numFmt w:val="decimal"/>
      <w:lvlText w:val="%1."/>
      <w:lvlJc w:val="left"/>
      <w:pPr>
        <w:ind w:left="720" w:hanging="360"/>
      </w:pPr>
    </w:lvl>
    <w:lvl w:ilvl="1" w:tplc="CB866A3E">
      <w:start w:val="1"/>
      <w:numFmt w:val="decimal"/>
      <w:lvlText w:val="%2."/>
      <w:lvlJc w:val="left"/>
      <w:pPr>
        <w:ind w:left="720" w:hanging="360"/>
      </w:pPr>
    </w:lvl>
    <w:lvl w:ilvl="2" w:tplc="69BE2E92">
      <w:start w:val="1"/>
      <w:numFmt w:val="decimal"/>
      <w:lvlText w:val="%3."/>
      <w:lvlJc w:val="left"/>
      <w:pPr>
        <w:ind w:left="720" w:hanging="360"/>
      </w:pPr>
    </w:lvl>
    <w:lvl w:ilvl="3" w:tplc="F6A48DD2">
      <w:start w:val="1"/>
      <w:numFmt w:val="decimal"/>
      <w:lvlText w:val="%4."/>
      <w:lvlJc w:val="left"/>
      <w:pPr>
        <w:ind w:left="720" w:hanging="360"/>
      </w:pPr>
    </w:lvl>
    <w:lvl w:ilvl="4" w:tplc="3080FF3A">
      <w:start w:val="1"/>
      <w:numFmt w:val="decimal"/>
      <w:lvlText w:val="%5."/>
      <w:lvlJc w:val="left"/>
      <w:pPr>
        <w:ind w:left="720" w:hanging="360"/>
      </w:pPr>
    </w:lvl>
    <w:lvl w:ilvl="5" w:tplc="004CB0BA">
      <w:start w:val="1"/>
      <w:numFmt w:val="decimal"/>
      <w:lvlText w:val="%6."/>
      <w:lvlJc w:val="left"/>
      <w:pPr>
        <w:ind w:left="720" w:hanging="360"/>
      </w:pPr>
    </w:lvl>
    <w:lvl w:ilvl="6" w:tplc="7C48656E">
      <w:start w:val="1"/>
      <w:numFmt w:val="decimal"/>
      <w:lvlText w:val="%7."/>
      <w:lvlJc w:val="left"/>
      <w:pPr>
        <w:ind w:left="720" w:hanging="360"/>
      </w:pPr>
    </w:lvl>
    <w:lvl w:ilvl="7" w:tplc="C1325658">
      <w:start w:val="1"/>
      <w:numFmt w:val="decimal"/>
      <w:lvlText w:val="%8."/>
      <w:lvlJc w:val="left"/>
      <w:pPr>
        <w:ind w:left="720" w:hanging="360"/>
      </w:pPr>
    </w:lvl>
    <w:lvl w:ilvl="8" w:tplc="C8A05996">
      <w:start w:val="1"/>
      <w:numFmt w:val="decimal"/>
      <w:lvlText w:val="%9."/>
      <w:lvlJc w:val="left"/>
      <w:pPr>
        <w:ind w:left="720" w:hanging="360"/>
      </w:pPr>
    </w:lvl>
  </w:abstractNum>
  <w:abstractNum w:abstractNumId="5" w15:restartNumberingAfterBreak="0">
    <w:nsid w:val="102E6D6A"/>
    <w:multiLevelType w:val="hybridMultilevel"/>
    <w:tmpl w:val="7C9CE6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DD53D52"/>
    <w:multiLevelType w:val="hybridMultilevel"/>
    <w:tmpl w:val="09742A7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206D2667"/>
    <w:multiLevelType w:val="hybridMultilevel"/>
    <w:tmpl w:val="08BA29F8"/>
    <w:lvl w:ilvl="0" w:tplc="0C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230B031C"/>
    <w:multiLevelType w:val="hybridMultilevel"/>
    <w:tmpl w:val="ED3CD8F0"/>
    <w:lvl w:ilvl="0" w:tplc="68DC1C18">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9FF6052"/>
    <w:multiLevelType w:val="hybridMultilevel"/>
    <w:tmpl w:val="D2E89F18"/>
    <w:lvl w:ilvl="0" w:tplc="E4BEDEC8">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A7922D1"/>
    <w:multiLevelType w:val="hybridMultilevel"/>
    <w:tmpl w:val="DFEACC22"/>
    <w:lvl w:ilvl="0" w:tplc="DF22A79A">
      <w:start w:val="1"/>
      <w:numFmt w:val="decimal"/>
      <w:lvlText w:val="%1."/>
      <w:lvlJc w:val="left"/>
      <w:pPr>
        <w:ind w:left="720" w:hanging="360"/>
      </w:pPr>
    </w:lvl>
    <w:lvl w:ilvl="1" w:tplc="3CC26708">
      <w:start w:val="1"/>
      <w:numFmt w:val="decimal"/>
      <w:lvlText w:val="%2."/>
      <w:lvlJc w:val="left"/>
      <w:pPr>
        <w:ind w:left="720" w:hanging="360"/>
      </w:pPr>
    </w:lvl>
    <w:lvl w:ilvl="2" w:tplc="3B58E8E8">
      <w:start w:val="1"/>
      <w:numFmt w:val="decimal"/>
      <w:lvlText w:val="%3."/>
      <w:lvlJc w:val="left"/>
      <w:pPr>
        <w:ind w:left="720" w:hanging="360"/>
      </w:pPr>
    </w:lvl>
    <w:lvl w:ilvl="3" w:tplc="C2FE2388">
      <w:start w:val="1"/>
      <w:numFmt w:val="decimal"/>
      <w:lvlText w:val="%4."/>
      <w:lvlJc w:val="left"/>
      <w:pPr>
        <w:ind w:left="720" w:hanging="360"/>
      </w:pPr>
    </w:lvl>
    <w:lvl w:ilvl="4" w:tplc="9EE07812">
      <w:start w:val="1"/>
      <w:numFmt w:val="decimal"/>
      <w:lvlText w:val="%5."/>
      <w:lvlJc w:val="left"/>
      <w:pPr>
        <w:ind w:left="720" w:hanging="360"/>
      </w:pPr>
    </w:lvl>
    <w:lvl w:ilvl="5" w:tplc="B9DEEAFC">
      <w:start w:val="1"/>
      <w:numFmt w:val="decimal"/>
      <w:lvlText w:val="%6."/>
      <w:lvlJc w:val="left"/>
      <w:pPr>
        <w:ind w:left="720" w:hanging="360"/>
      </w:pPr>
    </w:lvl>
    <w:lvl w:ilvl="6" w:tplc="5ABEAC16">
      <w:start w:val="1"/>
      <w:numFmt w:val="decimal"/>
      <w:lvlText w:val="%7."/>
      <w:lvlJc w:val="left"/>
      <w:pPr>
        <w:ind w:left="720" w:hanging="360"/>
      </w:pPr>
    </w:lvl>
    <w:lvl w:ilvl="7" w:tplc="36A4ADEC">
      <w:start w:val="1"/>
      <w:numFmt w:val="decimal"/>
      <w:lvlText w:val="%8."/>
      <w:lvlJc w:val="left"/>
      <w:pPr>
        <w:ind w:left="720" w:hanging="360"/>
      </w:pPr>
    </w:lvl>
    <w:lvl w:ilvl="8" w:tplc="D8827754">
      <w:start w:val="1"/>
      <w:numFmt w:val="decimal"/>
      <w:lvlText w:val="%9."/>
      <w:lvlJc w:val="left"/>
      <w:pPr>
        <w:ind w:left="720" w:hanging="360"/>
      </w:pPr>
    </w:lvl>
  </w:abstractNum>
  <w:abstractNum w:abstractNumId="11" w15:restartNumberingAfterBreak="0">
    <w:nsid w:val="2D78207C"/>
    <w:multiLevelType w:val="hybridMultilevel"/>
    <w:tmpl w:val="C3EEF60A"/>
    <w:lvl w:ilvl="0" w:tplc="9A5AD892">
      <w:start w:val="1"/>
      <w:numFmt w:val="bullet"/>
      <w:lvlText w:val=""/>
      <w:lvlJc w:val="left"/>
      <w:pPr>
        <w:ind w:left="720" w:hanging="360"/>
      </w:pPr>
      <w:rPr>
        <w:rFonts w:ascii="Symbol" w:hAnsi="Symbol"/>
      </w:rPr>
    </w:lvl>
    <w:lvl w:ilvl="1" w:tplc="1B004224">
      <w:start w:val="1"/>
      <w:numFmt w:val="bullet"/>
      <w:lvlText w:val=""/>
      <w:lvlJc w:val="left"/>
      <w:pPr>
        <w:ind w:left="720" w:hanging="360"/>
      </w:pPr>
      <w:rPr>
        <w:rFonts w:ascii="Symbol" w:hAnsi="Symbol"/>
      </w:rPr>
    </w:lvl>
    <w:lvl w:ilvl="2" w:tplc="C2FCDD96">
      <w:start w:val="1"/>
      <w:numFmt w:val="bullet"/>
      <w:lvlText w:val=""/>
      <w:lvlJc w:val="left"/>
      <w:pPr>
        <w:ind w:left="720" w:hanging="360"/>
      </w:pPr>
      <w:rPr>
        <w:rFonts w:ascii="Symbol" w:hAnsi="Symbol"/>
      </w:rPr>
    </w:lvl>
    <w:lvl w:ilvl="3" w:tplc="60B68628">
      <w:start w:val="1"/>
      <w:numFmt w:val="bullet"/>
      <w:lvlText w:val=""/>
      <w:lvlJc w:val="left"/>
      <w:pPr>
        <w:ind w:left="720" w:hanging="360"/>
      </w:pPr>
      <w:rPr>
        <w:rFonts w:ascii="Symbol" w:hAnsi="Symbol"/>
      </w:rPr>
    </w:lvl>
    <w:lvl w:ilvl="4" w:tplc="132278E0">
      <w:start w:val="1"/>
      <w:numFmt w:val="bullet"/>
      <w:lvlText w:val=""/>
      <w:lvlJc w:val="left"/>
      <w:pPr>
        <w:ind w:left="720" w:hanging="360"/>
      </w:pPr>
      <w:rPr>
        <w:rFonts w:ascii="Symbol" w:hAnsi="Symbol"/>
      </w:rPr>
    </w:lvl>
    <w:lvl w:ilvl="5" w:tplc="BEC40526">
      <w:start w:val="1"/>
      <w:numFmt w:val="bullet"/>
      <w:lvlText w:val=""/>
      <w:lvlJc w:val="left"/>
      <w:pPr>
        <w:ind w:left="720" w:hanging="360"/>
      </w:pPr>
      <w:rPr>
        <w:rFonts w:ascii="Symbol" w:hAnsi="Symbol"/>
      </w:rPr>
    </w:lvl>
    <w:lvl w:ilvl="6" w:tplc="C3CACBF4">
      <w:start w:val="1"/>
      <w:numFmt w:val="bullet"/>
      <w:lvlText w:val=""/>
      <w:lvlJc w:val="left"/>
      <w:pPr>
        <w:ind w:left="720" w:hanging="360"/>
      </w:pPr>
      <w:rPr>
        <w:rFonts w:ascii="Symbol" w:hAnsi="Symbol"/>
      </w:rPr>
    </w:lvl>
    <w:lvl w:ilvl="7" w:tplc="E152B8F6">
      <w:start w:val="1"/>
      <w:numFmt w:val="bullet"/>
      <w:lvlText w:val=""/>
      <w:lvlJc w:val="left"/>
      <w:pPr>
        <w:ind w:left="720" w:hanging="360"/>
      </w:pPr>
      <w:rPr>
        <w:rFonts w:ascii="Symbol" w:hAnsi="Symbol"/>
      </w:rPr>
    </w:lvl>
    <w:lvl w:ilvl="8" w:tplc="6E3EB14E">
      <w:start w:val="1"/>
      <w:numFmt w:val="bullet"/>
      <w:lvlText w:val=""/>
      <w:lvlJc w:val="left"/>
      <w:pPr>
        <w:ind w:left="720" w:hanging="360"/>
      </w:pPr>
      <w:rPr>
        <w:rFonts w:ascii="Symbol" w:hAnsi="Symbol"/>
      </w:rPr>
    </w:lvl>
  </w:abstractNum>
  <w:abstractNum w:abstractNumId="12" w15:restartNumberingAfterBreak="0">
    <w:nsid w:val="2EFC387E"/>
    <w:multiLevelType w:val="hybridMultilevel"/>
    <w:tmpl w:val="FDBEF24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30346AD7"/>
    <w:multiLevelType w:val="hybridMultilevel"/>
    <w:tmpl w:val="71A65F8E"/>
    <w:lvl w:ilvl="0" w:tplc="CFBE442A">
      <w:start w:val="1"/>
      <w:numFmt w:val="bullet"/>
      <w:pStyle w:val="ListParagraph"/>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4" w15:restartNumberingAfterBreak="0">
    <w:nsid w:val="35A67021"/>
    <w:multiLevelType w:val="hybridMultilevel"/>
    <w:tmpl w:val="DC94BD92"/>
    <w:lvl w:ilvl="0" w:tplc="2396B074">
      <w:start w:val="1"/>
      <w:numFmt w:val="decimal"/>
      <w:lvlText w:val="%1."/>
      <w:lvlJc w:val="left"/>
      <w:pPr>
        <w:ind w:left="1020" w:hanging="360"/>
      </w:pPr>
    </w:lvl>
    <w:lvl w:ilvl="1" w:tplc="EA62794A">
      <w:start w:val="1"/>
      <w:numFmt w:val="decimal"/>
      <w:lvlText w:val="%2."/>
      <w:lvlJc w:val="left"/>
      <w:pPr>
        <w:ind w:left="1020" w:hanging="360"/>
      </w:pPr>
    </w:lvl>
    <w:lvl w:ilvl="2" w:tplc="72AC8AA0">
      <w:start w:val="1"/>
      <w:numFmt w:val="decimal"/>
      <w:lvlText w:val="%3."/>
      <w:lvlJc w:val="left"/>
      <w:pPr>
        <w:ind w:left="1020" w:hanging="360"/>
      </w:pPr>
    </w:lvl>
    <w:lvl w:ilvl="3" w:tplc="BD92FE04">
      <w:start w:val="1"/>
      <w:numFmt w:val="decimal"/>
      <w:lvlText w:val="%4."/>
      <w:lvlJc w:val="left"/>
      <w:pPr>
        <w:ind w:left="1020" w:hanging="360"/>
      </w:pPr>
    </w:lvl>
    <w:lvl w:ilvl="4" w:tplc="9F46C3C4">
      <w:start w:val="1"/>
      <w:numFmt w:val="decimal"/>
      <w:lvlText w:val="%5."/>
      <w:lvlJc w:val="left"/>
      <w:pPr>
        <w:ind w:left="1020" w:hanging="360"/>
      </w:pPr>
    </w:lvl>
    <w:lvl w:ilvl="5" w:tplc="E1B0DBC8">
      <w:start w:val="1"/>
      <w:numFmt w:val="decimal"/>
      <w:lvlText w:val="%6."/>
      <w:lvlJc w:val="left"/>
      <w:pPr>
        <w:ind w:left="1020" w:hanging="360"/>
      </w:pPr>
    </w:lvl>
    <w:lvl w:ilvl="6" w:tplc="10C6D0AE">
      <w:start w:val="1"/>
      <w:numFmt w:val="decimal"/>
      <w:lvlText w:val="%7."/>
      <w:lvlJc w:val="left"/>
      <w:pPr>
        <w:ind w:left="1020" w:hanging="360"/>
      </w:pPr>
    </w:lvl>
    <w:lvl w:ilvl="7" w:tplc="5F5CE3C6">
      <w:start w:val="1"/>
      <w:numFmt w:val="decimal"/>
      <w:lvlText w:val="%8."/>
      <w:lvlJc w:val="left"/>
      <w:pPr>
        <w:ind w:left="1020" w:hanging="360"/>
      </w:pPr>
    </w:lvl>
    <w:lvl w:ilvl="8" w:tplc="B2FA9BF2">
      <w:start w:val="1"/>
      <w:numFmt w:val="decimal"/>
      <w:lvlText w:val="%9."/>
      <w:lvlJc w:val="left"/>
      <w:pPr>
        <w:ind w:left="1020" w:hanging="360"/>
      </w:pPr>
    </w:lvl>
  </w:abstractNum>
  <w:abstractNum w:abstractNumId="15" w15:restartNumberingAfterBreak="0">
    <w:nsid w:val="36006448"/>
    <w:multiLevelType w:val="hybridMultilevel"/>
    <w:tmpl w:val="D108A430"/>
    <w:lvl w:ilvl="0" w:tplc="0C090001">
      <w:start w:val="1"/>
      <w:numFmt w:val="bullet"/>
      <w:lvlText w:val=""/>
      <w:lvlJc w:val="left"/>
      <w:pPr>
        <w:ind w:left="-72" w:hanging="360"/>
      </w:pPr>
      <w:rPr>
        <w:rFonts w:ascii="Symbol" w:hAnsi="Symbol" w:hint="default"/>
      </w:rPr>
    </w:lvl>
    <w:lvl w:ilvl="1" w:tplc="0C090003" w:tentative="1">
      <w:start w:val="1"/>
      <w:numFmt w:val="bullet"/>
      <w:lvlText w:val="o"/>
      <w:lvlJc w:val="left"/>
      <w:pPr>
        <w:ind w:left="648" w:hanging="360"/>
      </w:pPr>
      <w:rPr>
        <w:rFonts w:ascii="Courier New" w:hAnsi="Courier New" w:cs="Courier New" w:hint="default"/>
      </w:rPr>
    </w:lvl>
    <w:lvl w:ilvl="2" w:tplc="0C090005" w:tentative="1">
      <w:start w:val="1"/>
      <w:numFmt w:val="bullet"/>
      <w:lvlText w:val=""/>
      <w:lvlJc w:val="left"/>
      <w:pPr>
        <w:ind w:left="1368" w:hanging="360"/>
      </w:pPr>
      <w:rPr>
        <w:rFonts w:ascii="Wingdings" w:hAnsi="Wingdings" w:hint="default"/>
      </w:rPr>
    </w:lvl>
    <w:lvl w:ilvl="3" w:tplc="0C090001" w:tentative="1">
      <w:start w:val="1"/>
      <w:numFmt w:val="bullet"/>
      <w:lvlText w:val=""/>
      <w:lvlJc w:val="left"/>
      <w:pPr>
        <w:ind w:left="2088" w:hanging="360"/>
      </w:pPr>
      <w:rPr>
        <w:rFonts w:ascii="Symbol" w:hAnsi="Symbol" w:hint="default"/>
      </w:rPr>
    </w:lvl>
    <w:lvl w:ilvl="4" w:tplc="0C090003" w:tentative="1">
      <w:start w:val="1"/>
      <w:numFmt w:val="bullet"/>
      <w:lvlText w:val="o"/>
      <w:lvlJc w:val="left"/>
      <w:pPr>
        <w:ind w:left="2808" w:hanging="360"/>
      </w:pPr>
      <w:rPr>
        <w:rFonts w:ascii="Courier New" w:hAnsi="Courier New" w:cs="Courier New" w:hint="default"/>
      </w:rPr>
    </w:lvl>
    <w:lvl w:ilvl="5" w:tplc="0C090005" w:tentative="1">
      <w:start w:val="1"/>
      <w:numFmt w:val="bullet"/>
      <w:lvlText w:val=""/>
      <w:lvlJc w:val="left"/>
      <w:pPr>
        <w:ind w:left="3528" w:hanging="360"/>
      </w:pPr>
      <w:rPr>
        <w:rFonts w:ascii="Wingdings" w:hAnsi="Wingdings" w:hint="default"/>
      </w:rPr>
    </w:lvl>
    <w:lvl w:ilvl="6" w:tplc="0C090001" w:tentative="1">
      <w:start w:val="1"/>
      <w:numFmt w:val="bullet"/>
      <w:lvlText w:val=""/>
      <w:lvlJc w:val="left"/>
      <w:pPr>
        <w:ind w:left="4248" w:hanging="360"/>
      </w:pPr>
      <w:rPr>
        <w:rFonts w:ascii="Symbol" w:hAnsi="Symbol" w:hint="default"/>
      </w:rPr>
    </w:lvl>
    <w:lvl w:ilvl="7" w:tplc="0C090003" w:tentative="1">
      <w:start w:val="1"/>
      <w:numFmt w:val="bullet"/>
      <w:lvlText w:val="o"/>
      <w:lvlJc w:val="left"/>
      <w:pPr>
        <w:ind w:left="4968" w:hanging="360"/>
      </w:pPr>
      <w:rPr>
        <w:rFonts w:ascii="Courier New" w:hAnsi="Courier New" w:cs="Courier New" w:hint="default"/>
      </w:rPr>
    </w:lvl>
    <w:lvl w:ilvl="8" w:tplc="0C090005" w:tentative="1">
      <w:start w:val="1"/>
      <w:numFmt w:val="bullet"/>
      <w:lvlText w:val=""/>
      <w:lvlJc w:val="left"/>
      <w:pPr>
        <w:ind w:left="5688" w:hanging="360"/>
      </w:pPr>
      <w:rPr>
        <w:rFonts w:ascii="Wingdings" w:hAnsi="Wingdings" w:hint="default"/>
      </w:rPr>
    </w:lvl>
  </w:abstractNum>
  <w:abstractNum w:abstractNumId="16" w15:restartNumberingAfterBreak="0">
    <w:nsid w:val="39720272"/>
    <w:multiLevelType w:val="hybridMultilevel"/>
    <w:tmpl w:val="00BC732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3DC57192"/>
    <w:multiLevelType w:val="hybridMultilevel"/>
    <w:tmpl w:val="6CA8FCE8"/>
    <w:lvl w:ilvl="0" w:tplc="D33C4EE8">
      <w:start w:val="1"/>
      <w:numFmt w:val="decimal"/>
      <w:lvlText w:val="%1."/>
      <w:lvlJc w:val="left"/>
      <w:pPr>
        <w:ind w:left="1020" w:hanging="360"/>
      </w:pPr>
    </w:lvl>
    <w:lvl w:ilvl="1" w:tplc="8ADA75D6">
      <w:start w:val="1"/>
      <w:numFmt w:val="decimal"/>
      <w:lvlText w:val="%2."/>
      <w:lvlJc w:val="left"/>
      <w:pPr>
        <w:ind w:left="1020" w:hanging="360"/>
      </w:pPr>
    </w:lvl>
    <w:lvl w:ilvl="2" w:tplc="0728F102">
      <w:start w:val="1"/>
      <w:numFmt w:val="decimal"/>
      <w:lvlText w:val="%3."/>
      <w:lvlJc w:val="left"/>
      <w:pPr>
        <w:ind w:left="1020" w:hanging="360"/>
      </w:pPr>
    </w:lvl>
    <w:lvl w:ilvl="3" w:tplc="9CDC323C">
      <w:start w:val="1"/>
      <w:numFmt w:val="decimal"/>
      <w:lvlText w:val="%4."/>
      <w:lvlJc w:val="left"/>
      <w:pPr>
        <w:ind w:left="1020" w:hanging="360"/>
      </w:pPr>
    </w:lvl>
    <w:lvl w:ilvl="4" w:tplc="8AE613BC">
      <w:start w:val="1"/>
      <w:numFmt w:val="decimal"/>
      <w:lvlText w:val="%5."/>
      <w:lvlJc w:val="left"/>
      <w:pPr>
        <w:ind w:left="1020" w:hanging="360"/>
      </w:pPr>
    </w:lvl>
    <w:lvl w:ilvl="5" w:tplc="6DB64CAA">
      <w:start w:val="1"/>
      <w:numFmt w:val="decimal"/>
      <w:lvlText w:val="%6."/>
      <w:lvlJc w:val="left"/>
      <w:pPr>
        <w:ind w:left="1020" w:hanging="360"/>
      </w:pPr>
    </w:lvl>
    <w:lvl w:ilvl="6" w:tplc="8A542D6E">
      <w:start w:val="1"/>
      <w:numFmt w:val="decimal"/>
      <w:lvlText w:val="%7."/>
      <w:lvlJc w:val="left"/>
      <w:pPr>
        <w:ind w:left="1020" w:hanging="360"/>
      </w:pPr>
    </w:lvl>
    <w:lvl w:ilvl="7" w:tplc="45D8F534">
      <w:start w:val="1"/>
      <w:numFmt w:val="decimal"/>
      <w:lvlText w:val="%8."/>
      <w:lvlJc w:val="left"/>
      <w:pPr>
        <w:ind w:left="1020" w:hanging="360"/>
      </w:pPr>
    </w:lvl>
    <w:lvl w:ilvl="8" w:tplc="8CAAD2AA">
      <w:start w:val="1"/>
      <w:numFmt w:val="decimal"/>
      <w:lvlText w:val="%9."/>
      <w:lvlJc w:val="left"/>
      <w:pPr>
        <w:ind w:left="1020" w:hanging="360"/>
      </w:pPr>
    </w:lvl>
  </w:abstractNum>
  <w:abstractNum w:abstractNumId="18" w15:restartNumberingAfterBreak="0">
    <w:nsid w:val="40D0387A"/>
    <w:multiLevelType w:val="hybridMultilevel"/>
    <w:tmpl w:val="8C28490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42AC1433"/>
    <w:multiLevelType w:val="multilevel"/>
    <w:tmpl w:val="0809001D"/>
    <w:styleLink w:val="CurrentList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44442297"/>
    <w:multiLevelType w:val="hybridMultilevel"/>
    <w:tmpl w:val="E6FE4E00"/>
    <w:lvl w:ilvl="0" w:tplc="C324F4FC">
      <w:start w:val="1"/>
      <w:numFmt w:val="bullet"/>
      <w:pStyle w:val="Bulletpoints"/>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B7F010F"/>
    <w:multiLevelType w:val="hybridMultilevel"/>
    <w:tmpl w:val="8FDA0A9A"/>
    <w:lvl w:ilvl="0" w:tplc="F2401738">
      <w:start w:val="1"/>
      <w:numFmt w:val="decimal"/>
      <w:lvlText w:val="%1."/>
      <w:lvlJc w:val="left"/>
      <w:pPr>
        <w:ind w:left="1020" w:hanging="360"/>
      </w:pPr>
    </w:lvl>
    <w:lvl w:ilvl="1" w:tplc="00426186">
      <w:start w:val="1"/>
      <w:numFmt w:val="decimal"/>
      <w:lvlText w:val="%2."/>
      <w:lvlJc w:val="left"/>
      <w:pPr>
        <w:ind w:left="1020" w:hanging="360"/>
      </w:pPr>
    </w:lvl>
    <w:lvl w:ilvl="2" w:tplc="D2D0FDF4">
      <w:start w:val="1"/>
      <w:numFmt w:val="decimal"/>
      <w:lvlText w:val="%3."/>
      <w:lvlJc w:val="left"/>
      <w:pPr>
        <w:ind w:left="1020" w:hanging="360"/>
      </w:pPr>
    </w:lvl>
    <w:lvl w:ilvl="3" w:tplc="3E581BBC">
      <w:start w:val="1"/>
      <w:numFmt w:val="decimal"/>
      <w:lvlText w:val="%4."/>
      <w:lvlJc w:val="left"/>
      <w:pPr>
        <w:ind w:left="1020" w:hanging="360"/>
      </w:pPr>
    </w:lvl>
    <w:lvl w:ilvl="4" w:tplc="409E5AF8">
      <w:start w:val="1"/>
      <w:numFmt w:val="decimal"/>
      <w:lvlText w:val="%5."/>
      <w:lvlJc w:val="left"/>
      <w:pPr>
        <w:ind w:left="1020" w:hanging="360"/>
      </w:pPr>
    </w:lvl>
    <w:lvl w:ilvl="5" w:tplc="38A455F0">
      <w:start w:val="1"/>
      <w:numFmt w:val="decimal"/>
      <w:lvlText w:val="%6."/>
      <w:lvlJc w:val="left"/>
      <w:pPr>
        <w:ind w:left="1020" w:hanging="360"/>
      </w:pPr>
    </w:lvl>
    <w:lvl w:ilvl="6" w:tplc="5658F552">
      <w:start w:val="1"/>
      <w:numFmt w:val="decimal"/>
      <w:lvlText w:val="%7."/>
      <w:lvlJc w:val="left"/>
      <w:pPr>
        <w:ind w:left="1020" w:hanging="360"/>
      </w:pPr>
    </w:lvl>
    <w:lvl w:ilvl="7" w:tplc="0B62EFE8">
      <w:start w:val="1"/>
      <w:numFmt w:val="decimal"/>
      <w:lvlText w:val="%8."/>
      <w:lvlJc w:val="left"/>
      <w:pPr>
        <w:ind w:left="1020" w:hanging="360"/>
      </w:pPr>
    </w:lvl>
    <w:lvl w:ilvl="8" w:tplc="2E9C8DDA">
      <w:start w:val="1"/>
      <w:numFmt w:val="decimal"/>
      <w:lvlText w:val="%9."/>
      <w:lvlJc w:val="left"/>
      <w:pPr>
        <w:ind w:left="1020" w:hanging="360"/>
      </w:pPr>
    </w:lvl>
  </w:abstractNum>
  <w:abstractNum w:abstractNumId="22" w15:restartNumberingAfterBreak="0">
    <w:nsid w:val="4D31182E"/>
    <w:multiLevelType w:val="hybridMultilevel"/>
    <w:tmpl w:val="D102B524"/>
    <w:lvl w:ilvl="0" w:tplc="0C09000B">
      <w:start w:val="1"/>
      <w:numFmt w:val="bullet"/>
      <w:lvlText w:val=""/>
      <w:lvlJc w:val="left"/>
      <w:pPr>
        <w:ind w:left="720" w:hanging="360"/>
      </w:pPr>
      <w:rPr>
        <w:rFonts w:ascii="Wingdings" w:eastAsia="Times New Roman" w:hAnsi="Wingdings"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4FA94EF0"/>
    <w:multiLevelType w:val="hybridMultilevel"/>
    <w:tmpl w:val="1E4E1CA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512137C1"/>
    <w:multiLevelType w:val="hybridMultilevel"/>
    <w:tmpl w:val="3B06BBC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5" w15:restartNumberingAfterBreak="0">
    <w:nsid w:val="5DE14802"/>
    <w:multiLevelType w:val="hybridMultilevel"/>
    <w:tmpl w:val="51D2789A"/>
    <w:lvl w:ilvl="0" w:tplc="3572BD5A">
      <w:start w:val="1"/>
      <w:numFmt w:val="bullet"/>
      <w:lvlText w:val=""/>
      <w:lvlJc w:val="left"/>
      <w:pPr>
        <w:ind w:left="720" w:hanging="360"/>
      </w:pPr>
      <w:rPr>
        <w:rFonts w:ascii="Symbol" w:hAnsi="Symbol"/>
      </w:rPr>
    </w:lvl>
    <w:lvl w:ilvl="1" w:tplc="A0020CD2">
      <w:start w:val="1"/>
      <w:numFmt w:val="bullet"/>
      <w:lvlText w:val=""/>
      <w:lvlJc w:val="left"/>
      <w:pPr>
        <w:ind w:left="720" w:hanging="360"/>
      </w:pPr>
      <w:rPr>
        <w:rFonts w:ascii="Symbol" w:hAnsi="Symbol"/>
      </w:rPr>
    </w:lvl>
    <w:lvl w:ilvl="2" w:tplc="3F32EB60">
      <w:start w:val="1"/>
      <w:numFmt w:val="bullet"/>
      <w:lvlText w:val=""/>
      <w:lvlJc w:val="left"/>
      <w:pPr>
        <w:ind w:left="720" w:hanging="360"/>
      </w:pPr>
      <w:rPr>
        <w:rFonts w:ascii="Symbol" w:hAnsi="Symbol"/>
      </w:rPr>
    </w:lvl>
    <w:lvl w:ilvl="3" w:tplc="7236F4E4">
      <w:start w:val="1"/>
      <w:numFmt w:val="bullet"/>
      <w:lvlText w:val=""/>
      <w:lvlJc w:val="left"/>
      <w:pPr>
        <w:ind w:left="720" w:hanging="360"/>
      </w:pPr>
      <w:rPr>
        <w:rFonts w:ascii="Symbol" w:hAnsi="Symbol"/>
      </w:rPr>
    </w:lvl>
    <w:lvl w:ilvl="4" w:tplc="99B8BBB8">
      <w:start w:val="1"/>
      <w:numFmt w:val="bullet"/>
      <w:lvlText w:val=""/>
      <w:lvlJc w:val="left"/>
      <w:pPr>
        <w:ind w:left="720" w:hanging="360"/>
      </w:pPr>
      <w:rPr>
        <w:rFonts w:ascii="Symbol" w:hAnsi="Symbol"/>
      </w:rPr>
    </w:lvl>
    <w:lvl w:ilvl="5" w:tplc="085ACF22">
      <w:start w:val="1"/>
      <w:numFmt w:val="bullet"/>
      <w:lvlText w:val=""/>
      <w:lvlJc w:val="left"/>
      <w:pPr>
        <w:ind w:left="720" w:hanging="360"/>
      </w:pPr>
      <w:rPr>
        <w:rFonts w:ascii="Symbol" w:hAnsi="Symbol"/>
      </w:rPr>
    </w:lvl>
    <w:lvl w:ilvl="6" w:tplc="D71E1C30">
      <w:start w:val="1"/>
      <w:numFmt w:val="bullet"/>
      <w:lvlText w:val=""/>
      <w:lvlJc w:val="left"/>
      <w:pPr>
        <w:ind w:left="720" w:hanging="360"/>
      </w:pPr>
      <w:rPr>
        <w:rFonts w:ascii="Symbol" w:hAnsi="Symbol"/>
      </w:rPr>
    </w:lvl>
    <w:lvl w:ilvl="7" w:tplc="CBF280F6">
      <w:start w:val="1"/>
      <w:numFmt w:val="bullet"/>
      <w:lvlText w:val=""/>
      <w:lvlJc w:val="left"/>
      <w:pPr>
        <w:ind w:left="720" w:hanging="360"/>
      </w:pPr>
      <w:rPr>
        <w:rFonts w:ascii="Symbol" w:hAnsi="Symbol"/>
      </w:rPr>
    </w:lvl>
    <w:lvl w:ilvl="8" w:tplc="F7D2CC4E">
      <w:start w:val="1"/>
      <w:numFmt w:val="bullet"/>
      <w:lvlText w:val=""/>
      <w:lvlJc w:val="left"/>
      <w:pPr>
        <w:ind w:left="720" w:hanging="360"/>
      </w:pPr>
      <w:rPr>
        <w:rFonts w:ascii="Symbol" w:hAnsi="Symbol"/>
      </w:rPr>
    </w:lvl>
  </w:abstractNum>
  <w:abstractNum w:abstractNumId="26" w15:restartNumberingAfterBreak="0">
    <w:nsid w:val="637E2055"/>
    <w:multiLevelType w:val="hybridMultilevel"/>
    <w:tmpl w:val="0CB852D2"/>
    <w:lvl w:ilvl="0" w:tplc="9F10B140">
      <w:start w:val="1"/>
      <w:numFmt w:val="bullet"/>
      <w:lvlText w:val="•"/>
      <w:lvlJc w:val="left"/>
      <w:pPr>
        <w:tabs>
          <w:tab w:val="num" w:pos="720"/>
        </w:tabs>
        <w:ind w:left="720" w:hanging="360"/>
      </w:pPr>
      <w:rPr>
        <w:rFonts w:ascii="Arial" w:hAnsi="Arial" w:hint="default"/>
      </w:rPr>
    </w:lvl>
    <w:lvl w:ilvl="1" w:tplc="93DA8110" w:tentative="1">
      <w:start w:val="1"/>
      <w:numFmt w:val="bullet"/>
      <w:lvlText w:val="•"/>
      <w:lvlJc w:val="left"/>
      <w:pPr>
        <w:tabs>
          <w:tab w:val="num" w:pos="1440"/>
        </w:tabs>
        <w:ind w:left="1440" w:hanging="360"/>
      </w:pPr>
      <w:rPr>
        <w:rFonts w:ascii="Arial" w:hAnsi="Arial" w:hint="default"/>
      </w:rPr>
    </w:lvl>
    <w:lvl w:ilvl="2" w:tplc="BE78783A" w:tentative="1">
      <w:start w:val="1"/>
      <w:numFmt w:val="bullet"/>
      <w:lvlText w:val="•"/>
      <w:lvlJc w:val="left"/>
      <w:pPr>
        <w:tabs>
          <w:tab w:val="num" w:pos="2160"/>
        </w:tabs>
        <w:ind w:left="2160" w:hanging="360"/>
      </w:pPr>
      <w:rPr>
        <w:rFonts w:ascii="Arial" w:hAnsi="Arial" w:hint="default"/>
      </w:rPr>
    </w:lvl>
    <w:lvl w:ilvl="3" w:tplc="AF1A1CE2" w:tentative="1">
      <w:start w:val="1"/>
      <w:numFmt w:val="bullet"/>
      <w:lvlText w:val="•"/>
      <w:lvlJc w:val="left"/>
      <w:pPr>
        <w:tabs>
          <w:tab w:val="num" w:pos="2880"/>
        </w:tabs>
        <w:ind w:left="2880" w:hanging="360"/>
      </w:pPr>
      <w:rPr>
        <w:rFonts w:ascii="Arial" w:hAnsi="Arial" w:hint="default"/>
      </w:rPr>
    </w:lvl>
    <w:lvl w:ilvl="4" w:tplc="8534AE56" w:tentative="1">
      <w:start w:val="1"/>
      <w:numFmt w:val="bullet"/>
      <w:lvlText w:val="•"/>
      <w:lvlJc w:val="left"/>
      <w:pPr>
        <w:tabs>
          <w:tab w:val="num" w:pos="3600"/>
        </w:tabs>
        <w:ind w:left="3600" w:hanging="360"/>
      </w:pPr>
      <w:rPr>
        <w:rFonts w:ascii="Arial" w:hAnsi="Arial" w:hint="default"/>
      </w:rPr>
    </w:lvl>
    <w:lvl w:ilvl="5" w:tplc="9F805B00" w:tentative="1">
      <w:start w:val="1"/>
      <w:numFmt w:val="bullet"/>
      <w:lvlText w:val="•"/>
      <w:lvlJc w:val="left"/>
      <w:pPr>
        <w:tabs>
          <w:tab w:val="num" w:pos="4320"/>
        </w:tabs>
        <w:ind w:left="4320" w:hanging="360"/>
      </w:pPr>
      <w:rPr>
        <w:rFonts w:ascii="Arial" w:hAnsi="Arial" w:hint="default"/>
      </w:rPr>
    </w:lvl>
    <w:lvl w:ilvl="6" w:tplc="91669B42" w:tentative="1">
      <w:start w:val="1"/>
      <w:numFmt w:val="bullet"/>
      <w:lvlText w:val="•"/>
      <w:lvlJc w:val="left"/>
      <w:pPr>
        <w:tabs>
          <w:tab w:val="num" w:pos="5040"/>
        </w:tabs>
        <w:ind w:left="5040" w:hanging="360"/>
      </w:pPr>
      <w:rPr>
        <w:rFonts w:ascii="Arial" w:hAnsi="Arial" w:hint="default"/>
      </w:rPr>
    </w:lvl>
    <w:lvl w:ilvl="7" w:tplc="B91CEE70" w:tentative="1">
      <w:start w:val="1"/>
      <w:numFmt w:val="bullet"/>
      <w:lvlText w:val="•"/>
      <w:lvlJc w:val="left"/>
      <w:pPr>
        <w:tabs>
          <w:tab w:val="num" w:pos="5760"/>
        </w:tabs>
        <w:ind w:left="5760" w:hanging="360"/>
      </w:pPr>
      <w:rPr>
        <w:rFonts w:ascii="Arial" w:hAnsi="Arial" w:hint="default"/>
      </w:rPr>
    </w:lvl>
    <w:lvl w:ilvl="8" w:tplc="E3549AC0" w:tentative="1">
      <w:start w:val="1"/>
      <w:numFmt w:val="bullet"/>
      <w:lvlText w:val="•"/>
      <w:lvlJc w:val="left"/>
      <w:pPr>
        <w:tabs>
          <w:tab w:val="num" w:pos="6480"/>
        </w:tabs>
        <w:ind w:left="6480" w:hanging="360"/>
      </w:pPr>
      <w:rPr>
        <w:rFonts w:ascii="Arial" w:hAnsi="Arial" w:hint="default"/>
      </w:rPr>
    </w:lvl>
  </w:abstractNum>
  <w:abstractNum w:abstractNumId="27" w15:restartNumberingAfterBreak="0">
    <w:nsid w:val="642E74AF"/>
    <w:multiLevelType w:val="hybridMultilevel"/>
    <w:tmpl w:val="48CE5FD2"/>
    <w:lvl w:ilvl="0" w:tplc="DC0AEA28">
      <w:start w:val="1"/>
      <w:numFmt w:val="lowerLetter"/>
      <w:pStyle w:val="Tableletteredlist"/>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8" w15:restartNumberingAfterBreak="0">
    <w:nsid w:val="646E195B"/>
    <w:multiLevelType w:val="hybridMultilevel"/>
    <w:tmpl w:val="66FA0E62"/>
    <w:lvl w:ilvl="0" w:tplc="4ACCC8F0">
      <w:start w:val="1"/>
      <w:numFmt w:val="lowerRoman"/>
      <w:pStyle w:val="bullet"/>
      <w:lvlText w:val="%1."/>
      <w:lvlJc w:val="righ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29" w15:restartNumberingAfterBreak="0">
    <w:nsid w:val="68A561E1"/>
    <w:multiLevelType w:val="hybridMultilevel"/>
    <w:tmpl w:val="6722F2A4"/>
    <w:lvl w:ilvl="0" w:tplc="2B60557A">
      <w:start w:val="1"/>
      <w:numFmt w:val="bullet"/>
      <w:lvlText w:val=""/>
      <w:lvlJc w:val="left"/>
      <w:pPr>
        <w:ind w:left="720" w:hanging="360"/>
      </w:pPr>
      <w:rPr>
        <w:rFonts w:ascii="Symbol" w:hAnsi="Symbol"/>
      </w:rPr>
    </w:lvl>
    <w:lvl w:ilvl="1" w:tplc="7A441114">
      <w:start w:val="1"/>
      <w:numFmt w:val="bullet"/>
      <w:lvlText w:val=""/>
      <w:lvlJc w:val="left"/>
      <w:pPr>
        <w:ind w:left="720" w:hanging="360"/>
      </w:pPr>
      <w:rPr>
        <w:rFonts w:ascii="Symbol" w:hAnsi="Symbol"/>
      </w:rPr>
    </w:lvl>
    <w:lvl w:ilvl="2" w:tplc="742C60A6">
      <w:start w:val="1"/>
      <w:numFmt w:val="bullet"/>
      <w:lvlText w:val=""/>
      <w:lvlJc w:val="left"/>
      <w:pPr>
        <w:ind w:left="720" w:hanging="360"/>
      </w:pPr>
      <w:rPr>
        <w:rFonts w:ascii="Symbol" w:hAnsi="Symbol"/>
      </w:rPr>
    </w:lvl>
    <w:lvl w:ilvl="3" w:tplc="197E5622">
      <w:start w:val="1"/>
      <w:numFmt w:val="bullet"/>
      <w:lvlText w:val=""/>
      <w:lvlJc w:val="left"/>
      <w:pPr>
        <w:ind w:left="720" w:hanging="360"/>
      </w:pPr>
      <w:rPr>
        <w:rFonts w:ascii="Symbol" w:hAnsi="Symbol"/>
      </w:rPr>
    </w:lvl>
    <w:lvl w:ilvl="4" w:tplc="CECA95B4">
      <w:start w:val="1"/>
      <w:numFmt w:val="bullet"/>
      <w:lvlText w:val=""/>
      <w:lvlJc w:val="left"/>
      <w:pPr>
        <w:ind w:left="720" w:hanging="360"/>
      </w:pPr>
      <w:rPr>
        <w:rFonts w:ascii="Symbol" w:hAnsi="Symbol"/>
      </w:rPr>
    </w:lvl>
    <w:lvl w:ilvl="5" w:tplc="9F46BF5E">
      <w:start w:val="1"/>
      <w:numFmt w:val="bullet"/>
      <w:lvlText w:val=""/>
      <w:lvlJc w:val="left"/>
      <w:pPr>
        <w:ind w:left="720" w:hanging="360"/>
      </w:pPr>
      <w:rPr>
        <w:rFonts w:ascii="Symbol" w:hAnsi="Symbol"/>
      </w:rPr>
    </w:lvl>
    <w:lvl w:ilvl="6" w:tplc="087005A4">
      <w:start w:val="1"/>
      <w:numFmt w:val="bullet"/>
      <w:lvlText w:val=""/>
      <w:lvlJc w:val="left"/>
      <w:pPr>
        <w:ind w:left="720" w:hanging="360"/>
      </w:pPr>
      <w:rPr>
        <w:rFonts w:ascii="Symbol" w:hAnsi="Symbol"/>
      </w:rPr>
    </w:lvl>
    <w:lvl w:ilvl="7" w:tplc="DA72DB52">
      <w:start w:val="1"/>
      <w:numFmt w:val="bullet"/>
      <w:lvlText w:val=""/>
      <w:lvlJc w:val="left"/>
      <w:pPr>
        <w:ind w:left="720" w:hanging="360"/>
      </w:pPr>
      <w:rPr>
        <w:rFonts w:ascii="Symbol" w:hAnsi="Symbol"/>
      </w:rPr>
    </w:lvl>
    <w:lvl w:ilvl="8" w:tplc="8618B600">
      <w:start w:val="1"/>
      <w:numFmt w:val="bullet"/>
      <w:lvlText w:val=""/>
      <w:lvlJc w:val="left"/>
      <w:pPr>
        <w:ind w:left="720" w:hanging="360"/>
      </w:pPr>
      <w:rPr>
        <w:rFonts w:ascii="Symbol" w:hAnsi="Symbol"/>
      </w:rPr>
    </w:lvl>
  </w:abstractNum>
  <w:abstractNum w:abstractNumId="30" w15:restartNumberingAfterBreak="0">
    <w:nsid w:val="784D033C"/>
    <w:multiLevelType w:val="multilevel"/>
    <w:tmpl w:val="1D04A828"/>
    <w:lvl w:ilvl="0">
      <w:start w:val="1"/>
      <w:numFmt w:val="decimal"/>
      <w:pStyle w:val="2-SectionHeading"/>
      <w:lvlText w:val="%1"/>
      <w:lvlJc w:val="left"/>
      <w:pPr>
        <w:ind w:left="720" w:hanging="720"/>
      </w:pPr>
      <w:rPr>
        <w:rFonts w:hint="default"/>
        <w:b/>
      </w:rPr>
    </w:lvl>
    <w:lvl w:ilvl="1">
      <w:start w:val="1"/>
      <w:numFmt w:val="decimal"/>
      <w:pStyle w:val="3-BodyText"/>
      <w:lvlText w:val="%1.%2"/>
      <w:lvlJc w:val="left"/>
      <w:pPr>
        <w:ind w:left="720" w:hanging="720"/>
      </w:pPr>
      <w:rPr>
        <w:rFonts w:hint="default"/>
        <w:b w:val="0"/>
        <w:bCs w:val="0"/>
        <w:i w:val="0"/>
        <w:iCs/>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799756D1"/>
    <w:multiLevelType w:val="hybridMultilevel"/>
    <w:tmpl w:val="D5CC8F0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2" w15:restartNumberingAfterBreak="0">
    <w:nsid w:val="7EED1149"/>
    <w:multiLevelType w:val="hybridMultilevel"/>
    <w:tmpl w:val="D95414B2"/>
    <w:lvl w:ilvl="0" w:tplc="BDC0E452">
      <w:numFmt w:val="bullet"/>
      <w:lvlText w:val="-"/>
      <w:lvlJc w:val="left"/>
      <w:pPr>
        <w:ind w:left="720" w:hanging="360"/>
      </w:pPr>
      <w:rPr>
        <w:rFonts w:ascii="Arial Narrow" w:eastAsia="Times New Roman" w:hAnsi="Arial Narrow"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816186631">
    <w:abstractNumId w:val="30"/>
  </w:num>
  <w:num w:numId="2" w16cid:durableId="917793048">
    <w:abstractNumId w:val="20"/>
  </w:num>
  <w:num w:numId="3" w16cid:durableId="263461728">
    <w:abstractNumId w:val="0"/>
  </w:num>
  <w:num w:numId="4" w16cid:durableId="1156729720">
    <w:abstractNumId w:val="16"/>
  </w:num>
  <w:num w:numId="5" w16cid:durableId="704645582">
    <w:abstractNumId w:val="23"/>
  </w:num>
  <w:num w:numId="6" w16cid:durableId="220360847">
    <w:abstractNumId w:val="28"/>
  </w:num>
  <w:num w:numId="7" w16cid:durableId="268196418">
    <w:abstractNumId w:val="13"/>
  </w:num>
  <w:num w:numId="8" w16cid:durableId="1048839230">
    <w:abstractNumId w:val="30"/>
  </w:num>
  <w:num w:numId="9" w16cid:durableId="1694109783">
    <w:abstractNumId w:val="7"/>
  </w:num>
  <w:num w:numId="10" w16cid:durableId="1779645457">
    <w:abstractNumId w:val="30"/>
  </w:num>
  <w:num w:numId="11" w16cid:durableId="1611861764">
    <w:abstractNumId w:val="18"/>
  </w:num>
  <w:num w:numId="12" w16cid:durableId="345717357">
    <w:abstractNumId w:val="15"/>
  </w:num>
  <w:num w:numId="13" w16cid:durableId="703988819">
    <w:abstractNumId w:val="6"/>
  </w:num>
  <w:num w:numId="14" w16cid:durableId="358970734">
    <w:abstractNumId w:val="3"/>
  </w:num>
  <w:num w:numId="15" w16cid:durableId="1621378856">
    <w:abstractNumId w:val="5"/>
  </w:num>
  <w:num w:numId="16" w16cid:durableId="1152411765">
    <w:abstractNumId w:val="9"/>
  </w:num>
  <w:num w:numId="17" w16cid:durableId="1462386202">
    <w:abstractNumId w:val="8"/>
  </w:num>
  <w:num w:numId="18" w16cid:durableId="1158618403">
    <w:abstractNumId w:val="31"/>
  </w:num>
  <w:num w:numId="19" w16cid:durableId="1411736384">
    <w:abstractNumId w:val="24"/>
  </w:num>
  <w:num w:numId="20" w16cid:durableId="429473096">
    <w:abstractNumId w:val="27"/>
  </w:num>
  <w:num w:numId="21" w16cid:durableId="728039952">
    <w:abstractNumId w:val="19"/>
  </w:num>
  <w:num w:numId="22" w16cid:durableId="274217019">
    <w:abstractNumId w:val="32"/>
  </w:num>
  <w:num w:numId="23" w16cid:durableId="2087798573">
    <w:abstractNumId w:val="1"/>
  </w:num>
  <w:num w:numId="24" w16cid:durableId="1859392343">
    <w:abstractNumId w:val="12"/>
  </w:num>
  <w:num w:numId="25" w16cid:durableId="1624847262">
    <w:abstractNumId w:val="22"/>
  </w:num>
  <w:num w:numId="26" w16cid:durableId="1740134949">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520436715">
    <w:abstractNumId w:val="26"/>
  </w:num>
  <w:num w:numId="28" w16cid:durableId="1033189996">
    <w:abstractNumId w:val="21"/>
  </w:num>
  <w:num w:numId="29" w16cid:durableId="54663259">
    <w:abstractNumId w:val="14"/>
  </w:num>
  <w:num w:numId="30" w16cid:durableId="623318418">
    <w:abstractNumId w:val="4"/>
  </w:num>
  <w:num w:numId="31" w16cid:durableId="1060980233">
    <w:abstractNumId w:val="17"/>
  </w:num>
  <w:num w:numId="32" w16cid:durableId="749733821">
    <w:abstractNumId w:val="10"/>
  </w:num>
  <w:num w:numId="33" w16cid:durableId="1526867520">
    <w:abstractNumId w:val="2"/>
  </w:num>
  <w:num w:numId="34" w16cid:durableId="1304852327">
    <w:abstractNumId w:val="11"/>
  </w:num>
  <w:num w:numId="35" w16cid:durableId="1407141586">
    <w:abstractNumId w:val="29"/>
  </w:num>
  <w:num w:numId="36" w16cid:durableId="1132331280">
    <w:abstractNumId w:val="25"/>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removePersonalInformation/>
  <w:removeDateAndTime/>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oNotTrackFormatting/>
  <w:documentProtection w:edit="readOnly"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5E79"/>
    <w:rsid w:val="00000174"/>
    <w:rsid w:val="00000251"/>
    <w:rsid w:val="00000722"/>
    <w:rsid w:val="00000790"/>
    <w:rsid w:val="00000AB2"/>
    <w:rsid w:val="00000C51"/>
    <w:rsid w:val="0000101C"/>
    <w:rsid w:val="0000110B"/>
    <w:rsid w:val="0000214F"/>
    <w:rsid w:val="000024D1"/>
    <w:rsid w:val="000027EB"/>
    <w:rsid w:val="00002B03"/>
    <w:rsid w:val="00002C66"/>
    <w:rsid w:val="000032D8"/>
    <w:rsid w:val="00003499"/>
    <w:rsid w:val="0000385D"/>
    <w:rsid w:val="000039B7"/>
    <w:rsid w:val="00003A26"/>
    <w:rsid w:val="00003F21"/>
    <w:rsid w:val="00004488"/>
    <w:rsid w:val="000048F9"/>
    <w:rsid w:val="00004E8B"/>
    <w:rsid w:val="000052D8"/>
    <w:rsid w:val="000056B9"/>
    <w:rsid w:val="00005F12"/>
    <w:rsid w:val="0000639A"/>
    <w:rsid w:val="0000649D"/>
    <w:rsid w:val="000064C2"/>
    <w:rsid w:val="000065A6"/>
    <w:rsid w:val="0000666F"/>
    <w:rsid w:val="00007612"/>
    <w:rsid w:val="00007AF0"/>
    <w:rsid w:val="0001005B"/>
    <w:rsid w:val="000110B6"/>
    <w:rsid w:val="00011B88"/>
    <w:rsid w:val="00011C59"/>
    <w:rsid w:val="00011CAF"/>
    <w:rsid w:val="00012204"/>
    <w:rsid w:val="0001322B"/>
    <w:rsid w:val="00013247"/>
    <w:rsid w:val="000148F8"/>
    <w:rsid w:val="00014C64"/>
    <w:rsid w:val="00015090"/>
    <w:rsid w:val="000155C8"/>
    <w:rsid w:val="00015886"/>
    <w:rsid w:val="00015CEF"/>
    <w:rsid w:val="00015D85"/>
    <w:rsid w:val="000162EF"/>
    <w:rsid w:val="00016373"/>
    <w:rsid w:val="00016D4F"/>
    <w:rsid w:val="00017271"/>
    <w:rsid w:val="000179FE"/>
    <w:rsid w:val="00017E55"/>
    <w:rsid w:val="000207C9"/>
    <w:rsid w:val="00020F17"/>
    <w:rsid w:val="0002225F"/>
    <w:rsid w:val="00023223"/>
    <w:rsid w:val="00023763"/>
    <w:rsid w:val="00023BCD"/>
    <w:rsid w:val="00024BFB"/>
    <w:rsid w:val="00024EB5"/>
    <w:rsid w:val="00025134"/>
    <w:rsid w:val="000256C5"/>
    <w:rsid w:val="000265F7"/>
    <w:rsid w:val="00026E38"/>
    <w:rsid w:val="000274A1"/>
    <w:rsid w:val="000274B8"/>
    <w:rsid w:val="0002792B"/>
    <w:rsid w:val="0003023B"/>
    <w:rsid w:val="000303CB"/>
    <w:rsid w:val="000309EA"/>
    <w:rsid w:val="00030A65"/>
    <w:rsid w:val="00030B28"/>
    <w:rsid w:val="00030F78"/>
    <w:rsid w:val="00031363"/>
    <w:rsid w:val="0003157D"/>
    <w:rsid w:val="00031EA8"/>
    <w:rsid w:val="00031EEC"/>
    <w:rsid w:val="000320A6"/>
    <w:rsid w:val="000324A8"/>
    <w:rsid w:val="0003299E"/>
    <w:rsid w:val="00032A44"/>
    <w:rsid w:val="00032A8D"/>
    <w:rsid w:val="00032EA0"/>
    <w:rsid w:val="0003347F"/>
    <w:rsid w:val="00033863"/>
    <w:rsid w:val="000339F6"/>
    <w:rsid w:val="00033C12"/>
    <w:rsid w:val="000341CD"/>
    <w:rsid w:val="0003432B"/>
    <w:rsid w:val="00035970"/>
    <w:rsid w:val="00035DC0"/>
    <w:rsid w:val="00036829"/>
    <w:rsid w:val="0003703D"/>
    <w:rsid w:val="00037E16"/>
    <w:rsid w:val="00037F8F"/>
    <w:rsid w:val="0004005B"/>
    <w:rsid w:val="0004023C"/>
    <w:rsid w:val="00040356"/>
    <w:rsid w:val="00040895"/>
    <w:rsid w:val="00040D52"/>
    <w:rsid w:val="000410A0"/>
    <w:rsid w:val="00041221"/>
    <w:rsid w:val="00043402"/>
    <w:rsid w:val="000435EE"/>
    <w:rsid w:val="00043C37"/>
    <w:rsid w:val="00044191"/>
    <w:rsid w:val="000449A3"/>
    <w:rsid w:val="00044B23"/>
    <w:rsid w:val="00044E36"/>
    <w:rsid w:val="00045017"/>
    <w:rsid w:val="00045289"/>
    <w:rsid w:val="00045A2B"/>
    <w:rsid w:val="00045D75"/>
    <w:rsid w:val="00045FC2"/>
    <w:rsid w:val="00046083"/>
    <w:rsid w:val="00046192"/>
    <w:rsid w:val="000468B5"/>
    <w:rsid w:val="0004698F"/>
    <w:rsid w:val="00046D64"/>
    <w:rsid w:val="00047417"/>
    <w:rsid w:val="00047552"/>
    <w:rsid w:val="000502F4"/>
    <w:rsid w:val="00050432"/>
    <w:rsid w:val="000508C2"/>
    <w:rsid w:val="000516F7"/>
    <w:rsid w:val="0005173E"/>
    <w:rsid w:val="000518CC"/>
    <w:rsid w:val="00051B32"/>
    <w:rsid w:val="0005249A"/>
    <w:rsid w:val="00052C1C"/>
    <w:rsid w:val="00053085"/>
    <w:rsid w:val="0005330C"/>
    <w:rsid w:val="000539D0"/>
    <w:rsid w:val="00053D17"/>
    <w:rsid w:val="00054621"/>
    <w:rsid w:val="000546D7"/>
    <w:rsid w:val="00054982"/>
    <w:rsid w:val="00054A83"/>
    <w:rsid w:val="00054A8D"/>
    <w:rsid w:val="00054B09"/>
    <w:rsid w:val="00054FEE"/>
    <w:rsid w:val="00055B69"/>
    <w:rsid w:val="00056872"/>
    <w:rsid w:val="00056ECF"/>
    <w:rsid w:val="00057D33"/>
    <w:rsid w:val="000602BF"/>
    <w:rsid w:val="000604DF"/>
    <w:rsid w:val="0006066B"/>
    <w:rsid w:val="000618A1"/>
    <w:rsid w:val="000619AC"/>
    <w:rsid w:val="00061BC3"/>
    <w:rsid w:val="000621B4"/>
    <w:rsid w:val="000622E8"/>
    <w:rsid w:val="00062324"/>
    <w:rsid w:val="00063222"/>
    <w:rsid w:val="00063DC5"/>
    <w:rsid w:val="00063EBB"/>
    <w:rsid w:val="00063FC2"/>
    <w:rsid w:val="000641B2"/>
    <w:rsid w:val="000642FE"/>
    <w:rsid w:val="00064FD8"/>
    <w:rsid w:val="000653B5"/>
    <w:rsid w:val="00065855"/>
    <w:rsid w:val="000659C0"/>
    <w:rsid w:val="00066360"/>
    <w:rsid w:val="000663C2"/>
    <w:rsid w:val="000667AE"/>
    <w:rsid w:val="00066AF8"/>
    <w:rsid w:val="00066FA6"/>
    <w:rsid w:val="000671D2"/>
    <w:rsid w:val="000674C5"/>
    <w:rsid w:val="0006796B"/>
    <w:rsid w:val="00067E91"/>
    <w:rsid w:val="00071248"/>
    <w:rsid w:val="00071883"/>
    <w:rsid w:val="00071F0A"/>
    <w:rsid w:val="000720B9"/>
    <w:rsid w:val="00072110"/>
    <w:rsid w:val="000727BC"/>
    <w:rsid w:val="000737F7"/>
    <w:rsid w:val="00073DEC"/>
    <w:rsid w:val="000742E3"/>
    <w:rsid w:val="000742EE"/>
    <w:rsid w:val="000746B2"/>
    <w:rsid w:val="000753AF"/>
    <w:rsid w:val="00075FD1"/>
    <w:rsid w:val="0007605B"/>
    <w:rsid w:val="00076469"/>
    <w:rsid w:val="0007672F"/>
    <w:rsid w:val="00076AF5"/>
    <w:rsid w:val="00076B54"/>
    <w:rsid w:val="0007722E"/>
    <w:rsid w:val="0007732F"/>
    <w:rsid w:val="000774F0"/>
    <w:rsid w:val="0008070D"/>
    <w:rsid w:val="00080909"/>
    <w:rsid w:val="000812CA"/>
    <w:rsid w:val="00081436"/>
    <w:rsid w:val="000814C5"/>
    <w:rsid w:val="000818A0"/>
    <w:rsid w:val="00081A1E"/>
    <w:rsid w:val="00081E63"/>
    <w:rsid w:val="0008258D"/>
    <w:rsid w:val="000831AE"/>
    <w:rsid w:val="00083956"/>
    <w:rsid w:val="00083A30"/>
    <w:rsid w:val="00083D70"/>
    <w:rsid w:val="00083E99"/>
    <w:rsid w:val="00084FA8"/>
    <w:rsid w:val="000856C5"/>
    <w:rsid w:val="0008591B"/>
    <w:rsid w:val="00085C31"/>
    <w:rsid w:val="00085D7A"/>
    <w:rsid w:val="00086134"/>
    <w:rsid w:val="000864F9"/>
    <w:rsid w:val="00086AC9"/>
    <w:rsid w:val="00086CAA"/>
    <w:rsid w:val="00087098"/>
    <w:rsid w:val="00087913"/>
    <w:rsid w:val="000879B6"/>
    <w:rsid w:val="00087AD3"/>
    <w:rsid w:val="000902D9"/>
    <w:rsid w:val="000903AE"/>
    <w:rsid w:val="00090C7E"/>
    <w:rsid w:val="000911AC"/>
    <w:rsid w:val="000913C4"/>
    <w:rsid w:val="000915DF"/>
    <w:rsid w:val="0009163A"/>
    <w:rsid w:val="000918EE"/>
    <w:rsid w:val="00092214"/>
    <w:rsid w:val="00092600"/>
    <w:rsid w:val="0009262B"/>
    <w:rsid w:val="00092789"/>
    <w:rsid w:val="00093310"/>
    <w:rsid w:val="000939C3"/>
    <w:rsid w:val="00093B1C"/>
    <w:rsid w:val="00093D80"/>
    <w:rsid w:val="000942F1"/>
    <w:rsid w:val="0009445C"/>
    <w:rsid w:val="00094926"/>
    <w:rsid w:val="000949EE"/>
    <w:rsid w:val="00094C93"/>
    <w:rsid w:val="00095200"/>
    <w:rsid w:val="00095A20"/>
    <w:rsid w:val="00095F80"/>
    <w:rsid w:val="00095FE5"/>
    <w:rsid w:val="00096284"/>
    <w:rsid w:val="00096333"/>
    <w:rsid w:val="00097923"/>
    <w:rsid w:val="000A0136"/>
    <w:rsid w:val="000A0A86"/>
    <w:rsid w:val="000A113F"/>
    <w:rsid w:val="000A1BC0"/>
    <w:rsid w:val="000A2450"/>
    <w:rsid w:val="000A2930"/>
    <w:rsid w:val="000A2F9E"/>
    <w:rsid w:val="000A33D6"/>
    <w:rsid w:val="000A3E47"/>
    <w:rsid w:val="000A4DCF"/>
    <w:rsid w:val="000A4E5E"/>
    <w:rsid w:val="000A522B"/>
    <w:rsid w:val="000A6039"/>
    <w:rsid w:val="000A60D5"/>
    <w:rsid w:val="000A6B35"/>
    <w:rsid w:val="000A6B82"/>
    <w:rsid w:val="000A6EAB"/>
    <w:rsid w:val="000A7453"/>
    <w:rsid w:val="000A7D08"/>
    <w:rsid w:val="000B0121"/>
    <w:rsid w:val="000B05D1"/>
    <w:rsid w:val="000B0670"/>
    <w:rsid w:val="000B0B3B"/>
    <w:rsid w:val="000B0C91"/>
    <w:rsid w:val="000B0E75"/>
    <w:rsid w:val="000B1288"/>
    <w:rsid w:val="000B1470"/>
    <w:rsid w:val="000B1800"/>
    <w:rsid w:val="000B282F"/>
    <w:rsid w:val="000B2DCB"/>
    <w:rsid w:val="000B4571"/>
    <w:rsid w:val="000B47AA"/>
    <w:rsid w:val="000B4C3A"/>
    <w:rsid w:val="000B5170"/>
    <w:rsid w:val="000B5CE0"/>
    <w:rsid w:val="000B5D8A"/>
    <w:rsid w:val="000B6CAC"/>
    <w:rsid w:val="000B7612"/>
    <w:rsid w:val="000B78AE"/>
    <w:rsid w:val="000C014D"/>
    <w:rsid w:val="000C148D"/>
    <w:rsid w:val="000C16D8"/>
    <w:rsid w:val="000C1AF1"/>
    <w:rsid w:val="000C2FD0"/>
    <w:rsid w:val="000C3191"/>
    <w:rsid w:val="000C3646"/>
    <w:rsid w:val="000C3DF9"/>
    <w:rsid w:val="000C3E09"/>
    <w:rsid w:val="000C432A"/>
    <w:rsid w:val="000C472A"/>
    <w:rsid w:val="000C4CF2"/>
    <w:rsid w:val="000C4FF9"/>
    <w:rsid w:val="000C588E"/>
    <w:rsid w:val="000C63AF"/>
    <w:rsid w:val="000C6713"/>
    <w:rsid w:val="000C691A"/>
    <w:rsid w:val="000C69F1"/>
    <w:rsid w:val="000C709A"/>
    <w:rsid w:val="000C767B"/>
    <w:rsid w:val="000D0A9E"/>
    <w:rsid w:val="000D19BC"/>
    <w:rsid w:val="000D1B9E"/>
    <w:rsid w:val="000D1BFC"/>
    <w:rsid w:val="000D1C43"/>
    <w:rsid w:val="000D1D5D"/>
    <w:rsid w:val="000D21C8"/>
    <w:rsid w:val="000D281A"/>
    <w:rsid w:val="000D2848"/>
    <w:rsid w:val="000D2C8D"/>
    <w:rsid w:val="000D304C"/>
    <w:rsid w:val="000D3199"/>
    <w:rsid w:val="000D326A"/>
    <w:rsid w:val="000D4915"/>
    <w:rsid w:val="000D51FB"/>
    <w:rsid w:val="000D5285"/>
    <w:rsid w:val="000D5BCB"/>
    <w:rsid w:val="000D6E11"/>
    <w:rsid w:val="000D7252"/>
    <w:rsid w:val="000D79A0"/>
    <w:rsid w:val="000E0336"/>
    <w:rsid w:val="000E0356"/>
    <w:rsid w:val="000E058F"/>
    <w:rsid w:val="000E0640"/>
    <w:rsid w:val="000E0A78"/>
    <w:rsid w:val="000E0B41"/>
    <w:rsid w:val="000E10A7"/>
    <w:rsid w:val="000E135D"/>
    <w:rsid w:val="000E1A20"/>
    <w:rsid w:val="000E1A9D"/>
    <w:rsid w:val="000E1B24"/>
    <w:rsid w:val="000E1EB2"/>
    <w:rsid w:val="000E270E"/>
    <w:rsid w:val="000E2C59"/>
    <w:rsid w:val="000E4406"/>
    <w:rsid w:val="000E4BAE"/>
    <w:rsid w:val="000E50A3"/>
    <w:rsid w:val="000E5653"/>
    <w:rsid w:val="000E5E3D"/>
    <w:rsid w:val="000E631E"/>
    <w:rsid w:val="000E67F7"/>
    <w:rsid w:val="000E6CCC"/>
    <w:rsid w:val="000E7136"/>
    <w:rsid w:val="000F0019"/>
    <w:rsid w:val="000F00BA"/>
    <w:rsid w:val="000F011A"/>
    <w:rsid w:val="000F0992"/>
    <w:rsid w:val="000F1189"/>
    <w:rsid w:val="000F1491"/>
    <w:rsid w:val="000F15AE"/>
    <w:rsid w:val="000F1D34"/>
    <w:rsid w:val="000F1D61"/>
    <w:rsid w:val="000F2835"/>
    <w:rsid w:val="000F2E20"/>
    <w:rsid w:val="000F316A"/>
    <w:rsid w:val="000F3C74"/>
    <w:rsid w:val="000F433D"/>
    <w:rsid w:val="000F4BB8"/>
    <w:rsid w:val="000F4BFE"/>
    <w:rsid w:val="000F4FA9"/>
    <w:rsid w:val="000F5080"/>
    <w:rsid w:val="000F53FB"/>
    <w:rsid w:val="000F56ED"/>
    <w:rsid w:val="000F5F53"/>
    <w:rsid w:val="000F6618"/>
    <w:rsid w:val="000F6F5C"/>
    <w:rsid w:val="000F7127"/>
    <w:rsid w:val="000F7410"/>
    <w:rsid w:val="000F754B"/>
    <w:rsid w:val="000F75E9"/>
    <w:rsid w:val="000F75F1"/>
    <w:rsid w:val="000F7813"/>
    <w:rsid w:val="000F7B4B"/>
    <w:rsid w:val="000F7B54"/>
    <w:rsid w:val="000F7C9F"/>
    <w:rsid w:val="001000B3"/>
    <w:rsid w:val="001004DD"/>
    <w:rsid w:val="00100917"/>
    <w:rsid w:val="00100D5A"/>
    <w:rsid w:val="00100F8A"/>
    <w:rsid w:val="0010240D"/>
    <w:rsid w:val="00102691"/>
    <w:rsid w:val="00102BAE"/>
    <w:rsid w:val="00102BEB"/>
    <w:rsid w:val="001031F9"/>
    <w:rsid w:val="0010338E"/>
    <w:rsid w:val="001035B3"/>
    <w:rsid w:val="00103B55"/>
    <w:rsid w:val="0010452E"/>
    <w:rsid w:val="001045B8"/>
    <w:rsid w:val="00105474"/>
    <w:rsid w:val="00105AE2"/>
    <w:rsid w:val="00105D36"/>
    <w:rsid w:val="00105D62"/>
    <w:rsid w:val="001060C6"/>
    <w:rsid w:val="00106542"/>
    <w:rsid w:val="00106750"/>
    <w:rsid w:val="001068E8"/>
    <w:rsid w:val="00106B80"/>
    <w:rsid w:val="0011016F"/>
    <w:rsid w:val="001101CA"/>
    <w:rsid w:val="0011032E"/>
    <w:rsid w:val="00110F90"/>
    <w:rsid w:val="00111306"/>
    <w:rsid w:val="00111B7A"/>
    <w:rsid w:val="00111BE4"/>
    <w:rsid w:val="00111F05"/>
    <w:rsid w:val="00112953"/>
    <w:rsid w:val="0011348B"/>
    <w:rsid w:val="001137EB"/>
    <w:rsid w:val="00114400"/>
    <w:rsid w:val="001144B5"/>
    <w:rsid w:val="00114A70"/>
    <w:rsid w:val="001150BD"/>
    <w:rsid w:val="00115982"/>
    <w:rsid w:val="001169BC"/>
    <w:rsid w:val="00116C53"/>
    <w:rsid w:val="00117032"/>
    <w:rsid w:val="0011754C"/>
    <w:rsid w:val="00117BAA"/>
    <w:rsid w:val="00117C6E"/>
    <w:rsid w:val="00120962"/>
    <w:rsid w:val="00120C56"/>
    <w:rsid w:val="001211EB"/>
    <w:rsid w:val="00121520"/>
    <w:rsid w:val="00121718"/>
    <w:rsid w:val="00121799"/>
    <w:rsid w:val="00121828"/>
    <w:rsid w:val="00121B23"/>
    <w:rsid w:val="001222FC"/>
    <w:rsid w:val="00123059"/>
    <w:rsid w:val="00123800"/>
    <w:rsid w:val="0012388E"/>
    <w:rsid w:val="00123902"/>
    <w:rsid w:val="00123D63"/>
    <w:rsid w:val="0012423D"/>
    <w:rsid w:val="00124574"/>
    <w:rsid w:val="00124643"/>
    <w:rsid w:val="00124811"/>
    <w:rsid w:val="00124A51"/>
    <w:rsid w:val="00124F22"/>
    <w:rsid w:val="001256D6"/>
    <w:rsid w:val="00125761"/>
    <w:rsid w:val="00125AEE"/>
    <w:rsid w:val="00125B09"/>
    <w:rsid w:val="00125BF1"/>
    <w:rsid w:val="00126335"/>
    <w:rsid w:val="00126621"/>
    <w:rsid w:val="0012673F"/>
    <w:rsid w:val="0012693F"/>
    <w:rsid w:val="00126B05"/>
    <w:rsid w:val="00126B1D"/>
    <w:rsid w:val="00126F83"/>
    <w:rsid w:val="00127437"/>
    <w:rsid w:val="00127B1E"/>
    <w:rsid w:val="00127E80"/>
    <w:rsid w:val="001301E9"/>
    <w:rsid w:val="00130356"/>
    <w:rsid w:val="001305EF"/>
    <w:rsid w:val="00130798"/>
    <w:rsid w:val="0013084C"/>
    <w:rsid w:val="00130C3E"/>
    <w:rsid w:val="00130E63"/>
    <w:rsid w:val="00131ABB"/>
    <w:rsid w:val="00131D82"/>
    <w:rsid w:val="00131E9B"/>
    <w:rsid w:val="001328FC"/>
    <w:rsid w:val="00132B22"/>
    <w:rsid w:val="001332F7"/>
    <w:rsid w:val="00133D36"/>
    <w:rsid w:val="0013426D"/>
    <w:rsid w:val="001360BE"/>
    <w:rsid w:val="0013644C"/>
    <w:rsid w:val="001372DE"/>
    <w:rsid w:val="001374ED"/>
    <w:rsid w:val="00137645"/>
    <w:rsid w:val="00137998"/>
    <w:rsid w:val="00137C93"/>
    <w:rsid w:val="00137D97"/>
    <w:rsid w:val="00137EB8"/>
    <w:rsid w:val="0014015A"/>
    <w:rsid w:val="00140B92"/>
    <w:rsid w:val="00140E09"/>
    <w:rsid w:val="00140E99"/>
    <w:rsid w:val="001410E2"/>
    <w:rsid w:val="00141621"/>
    <w:rsid w:val="00141ABE"/>
    <w:rsid w:val="00141BF6"/>
    <w:rsid w:val="00142526"/>
    <w:rsid w:val="00142C0A"/>
    <w:rsid w:val="0014312E"/>
    <w:rsid w:val="00143157"/>
    <w:rsid w:val="0014388D"/>
    <w:rsid w:val="00143DD6"/>
    <w:rsid w:val="00143E88"/>
    <w:rsid w:val="00143EC9"/>
    <w:rsid w:val="00143F38"/>
    <w:rsid w:val="00143F67"/>
    <w:rsid w:val="00143FAB"/>
    <w:rsid w:val="001440A5"/>
    <w:rsid w:val="0014426C"/>
    <w:rsid w:val="001444FA"/>
    <w:rsid w:val="001450B9"/>
    <w:rsid w:val="00145234"/>
    <w:rsid w:val="00145540"/>
    <w:rsid w:val="001456B0"/>
    <w:rsid w:val="00145C51"/>
    <w:rsid w:val="00147845"/>
    <w:rsid w:val="001479FA"/>
    <w:rsid w:val="00147EC9"/>
    <w:rsid w:val="00150292"/>
    <w:rsid w:val="00151407"/>
    <w:rsid w:val="0015159D"/>
    <w:rsid w:val="00151A5F"/>
    <w:rsid w:val="00151A94"/>
    <w:rsid w:val="00151EA0"/>
    <w:rsid w:val="0015267C"/>
    <w:rsid w:val="0015288E"/>
    <w:rsid w:val="00152EB8"/>
    <w:rsid w:val="00152FF0"/>
    <w:rsid w:val="0015330F"/>
    <w:rsid w:val="00153569"/>
    <w:rsid w:val="0015460D"/>
    <w:rsid w:val="0015461D"/>
    <w:rsid w:val="001547AB"/>
    <w:rsid w:val="00154B63"/>
    <w:rsid w:val="00154BAD"/>
    <w:rsid w:val="00155813"/>
    <w:rsid w:val="00155A3B"/>
    <w:rsid w:val="00155B07"/>
    <w:rsid w:val="00155FE1"/>
    <w:rsid w:val="0015627C"/>
    <w:rsid w:val="00156F8F"/>
    <w:rsid w:val="00157130"/>
    <w:rsid w:val="001576B1"/>
    <w:rsid w:val="0016047B"/>
    <w:rsid w:val="00160A4C"/>
    <w:rsid w:val="00160B66"/>
    <w:rsid w:val="00160F9C"/>
    <w:rsid w:val="00162230"/>
    <w:rsid w:val="001623B2"/>
    <w:rsid w:val="001625C6"/>
    <w:rsid w:val="00162913"/>
    <w:rsid w:val="001629BE"/>
    <w:rsid w:val="001633B3"/>
    <w:rsid w:val="001636A3"/>
    <w:rsid w:val="001636D8"/>
    <w:rsid w:val="00163E01"/>
    <w:rsid w:val="00163EFF"/>
    <w:rsid w:val="00163F66"/>
    <w:rsid w:val="0016478E"/>
    <w:rsid w:val="00164DAC"/>
    <w:rsid w:val="00164E90"/>
    <w:rsid w:val="00165214"/>
    <w:rsid w:val="001652AD"/>
    <w:rsid w:val="001652B7"/>
    <w:rsid w:val="00165509"/>
    <w:rsid w:val="001656ED"/>
    <w:rsid w:val="00165EC4"/>
    <w:rsid w:val="001661FB"/>
    <w:rsid w:val="00166AB7"/>
    <w:rsid w:val="00166C44"/>
    <w:rsid w:val="001671A0"/>
    <w:rsid w:val="0016767F"/>
    <w:rsid w:val="001700A0"/>
    <w:rsid w:val="00171850"/>
    <w:rsid w:val="00171DE9"/>
    <w:rsid w:val="0017315C"/>
    <w:rsid w:val="00173310"/>
    <w:rsid w:val="00173565"/>
    <w:rsid w:val="0017395B"/>
    <w:rsid w:val="00173B07"/>
    <w:rsid w:val="00173F86"/>
    <w:rsid w:val="00174AF9"/>
    <w:rsid w:val="001751FA"/>
    <w:rsid w:val="001767BF"/>
    <w:rsid w:val="00176979"/>
    <w:rsid w:val="00177101"/>
    <w:rsid w:val="00177735"/>
    <w:rsid w:val="0018094D"/>
    <w:rsid w:val="00181713"/>
    <w:rsid w:val="00181C10"/>
    <w:rsid w:val="00181D9C"/>
    <w:rsid w:val="0018208E"/>
    <w:rsid w:val="001822F0"/>
    <w:rsid w:val="00182618"/>
    <w:rsid w:val="00182C0C"/>
    <w:rsid w:val="00182F70"/>
    <w:rsid w:val="0018317E"/>
    <w:rsid w:val="001837FF"/>
    <w:rsid w:val="00184B0E"/>
    <w:rsid w:val="00184E08"/>
    <w:rsid w:val="00185CEB"/>
    <w:rsid w:val="00185D4C"/>
    <w:rsid w:val="001866DD"/>
    <w:rsid w:val="001869E1"/>
    <w:rsid w:val="00187484"/>
    <w:rsid w:val="0018752F"/>
    <w:rsid w:val="001879C3"/>
    <w:rsid w:val="00187CC0"/>
    <w:rsid w:val="00187FEB"/>
    <w:rsid w:val="00190B3D"/>
    <w:rsid w:val="0019184A"/>
    <w:rsid w:val="0019198D"/>
    <w:rsid w:val="00192657"/>
    <w:rsid w:val="00193838"/>
    <w:rsid w:val="00194A04"/>
    <w:rsid w:val="00194AD8"/>
    <w:rsid w:val="00195222"/>
    <w:rsid w:val="0019532F"/>
    <w:rsid w:val="00195452"/>
    <w:rsid w:val="001960BD"/>
    <w:rsid w:val="001968CA"/>
    <w:rsid w:val="00196E0F"/>
    <w:rsid w:val="00196EF2"/>
    <w:rsid w:val="001975D8"/>
    <w:rsid w:val="00197661"/>
    <w:rsid w:val="001A01BC"/>
    <w:rsid w:val="001A0486"/>
    <w:rsid w:val="001A0BCE"/>
    <w:rsid w:val="001A1154"/>
    <w:rsid w:val="001A153B"/>
    <w:rsid w:val="001A178E"/>
    <w:rsid w:val="001A245E"/>
    <w:rsid w:val="001A2D2F"/>
    <w:rsid w:val="001A43FA"/>
    <w:rsid w:val="001A4591"/>
    <w:rsid w:val="001A47BF"/>
    <w:rsid w:val="001A47C5"/>
    <w:rsid w:val="001A495B"/>
    <w:rsid w:val="001A5018"/>
    <w:rsid w:val="001A581C"/>
    <w:rsid w:val="001A59FB"/>
    <w:rsid w:val="001A5B4E"/>
    <w:rsid w:val="001A5E9E"/>
    <w:rsid w:val="001A6354"/>
    <w:rsid w:val="001A6366"/>
    <w:rsid w:val="001A63E2"/>
    <w:rsid w:val="001A650C"/>
    <w:rsid w:val="001A6C3B"/>
    <w:rsid w:val="001A6C97"/>
    <w:rsid w:val="001A6DFE"/>
    <w:rsid w:val="001A711C"/>
    <w:rsid w:val="001A7AE8"/>
    <w:rsid w:val="001B04B6"/>
    <w:rsid w:val="001B0786"/>
    <w:rsid w:val="001B0BB1"/>
    <w:rsid w:val="001B164F"/>
    <w:rsid w:val="001B1BE0"/>
    <w:rsid w:val="001B204E"/>
    <w:rsid w:val="001B2088"/>
    <w:rsid w:val="001B20F1"/>
    <w:rsid w:val="001B2372"/>
    <w:rsid w:val="001B2DC3"/>
    <w:rsid w:val="001B3443"/>
    <w:rsid w:val="001B35CD"/>
    <w:rsid w:val="001B3ADC"/>
    <w:rsid w:val="001B3BF0"/>
    <w:rsid w:val="001B3FFD"/>
    <w:rsid w:val="001B4417"/>
    <w:rsid w:val="001B4581"/>
    <w:rsid w:val="001B4BB8"/>
    <w:rsid w:val="001B4D20"/>
    <w:rsid w:val="001B5971"/>
    <w:rsid w:val="001B63B4"/>
    <w:rsid w:val="001B6CCA"/>
    <w:rsid w:val="001B771F"/>
    <w:rsid w:val="001B7862"/>
    <w:rsid w:val="001B7F84"/>
    <w:rsid w:val="001C0070"/>
    <w:rsid w:val="001C092C"/>
    <w:rsid w:val="001C1005"/>
    <w:rsid w:val="001C10B3"/>
    <w:rsid w:val="001C14F7"/>
    <w:rsid w:val="001C2116"/>
    <w:rsid w:val="001C230F"/>
    <w:rsid w:val="001C2896"/>
    <w:rsid w:val="001C2A24"/>
    <w:rsid w:val="001C2A9B"/>
    <w:rsid w:val="001C2D9C"/>
    <w:rsid w:val="001C3DD6"/>
    <w:rsid w:val="001C3F13"/>
    <w:rsid w:val="001C4299"/>
    <w:rsid w:val="001C4768"/>
    <w:rsid w:val="001C4874"/>
    <w:rsid w:val="001C497E"/>
    <w:rsid w:val="001C4B9C"/>
    <w:rsid w:val="001C5014"/>
    <w:rsid w:val="001C51AD"/>
    <w:rsid w:val="001C560B"/>
    <w:rsid w:val="001C5F94"/>
    <w:rsid w:val="001C600B"/>
    <w:rsid w:val="001C62B9"/>
    <w:rsid w:val="001C6E66"/>
    <w:rsid w:val="001C7225"/>
    <w:rsid w:val="001C74F7"/>
    <w:rsid w:val="001D0045"/>
    <w:rsid w:val="001D077C"/>
    <w:rsid w:val="001D1100"/>
    <w:rsid w:val="001D119F"/>
    <w:rsid w:val="001D1391"/>
    <w:rsid w:val="001D1A68"/>
    <w:rsid w:val="001D25D7"/>
    <w:rsid w:val="001D2752"/>
    <w:rsid w:val="001D3101"/>
    <w:rsid w:val="001D3DCA"/>
    <w:rsid w:val="001D427D"/>
    <w:rsid w:val="001D45E4"/>
    <w:rsid w:val="001D4C24"/>
    <w:rsid w:val="001D4EDB"/>
    <w:rsid w:val="001D50B2"/>
    <w:rsid w:val="001D5716"/>
    <w:rsid w:val="001D5E7B"/>
    <w:rsid w:val="001D6CE6"/>
    <w:rsid w:val="001D71F4"/>
    <w:rsid w:val="001D75B5"/>
    <w:rsid w:val="001D7645"/>
    <w:rsid w:val="001D7669"/>
    <w:rsid w:val="001D7962"/>
    <w:rsid w:val="001D7BEC"/>
    <w:rsid w:val="001D7D86"/>
    <w:rsid w:val="001E0268"/>
    <w:rsid w:val="001E0C5F"/>
    <w:rsid w:val="001E0FAE"/>
    <w:rsid w:val="001E132E"/>
    <w:rsid w:val="001E13AA"/>
    <w:rsid w:val="001E169C"/>
    <w:rsid w:val="001E1E59"/>
    <w:rsid w:val="001E1E86"/>
    <w:rsid w:val="001E238E"/>
    <w:rsid w:val="001E2483"/>
    <w:rsid w:val="001E2B1E"/>
    <w:rsid w:val="001E2CFF"/>
    <w:rsid w:val="001E2DF1"/>
    <w:rsid w:val="001E2F24"/>
    <w:rsid w:val="001E30D4"/>
    <w:rsid w:val="001E34DF"/>
    <w:rsid w:val="001E37D8"/>
    <w:rsid w:val="001E45C7"/>
    <w:rsid w:val="001E4BFC"/>
    <w:rsid w:val="001E4E13"/>
    <w:rsid w:val="001E52EB"/>
    <w:rsid w:val="001E539B"/>
    <w:rsid w:val="001E5D4C"/>
    <w:rsid w:val="001E5F1E"/>
    <w:rsid w:val="001E61D2"/>
    <w:rsid w:val="001E6715"/>
    <w:rsid w:val="001E6C11"/>
    <w:rsid w:val="001E6C8B"/>
    <w:rsid w:val="001E740C"/>
    <w:rsid w:val="001E78E5"/>
    <w:rsid w:val="001E7FCD"/>
    <w:rsid w:val="001F0285"/>
    <w:rsid w:val="001F1235"/>
    <w:rsid w:val="001F1671"/>
    <w:rsid w:val="001F1CB3"/>
    <w:rsid w:val="001F263A"/>
    <w:rsid w:val="001F28E4"/>
    <w:rsid w:val="001F294D"/>
    <w:rsid w:val="001F29BA"/>
    <w:rsid w:val="001F3157"/>
    <w:rsid w:val="001F33E5"/>
    <w:rsid w:val="001F34A5"/>
    <w:rsid w:val="001F3877"/>
    <w:rsid w:val="001F38B5"/>
    <w:rsid w:val="001F3D59"/>
    <w:rsid w:val="001F4081"/>
    <w:rsid w:val="001F44C5"/>
    <w:rsid w:val="001F530F"/>
    <w:rsid w:val="001F5474"/>
    <w:rsid w:val="001F59B4"/>
    <w:rsid w:val="001F5D61"/>
    <w:rsid w:val="001F6B84"/>
    <w:rsid w:val="001F7361"/>
    <w:rsid w:val="001F7D29"/>
    <w:rsid w:val="002011B0"/>
    <w:rsid w:val="0020142B"/>
    <w:rsid w:val="0020184F"/>
    <w:rsid w:val="00201C0F"/>
    <w:rsid w:val="00202799"/>
    <w:rsid w:val="00203181"/>
    <w:rsid w:val="002034CD"/>
    <w:rsid w:val="002036D4"/>
    <w:rsid w:val="00203783"/>
    <w:rsid w:val="0020385F"/>
    <w:rsid w:val="00203A85"/>
    <w:rsid w:val="00203AC0"/>
    <w:rsid w:val="00204CD8"/>
    <w:rsid w:val="00205652"/>
    <w:rsid w:val="00205C34"/>
    <w:rsid w:val="002068A0"/>
    <w:rsid w:val="00206999"/>
    <w:rsid w:val="002069B1"/>
    <w:rsid w:val="00207021"/>
    <w:rsid w:val="0020732F"/>
    <w:rsid w:val="00207443"/>
    <w:rsid w:val="00207621"/>
    <w:rsid w:val="00207919"/>
    <w:rsid w:val="00207D00"/>
    <w:rsid w:val="0021030B"/>
    <w:rsid w:val="002105C1"/>
    <w:rsid w:val="002105FB"/>
    <w:rsid w:val="00210841"/>
    <w:rsid w:val="00210C18"/>
    <w:rsid w:val="00210D78"/>
    <w:rsid w:val="002116FD"/>
    <w:rsid w:val="002118CF"/>
    <w:rsid w:val="002128BB"/>
    <w:rsid w:val="002130C2"/>
    <w:rsid w:val="00213198"/>
    <w:rsid w:val="00213EF5"/>
    <w:rsid w:val="00214143"/>
    <w:rsid w:val="0021431A"/>
    <w:rsid w:val="0021459C"/>
    <w:rsid w:val="00214734"/>
    <w:rsid w:val="00214870"/>
    <w:rsid w:val="00214AFF"/>
    <w:rsid w:val="00214B64"/>
    <w:rsid w:val="002158DA"/>
    <w:rsid w:val="002161CC"/>
    <w:rsid w:val="00216477"/>
    <w:rsid w:val="00216644"/>
    <w:rsid w:val="00216BF5"/>
    <w:rsid w:val="0021752B"/>
    <w:rsid w:val="00220A31"/>
    <w:rsid w:val="00220F61"/>
    <w:rsid w:val="00221048"/>
    <w:rsid w:val="00221905"/>
    <w:rsid w:val="00222597"/>
    <w:rsid w:val="00222696"/>
    <w:rsid w:val="0022351C"/>
    <w:rsid w:val="00223B49"/>
    <w:rsid w:val="00223D5A"/>
    <w:rsid w:val="00223DD7"/>
    <w:rsid w:val="00223DDB"/>
    <w:rsid w:val="002244A5"/>
    <w:rsid w:val="00224989"/>
    <w:rsid w:val="00224C99"/>
    <w:rsid w:val="00224DD4"/>
    <w:rsid w:val="00224E1A"/>
    <w:rsid w:val="002261C3"/>
    <w:rsid w:val="0022686F"/>
    <w:rsid w:val="00226A64"/>
    <w:rsid w:val="002278A0"/>
    <w:rsid w:val="00227CF0"/>
    <w:rsid w:val="00227DB6"/>
    <w:rsid w:val="002309CC"/>
    <w:rsid w:val="00231A3B"/>
    <w:rsid w:val="00231BA9"/>
    <w:rsid w:val="0023209F"/>
    <w:rsid w:val="00232252"/>
    <w:rsid w:val="002332B2"/>
    <w:rsid w:val="0023358C"/>
    <w:rsid w:val="00233C01"/>
    <w:rsid w:val="00233E1F"/>
    <w:rsid w:val="0023413C"/>
    <w:rsid w:val="002346F0"/>
    <w:rsid w:val="0023488B"/>
    <w:rsid w:val="00234A56"/>
    <w:rsid w:val="002351BF"/>
    <w:rsid w:val="002352C4"/>
    <w:rsid w:val="00235898"/>
    <w:rsid w:val="0023629D"/>
    <w:rsid w:val="002364BD"/>
    <w:rsid w:val="00237255"/>
    <w:rsid w:val="002373A7"/>
    <w:rsid w:val="00237861"/>
    <w:rsid w:val="00237B35"/>
    <w:rsid w:val="00240ADE"/>
    <w:rsid w:val="00240DAB"/>
    <w:rsid w:val="002424AF"/>
    <w:rsid w:val="00242657"/>
    <w:rsid w:val="0024294F"/>
    <w:rsid w:val="00242E46"/>
    <w:rsid w:val="0024307B"/>
    <w:rsid w:val="002433B3"/>
    <w:rsid w:val="002439DC"/>
    <w:rsid w:val="002441D2"/>
    <w:rsid w:val="00244DC8"/>
    <w:rsid w:val="00245391"/>
    <w:rsid w:val="002458BA"/>
    <w:rsid w:val="00245B2C"/>
    <w:rsid w:val="00245CE9"/>
    <w:rsid w:val="00245F3A"/>
    <w:rsid w:val="00246018"/>
    <w:rsid w:val="0024636C"/>
    <w:rsid w:val="0024671C"/>
    <w:rsid w:val="00246EB7"/>
    <w:rsid w:val="00247396"/>
    <w:rsid w:val="0024789B"/>
    <w:rsid w:val="00247925"/>
    <w:rsid w:val="00250986"/>
    <w:rsid w:val="00250D43"/>
    <w:rsid w:val="00251006"/>
    <w:rsid w:val="0025190E"/>
    <w:rsid w:val="0025240E"/>
    <w:rsid w:val="002524D5"/>
    <w:rsid w:val="00252504"/>
    <w:rsid w:val="00252F71"/>
    <w:rsid w:val="00253058"/>
    <w:rsid w:val="0025326B"/>
    <w:rsid w:val="00253396"/>
    <w:rsid w:val="002533BD"/>
    <w:rsid w:val="0025353D"/>
    <w:rsid w:val="00253604"/>
    <w:rsid w:val="00253621"/>
    <w:rsid w:val="00253B1D"/>
    <w:rsid w:val="002542AB"/>
    <w:rsid w:val="0025463B"/>
    <w:rsid w:val="00254DCF"/>
    <w:rsid w:val="0025534B"/>
    <w:rsid w:val="00255491"/>
    <w:rsid w:val="002556F1"/>
    <w:rsid w:val="00255BB2"/>
    <w:rsid w:val="00255BB7"/>
    <w:rsid w:val="00255C0C"/>
    <w:rsid w:val="00255F4A"/>
    <w:rsid w:val="002561F5"/>
    <w:rsid w:val="00256752"/>
    <w:rsid w:val="0025720D"/>
    <w:rsid w:val="00257541"/>
    <w:rsid w:val="00257A39"/>
    <w:rsid w:val="00257AC4"/>
    <w:rsid w:val="00257BBE"/>
    <w:rsid w:val="00257F77"/>
    <w:rsid w:val="0026092A"/>
    <w:rsid w:val="0026141E"/>
    <w:rsid w:val="0026149C"/>
    <w:rsid w:val="0026164E"/>
    <w:rsid w:val="0026178D"/>
    <w:rsid w:val="00261C67"/>
    <w:rsid w:val="00261EEF"/>
    <w:rsid w:val="00261F40"/>
    <w:rsid w:val="002621DD"/>
    <w:rsid w:val="0026297F"/>
    <w:rsid w:val="00262A1A"/>
    <w:rsid w:val="00262A87"/>
    <w:rsid w:val="00264553"/>
    <w:rsid w:val="00264D26"/>
    <w:rsid w:val="00265748"/>
    <w:rsid w:val="002661B0"/>
    <w:rsid w:val="00266817"/>
    <w:rsid w:val="00266CDA"/>
    <w:rsid w:val="00266D1A"/>
    <w:rsid w:val="002671A3"/>
    <w:rsid w:val="00267642"/>
    <w:rsid w:val="00267AEA"/>
    <w:rsid w:val="002700E6"/>
    <w:rsid w:val="002705AC"/>
    <w:rsid w:val="0027198F"/>
    <w:rsid w:val="00271CEE"/>
    <w:rsid w:val="0027294B"/>
    <w:rsid w:val="00272E96"/>
    <w:rsid w:val="00273114"/>
    <w:rsid w:val="00273B81"/>
    <w:rsid w:val="00273EB4"/>
    <w:rsid w:val="00274682"/>
    <w:rsid w:val="00274DB0"/>
    <w:rsid w:val="00274E60"/>
    <w:rsid w:val="00275158"/>
    <w:rsid w:val="00275202"/>
    <w:rsid w:val="00275964"/>
    <w:rsid w:val="00275C5A"/>
    <w:rsid w:val="0027611B"/>
    <w:rsid w:val="00276304"/>
    <w:rsid w:val="00276CB5"/>
    <w:rsid w:val="002776DB"/>
    <w:rsid w:val="0027774E"/>
    <w:rsid w:val="002803E7"/>
    <w:rsid w:val="002804FB"/>
    <w:rsid w:val="00280927"/>
    <w:rsid w:val="00281014"/>
    <w:rsid w:val="00281475"/>
    <w:rsid w:val="00281846"/>
    <w:rsid w:val="00282BD6"/>
    <w:rsid w:val="00283297"/>
    <w:rsid w:val="002835F0"/>
    <w:rsid w:val="00283796"/>
    <w:rsid w:val="00283D55"/>
    <w:rsid w:val="0028457C"/>
    <w:rsid w:val="00285005"/>
    <w:rsid w:val="00285BCE"/>
    <w:rsid w:val="00286082"/>
    <w:rsid w:val="0028616F"/>
    <w:rsid w:val="0028633F"/>
    <w:rsid w:val="0028665D"/>
    <w:rsid w:val="002879C0"/>
    <w:rsid w:val="00287B2A"/>
    <w:rsid w:val="00287C6A"/>
    <w:rsid w:val="00287FAE"/>
    <w:rsid w:val="00290031"/>
    <w:rsid w:val="002900EF"/>
    <w:rsid w:val="00290DA3"/>
    <w:rsid w:val="0029122D"/>
    <w:rsid w:val="00291301"/>
    <w:rsid w:val="00291420"/>
    <w:rsid w:val="00291C7E"/>
    <w:rsid w:val="00291D8F"/>
    <w:rsid w:val="00291FEC"/>
    <w:rsid w:val="00292B15"/>
    <w:rsid w:val="00292C61"/>
    <w:rsid w:val="00294004"/>
    <w:rsid w:val="00294166"/>
    <w:rsid w:val="002944C7"/>
    <w:rsid w:val="002944FE"/>
    <w:rsid w:val="00294858"/>
    <w:rsid w:val="00294962"/>
    <w:rsid w:val="00294CCA"/>
    <w:rsid w:val="0029515B"/>
    <w:rsid w:val="0029595C"/>
    <w:rsid w:val="0029617E"/>
    <w:rsid w:val="0029702B"/>
    <w:rsid w:val="0029705F"/>
    <w:rsid w:val="002974B4"/>
    <w:rsid w:val="0029778E"/>
    <w:rsid w:val="00297C1E"/>
    <w:rsid w:val="00297C7E"/>
    <w:rsid w:val="00297E58"/>
    <w:rsid w:val="002A0417"/>
    <w:rsid w:val="002A0FAA"/>
    <w:rsid w:val="002A14AB"/>
    <w:rsid w:val="002A1513"/>
    <w:rsid w:val="002A1D87"/>
    <w:rsid w:val="002A242D"/>
    <w:rsid w:val="002A2ADE"/>
    <w:rsid w:val="002A2F50"/>
    <w:rsid w:val="002A33CB"/>
    <w:rsid w:val="002A346D"/>
    <w:rsid w:val="002A35DE"/>
    <w:rsid w:val="002A3DA0"/>
    <w:rsid w:val="002A4340"/>
    <w:rsid w:val="002A6A23"/>
    <w:rsid w:val="002A6C4B"/>
    <w:rsid w:val="002A7118"/>
    <w:rsid w:val="002A7187"/>
    <w:rsid w:val="002A764C"/>
    <w:rsid w:val="002A7943"/>
    <w:rsid w:val="002B03E1"/>
    <w:rsid w:val="002B05A1"/>
    <w:rsid w:val="002B09A4"/>
    <w:rsid w:val="002B1A19"/>
    <w:rsid w:val="002B1C1F"/>
    <w:rsid w:val="002B2D2A"/>
    <w:rsid w:val="002B388E"/>
    <w:rsid w:val="002B432F"/>
    <w:rsid w:val="002B54DB"/>
    <w:rsid w:val="002B564E"/>
    <w:rsid w:val="002B62B3"/>
    <w:rsid w:val="002B6754"/>
    <w:rsid w:val="002B6A0D"/>
    <w:rsid w:val="002B6CCE"/>
    <w:rsid w:val="002B77B2"/>
    <w:rsid w:val="002B7B98"/>
    <w:rsid w:val="002B7E0B"/>
    <w:rsid w:val="002B7F4D"/>
    <w:rsid w:val="002C051E"/>
    <w:rsid w:val="002C12C5"/>
    <w:rsid w:val="002C1AB7"/>
    <w:rsid w:val="002C2510"/>
    <w:rsid w:val="002C2554"/>
    <w:rsid w:val="002C2775"/>
    <w:rsid w:val="002C27C1"/>
    <w:rsid w:val="002C27ED"/>
    <w:rsid w:val="002C2F83"/>
    <w:rsid w:val="002C31D9"/>
    <w:rsid w:val="002C33E6"/>
    <w:rsid w:val="002C36E3"/>
    <w:rsid w:val="002C4020"/>
    <w:rsid w:val="002C418F"/>
    <w:rsid w:val="002C4DCF"/>
    <w:rsid w:val="002C4DFF"/>
    <w:rsid w:val="002C4E1E"/>
    <w:rsid w:val="002C5099"/>
    <w:rsid w:val="002C52C6"/>
    <w:rsid w:val="002C5889"/>
    <w:rsid w:val="002C6169"/>
    <w:rsid w:val="002C675F"/>
    <w:rsid w:val="002C6DB6"/>
    <w:rsid w:val="002C71CE"/>
    <w:rsid w:val="002C7462"/>
    <w:rsid w:val="002C7B01"/>
    <w:rsid w:val="002C7F85"/>
    <w:rsid w:val="002D01D5"/>
    <w:rsid w:val="002D0693"/>
    <w:rsid w:val="002D06F4"/>
    <w:rsid w:val="002D0790"/>
    <w:rsid w:val="002D08F8"/>
    <w:rsid w:val="002D0AA0"/>
    <w:rsid w:val="002D14FC"/>
    <w:rsid w:val="002D198D"/>
    <w:rsid w:val="002D1E18"/>
    <w:rsid w:val="002D23B2"/>
    <w:rsid w:val="002D2536"/>
    <w:rsid w:val="002D2779"/>
    <w:rsid w:val="002D2D54"/>
    <w:rsid w:val="002D32D4"/>
    <w:rsid w:val="002D3D18"/>
    <w:rsid w:val="002D3F94"/>
    <w:rsid w:val="002D4574"/>
    <w:rsid w:val="002D4B09"/>
    <w:rsid w:val="002D577C"/>
    <w:rsid w:val="002D5AE3"/>
    <w:rsid w:val="002D604D"/>
    <w:rsid w:val="002D6100"/>
    <w:rsid w:val="002D6FED"/>
    <w:rsid w:val="002D7529"/>
    <w:rsid w:val="002D7832"/>
    <w:rsid w:val="002E09E6"/>
    <w:rsid w:val="002E09F6"/>
    <w:rsid w:val="002E1071"/>
    <w:rsid w:val="002E143D"/>
    <w:rsid w:val="002E15B9"/>
    <w:rsid w:val="002E1BE5"/>
    <w:rsid w:val="002E2158"/>
    <w:rsid w:val="002E23EC"/>
    <w:rsid w:val="002E3174"/>
    <w:rsid w:val="002E31EC"/>
    <w:rsid w:val="002E384D"/>
    <w:rsid w:val="002E3AC9"/>
    <w:rsid w:val="002E4E01"/>
    <w:rsid w:val="002E4F02"/>
    <w:rsid w:val="002E50F6"/>
    <w:rsid w:val="002E5325"/>
    <w:rsid w:val="002E5610"/>
    <w:rsid w:val="002E690E"/>
    <w:rsid w:val="002E6AF5"/>
    <w:rsid w:val="002E6CBB"/>
    <w:rsid w:val="002E6E7E"/>
    <w:rsid w:val="002E6F7D"/>
    <w:rsid w:val="002E7722"/>
    <w:rsid w:val="002F07BA"/>
    <w:rsid w:val="002F0CD3"/>
    <w:rsid w:val="002F0DA9"/>
    <w:rsid w:val="002F1014"/>
    <w:rsid w:val="002F10DB"/>
    <w:rsid w:val="002F1285"/>
    <w:rsid w:val="002F132D"/>
    <w:rsid w:val="002F14E8"/>
    <w:rsid w:val="002F1BA0"/>
    <w:rsid w:val="002F1E3B"/>
    <w:rsid w:val="002F3770"/>
    <w:rsid w:val="002F380A"/>
    <w:rsid w:val="002F3F42"/>
    <w:rsid w:val="002F4D51"/>
    <w:rsid w:val="002F643C"/>
    <w:rsid w:val="002F6440"/>
    <w:rsid w:val="002F6591"/>
    <w:rsid w:val="002F6BBF"/>
    <w:rsid w:val="002F6D82"/>
    <w:rsid w:val="002F6EE1"/>
    <w:rsid w:val="002F6F86"/>
    <w:rsid w:val="002F71C0"/>
    <w:rsid w:val="002F74F1"/>
    <w:rsid w:val="002F79C3"/>
    <w:rsid w:val="00301017"/>
    <w:rsid w:val="00301507"/>
    <w:rsid w:val="0030155F"/>
    <w:rsid w:val="00301676"/>
    <w:rsid w:val="00301A79"/>
    <w:rsid w:val="00305624"/>
    <w:rsid w:val="0030587B"/>
    <w:rsid w:val="00305A1E"/>
    <w:rsid w:val="00305B7D"/>
    <w:rsid w:val="00305EAC"/>
    <w:rsid w:val="00306224"/>
    <w:rsid w:val="00306D98"/>
    <w:rsid w:val="00306F78"/>
    <w:rsid w:val="003076C0"/>
    <w:rsid w:val="00307722"/>
    <w:rsid w:val="0030786C"/>
    <w:rsid w:val="00307DA4"/>
    <w:rsid w:val="00307FC8"/>
    <w:rsid w:val="0031031A"/>
    <w:rsid w:val="003105DE"/>
    <w:rsid w:val="00310728"/>
    <w:rsid w:val="00310981"/>
    <w:rsid w:val="00310BA2"/>
    <w:rsid w:val="0031120C"/>
    <w:rsid w:val="00311D9B"/>
    <w:rsid w:val="003122FA"/>
    <w:rsid w:val="003124D9"/>
    <w:rsid w:val="00312594"/>
    <w:rsid w:val="00313AAB"/>
    <w:rsid w:val="0031427B"/>
    <w:rsid w:val="003148DA"/>
    <w:rsid w:val="00314B56"/>
    <w:rsid w:val="0031521A"/>
    <w:rsid w:val="0031523B"/>
    <w:rsid w:val="00315498"/>
    <w:rsid w:val="003154A8"/>
    <w:rsid w:val="003155AE"/>
    <w:rsid w:val="003158F0"/>
    <w:rsid w:val="00315C0B"/>
    <w:rsid w:val="003163FD"/>
    <w:rsid w:val="00316474"/>
    <w:rsid w:val="003167F4"/>
    <w:rsid w:val="00316B5E"/>
    <w:rsid w:val="00316E27"/>
    <w:rsid w:val="00320606"/>
    <w:rsid w:val="00320A49"/>
    <w:rsid w:val="00320C83"/>
    <w:rsid w:val="0032101D"/>
    <w:rsid w:val="003214A3"/>
    <w:rsid w:val="00322107"/>
    <w:rsid w:val="00322165"/>
    <w:rsid w:val="00322355"/>
    <w:rsid w:val="00322846"/>
    <w:rsid w:val="00322DD9"/>
    <w:rsid w:val="00323F74"/>
    <w:rsid w:val="00323FFA"/>
    <w:rsid w:val="0032485B"/>
    <w:rsid w:val="003254EE"/>
    <w:rsid w:val="00325DE4"/>
    <w:rsid w:val="00326DA7"/>
    <w:rsid w:val="003270E4"/>
    <w:rsid w:val="003272E6"/>
    <w:rsid w:val="00327601"/>
    <w:rsid w:val="003278BD"/>
    <w:rsid w:val="00327B85"/>
    <w:rsid w:val="0033093D"/>
    <w:rsid w:val="00330AF1"/>
    <w:rsid w:val="00330DAA"/>
    <w:rsid w:val="00330F5C"/>
    <w:rsid w:val="00331050"/>
    <w:rsid w:val="003311F9"/>
    <w:rsid w:val="00331A88"/>
    <w:rsid w:val="00331DE5"/>
    <w:rsid w:val="00332722"/>
    <w:rsid w:val="00332A12"/>
    <w:rsid w:val="003334D2"/>
    <w:rsid w:val="003335E9"/>
    <w:rsid w:val="00333931"/>
    <w:rsid w:val="003345BB"/>
    <w:rsid w:val="00335E9C"/>
    <w:rsid w:val="0033600C"/>
    <w:rsid w:val="00336274"/>
    <w:rsid w:val="003366C9"/>
    <w:rsid w:val="00336708"/>
    <w:rsid w:val="00336817"/>
    <w:rsid w:val="00336B71"/>
    <w:rsid w:val="00336D73"/>
    <w:rsid w:val="003371B0"/>
    <w:rsid w:val="00337751"/>
    <w:rsid w:val="00337CB9"/>
    <w:rsid w:val="00337E10"/>
    <w:rsid w:val="00340DF1"/>
    <w:rsid w:val="00341026"/>
    <w:rsid w:val="003422D7"/>
    <w:rsid w:val="00342D93"/>
    <w:rsid w:val="00343386"/>
    <w:rsid w:val="003445EE"/>
    <w:rsid w:val="00344667"/>
    <w:rsid w:val="00344BD0"/>
    <w:rsid w:val="00344DC0"/>
    <w:rsid w:val="00344EC4"/>
    <w:rsid w:val="0034599E"/>
    <w:rsid w:val="00345CF3"/>
    <w:rsid w:val="00345F9A"/>
    <w:rsid w:val="003460F2"/>
    <w:rsid w:val="00346445"/>
    <w:rsid w:val="003465C1"/>
    <w:rsid w:val="00346EAD"/>
    <w:rsid w:val="0034770D"/>
    <w:rsid w:val="003477E9"/>
    <w:rsid w:val="00347B03"/>
    <w:rsid w:val="00347DAF"/>
    <w:rsid w:val="00351438"/>
    <w:rsid w:val="0035173D"/>
    <w:rsid w:val="003517F9"/>
    <w:rsid w:val="00351858"/>
    <w:rsid w:val="00351BA9"/>
    <w:rsid w:val="00352581"/>
    <w:rsid w:val="003532C7"/>
    <w:rsid w:val="00353539"/>
    <w:rsid w:val="00354DE9"/>
    <w:rsid w:val="00354F64"/>
    <w:rsid w:val="003550CF"/>
    <w:rsid w:val="00355263"/>
    <w:rsid w:val="0035620E"/>
    <w:rsid w:val="00356CD1"/>
    <w:rsid w:val="003575BE"/>
    <w:rsid w:val="00360345"/>
    <w:rsid w:val="00360F74"/>
    <w:rsid w:val="00361A05"/>
    <w:rsid w:val="00361C9B"/>
    <w:rsid w:val="003624C4"/>
    <w:rsid w:val="00362903"/>
    <w:rsid w:val="00362BC6"/>
    <w:rsid w:val="00362C0E"/>
    <w:rsid w:val="0036311A"/>
    <w:rsid w:val="00363B00"/>
    <w:rsid w:val="00363D40"/>
    <w:rsid w:val="003644D8"/>
    <w:rsid w:val="00364B37"/>
    <w:rsid w:val="00364B75"/>
    <w:rsid w:val="003650CB"/>
    <w:rsid w:val="00365469"/>
    <w:rsid w:val="003654AC"/>
    <w:rsid w:val="00365522"/>
    <w:rsid w:val="003655F2"/>
    <w:rsid w:val="0036564B"/>
    <w:rsid w:val="003658DD"/>
    <w:rsid w:val="00365A28"/>
    <w:rsid w:val="00365D67"/>
    <w:rsid w:val="003666ED"/>
    <w:rsid w:val="00366B45"/>
    <w:rsid w:val="00367644"/>
    <w:rsid w:val="00367657"/>
    <w:rsid w:val="00367C48"/>
    <w:rsid w:val="00370484"/>
    <w:rsid w:val="00370D54"/>
    <w:rsid w:val="003710CF"/>
    <w:rsid w:val="003712E2"/>
    <w:rsid w:val="003713CB"/>
    <w:rsid w:val="00371AEB"/>
    <w:rsid w:val="0037358A"/>
    <w:rsid w:val="0037376F"/>
    <w:rsid w:val="00374331"/>
    <w:rsid w:val="003744B6"/>
    <w:rsid w:val="003747A1"/>
    <w:rsid w:val="0037484F"/>
    <w:rsid w:val="0037487C"/>
    <w:rsid w:val="003750F6"/>
    <w:rsid w:val="00375A08"/>
    <w:rsid w:val="00375F34"/>
    <w:rsid w:val="003760FC"/>
    <w:rsid w:val="00376548"/>
    <w:rsid w:val="00376F24"/>
    <w:rsid w:val="003770BD"/>
    <w:rsid w:val="0037759C"/>
    <w:rsid w:val="00380166"/>
    <w:rsid w:val="0038020A"/>
    <w:rsid w:val="00380E8C"/>
    <w:rsid w:val="00381004"/>
    <w:rsid w:val="003810CA"/>
    <w:rsid w:val="0038117F"/>
    <w:rsid w:val="00381522"/>
    <w:rsid w:val="00381B06"/>
    <w:rsid w:val="00381D06"/>
    <w:rsid w:val="00382532"/>
    <w:rsid w:val="0038365C"/>
    <w:rsid w:val="0038369B"/>
    <w:rsid w:val="00383B78"/>
    <w:rsid w:val="0038412A"/>
    <w:rsid w:val="00384642"/>
    <w:rsid w:val="003848CC"/>
    <w:rsid w:val="00384DB4"/>
    <w:rsid w:val="003858AC"/>
    <w:rsid w:val="0038597F"/>
    <w:rsid w:val="00385A9D"/>
    <w:rsid w:val="00385D8E"/>
    <w:rsid w:val="00386690"/>
    <w:rsid w:val="003867E8"/>
    <w:rsid w:val="003868B2"/>
    <w:rsid w:val="00386934"/>
    <w:rsid w:val="00386BAB"/>
    <w:rsid w:val="00387121"/>
    <w:rsid w:val="003874EA"/>
    <w:rsid w:val="00387E6F"/>
    <w:rsid w:val="003902B1"/>
    <w:rsid w:val="00390FE1"/>
    <w:rsid w:val="003914E9"/>
    <w:rsid w:val="00391511"/>
    <w:rsid w:val="0039179C"/>
    <w:rsid w:val="00391AF3"/>
    <w:rsid w:val="00391E65"/>
    <w:rsid w:val="00392600"/>
    <w:rsid w:val="003931D1"/>
    <w:rsid w:val="003937B0"/>
    <w:rsid w:val="003941BB"/>
    <w:rsid w:val="003945FB"/>
    <w:rsid w:val="00394D56"/>
    <w:rsid w:val="00395359"/>
    <w:rsid w:val="00395B30"/>
    <w:rsid w:val="00396619"/>
    <w:rsid w:val="00396896"/>
    <w:rsid w:val="00396C66"/>
    <w:rsid w:val="00396D98"/>
    <w:rsid w:val="00396FD0"/>
    <w:rsid w:val="00397176"/>
    <w:rsid w:val="00397446"/>
    <w:rsid w:val="00397946"/>
    <w:rsid w:val="003A0BC9"/>
    <w:rsid w:val="003A114F"/>
    <w:rsid w:val="003A138F"/>
    <w:rsid w:val="003A13E8"/>
    <w:rsid w:val="003A1A7A"/>
    <w:rsid w:val="003A1D46"/>
    <w:rsid w:val="003A2108"/>
    <w:rsid w:val="003A22D6"/>
    <w:rsid w:val="003A2392"/>
    <w:rsid w:val="003A2831"/>
    <w:rsid w:val="003A28EE"/>
    <w:rsid w:val="003A2C91"/>
    <w:rsid w:val="003A3120"/>
    <w:rsid w:val="003A33BE"/>
    <w:rsid w:val="003A33F7"/>
    <w:rsid w:val="003A350E"/>
    <w:rsid w:val="003A360E"/>
    <w:rsid w:val="003A39D9"/>
    <w:rsid w:val="003A3CB6"/>
    <w:rsid w:val="003A3ED1"/>
    <w:rsid w:val="003A4396"/>
    <w:rsid w:val="003A44DB"/>
    <w:rsid w:val="003A4C14"/>
    <w:rsid w:val="003A5493"/>
    <w:rsid w:val="003A5C88"/>
    <w:rsid w:val="003A5DD4"/>
    <w:rsid w:val="003A5EAB"/>
    <w:rsid w:val="003A6232"/>
    <w:rsid w:val="003A777F"/>
    <w:rsid w:val="003A7826"/>
    <w:rsid w:val="003A7A0B"/>
    <w:rsid w:val="003A7A35"/>
    <w:rsid w:val="003A7EDC"/>
    <w:rsid w:val="003B04B0"/>
    <w:rsid w:val="003B064D"/>
    <w:rsid w:val="003B0E81"/>
    <w:rsid w:val="003B174B"/>
    <w:rsid w:val="003B1F52"/>
    <w:rsid w:val="003B22B6"/>
    <w:rsid w:val="003B22C1"/>
    <w:rsid w:val="003B2384"/>
    <w:rsid w:val="003B271D"/>
    <w:rsid w:val="003B27B4"/>
    <w:rsid w:val="003B2F1A"/>
    <w:rsid w:val="003B3971"/>
    <w:rsid w:val="003B3E99"/>
    <w:rsid w:val="003B41AA"/>
    <w:rsid w:val="003B5271"/>
    <w:rsid w:val="003B53A9"/>
    <w:rsid w:val="003B55D1"/>
    <w:rsid w:val="003B569E"/>
    <w:rsid w:val="003B5B61"/>
    <w:rsid w:val="003B5CA0"/>
    <w:rsid w:val="003B5DA1"/>
    <w:rsid w:val="003B65B0"/>
    <w:rsid w:val="003B6B58"/>
    <w:rsid w:val="003B7328"/>
    <w:rsid w:val="003B7949"/>
    <w:rsid w:val="003B7DD1"/>
    <w:rsid w:val="003C013D"/>
    <w:rsid w:val="003C1654"/>
    <w:rsid w:val="003C1905"/>
    <w:rsid w:val="003C1B3F"/>
    <w:rsid w:val="003C2A76"/>
    <w:rsid w:val="003C395E"/>
    <w:rsid w:val="003C4E55"/>
    <w:rsid w:val="003C4FBE"/>
    <w:rsid w:val="003C4FDF"/>
    <w:rsid w:val="003C5542"/>
    <w:rsid w:val="003C62ED"/>
    <w:rsid w:val="003C6603"/>
    <w:rsid w:val="003C6A96"/>
    <w:rsid w:val="003C6B98"/>
    <w:rsid w:val="003C7309"/>
    <w:rsid w:val="003C7C15"/>
    <w:rsid w:val="003C7D19"/>
    <w:rsid w:val="003C7D2C"/>
    <w:rsid w:val="003C7D2F"/>
    <w:rsid w:val="003D0310"/>
    <w:rsid w:val="003D0C5A"/>
    <w:rsid w:val="003D1828"/>
    <w:rsid w:val="003D18FE"/>
    <w:rsid w:val="003D1DE4"/>
    <w:rsid w:val="003D1E80"/>
    <w:rsid w:val="003D1E9A"/>
    <w:rsid w:val="003D2422"/>
    <w:rsid w:val="003D3482"/>
    <w:rsid w:val="003D39A1"/>
    <w:rsid w:val="003D3FBF"/>
    <w:rsid w:val="003D47B1"/>
    <w:rsid w:val="003D4A1E"/>
    <w:rsid w:val="003D4A30"/>
    <w:rsid w:val="003D4DDB"/>
    <w:rsid w:val="003D52EB"/>
    <w:rsid w:val="003D5A06"/>
    <w:rsid w:val="003D6811"/>
    <w:rsid w:val="003D6914"/>
    <w:rsid w:val="003D7147"/>
    <w:rsid w:val="003D739A"/>
    <w:rsid w:val="003D7452"/>
    <w:rsid w:val="003D79BB"/>
    <w:rsid w:val="003D7C98"/>
    <w:rsid w:val="003D7D9D"/>
    <w:rsid w:val="003E0300"/>
    <w:rsid w:val="003E0543"/>
    <w:rsid w:val="003E08C4"/>
    <w:rsid w:val="003E0B12"/>
    <w:rsid w:val="003E0BBD"/>
    <w:rsid w:val="003E1295"/>
    <w:rsid w:val="003E12F9"/>
    <w:rsid w:val="003E1329"/>
    <w:rsid w:val="003E1496"/>
    <w:rsid w:val="003E1FD9"/>
    <w:rsid w:val="003E213F"/>
    <w:rsid w:val="003E2401"/>
    <w:rsid w:val="003E31FF"/>
    <w:rsid w:val="003E3F44"/>
    <w:rsid w:val="003E3F7F"/>
    <w:rsid w:val="003E418E"/>
    <w:rsid w:val="003E44AB"/>
    <w:rsid w:val="003E51BB"/>
    <w:rsid w:val="003E5603"/>
    <w:rsid w:val="003E5777"/>
    <w:rsid w:val="003E592C"/>
    <w:rsid w:val="003E5A8C"/>
    <w:rsid w:val="003E5DD0"/>
    <w:rsid w:val="003E609C"/>
    <w:rsid w:val="003E749E"/>
    <w:rsid w:val="003F027C"/>
    <w:rsid w:val="003F09D6"/>
    <w:rsid w:val="003F0BCC"/>
    <w:rsid w:val="003F0ECA"/>
    <w:rsid w:val="003F11C7"/>
    <w:rsid w:val="003F1310"/>
    <w:rsid w:val="003F27C9"/>
    <w:rsid w:val="003F2E6D"/>
    <w:rsid w:val="003F2FCB"/>
    <w:rsid w:val="003F38EE"/>
    <w:rsid w:val="003F3DD0"/>
    <w:rsid w:val="003F4113"/>
    <w:rsid w:val="003F4156"/>
    <w:rsid w:val="003F4AED"/>
    <w:rsid w:val="003F4D59"/>
    <w:rsid w:val="003F5023"/>
    <w:rsid w:val="003F5182"/>
    <w:rsid w:val="003F54C2"/>
    <w:rsid w:val="003F5ADF"/>
    <w:rsid w:val="003F7446"/>
    <w:rsid w:val="003F79B6"/>
    <w:rsid w:val="003F79C7"/>
    <w:rsid w:val="003F79FF"/>
    <w:rsid w:val="00400B29"/>
    <w:rsid w:val="0040147A"/>
    <w:rsid w:val="004015B0"/>
    <w:rsid w:val="00401847"/>
    <w:rsid w:val="00402645"/>
    <w:rsid w:val="00402812"/>
    <w:rsid w:val="004030E3"/>
    <w:rsid w:val="00403740"/>
    <w:rsid w:val="00403869"/>
    <w:rsid w:val="00403CC8"/>
    <w:rsid w:val="004045D0"/>
    <w:rsid w:val="00404AFC"/>
    <w:rsid w:val="0040504B"/>
    <w:rsid w:val="00405763"/>
    <w:rsid w:val="004059F4"/>
    <w:rsid w:val="00406AC1"/>
    <w:rsid w:val="00406E44"/>
    <w:rsid w:val="00407FE5"/>
    <w:rsid w:val="004100F4"/>
    <w:rsid w:val="004101B0"/>
    <w:rsid w:val="00410326"/>
    <w:rsid w:val="004106EE"/>
    <w:rsid w:val="00410708"/>
    <w:rsid w:val="00410CA5"/>
    <w:rsid w:val="00410EC7"/>
    <w:rsid w:val="00411AB2"/>
    <w:rsid w:val="00411B39"/>
    <w:rsid w:val="00411CEF"/>
    <w:rsid w:val="00411FDE"/>
    <w:rsid w:val="004127A7"/>
    <w:rsid w:val="00413018"/>
    <w:rsid w:val="0041317C"/>
    <w:rsid w:val="004134A5"/>
    <w:rsid w:val="00413A1E"/>
    <w:rsid w:val="00413AD5"/>
    <w:rsid w:val="00414476"/>
    <w:rsid w:val="004149EF"/>
    <w:rsid w:val="00414C2E"/>
    <w:rsid w:val="004151CF"/>
    <w:rsid w:val="00415707"/>
    <w:rsid w:val="0041611C"/>
    <w:rsid w:val="00416364"/>
    <w:rsid w:val="00416573"/>
    <w:rsid w:val="004168E5"/>
    <w:rsid w:val="00416983"/>
    <w:rsid w:val="00416DB9"/>
    <w:rsid w:val="00417250"/>
    <w:rsid w:val="00417447"/>
    <w:rsid w:val="0041771F"/>
    <w:rsid w:val="00417D01"/>
    <w:rsid w:val="00420401"/>
    <w:rsid w:val="0042047F"/>
    <w:rsid w:val="0042049C"/>
    <w:rsid w:val="004208CC"/>
    <w:rsid w:val="00420AA6"/>
    <w:rsid w:val="00420B9F"/>
    <w:rsid w:val="004218B9"/>
    <w:rsid w:val="0042192C"/>
    <w:rsid w:val="0042193E"/>
    <w:rsid w:val="00422260"/>
    <w:rsid w:val="00422E6F"/>
    <w:rsid w:val="0042413F"/>
    <w:rsid w:val="004250C9"/>
    <w:rsid w:val="00425BFF"/>
    <w:rsid w:val="00425C6F"/>
    <w:rsid w:val="00425D64"/>
    <w:rsid w:val="00426F17"/>
    <w:rsid w:val="00427138"/>
    <w:rsid w:val="0042749F"/>
    <w:rsid w:val="00430C13"/>
    <w:rsid w:val="00430CC4"/>
    <w:rsid w:val="00431249"/>
    <w:rsid w:val="0043128C"/>
    <w:rsid w:val="004319F8"/>
    <w:rsid w:val="00431E55"/>
    <w:rsid w:val="00431FE5"/>
    <w:rsid w:val="004321F6"/>
    <w:rsid w:val="00432374"/>
    <w:rsid w:val="00432610"/>
    <w:rsid w:val="00432BB2"/>
    <w:rsid w:val="00432E61"/>
    <w:rsid w:val="00433044"/>
    <w:rsid w:val="00433764"/>
    <w:rsid w:val="004338D3"/>
    <w:rsid w:val="004339B5"/>
    <w:rsid w:val="00434088"/>
    <w:rsid w:val="00434842"/>
    <w:rsid w:val="00434FA0"/>
    <w:rsid w:val="00435DAA"/>
    <w:rsid w:val="004361C3"/>
    <w:rsid w:val="00436E9B"/>
    <w:rsid w:val="004373FE"/>
    <w:rsid w:val="004375B9"/>
    <w:rsid w:val="00437A2C"/>
    <w:rsid w:val="00437BDF"/>
    <w:rsid w:val="00437D63"/>
    <w:rsid w:val="00440732"/>
    <w:rsid w:val="00440F84"/>
    <w:rsid w:val="00441309"/>
    <w:rsid w:val="00441F31"/>
    <w:rsid w:val="0044285C"/>
    <w:rsid w:val="004428D0"/>
    <w:rsid w:val="004429AB"/>
    <w:rsid w:val="00443E3D"/>
    <w:rsid w:val="00443EDB"/>
    <w:rsid w:val="00444185"/>
    <w:rsid w:val="004443A7"/>
    <w:rsid w:val="0044442C"/>
    <w:rsid w:val="00444F2C"/>
    <w:rsid w:val="00445941"/>
    <w:rsid w:val="00445C96"/>
    <w:rsid w:val="00445E72"/>
    <w:rsid w:val="004464EB"/>
    <w:rsid w:val="00446E1D"/>
    <w:rsid w:val="00446F6E"/>
    <w:rsid w:val="00447320"/>
    <w:rsid w:val="00447BA3"/>
    <w:rsid w:val="00447D26"/>
    <w:rsid w:val="00447DFC"/>
    <w:rsid w:val="004500ED"/>
    <w:rsid w:val="004502A2"/>
    <w:rsid w:val="00450AE9"/>
    <w:rsid w:val="0045189F"/>
    <w:rsid w:val="004518CC"/>
    <w:rsid w:val="00451A71"/>
    <w:rsid w:val="004526C9"/>
    <w:rsid w:val="00452762"/>
    <w:rsid w:val="004527D6"/>
    <w:rsid w:val="00452A8F"/>
    <w:rsid w:val="004531DF"/>
    <w:rsid w:val="00453833"/>
    <w:rsid w:val="00453998"/>
    <w:rsid w:val="00453CB6"/>
    <w:rsid w:val="004544B1"/>
    <w:rsid w:val="00454CFC"/>
    <w:rsid w:val="0045583B"/>
    <w:rsid w:val="00455B75"/>
    <w:rsid w:val="00455D45"/>
    <w:rsid w:val="00455DD8"/>
    <w:rsid w:val="00456447"/>
    <w:rsid w:val="00460E4E"/>
    <w:rsid w:val="004611E6"/>
    <w:rsid w:val="004626F2"/>
    <w:rsid w:val="00462779"/>
    <w:rsid w:val="00462F2B"/>
    <w:rsid w:val="00464103"/>
    <w:rsid w:val="00464190"/>
    <w:rsid w:val="00464595"/>
    <w:rsid w:val="00465033"/>
    <w:rsid w:val="00465317"/>
    <w:rsid w:val="004658B5"/>
    <w:rsid w:val="00465B67"/>
    <w:rsid w:val="0046642E"/>
    <w:rsid w:val="0046672A"/>
    <w:rsid w:val="00466AE1"/>
    <w:rsid w:val="00467754"/>
    <w:rsid w:val="00467FAA"/>
    <w:rsid w:val="00470849"/>
    <w:rsid w:val="00470850"/>
    <w:rsid w:val="00470B0F"/>
    <w:rsid w:val="00471381"/>
    <w:rsid w:val="00471489"/>
    <w:rsid w:val="00471EA5"/>
    <w:rsid w:val="00471F7E"/>
    <w:rsid w:val="004722AB"/>
    <w:rsid w:val="00472570"/>
    <w:rsid w:val="00472A79"/>
    <w:rsid w:val="00472ACB"/>
    <w:rsid w:val="00472EA1"/>
    <w:rsid w:val="00473118"/>
    <w:rsid w:val="00473AAD"/>
    <w:rsid w:val="00473BCE"/>
    <w:rsid w:val="00473CB7"/>
    <w:rsid w:val="00473E01"/>
    <w:rsid w:val="00473F19"/>
    <w:rsid w:val="00474126"/>
    <w:rsid w:val="00474135"/>
    <w:rsid w:val="00474BDA"/>
    <w:rsid w:val="00474CA8"/>
    <w:rsid w:val="00475B8A"/>
    <w:rsid w:val="00475E22"/>
    <w:rsid w:val="00475E40"/>
    <w:rsid w:val="0047635B"/>
    <w:rsid w:val="00476430"/>
    <w:rsid w:val="004776E6"/>
    <w:rsid w:val="00477C49"/>
    <w:rsid w:val="00477DAC"/>
    <w:rsid w:val="0048003F"/>
    <w:rsid w:val="00480697"/>
    <w:rsid w:val="0048088E"/>
    <w:rsid w:val="00480A1C"/>
    <w:rsid w:val="00480C2A"/>
    <w:rsid w:val="00480C37"/>
    <w:rsid w:val="00480D87"/>
    <w:rsid w:val="00480F2B"/>
    <w:rsid w:val="00481C4D"/>
    <w:rsid w:val="00481DE7"/>
    <w:rsid w:val="00482229"/>
    <w:rsid w:val="0048242C"/>
    <w:rsid w:val="00482650"/>
    <w:rsid w:val="00482720"/>
    <w:rsid w:val="004835E7"/>
    <w:rsid w:val="004838AE"/>
    <w:rsid w:val="00483F27"/>
    <w:rsid w:val="00484092"/>
    <w:rsid w:val="00484198"/>
    <w:rsid w:val="00484910"/>
    <w:rsid w:val="00485066"/>
    <w:rsid w:val="00485622"/>
    <w:rsid w:val="004859E1"/>
    <w:rsid w:val="004864E3"/>
    <w:rsid w:val="004867E2"/>
    <w:rsid w:val="00486B4E"/>
    <w:rsid w:val="00487281"/>
    <w:rsid w:val="004902B9"/>
    <w:rsid w:val="00490384"/>
    <w:rsid w:val="0049084D"/>
    <w:rsid w:val="004909E1"/>
    <w:rsid w:val="00490A5E"/>
    <w:rsid w:val="00490B17"/>
    <w:rsid w:val="00491B3A"/>
    <w:rsid w:val="004921DE"/>
    <w:rsid w:val="00492CFD"/>
    <w:rsid w:val="004938FA"/>
    <w:rsid w:val="00493B79"/>
    <w:rsid w:val="00494207"/>
    <w:rsid w:val="00494B33"/>
    <w:rsid w:val="00494B7F"/>
    <w:rsid w:val="00494DD5"/>
    <w:rsid w:val="00495814"/>
    <w:rsid w:val="00495F53"/>
    <w:rsid w:val="004962D2"/>
    <w:rsid w:val="004976DD"/>
    <w:rsid w:val="004978A8"/>
    <w:rsid w:val="00497DB1"/>
    <w:rsid w:val="00497DC5"/>
    <w:rsid w:val="004A0DA1"/>
    <w:rsid w:val="004A13D6"/>
    <w:rsid w:val="004A1DA4"/>
    <w:rsid w:val="004A1FEA"/>
    <w:rsid w:val="004A214C"/>
    <w:rsid w:val="004A22BA"/>
    <w:rsid w:val="004A2814"/>
    <w:rsid w:val="004A38F9"/>
    <w:rsid w:val="004A4D12"/>
    <w:rsid w:val="004A52E9"/>
    <w:rsid w:val="004A53D1"/>
    <w:rsid w:val="004A5D46"/>
    <w:rsid w:val="004A5D8A"/>
    <w:rsid w:val="004A6040"/>
    <w:rsid w:val="004A6537"/>
    <w:rsid w:val="004A6597"/>
    <w:rsid w:val="004A6599"/>
    <w:rsid w:val="004A6B8F"/>
    <w:rsid w:val="004A6E55"/>
    <w:rsid w:val="004A6FF6"/>
    <w:rsid w:val="004A7176"/>
    <w:rsid w:val="004A7848"/>
    <w:rsid w:val="004A793B"/>
    <w:rsid w:val="004A7DBB"/>
    <w:rsid w:val="004B07D9"/>
    <w:rsid w:val="004B0A99"/>
    <w:rsid w:val="004B0EFA"/>
    <w:rsid w:val="004B1CB4"/>
    <w:rsid w:val="004B2909"/>
    <w:rsid w:val="004B2B91"/>
    <w:rsid w:val="004B2BC7"/>
    <w:rsid w:val="004B2C20"/>
    <w:rsid w:val="004B2CD4"/>
    <w:rsid w:val="004B2F18"/>
    <w:rsid w:val="004B3129"/>
    <w:rsid w:val="004B3253"/>
    <w:rsid w:val="004B36B8"/>
    <w:rsid w:val="004B3763"/>
    <w:rsid w:val="004B3CD0"/>
    <w:rsid w:val="004B3CDF"/>
    <w:rsid w:val="004B3DDB"/>
    <w:rsid w:val="004B42E6"/>
    <w:rsid w:val="004B44FD"/>
    <w:rsid w:val="004B4537"/>
    <w:rsid w:val="004B4882"/>
    <w:rsid w:val="004B5197"/>
    <w:rsid w:val="004B5CFC"/>
    <w:rsid w:val="004B624C"/>
    <w:rsid w:val="004B65DB"/>
    <w:rsid w:val="004B69E8"/>
    <w:rsid w:val="004B6CCB"/>
    <w:rsid w:val="004B6DFC"/>
    <w:rsid w:val="004B6F79"/>
    <w:rsid w:val="004B6FB3"/>
    <w:rsid w:val="004B7063"/>
    <w:rsid w:val="004B774D"/>
    <w:rsid w:val="004B7A65"/>
    <w:rsid w:val="004C09C3"/>
    <w:rsid w:val="004C1BEA"/>
    <w:rsid w:val="004C1DA6"/>
    <w:rsid w:val="004C1FA5"/>
    <w:rsid w:val="004C219B"/>
    <w:rsid w:val="004C2AC2"/>
    <w:rsid w:val="004C3B02"/>
    <w:rsid w:val="004C3E07"/>
    <w:rsid w:val="004C4A0F"/>
    <w:rsid w:val="004C4AED"/>
    <w:rsid w:val="004C5735"/>
    <w:rsid w:val="004C5810"/>
    <w:rsid w:val="004C63CC"/>
    <w:rsid w:val="004C64AF"/>
    <w:rsid w:val="004C6FA0"/>
    <w:rsid w:val="004C701A"/>
    <w:rsid w:val="004C70BE"/>
    <w:rsid w:val="004C7790"/>
    <w:rsid w:val="004C7972"/>
    <w:rsid w:val="004C7C2D"/>
    <w:rsid w:val="004D0B67"/>
    <w:rsid w:val="004D0C9E"/>
    <w:rsid w:val="004D23C1"/>
    <w:rsid w:val="004D2C2D"/>
    <w:rsid w:val="004D338E"/>
    <w:rsid w:val="004D33D3"/>
    <w:rsid w:val="004D37DA"/>
    <w:rsid w:val="004D451D"/>
    <w:rsid w:val="004D4FF3"/>
    <w:rsid w:val="004D56AD"/>
    <w:rsid w:val="004D5AE6"/>
    <w:rsid w:val="004D5BAC"/>
    <w:rsid w:val="004D5C2D"/>
    <w:rsid w:val="004D60E6"/>
    <w:rsid w:val="004D69B5"/>
    <w:rsid w:val="004D7227"/>
    <w:rsid w:val="004D7620"/>
    <w:rsid w:val="004D7767"/>
    <w:rsid w:val="004D7B5E"/>
    <w:rsid w:val="004E0BCB"/>
    <w:rsid w:val="004E0E7F"/>
    <w:rsid w:val="004E0EB8"/>
    <w:rsid w:val="004E1226"/>
    <w:rsid w:val="004E18E9"/>
    <w:rsid w:val="004E2953"/>
    <w:rsid w:val="004E2ADC"/>
    <w:rsid w:val="004E2D5E"/>
    <w:rsid w:val="004E3536"/>
    <w:rsid w:val="004E43B2"/>
    <w:rsid w:val="004E47AC"/>
    <w:rsid w:val="004E499A"/>
    <w:rsid w:val="004E4D19"/>
    <w:rsid w:val="004E563C"/>
    <w:rsid w:val="004E647E"/>
    <w:rsid w:val="004E72B1"/>
    <w:rsid w:val="004F01F4"/>
    <w:rsid w:val="004F0BA9"/>
    <w:rsid w:val="004F1D02"/>
    <w:rsid w:val="004F1D3C"/>
    <w:rsid w:val="004F25F9"/>
    <w:rsid w:val="004F2679"/>
    <w:rsid w:val="004F2F21"/>
    <w:rsid w:val="004F3103"/>
    <w:rsid w:val="004F3104"/>
    <w:rsid w:val="004F3DE5"/>
    <w:rsid w:val="004F4531"/>
    <w:rsid w:val="004F4A3B"/>
    <w:rsid w:val="004F63CB"/>
    <w:rsid w:val="004F6913"/>
    <w:rsid w:val="004F6CFD"/>
    <w:rsid w:val="004F7180"/>
    <w:rsid w:val="004F746C"/>
    <w:rsid w:val="004F7613"/>
    <w:rsid w:val="004F7865"/>
    <w:rsid w:val="004F7A5F"/>
    <w:rsid w:val="004F7C4D"/>
    <w:rsid w:val="0050045F"/>
    <w:rsid w:val="005004A4"/>
    <w:rsid w:val="00500509"/>
    <w:rsid w:val="005006C5"/>
    <w:rsid w:val="0050174E"/>
    <w:rsid w:val="00501854"/>
    <w:rsid w:val="00501860"/>
    <w:rsid w:val="005018F1"/>
    <w:rsid w:val="00501D97"/>
    <w:rsid w:val="00501E98"/>
    <w:rsid w:val="0050219B"/>
    <w:rsid w:val="00502290"/>
    <w:rsid w:val="00502766"/>
    <w:rsid w:val="00502D24"/>
    <w:rsid w:val="00503300"/>
    <w:rsid w:val="005039B0"/>
    <w:rsid w:val="00503A7D"/>
    <w:rsid w:val="00503F17"/>
    <w:rsid w:val="00503F3A"/>
    <w:rsid w:val="005053B5"/>
    <w:rsid w:val="005056E0"/>
    <w:rsid w:val="005057F4"/>
    <w:rsid w:val="00506652"/>
    <w:rsid w:val="00506669"/>
    <w:rsid w:val="00506928"/>
    <w:rsid w:val="00506CF8"/>
    <w:rsid w:val="0050751C"/>
    <w:rsid w:val="005075D1"/>
    <w:rsid w:val="005075DE"/>
    <w:rsid w:val="005077EF"/>
    <w:rsid w:val="00507824"/>
    <w:rsid w:val="0050790F"/>
    <w:rsid w:val="00507C7B"/>
    <w:rsid w:val="005100DB"/>
    <w:rsid w:val="00510664"/>
    <w:rsid w:val="00510794"/>
    <w:rsid w:val="00510815"/>
    <w:rsid w:val="00510928"/>
    <w:rsid w:val="0051155B"/>
    <w:rsid w:val="00511AD5"/>
    <w:rsid w:val="00511DC7"/>
    <w:rsid w:val="0051227E"/>
    <w:rsid w:val="00512BBA"/>
    <w:rsid w:val="00512FE8"/>
    <w:rsid w:val="005131BF"/>
    <w:rsid w:val="00513838"/>
    <w:rsid w:val="00513EAC"/>
    <w:rsid w:val="00514157"/>
    <w:rsid w:val="005142C5"/>
    <w:rsid w:val="005149D1"/>
    <w:rsid w:val="00514AC1"/>
    <w:rsid w:val="0051501B"/>
    <w:rsid w:val="005151EB"/>
    <w:rsid w:val="005152A0"/>
    <w:rsid w:val="005152B5"/>
    <w:rsid w:val="00515886"/>
    <w:rsid w:val="00515A70"/>
    <w:rsid w:val="005164D6"/>
    <w:rsid w:val="00516986"/>
    <w:rsid w:val="00517887"/>
    <w:rsid w:val="0051788F"/>
    <w:rsid w:val="00520175"/>
    <w:rsid w:val="0052123C"/>
    <w:rsid w:val="00521319"/>
    <w:rsid w:val="00521694"/>
    <w:rsid w:val="00521D61"/>
    <w:rsid w:val="005229CF"/>
    <w:rsid w:val="00522BC8"/>
    <w:rsid w:val="00523124"/>
    <w:rsid w:val="00523C28"/>
    <w:rsid w:val="00523CF6"/>
    <w:rsid w:val="00524AC5"/>
    <w:rsid w:val="00524B4A"/>
    <w:rsid w:val="00524B5F"/>
    <w:rsid w:val="00526C18"/>
    <w:rsid w:val="00526E25"/>
    <w:rsid w:val="005272B2"/>
    <w:rsid w:val="0053073F"/>
    <w:rsid w:val="00530D57"/>
    <w:rsid w:val="0053176B"/>
    <w:rsid w:val="00531998"/>
    <w:rsid w:val="00531BC5"/>
    <w:rsid w:val="005334F1"/>
    <w:rsid w:val="00533DC6"/>
    <w:rsid w:val="005341B3"/>
    <w:rsid w:val="005347FE"/>
    <w:rsid w:val="005350F1"/>
    <w:rsid w:val="00535147"/>
    <w:rsid w:val="00535CD1"/>
    <w:rsid w:val="00535F08"/>
    <w:rsid w:val="005365FA"/>
    <w:rsid w:val="0053696E"/>
    <w:rsid w:val="005369AE"/>
    <w:rsid w:val="00536C25"/>
    <w:rsid w:val="00536D59"/>
    <w:rsid w:val="00536F42"/>
    <w:rsid w:val="00537182"/>
    <w:rsid w:val="005375A0"/>
    <w:rsid w:val="005407A5"/>
    <w:rsid w:val="0054097D"/>
    <w:rsid w:val="005409B6"/>
    <w:rsid w:val="00540A62"/>
    <w:rsid w:val="00540BD4"/>
    <w:rsid w:val="00540DC6"/>
    <w:rsid w:val="005416FC"/>
    <w:rsid w:val="00541EDD"/>
    <w:rsid w:val="00542743"/>
    <w:rsid w:val="00542C2D"/>
    <w:rsid w:val="0054305C"/>
    <w:rsid w:val="00543177"/>
    <w:rsid w:val="00543554"/>
    <w:rsid w:val="00544426"/>
    <w:rsid w:val="005445A5"/>
    <w:rsid w:val="005448E4"/>
    <w:rsid w:val="00544AC7"/>
    <w:rsid w:val="00544BB2"/>
    <w:rsid w:val="00544EDE"/>
    <w:rsid w:val="0054504A"/>
    <w:rsid w:val="00545765"/>
    <w:rsid w:val="00545A6A"/>
    <w:rsid w:val="0054699D"/>
    <w:rsid w:val="00547004"/>
    <w:rsid w:val="005478BD"/>
    <w:rsid w:val="005479E3"/>
    <w:rsid w:val="00547DDA"/>
    <w:rsid w:val="005500AC"/>
    <w:rsid w:val="0055025F"/>
    <w:rsid w:val="005505A7"/>
    <w:rsid w:val="00550D92"/>
    <w:rsid w:val="0055161F"/>
    <w:rsid w:val="00551985"/>
    <w:rsid w:val="005519EB"/>
    <w:rsid w:val="0055248E"/>
    <w:rsid w:val="00552A2D"/>
    <w:rsid w:val="00552A42"/>
    <w:rsid w:val="00552BD3"/>
    <w:rsid w:val="005532A0"/>
    <w:rsid w:val="005533C1"/>
    <w:rsid w:val="00554409"/>
    <w:rsid w:val="00554D14"/>
    <w:rsid w:val="00554F76"/>
    <w:rsid w:val="00555109"/>
    <w:rsid w:val="005555DE"/>
    <w:rsid w:val="005568FA"/>
    <w:rsid w:val="00556B35"/>
    <w:rsid w:val="005573DE"/>
    <w:rsid w:val="0055741A"/>
    <w:rsid w:val="00557CD7"/>
    <w:rsid w:val="00560586"/>
    <w:rsid w:val="0056090B"/>
    <w:rsid w:val="005609AB"/>
    <w:rsid w:val="0056115F"/>
    <w:rsid w:val="005611B7"/>
    <w:rsid w:val="0056128D"/>
    <w:rsid w:val="005618CB"/>
    <w:rsid w:val="005618D4"/>
    <w:rsid w:val="00561A35"/>
    <w:rsid w:val="00561D20"/>
    <w:rsid w:val="0056303B"/>
    <w:rsid w:val="00563AA8"/>
    <w:rsid w:val="0056428F"/>
    <w:rsid w:val="005642BE"/>
    <w:rsid w:val="0056476A"/>
    <w:rsid w:val="00564867"/>
    <w:rsid w:val="005653AB"/>
    <w:rsid w:val="00565BC6"/>
    <w:rsid w:val="00565BFA"/>
    <w:rsid w:val="00565C79"/>
    <w:rsid w:val="00565DF0"/>
    <w:rsid w:val="00565EC1"/>
    <w:rsid w:val="00565EEE"/>
    <w:rsid w:val="00566137"/>
    <w:rsid w:val="0056696F"/>
    <w:rsid w:val="00567DF3"/>
    <w:rsid w:val="005701B2"/>
    <w:rsid w:val="0057050D"/>
    <w:rsid w:val="005705B4"/>
    <w:rsid w:val="00570626"/>
    <w:rsid w:val="0057093E"/>
    <w:rsid w:val="005719DF"/>
    <w:rsid w:val="00571A76"/>
    <w:rsid w:val="00571F94"/>
    <w:rsid w:val="00572269"/>
    <w:rsid w:val="0057244A"/>
    <w:rsid w:val="005725EE"/>
    <w:rsid w:val="00572C45"/>
    <w:rsid w:val="00572E60"/>
    <w:rsid w:val="00572F26"/>
    <w:rsid w:val="00573264"/>
    <w:rsid w:val="00573968"/>
    <w:rsid w:val="005750C5"/>
    <w:rsid w:val="00575251"/>
    <w:rsid w:val="005752DE"/>
    <w:rsid w:val="005754B6"/>
    <w:rsid w:val="005754D9"/>
    <w:rsid w:val="00575D60"/>
    <w:rsid w:val="00575D8D"/>
    <w:rsid w:val="00576972"/>
    <w:rsid w:val="0057708A"/>
    <w:rsid w:val="00577248"/>
    <w:rsid w:val="00580A99"/>
    <w:rsid w:val="00580BFF"/>
    <w:rsid w:val="00581131"/>
    <w:rsid w:val="00581791"/>
    <w:rsid w:val="00581BDD"/>
    <w:rsid w:val="00581F59"/>
    <w:rsid w:val="005820DF"/>
    <w:rsid w:val="0058246F"/>
    <w:rsid w:val="00582758"/>
    <w:rsid w:val="0058302A"/>
    <w:rsid w:val="005830A9"/>
    <w:rsid w:val="005833CF"/>
    <w:rsid w:val="00583699"/>
    <w:rsid w:val="00584FF0"/>
    <w:rsid w:val="00585196"/>
    <w:rsid w:val="00585CDD"/>
    <w:rsid w:val="005860D9"/>
    <w:rsid w:val="005867C7"/>
    <w:rsid w:val="00586808"/>
    <w:rsid w:val="00587058"/>
    <w:rsid w:val="00587112"/>
    <w:rsid w:val="00587687"/>
    <w:rsid w:val="00587CC8"/>
    <w:rsid w:val="005900BF"/>
    <w:rsid w:val="005903E1"/>
    <w:rsid w:val="00591957"/>
    <w:rsid w:val="00591CAE"/>
    <w:rsid w:val="00591F0E"/>
    <w:rsid w:val="005922E8"/>
    <w:rsid w:val="00593AF4"/>
    <w:rsid w:val="00593B6B"/>
    <w:rsid w:val="00594A74"/>
    <w:rsid w:val="00594AF1"/>
    <w:rsid w:val="00594B56"/>
    <w:rsid w:val="005951EE"/>
    <w:rsid w:val="0059520A"/>
    <w:rsid w:val="0059533F"/>
    <w:rsid w:val="00595BF2"/>
    <w:rsid w:val="00595CEB"/>
    <w:rsid w:val="005962D5"/>
    <w:rsid w:val="005968DD"/>
    <w:rsid w:val="00597BF9"/>
    <w:rsid w:val="005A06C8"/>
    <w:rsid w:val="005A06F7"/>
    <w:rsid w:val="005A086B"/>
    <w:rsid w:val="005A0C11"/>
    <w:rsid w:val="005A129F"/>
    <w:rsid w:val="005A18C9"/>
    <w:rsid w:val="005A1B6C"/>
    <w:rsid w:val="005A309A"/>
    <w:rsid w:val="005A3169"/>
    <w:rsid w:val="005A316F"/>
    <w:rsid w:val="005A3483"/>
    <w:rsid w:val="005A348F"/>
    <w:rsid w:val="005A373D"/>
    <w:rsid w:val="005A43B3"/>
    <w:rsid w:val="005A45EC"/>
    <w:rsid w:val="005A5571"/>
    <w:rsid w:val="005A6251"/>
    <w:rsid w:val="005A6622"/>
    <w:rsid w:val="005A6FC3"/>
    <w:rsid w:val="005A719E"/>
    <w:rsid w:val="005B0B58"/>
    <w:rsid w:val="005B1D08"/>
    <w:rsid w:val="005B22A6"/>
    <w:rsid w:val="005B23B7"/>
    <w:rsid w:val="005B2594"/>
    <w:rsid w:val="005B2DC9"/>
    <w:rsid w:val="005B2F6E"/>
    <w:rsid w:val="005B338D"/>
    <w:rsid w:val="005B36A1"/>
    <w:rsid w:val="005B36A3"/>
    <w:rsid w:val="005B3993"/>
    <w:rsid w:val="005B4200"/>
    <w:rsid w:val="005B47BB"/>
    <w:rsid w:val="005B4E53"/>
    <w:rsid w:val="005B4F79"/>
    <w:rsid w:val="005B5857"/>
    <w:rsid w:val="005B58A9"/>
    <w:rsid w:val="005B59D5"/>
    <w:rsid w:val="005B5B6A"/>
    <w:rsid w:val="005B67C2"/>
    <w:rsid w:val="005B7008"/>
    <w:rsid w:val="005B7030"/>
    <w:rsid w:val="005B7357"/>
    <w:rsid w:val="005B790C"/>
    <w:rsid w:val="005C02A1"/>
    <w:rsid w:val="005C0F65"/>
    <w:rsid w:val="005C184F"/>
    <w:rsid w:val="005C19C4"/>
    <w:rsid w:val="005C1B83"/>
    <w:rsid w:val="005C25FF"/>
    <w:rsid w:val="005C2808"/>
    <w:rsid w:val="005C298F"/>
    <w:rsid w:val="005C2D55"/>
    <w:rsid w:val="005C346B"/>
    <w:rsid w:val="005C34B4"/>
    <w:rsid w:val="005C3948"/>
    <w:rsid w:val="005C4C1E"/>
    <w:rsid w:val="005C4DF2"/>
    <w:rsid w:val="005C4FC7"/>
    <w:rsid w:val="005C5ABC"/>
    <w:rsid w:val="005C61ED"/>
    <w:rsid w:val="005C6337"/>
    <w:rsid w:val="005C6386"/>
    <w:rsid w:val="005C66B9"/>
    <w:rsid w:val="005C6D7D"/>
    <w:rsid w:val="005C6E0D"/>
    <w:rsid w:val="005C6E85"/>
    <w:rsid w:val="005C7838"/>
    <w:rsid w:val="005C7968"/>
    <w:rsid w:val="005C7E6D"/>
    <w:rsid w:val="005D044D"/>
    <w:rsid w:val="005D0ABD"/>
    <w:rsid w:val="005D0F37"/>
    <w:rsid w:val="005D15D5"/>
    <w:rsid w:val="005D18AD"/>
    <w:rsid w:val="005D2092"/>
    <w:rsid w:val="005D26B4"/>
    <w:rsid w:val="005D27EF"/>
    <w:rsid w:val="005D3399"/>
    <w:rsid w:val="005D3D93"/>
    <w:rsid w:val="005D3D98"/>
    <w:rsid w:val="005D4170"/>
    <w:rsid w:val="005D548D"/>
    <w:rsid w:val="005D5E2C"/>
    <w:rsid w:val="005D60EC"/>
    <w:rsid w:val="005D6871"/>
    <w:rsid w:val="005D6A8B"/>
    <w:rsid w:val="005D6FD2"/>
    <w:rsid w:val="005E05DB"/>
    <w:rsid w:val="005E1995"/>
    <w:rsid w:val="005E1B39"/>
    <w:rsid w:val="005E1E25"/>
    <w:rsid w:val="005E2404"/>
    <w:rsid w:val="005E3739"/>
    <w:rsid w:val="005E3DD1"/>
    <w:rsid w:val="005E6CBC"/>
    <w:rsid w:val="005E7136"/>
    <w:rsid w:val="005E72FF"/>
    <w:rsid w:val="005E73C0"/>
    <w:rsid w:val="005E7413"/>
    <w:rsid w:val="005E77B6"/>
    <w:rsid w:val="005F015A"/>
    <w:rsid w:val="005F07ED"/>
    <w:rsid w:val="005F0F35"/>
    <w:rsid w:val="005F0F5E"/>
    <w:rsid w:val="005F109E"/>
    <w:rsid w:val="005F13CB"/>
    <w:rsid w:val="005F16B3"/>
    <w:rsid w:val="005F2017"/>
    <w:rsid w:val="005F2706"/>
    <w:rsid w:val="005F2A8A"/>
    <w:rsid w:val="005F2D9B"/>
    <w:rsid w:val="005F2F8E"/>
    <w:rsid w:val="005F4E87"/>
    <w:rsid w:val="005F5010"/>
    <w:rsid w:val="005F59A0"/>
    <w:rsid w:val="005F5CF0"/>
    <w:rsid w:val="005F642E"/>
    <w:rsid w:val="005F645C"/>
    <w:rsid w:val="005F6A8F"/>
    <w:rsid w:val="005F6BB7"/>
    <w:rsid w:val="005F6FC4"/>
    <w:rsid w:val="005F70B0"/>
    <w:rsid w:val="005F7588"/>
    <w:rsid w:val="005F796B"/>
    <w:rsid w:val="005F7CC3"/>
    <w:rsid w:val="005F7D7F"/>
    <w:rsid w:val="005F7EB3"/>
    <w:rsid w:val="00600679"/>
    <w:rsid w:val="006012AE"/>
    <w:rsid w:val="0060140F"/>
    <w:rsid w:val="00601812"/>
    <w:rsid w:val="006023F2"/>
    <w:rsid w:val="006025D6"/>
    <w:rsid w:val="006026D8"/>
    <w:rsid w:val="006028D3"/>
    <w:rsid w:val="00602E90"/>
    <w:rsid w:val="00603A03"/>
    <w:rsid w:val="00603DB9"/>
    <w:rsid w:val="00603E93"/>
    <w:rsid w:val="00604AE0"/>
    <w:rsid w:val="00605096"/>
    <w:rsid w:val="006054B8"/>
    <w:rsid w:val="00605CBA"/>
    <w:rsid w:val="006064E3"/>
    <w:rsid w:val="00606916"/>
    <w:rsid w:val="00606C85"/>
    <w:rsid w:val="00606FBA"/>
    <w:rsid w:val="006074FE"/>
    <w:rsid w:val="006075E5"/>
    <w:rsid w:val="00607669"/>
    <w:rsid w:val="006076F4"/>
    <w:rsid w:val="0060798C"/>
    <w:rsid w:val="006079F6"/>
    <w:rsid w:val="00607AFD"/>
    <w:rsid w:val="006101DB"/>
    <w:rsid w:val="00610763"/>
    <w:rsid w:val="00610801"/>
    <w:rsid w:val="00610EFD"/>
    <w:rsid w:val="00611934"/>
    <w:rsid w:val="00611B12"/>
    <w:rsid w:val="00611B4F"/>
    <w:rsid w:val="00611D04"/>
    <w:rsid w:val="00611E07"/>
    <w:rsid w:val="0061286E"/>
    <w:rsid w:val="00612D10"/>
    <w:rsid w:val="00612D78"/>
    <w:rsid w:val="00612E0E"/>
    <w:rsid w:val="00612E12"/>
    <w:rsid w:val="00612F97"/>
    <w:rsid w:val="00613087"/>
    <w:rsid w:val="0061321B"/>
    <w:rsid w:val="006132FD"/>
    <w:rsid w:val="0061345D"/>
    <w:rsid w:val="00614730"/>
    <w:rsid w:val="00614875"/>
    <w:rsid w:val="00614E5E"/>
    <w:rsid w:val="0061549B"/>
    <w:rsid w:val="00615C79"/>
    <w:rsid w:val="006162DE"/>
    <w:rsid w:val="00616802"/>
    <w:rsid w:val="00617314"/>
    <w:rsid w:val="0061744A"/>
    <w:rsid w:val="00617E12"/>
    <w:rsid w:val="006202C9"/>
    <w:rsid w:val="00620997"/>
    <w:rsid w:val="00620C25"/>
    <w:rsid w:val="00620EDF"/>
    <w:rsid w:val="0062127B"/>
    <w:rsid w:val="00621477"/>
    <w:rsid w:val="006217F9"/>
    <w:rsid w:val="00621ADA"/>
    <w:rsid w:val="00621B61"/>
    <w:rsid w:val="00621C25"/>
    <w:rsid w:val="006223CD"/>
    <w:rsid w:val="0062286E"/>
    <w:rsid w:val="00622E92"/>
    <w:rsid w:val="00623764"/>
    <w:rsid w:val="00623F7B"/>
    <w:rsid w:val="00624BD4"/>
    <w:rsid w:val="006256EC"/>
    <w:rsid w:val="00625D39"/>
    <w:rsid w:val="00626051"/>
    <w:rsid w:val="006261B6"/>
    <w:rsid w:val="00626435"/>
    <w:rsid w:val="00627AE5"/>
    <w:rsid w:val="00627EE1"/>
    <w:rsid w:val="006302FC"/>
    <w:rsid w:val="006307D9"/>
    <w:rsid w:val="0063158F"/>
    <w:rsid w:val="00631D6B"/>
    <w:rsid w:val="00632183"/>
    <w:rsid w:val="006326BB"/>
    <w:rsid w:val="00632A82"/>
    <w:rsid w:val="006330A1"/>
    <w:rsid w:val="0063373E"/>
    <w:rsid w:val="00633839"/>
    <w:rsid w:val="006339A3"/>
    <w:rsid w:val="00634691"/>
    <w:rsid w:val="0063479F"/>
    <w:rsid w:val="006348CC"/>
    <w:rsid w:val="006353F0"/>
    <w:rsid w:val="006357B5"/>
    <w:rsid w:val="00635C07"/>
    <w:rsid w:val="00635E32"/>
    <w:rsid w:val="006363E1"/>
    <w:rsid w:val="006364A1"/>
    <w:rsid w:val="0063678E"/>
    <w:rsid w:val="006367E2"/>
    <w:rsid w:val="00636FCE"/>
    <w:rsid w:val="00637548"/>
    <w:rsid w:val="00637680"/>
    <w:rsid w:val="00637852"/>
    <w:rsid w:val="00637BFD"/>
    <w:rsid w:val="00637C5C"/>
    <w:rsid w:val="00637DA0"/>
    <w:rsid w:val="00640525"/>
    <w:rsid w:val="00640824"/>
    <w:rsid w:val="00640AF6"/>
    <w:rsid w:val="00640D18"/>
    <w:rsid w:val="00640DC6"/>
    <w:rsid w:val="00641C4E"/>
    <w:rsid w:val="00641C72"/>
    <w:rsid w:val="00641CD2"/>
    <w:rsid w:val="00641FB3"/>
    <w:rsid w:val="00642065"/>
    <w:rsid w:val="0064211B"/>
    <w:rsid w:val="006423ED"/>
    <w:rsid w:val="006423FB"/>
    <w:rsid w:val="0064278B"/>
    <w:rsid w:val="00642B95"/>
    <w:rsid w:val="0064341C"/>
    <w:rsid w:val="00643532"/>
    <w:rsid w:val="0064434C"/>
    <w:rsid w:val="00644C5B"/>
    <w:rsid w:val="00644EFD"/>
    <w:rsid w:val="00646199"/>
    <w:rsid w:val="00646575"/>
    <w:rsid w:val="00646592"/>
    <w:rsid w:val="00646B9F"/>
    <w:rsid w:val="00646D4C"/>
    <w:rsid w:val="006471CC"/>
    <w:rsid w:val="0064724E"/>
    <w:rsid w:val="006472FE"/>
    <w:rsid w:val="00647684"/>
    <w:rsid w:val="00647A29"/>
    <w:rsid w:val="00647FC9"/>
    <w:rsid w:val="006502FB"/>
    <w:rsid w:val="0065079F"/>
    <w:rsid w:val="0065098D"/>
    <w:rsid w:val="0065139D"/>
    <w:rsid w:val="006517DF"/>
    <w:rsid w:val="0065196A"/>
    <w:rsid w:val="00651A8D"/>
    <w:rsid w:val="00652A28"/>
    <w:rsid w:val="00652A63"/>
    <w:rsid w:val="006531AC"/>
    <w:rsid w:val="006535DE"/>
    <w:rsid w:val="0065379F"/>
    <w:rsid w:val="00653C0E"/>
    <w:rsid w:val="0065459E"/>
    <w:rsid w:val="00654651"/>
    <w:rsid w:val="0065483E"/>
    <w:rsid w:val="0065527F"/>
    <w:rsid w:val="00655F83"/>
    <w:rsid w:val="00656188"/>
    <w:rsid w:val="0065715A"/>
    <w:rsid w:val="006573AF"/>
    <w:rsid w:val="0065758D"/>
    <w:rsid w:val="00657E77"/>
    <w:rsid w:val="00660727"/>
    <w:rsid w:val="00660E59"/>
    <w:rsid w:val="006610E8"/>
    <w:rsid w:val="006610F1"/>
    <w:rsid w:val="006614F3"/>
    <w:rsid w:val="00661C6B"/>
    <w:rsid w:val="006624B7"/>
    <w:rsid w:val="00662D3E"/>
    <w:rsid w:val="00662D5D"/>
    <w:rsid w:val="00662DD6"/>
    <w:rsid w:val="0066347A"/>
    <w:rsid w:val="006634C2"/>
    <w:rsid w:val="00663525"/>
    <w:rsid w:val="00663862"/>
    <w:rsid w:val="00664141"/>
    <w:rsid w:val="006654FC"/>
    <w:rsid w:val="00665D60"/>
    <w:rsid w:val="0066678C"/>
    <w:rsid w:val="006667CF"/>
    <w:rsid w:val="0066695E"/>
    <w:rsid w:val="00666C2C"/>
    <w:rsid w:val="00666C95"/>
    <w:rsid w:val="00667ABA"/>
    <w:rsid w:val="00667BE3"/>
    <w:rsid w:val="0067059C"/>
    <w:rsid w:val="00670862"/>
    <w:rsid w:val="0067095D"/>
    <w:rsid w:val="006709AD"/>
    <w:rsid w:val="00670F80"/>
    <w:rsid w:val="00671004"/>
    <w:rsid w:val="00671401"/>
    <w:rsid w:val="00672073"/>
    <w:rsid w:val="00672646"/>
    <w:rsid w:val="00672795"/>
    <w:rsid w:val="00672BA4"/>
    <w:rsid w:val="00673066"/>
    <w:rsid w:val="00673A5F"/>
    <w:rsid w:val="0067475B"/>
    <w:rsid w:val="00674786"/>
    <w:rsid w:val="00674ADF"/>
    <w:rsid w:val="00674E42"/>
    <w:rsid w:val="00675827"/>
    <w:rsid w:val="00675A36"/>
    <w:rsid w:val="00675EA9"/>
    <w:rsid w:val="00676563"/>
    <w:rsid w:val="00676B5A"/>
    <w:rsid w:val="00676DCE"/>
    <w:rsid w:val="00680477"/>
    <w:rsid w:val="006813F8"/>
    <w:rsid w:val="00682112"/>
    <w:rsid w:val="00682492"/>
    <w:rsid w:val="00682BA6"/>
    <w:rsid w:val="00683FAD"/>
    <w:rsid w:val="00684E4D"/>
    <w:rsid w:val="00685C1F"/>
    <w:rsid w:val="00685CF0"/>
    <w:rsid w:val="00686469"/>
    <w:rsid w:val="00686957"/>
    <w:rsid w:val="00686BB7"/>
    <w:rsid w:val="006872BA"/>
    <w:rsid w:val="006875B7"/>
    <w:rsid w:val="00687618"/>
    <w:rsid w:val="00687CD6"/>
    <w:rsid w:val="006900A2"/>
    <w:rsid w:val="00690737"/>
    <w:rsid w:val="00690795"/>
    <w:rsid w:val="00691648"/>
    <w:rsid w:val="006917D7"/>
    <w:rsid w:val="00691DEB"/>
    <w:rsid w:val="00691DF5"/>
    <w:rsid w:val="00692170"/>
    <w:rsid w:val="00693783"/>
    <w:rsid w:val="006940C8"/>
    <w:rsid w:val="0069434C"/>
    <w:rsid w:val="0069498A"/>
    <w:rsid w:val="00694F44"/>
    <w:rsid w:val="00695EAE"/>
    <w:rsid w:val="0069687A"/>
    <w:rsid w:val="00696EB2"/>
    <w:rsid w:val="00696EF9"/>
    <w:rsid w:val="00696F51"/>
    <w:rsid w:val="00697265"/>
    <w:rsid w:val="006979A5"/>
    <w:rsid w:val="006979D5"/>
    <w:rsid w:val="00697B02"/>
    <w:rsid w:val="006A016F"/>
    <w:rsid w:val="006A047A"/>
    <w:rsid w:val="006A052D"/>
    <w:rsid w:val="006A07E2"/>
    <w:rsid w:val="006A0DF7"/>
    <w:rsid w:val="006A159B"/>
    <w:rsid w:val="006A1BED"/>
    <w:rsid w:val="006A1E66"/>
    <w:rsid w:val="006A34A1"/>
    <w:rsid w:val="006A3652"/>
    <w:rsid w:val="006A3902"/>
    <w:rsid w:val="006A4321"/>
    <w:rsid w:val="006A43D9"/>
    <w:rsid w:val="006A48FC"/>
    <w:rsid w:val="006A4F60"/>
    <w:rsid w:val="006A5B5E"/>
    <w:rsid w:val="006A6A2A"/>
    <w:rsid w:val="006A6B99"/>
    <w:rsid w:val="006A6DB0"/>
    <w:rsid w:val="006A72DE"/>
    <w:rsid w:val="006A7736"/>
    <w:rsid w:val="006A7997"/>
    <w:rsid w:val="006A7E5F"/>
    <w:rsid w:val="006A7E92"/>
    <w:rsid w:val="006B02B3"/>
    <w:rsid w:val="006B0626"/>
    <w:rsid w:val="006B0647"/>
    <w:rsid w:val="006B0687"/>
    <w:rsid w:val="006B06A2"/>
    <w:rsid w:val="006B09B2"/>
    <w:rsid w:val="006B261B"/>
    <w:rsid w:val="006B286C"/>
    <w:rsid w:val="006B28E2"/>
    <w:rsid w:val="006B297D"/>
    <w:rsid w:val="006B2C90"/>
    <w:rsid w:val="006B2D82"/>
    <w:rsid w:val="006B2DBE"/>
    <w:rsid w:val="006B2DD5"/>
    <w:rsid w:val="006B349E"/>
    <w:rsid w:val="006B34E3"/>
    <w:rsid w:val="006B35E6"/>
    <w:rsid w:val="006B391C"/>
    <w:rsid w:val="006B4086"/>
    <w:rsid w:val="006B465A"/>
    <w:rsid w:val="006B484E"/>
    <w:rsid w:val="006B5627"/>
    <w:rsid w:val="006B5905"/>
    <w:rsid w:val="006B59B2"/>
    <w:rsid w:val="006B6DD0"/>
    <w:rsid w:val="006B6DEC"/>
    <w:rsid w:val="006B751D"/>
    <w:rsid w:val="006B78AA"/>
    <w:rsid w:val="006B7C7F"/>
    <w:rsid w:val="006B7D55"/>
    <w:rsid w:val="006C00B5"/>
    <w:rsid w:val="006C0399"/>
    <w:rsid w:val="006C0A12"/>
    <w:rsid w:val="006C0A75"/>
    <w:rsid w:val="006C14EB"/>
    <w:rsid w:val="006C2A8E"/>
    <w:rsid w:val="006C2CC4"/>
    <w:rsid w:val="006C3255"/>
    <w:rsid w:val="006C3300"/>
    <w:rsid w:val="006C3308"/>
    <w:rsid w:val="006C3BB0"/>
    <w:rsid w:val="006C3BFF"/>
    <w:rsid w:val="006C3F26"/>
    <w:rsid w:val="006C3FC4"/>
    <w:rsid w:val="006C4655"/>
    <w:rsid w:val="006C4698"/>
    <w:rsid w:val="006C4A36"/>
    <w:rsid w:val="006C597B"/>
    <w:rsid w:val="006C5D4B"/>
    <w:rsid w:val="006C5DE2"/>
    <w:rsid w:val="006C6EF2"/>
    <w:rsid w:val="006C7AF2"/>
    <w:rsid w:val="006C7BA5"/>
    <w:rsid w:val="006C7E27"/>
    <w:rsid w:val="006D01AB"/>
    <w:rsid w:val="006D0353"/>
    <w:rsid w:val="006D05DE"/>
    <w:rsid w:val="006D09BA"/>
    <w:rsid w:val="006D0D17"/>
    <w:rsid w:val="006D1148"/>
    <w:rsid w:val="006D139C"/>
    <w:rsid w:val="006D25FE"/>
    <w:rsid w:val="006D2635"/>
    <w:rsid w:val="006D2A7E"/>
    <w:rsid w:val="006D2B03"/>
    <w:rsid w:val="006D2E3E"/>
    <w:rsid w:val="006D2ED8"/>
    <w:rsid w:val="006D3C7D"/>
    <w:rsid w:val="006D3DA1"/>
    <w:rsid w:val="006D3E14"/>
    <w:rsid w:val="006D4659"/>
    <w:rsid w:val="006D48CD"/>
    <w:rsid w:val="006D4983"/>
    <w:rsid w:val="006D505B"/>
    <w:rsid w:val="006D5D5F"/>
    <w:rsid w:val="006D68FB"/>
    <w:rsid w:val="006D6C13"/>
    <w:rsid w:val="006D6F0B"/>
    <w:rsid w:val="006D76FD"/>
    <w:rsid w:val="006E0321"/>
    <w:rsid w:val="006E0365"/>
    <w:rsid w:val="006E03C6"/>
    <w:rsid w:val="006E03C9"/>
    <w:rsid w:val="006E0529"/>
    <w:rsid w:val="006E0FE2"/>
    <w:rsid w:val="006E1887"/>
    <w:rsid w:val="006E2412"/>
    <w:rsid w:val="006E265A"/>
    <w:rsid w:val="006E2868"/>
    <w:rsid w:val="006E2A3C"/>
    <w:rsid w:val="006E3F96"/>
    <w:rsid w:val="006E4120"/>
    <w:rsid w:val="006E44C2"/>
    <w:rsid w:val="006E4EB9"/>
    <w:rsid w:val="006E6F4D"/>
    <w:rsid w:val="006E7A99"/>
    <w:rsid w:val="006F137C"/>
    <w:rsid w:val="006F14F3"/>
    <w:rsid w:val="006F15EE"/>
    <w:rsid w:val="006F166B"/>
    <w:rsid w:val="006F19EF"/>
    <w:rsid w:val="006F1B49"/>
    <w:rsid w:val="006F1FB6"/>
    <w:rsid w:val="006F215C"/>
    <w:rsid w:val="006F261F"/>
    <w:rsid w:val="006F2621"/>
    <w:rsid w:val="006F27A0"/>
    <w:rsid w:val="006F28B6"/>
    <w:rsid w:val="006F306C"/>
    <w:rsid w:val="006F4A0B"/>
    <w:rsid w:val="006F5059"/>
    <w:rsid w:val="006F5A61"/>
    <w:rsid w:val="006F6219"/>
    <w:rsid w:val="006F63A5"/>
    <w:rsid w:val="006F66E3"/>
    <w:rsid w:val="006F6870"/>
    <w:rsid w:val="006F6EA2"/>
    <w:rsid w:val="006F7164"/>
    <w:rsid w:val="006F77C3"/>
    <w:rsid w:val="00700104"/>
    <w:rsid w:val="00700405"/>
    <w:rsid w:val="007008A9"/>
    <w:rsid w:val="00700D0B"/>
    <w:rsid w:val="00700DBA"/>
    <w:rsid w:val="00700F1C"/>
    <w:rsid w:val="0070142B"/>
    <w:rsid w:val="00701F22"/>
    <w:rsid w:val="007020F6"/>
    <w:rsid w:val="0070276E"/>
    <w:rsid w:val="00702945"/>
    <w:rsid w:val="00702C66"/>
    <w:rsid w:val="00702DC9"/>
    <w:rsid w:val="00702F8F"/>
    <w:rsid w:val="0070314A"/>
    <w:rsid w:val="0070329E"/>
    <w:rsid w:val="007033FF"/>
    <w:rsid w:val="00703638"/>
    <w:rsid w:val="007038DC"/>
    <w:rsid w:val="00703A63"/>
    <w:rsid w:val="00703C17"/>
    <w:rsid w:val="00703E3A"/>
    <w:rsid w:val="0070458A"/>
    <w:rsid w:val="00704CCF"/>
    <w:rsid w:val="0070515B"/>
    <w:rsid w:val="0070522E"/>
    <w:rsid w:val="00705267"/>
    <w:rsid w:val="00705ABE"/>
    <w:rsid w:val="007070A6"/>
    <w:rsid w:val="00707175"/>
    <w:rsid w:val="00707494"/>
    <w:rsid w:val="00707750"/>
    <w:rsid w:val="007079FC"/>
    <w:rsid w:val="00710360"/>
    <w:rsid w:val="007103A6"/>
    <w:rsid w:val="0071094E"/>
    <w:rsid w:val="0071187D"/>
    <w:rsid w:val="00711A36"/>
    <w:rsid w:val="00711C69"/>
    <w:rsid w:val="007125D3"/>
    <w:rsid w:val="00712842"/>
    <w:rsid w:val="0071401D"/>
    <w:rsid w:val="007145E2"/>
    <w:rsid w:val="00714C26"/>
    <w:rsid w:val="0071509D"/>
    <w:rsid w:val="0071529C"/>
    <w:rsid w:val="00715E85"/>
    <w:rsid w:val="00716724"/>
    <w:rsid w:val="00716922"/>
    <w:rsid w:val="00716C48"/>
    <w:rsid w:val="007170DA"/>
    <w:rsid w:val="007172AD"/>
    <w:rsid w:val="00717546"/>
    <w:rsid w:val="00717A33"/>
    <w:rsid w:val="00720293"/>
    <w:rsid w:val="00720758"/>
    <w:rsid w:val="00720801"/>
    <w:rsid w:val="0072158E"/>
    <w:rsid w:val="00721C44"/>
    <w:rsid w:val="007221A5"/>
    <w:rsid w:val="00722B1B"/>
    <w:rsid w:val="007237E3"/>
    <w:rsid w:val="00723A15"/>
    <w:rsid w:val="0072416F"/>
    <w:rsid w:val="00725560"/>
    <w:rsid w:val="00725E05"/>
    <w:rsid w:val="00726899"/>
    <w:rsid w:val="00726975"/>
    <w:rsid w:val="0072752C"/>
    <w:rsid w:val="007277AE"/>
    <w:rsid w:val="00727C94"/>
    <w:rsid w:val="007307A7"/>
    <w:rsid w:val="0073117C"/>
    <w:rsid w:val="007315B8"/>
    <w:rsid w:val="00731688"/>
    <w:rsid w:val="00731B0A"/>
    <w:rsid w:val="00731EAE"/>
    <w:rsid w:val="00732DB0"/>
    <w:rsid w:val="00733073"/>
    <w:rsid w:val="00733379"/>
    <w:rsid w:val="007333B0"/>
    <w:rsid w:val="00733864"/>
    <w:rsid w:val="00733904"/>
    <w:rsid w:val="007339BC"/>
    <w:rsid w:val="00733C3B"/>
    <w:rsid w:val="007341DE"/>
    <w:rsid w:val="00734A27"/>
    <w:rsid w:val="00734C38"/>
    <w:rsid w:val="00734E0A"/>
    <w:rsid w:val="00735033"/>
    <w:rsid w:val="00735328"/>
    <w:rsid w:val="00735370"/>
    <w:rsid w:val="007354C1"/>
    <w:rsid w:val="007355AC"/>
    <w:rsid w:val="007356F5"/>
    <w:rsid w:val="00735992"/>
    <w:rsid w:val="00736395"/>
    <w:rsid w:val="0073685B"/>
    <w:rsid w:val="00736EA5"/>
    <w:rsid w:val="00740869"/>
    <w:rsid w:val="00740B0B"/>
    <w:rsid w:val="00740D38"/>
    <w:rsid w:val="007411D5"/>
    <w:rsid w:val="007415C6"/>
    <w:rsid w:val="00741785"/>
    <w:rsid w:val="00741A30"/>
    <w:rsid w:val="00741D4A"/>
    <w:rsid w:val="0074416E"/>
    <w:rsid w:val="007449BF"/>
    <w:rsid w:val="0074530A"/>
    <w:rsid w:val="00746041"/>
    <w:rsid w:val="007463FE"/>
    <w:rsid w:val="007469ED"/>
    <w:rsid w:val="00746BC0"/>
    <w:rsid w:val="007476C7"/>
    <w:rsid w:val="007476CD"/>
    <w:rsid w:val="00747FB6"/>
    <w:rsid w:val="007510B4"/>
    <w:rsid w:val="00751490"/>
    <w:rsid w:val="00751C57"/>
    <w:rsid w:val="00752142"/>
    <w:rsid w:val="007523F9"/>
    <w:rsid w:val="00752791"/>
    <w:rsid w:val="00752C98"/>
    <w:rsid w:val="0075357E"/>
    <w:rsid w:val="0075376C"/>
    <w:rsid w:val="00753916"/>
    <w:rsid w:val="00753B29"/>
    <w:rsid w:val="00753C08"/>
    <w:rsid w:val="00753FBE"/>
    <w:rsid w:val="0075429A"/>
    <w:rsid w:val="00754F18"/>
    <w:rsid w:val="007553EF"/>
    <w:rsid w:val="007554FB"/>
    <w:rsid w:val="0075635D"/>
    <w:rsid w:val="00756CB1"/>
    <w:rsid w:val="00756DE2"/>
    <w:rsid w:val="007572E8"/>
    <w:rsid w:val="007573E8"/>
    <w:rsid w:val="007576A0"/>
    <w:rsid w:val="00757801"/>
    <w:rsid w:val="00757A3C"/>
    <w:rsid w:val="00757CBE"/>
    <w:rsid w:val="00760746"/>
    <w:rsid w:val="00760B87"/>
    <w:rsid w:val="00760C4E"/>
    <w:rsid w:val="00760CBA"/>
    <w:rsid w:val="00760CC1"/>
    <w:rsid w:val="00760F9E"/>
    <w:rsid w:val="00761151"/>
    <w:rsid w:val="0076134F"/>
    <w:rsid w:val="00761680"/>
    <w:rsid w:val="007616E6"/>
    <w:rsid w:val="00761FB3"/>
    <w:rsid w:val="00761FCA"/>
    <w:rsid w:val="0076245E"/>
    <w:rsid w:val="007627BE"/>
    <w:rsid w:val="00762880"/>
    <w:rsid w:val="00762AAB"/>
    <w:rsid w:val="00762ECA"/>
    <w:rsid w:val="0076302C"/>
    <w:rsid w:val="0076381F"/>
    <w:rsid w:val="00763C2D"/>
    <w:rsid w:val="00763FD2"/>
    <w:rsid w:val="007640B1"/>
    <w:rsid w:val="00764766"/>
    <w:rsid w:val="00764F03"/>
    <w:rsid w:val="00765296"/>
    <w:rsid w:val="007653A4"/>
    <w:rsid w:val="00765B1A"/>
    <w:rsid w:val="00765D0A"/>
    <w:rsid w:val="00765D3B"/>
    <w:rsid w:val="00765DC1"/>
    <w:rsid w:val="00766EAB"/>
    <w:rsid w:val="00766EEA"/>
    <w:rsid w:val="00767AC3"/>
    <w:rsid w:val="00767CB3"/>
    <w:rsid w:val="00767FA1"/>
    <w:rsid w:val="007705F9"/>
    <w:rsid w:val="007708BD"/>
    <w:rsid w:val="00770962"/>
    <w:rsid w:val="00770D1D"/>
    <w:rsid w:val="007713D4"/>
    <w:rsid w:val="0077148A"/>
    <w:rsid w:val="007719DC"/>
    <w:rsid w:val="007725A1"/>
    <w:rsid w:val="00772D01"/>
    <w:rsid w:val="00773E67"/>
    <w:rsid w:val="00773FD0"/>
    <w:rsid w:val="00774398"/>
    <w:rsid w:val="00774935"/>
    <w:rsid w:val="00774EB3"/>
    <w:rsid w:val="00775525"/>
    <w:rsid w:val="00776316"/>
    <w:rsid w:val="00776549"/>
    <w:rsid w:val="00776705"/>
    <w:rsid w:val="0077672F"/>
    <w:rsid w:val="00776A29"/>
    <w:rsid w:val="00777335"/>
    <w:rsid w:val="00777AC1"/>
    <w:rsid w:val="00777CF1"/>
    <w:rsid w:val="00777D88"/>
    <w:rsid w:val="00780165"/>
    <w:rsid w:val="00780245"/>
    <w:rsid w:val="00780326"/>
    <w:rsid w:val="00780703"/>
    <w:rsid w:val="0078081E"/>
    <w:rsid w:val="007817FE"/>
    <w:rsid w:val="00781CC8"/>
    <w:rsid w:val="007821C5"/>
    <w:rsid w:val="007821EB"/>
    <w:rsid w:val="007842DC"/>
    <w:rsid w:val="007843F2"/>
    <w:rsid w:val="007846FA"/>
    <w:rsid w:val="00784DF8"/>
    <w:rsid w:val="00785A9F"/>
    <w:rsid w:val="00786255"/>
    <w:rsid w:val="007863FD"/>
    <w:rsid w:val="00786D3C"/>
    <w:rsid w:val="00786E7D"/>
    <w:rsid w:val="00786FD4"/>
    <w:rsid w:val="007900D0"/>
    <w:rsid w:val="00791016"/>
    <w:rsid w:val="007922BA"/>
    <w:rsid w:val="007925DF"/>
    <w:rsid w:val="00793372"/>
    <w:rsid w:val="00793425"/>
    <w:rsid w:val="0079346F"/>
    <w:rsid w:val="0079397C"/>
    <w:rsid w:val="00793E39"/>
    <w:rsid w:val="0079446D"/>
    <w:rsid w:val="007944C2"/>
    <w:rsid w:val="00794FF5"/>
    <w:rsid w:val="007955A3"/>
    <w:rsid w:val="00795C76"/>
    <w:rsid w:val="007A08AA"/>
    <w:rsid w:val="007A0A12"/>
    <w:rsid w:val="007A1033"/>
    <w:rsid w:val="007A132D"/>
    <w:rsid w:val="007A1345"/>
    <w:rsid w:val="007A1560"/>
    <w:rsid w:val="007A1AFC"/>
    <w:rsid w:val="007A2DDB"/>
    <w:rsid w:val="007A31B8"/>
    <w:rsid w:val="007A3452"/>
    <w:rsid w:val="007A4057"/>
    <w:rsid w:val="007A44F7"/>
    <w:rsid w:val="007A4901"/>
    <w:rsid w:val="007A6089"/>
    <w:rsid w:val="007A6B30"/>
    <w:rsid w:val="007A6B91"/>
    <w:rsid w:val="007A6D23"/>
    <w:rsid w:val="007A70BA"/>
    <w:rsid w:val="007A7F50"/>
    <w:rsid w:val="007B054E"/>
    <w:rsid w:val="007B0991"/>
    <w:rsid w:val="007B0A1D"/>
    <w:rsid w:val="007B0D68"/>
    <w:rsid w:val="007B1C25"/>
    <w:rsid w:val="007B2470"/>
    <w:rsid w:val="007B251D"/>
    <w:rsid w:val="007B278E"/>
    <w:rsid w:val="007B28B6"/>
    <w:rsid w:val="007B3533"/>
    <w:rsid w:val="007B3535"/>
    <w:rsid w:val="007B3584"/>
    <w:rsid w:val="007B39D1"/>
    <w:rsid w:val="007B3A9E"/>
    <w:rsid w:val="007B3BB4"/>
    <w:rsid w:val="007B3CC7"/>
    <w:rsid w:val="007B3D11"/>
    <w:rsid w:val="007B4F58"/>
    <w:rsid w:val="007B527A"/>
    <w:rsid w:val="007B528D"/>
    <w:rsid w:val="007B5421"/>
    <w:rsid w:val="007B553E"/>
    <w:rsid w:val="007B57F0"/>
    <w:rsid w:val="007B5B6F"/>
    <w:rsid w:val="007B5F80"/>
    <w:rsid w:val="007B63CA"/>
    <w:rsid w:val="007B66D0"/>
    <w:rsid w:val="007B6EFF"/>
    <w:rsid w:val="007B7242"/>
    <w:rsid w:val="007B77D1"/>
    <w:rsid w:val="007B7EDE"/>
    <w:rsid w:val="007C07C7"/>
    <w:rsid w:val="007C0D2B"/>
    <w:rsid w:val="007C1026"/>
    <w:rsid w:val="007C185E"/>
    <w:rsid w:val="007C1CC6"/>
    <w:rsid w:val="007C1CD9"/>
    <w:rsid w:val="007C32EF"/>
    <w:rsid w:val="007C361D"/>
    <w:rsid w:val="007C3684"/>
    <w:rsid w:val="007C36F2"/>
    <w:rsid w:val="007C373B"/>
    <w:rsid w:val="007C3A86"/>
    <w:rsid w:val="007C3EA6"/>
    <w:rsid w:val="007C4B84"/>
    <w:rsid w:val="007C4EAC"/>
    <w:rsid w:val="007C52F6"/>
    <w:rsid w:val="007C5A15"/>
    <w:rsid w:val="007C5D56"/>
    <w:rsid w:val="007C626A"/>
    <w:rsid w:val="007C6FF6"/>
    <w:rsid w:val="007C70FF"/>
    <w:rsid w:val="007C7C25"/>
    <w:rsid w:val="007C7E84"/>
    <w:rsid w:val="007D004F"/>
    <w:rsid w:val="007D035F"/>
    <w:rsid w:val="007D06B2"/>
    <w:rsid w:val="007D0B38"/>
    <w:rsid w:val="007D142A"/>
    <w:rsid w:val="007D14B1"/>
    <w:rsid w:val="007D278E"/>
    <w:rsid w:val="007D3084"/>
    <w:rsid w:val="007D4067"/>
    <w:rsid w:val="007D4656"/>
    <w:rsid w:val="007D4941"/>
    <w:rsid w:val="007D4E47"/>
    <w:rsid w:val="007D4F4C"/>
    <w:rsid w:val="007D5440"/>
    <w:rsid w:val="007D568A"/>
    <w:rsid w:val="007D56DA"/>
    <w:rsid w:val="007D5C14"/>
    <w:rsid w:val="007D649B"/>
    <w:rsid w:val="007D69EB"/>
    <w:rsid w:val="007D7C7E"/>
    <w:rsid w:val="007E0D76"/>
    <w:rsid w:val="007E11BF"/>
    <w:rsid w:val="007E128F"/>
    <w:rsid w:val="007E1422"/>
    <w:rsid w:val="007E147F"/>
    <w:rsid w:val="007E14C9"/>
    <w:rsid w:val="007E21C7"/>
    <w:rsid w:val="007E29F0"/>
    <w:rsid w:val="007E3019"/>
    <w:rsid w:val="007E3905"/>
    <w:rsid w:val="007E4161"/>
    <w:rsid w:val="007E435E"/>
    <w:rsid w:val="007E454A"/>
    <w:rsid w:val="007E5193"/>
    <w:rsid w:val="007E6312"/>
    <w:rsid w:val="007E6E9F"/>
    <w:rsid w:val="007E730B"/>
    <w:rsid w:val="007E789C"/>
    <w:rsid w:val="007E7A46"/>
    <w:rsid w:val="007F02E3"/>
    <w:rsid w:val="007F0573"/>
    <w:rsid w:val="007F0D61"/>
    <w:rsid w:val="007F0F6B"/>
    <w:rsid w:val="007F1017"/>
    <w:rsid w:val="007F11AA"/>
    <w:rsid w:val="007F1970"/>
    <w:rsid w:val="007F1B22"/>
    <w:rsid w:val="007F25E6"/>
    <w:rsid w:val="007F3E23"/>
    <w:rsid w:val="007F424C"/>
    <w:rsid w:val="007F465F"/>
    <w:rsid w:val="007F4A3F"/>
    <w:rsid w:val="007F4A61"/>
    <w:rsid w:val="007F5057"/>
    <w:rsid w:val="007F5255"/>
    <w:rsid w:val="007F56CC"/>
    <w:rsid w:val="007F61C2"/>
    <w:rsid w:val="007F6AC5"/>
    <w:rsid w:val="007F6C7A"/>
    <w:rsid w:val="007F6CEC"/>
    <w:rsid w:val="007F721E"/>
    <w:rsid w:val="007F7D68"/>
    <w:rsid w:val="00800515"/>
    <w:rsid w:val="00800D0D"/>
    <w:rsid w:val="00801674"/>
    <w:rsid w:val="00801881"/>
    <w:rsid w:val="00802685"/>
    <w:rsid w:val="00802A7E"/>
    <w:rsid w:val="00804052"/>
    <w:rsid w:val="00804076"/>
    <w:rsid w:val="00804925"/>
    <w:rsid w:val="00804E09"/>
    <w:rsid w:val="00805142"/>
    <w:rsid w:val="008052B5"/>
    <w:rsid w:val="0080566B"/>
    <w:rsid w:val="00805CDE"/>
    <w:rsid w:val="00805FCE"/>
    <w:rsid w:val="008061FE"/>
    <w:rsid w:val="008062C6"/>
    <w:rsid w:val="00806AD7"/>
    <w:rsid w:val="00807032"/>
    <w:rsid w:val="0080705E"/>
    <w:rsid w:val="008074C2"/>
    <w:rsid w:val="00807A8B"/>
    <w:rsid w:val="008103FA"/>
    <w:rsid w:val="008109F0"/>
    <w:rsid w:val="008111F8"/>
    <w:rsid w:val="00811383"/>
    <w:rsid w:val="00811A24"/>
    <w:rsid w:val="00812149"/>
    <w:rsid w:val="008123BD"/>
    <w:rsid w:val="008127BB"/>
    <w:rsid w:val="008127FD"/>
    <w:rsid w:val="00812AAD"/>
    <w:rsid w:val="00812CAC"/>
    <w:rsid w:val="0081308D"/>
    <w:rsid w:val="008130A9"/>
    <w:rsid w:val="00813560"/>
    <w:rsid w:val="008137B3"/>
    <w:rsid w:val="008138A3"/>
    <w:rsid w:val="00813986"/>
    <w:rsid w:val="00813FEC"/>
    <w:rsid w:val="008141E0"/>
    <w:rsid w:val="00814629"/>
    <w:rsid w:val="00814AAA"/>
    <w:rsid w:val="00814BBA"/>
    <w:rsid w:val="00814C5A"/>
    <w:rsid w:val="0081514C"/>
    <w:rsid w:val="00815CC7"/>
    <w:rsid w:val="00816361"/>
    <w:rsid w:val="008166EF"/>
    <w:rsid w:val="00816FEF"/>
    <w:rsid w:val="0082032E"/>
    <w:rsid w:val="00820994"/>
    <w:rsid w:val="00820A8C"/>
    <w:rsid w:val="00821248"/>
    <w:rsid w:val="008215FB"/>
    <w:rsid w:val="00821868"/>
    <w:rsid w:val="008218AA"/>
    <w:rsid w:val="00821D31"/>
    <w:rsid w:val="008220CC"/>
    <w:rsid w:val="008221C9"/>
    <w:rsid w:val="008225E1"/>
    <w:rsid w:val="00822724"/>
    <w:rsid w:val="00822CCF"/>
    <w:rsid w:val="00823174"/>
    <w:rsid w:val="008232BF"/>
    <w:rsid w:val="008238BF"/>
    <w:rsid w:val="0082396C"/>
    <w:rsid w:val="00823D34"/>
    <w:rsid w:val="00823D52"/>
    <w:rsid w:val="008248CF"/>
    <w:rsid w:val="008250B7"/>
    <w:rsid w:val="008251EE"/>
    <w:rsid w:val="00825751"/>
    <w:rsid w:val="0082589A"/>
    <w:rsid w:val="00825CD5"/>
    <w:rsid w:val="008264EB"/>
    <w:rsid w:val="008268CE"/>
    <w:rsid w:val="00826A79"/>
    <w:rsid w:val="008276B7"/>
    <w:rsid w:val="00827C23"/>
    <w:rsid w:val="008305D3"/>
    <w:rsid w:val="00830E16"/>
    <w:rsid w:val="00830EFB"/>
    <w:rsid w:val="0083143F"/>
    <w:rsid w:val="0083151E"/>
    <w:rsid w:val="0083255E"/>
    <w:rsid w:val="0083256B"/>
    <w:rsid w:val="00832E6B"/>
    <w:rsid w:val="008330DB"/>
    <w:rsid w:val="00833A44"/>
    <w:rsid w:val="00833B05"/>
    <w:rsid w:val="0083445D"/>
    <w:rsid w:val="00834A5E"/>
    <w:rsid w:val="00835677"/>
    <w:rsid w:val="008358D5"/>
    <w:rsid w:val="008362B4"/>
    <w:rsid w:val="008372DF"/>
    <w:rsid w:val="0084005A"/>
    <w:rsid w:val="008401B6"/>
    <w:rsid w:val="00840747"/>
    <w:rsid w:val="00840825"/>
    <w:rsid w:val="00840CA2"/>
    <w:rsid w:val="00841065"/>
    <w:rsid w:val="008410CE"/>
    <w:rsid w:val="00841319"/>
    <w:rsid w:val="00841386"/>
    <w:rsid w:val="00841962"/>
    <w:rsid w:val="00841A47"/>
    <w:rsid w:val="00841F2C"/>
    <w:rsid w:val="0084220F"/>
    <w:rsid w:val="0084338E"/>
    <w:rsid w:val="0084374F"/>
    <w:rsid w:val="00844A22"/>
    <w:rsid w:val="00844CDE"/>
    <w:rsid w:val="00845BE2"/>
    <w:rsid w:val="00845DA6"/>
    <w:rsid w:val="008460C3"/>
    <w:rsid w:val="008462D5"/>
    <w:rsid w:val="0084654C"/>
    <w:rsid w:val="00846C8A"/>
    <w:rsid w:val="008476F7"/>
    <w:rsid w:val="00847703"/>
    <w:rsid w:val="00847DF5"/>
    <w:rsid w:val="008501F3"/>
    <w:rsid w:val="008503EC"/>
    <w:rsid w:val="00850C87"/>
    <w:rsid w:val="00850E7A"/>
    <w:rsid w:val="008511CF"/>
    <w:rsid w:val="0085143A"/>
    <w:rsid w:val="0085309D"/>
    <w:rsid w:val="008533E6"/>
    <w:rsid w:val="0085415C"/>
    <w:rsid w:val="00854726"/>
    <w:rsid w:val="00854834"/>
    <w:rsid w:val="00854E6C"/>
    <w:rsid w:val="00855703"/>
    <w:rsid w:val="00855D98"/>
    <w:rsid w:val="00856897"/>
    <w:rsid w:val="00856A19"/>
    <w:rsid w:val="00856E9A"/>
    <w:rsid w:val="00857544"/>
    <w:rsid w:val="00857949"/>
    <w:rsid w:val="00857A62"/>
    <w:rsid w:val="00857B5B"/>
    <w:rsid w:val="00857C08"/>
    <w:rsid w:val="00860025"/>
    <w:rsid w:val="0086020F"/>
    <w:rsid w:val="0086032C"/>
    <w:rsid w:val="00860736"/>
    <w:rsid w:val="0086075D"/>
    <w:rsid w:val="008610B3"/>
    <w:rsid w:val="008613FF"/>
    <w:rsid w:val="008623D8"/>
    <w:rsid w:val="00862502"/>
    <w:rsid w:val="00862CC1"/>
    <w:rsid w:val="00862E86"/>
    <w:rsid w:val="008642A7"/>
    <w:rsid w:val="00864D94"/>
    <w:rsid w:val="00865C3E"/>
    <w:rsid w:val="008660D4"/>
    <w:rsid w:val="00867529"/>
    <w:rsid w:val="00867991"/>
    <w:rsid w:val="00867AC6"/>
    <w:rsid w:val="00867D2E"/>
    <w:rsid w:val="0087046D"/>
    <w:rsid w:val="00870944"/>
    <w:rsid w:val="00871328"/>
    <w:rsid w:val="00871857"/>
    <w:rsid w:val="00871A15"/>
    <w:rsid w:val="00871A38"/>
    <w:rsid w:val="00871FA9"/>
    <w:rsid w:val="008728E9"/>
    <w:rsid w:val="00873084"/>
    <w:rsid w:val="008736AE"/>
    <w:rsid w:val="00874167"/>
    <w:rsid w:val="008755DE"/>
    <w:rsid w:val="00876E30"/>
    <w:rsid w:val="00877C80"/>
    <w:rsid w:val="008800AE"/>
    <w:rsid w:val="00881315"/>
    <w:rsid w:val="008816D8"/>
    <w:rsid w:val="0088170A"/>
    <w:rsid w:val="008817EC"/>
    <w:rsid w:val="008827B7"/>
    <w:rsid w:val="00882874"/>
    <w:rsid w:val="00882E3C"/>
    <w:rsid w:val="0088308A"/>
    <w:rsid w:val="00883787"/>
    <w:rsid w:val="008839FA"/>
    <w:rsid w:val="008844DC"/>
    <w:rsid w:val="0088472D"/>
    <w:rsid w:val="00884B84"/>
    <w:rsid w:val="00884C02"/>
    <w:rsid w:val="00884DCD"/>
    <w:rsid w:val="008850DE"/>
    <w:rsid w:val="008851DD"/>
    <w:rsid w:val="008855E4"/>
    <w:rsid w:val="00885C76"/>
    <w:rsid w:val="00885D1C"/>
    <w:rsid w:val="00885EEA"/>
    <w:rsid w:val="00886334"/>
    <w:rsid w:val="008866F8"/>
    <w:rsid w:val="008867F5"/>
    <w:rsid w:val="00886CD2"/>
    <w:rsid w:val="00886E2C"/>
    <w:rsid w:val="00887A7C"/>
    <w:rsid w:val="00887B24"/>
    <w:rsid w:val="0089015A"/>
    <w:rsid w:val="00891AF6"/>
    <w:rsid w:val="00891C07"/>
    <w:rsid w:val="00891E6F"/>
    <w:rsid w:val="0089275D"/>
    <w:rsid w:val="00892A36"/>
    <w:rsid w:val="00893239"/>
    <w:rsid w:val="00893CDF"/>
    <w:rsid w:val="0089420E"/>
    <w:rsid w:val="00894489"/>
    <w:rsid w:val="00894CBA"/>
    <w:rsid w:val="00894CD6"/>
    <w:rsid w:val="00895D0A"/>
    <w:rsid w:val="008963A5"/>
    <w:rsid w:val="00896D5D"/>
    <w:rsid w:val="008978FD"/>
    <w:rsid w:val="00897F04"/>
    <w:rsid w:val="008A031B"/>
    <w:rsid w:val="008A04EC"/>
    <w:rsid w:val="008A0B35"/>
    <w:rsid w:val="008A1C55"/>
    <w:rsid w:val="008A1CAA"/>
    <w:rsid w:val="008A22D8"/>
    <w:rsid w:val="008A2980"/>
    <w:rsid w:val="008A3158"/>
    <w:rsid w:val="008A3363"/>
    <w:rsid w:val="008A3371"/>
    <w:rsid w:val="008A3C3E"/>
    <w:rsid w:val="008A48D9"/>
    <w:rsid w:val="008A56A0"/>
    <w:rsid w:val="008A5B60"/>
    <w:rsid w:val="008A5F1B"/>
    <w:rsid w:val="008A6484"/>
    <w:rsid w:val="008A66E2"/>
    <w:rsid w:val="008A6C33"/>
    <w:rsid w:val="008A73DC"/>
    <w:rsid w:val="008A787B"/>
    <w:rsid w:val="008A79DE"/>
    <w:rsid w:val="008A7FEB"/>
    <w:rsid w:val="008B03CB"/>
    <w:rsid w:val="008B052C"/>
    <w:rsid w:val="008B0B91"/>
    <w:rsid w:val="008B0C82"/>
    <w:rsid w:val="008B0E0F"/>
    <w:rsid w:val="008B0E15"/>
    <w:rsid w:val="008B133B"/>
    <w:rsid w:val="008B1757"/>
    <w:rsid w:val="008B1C33"/>
    <w:rsid w:val="008B22FF"/>
    <w:rsid w:val="008B2B8C"/>
    <w:rsid w:val="008B3251"/>
    <w:rsid w:val="008B3B5F"/>
    <w:rsid w:val="008B42F4"/>
    <w:rsid w:val="008B4B02"/>
    <w:rsid w:val="008B4B6F"/>
    <w:rsid w:val="008B4CC5"/>
    <w:rsid w:val="008B4E15"/>
    <w:rsid w:val="008B592A"/>
    <w:rsid w:val="008B6968"/>
    <w:rsid w:val="008B75B2"/>
    <w:rsid w:val="008B7992"/>
    <w:rsid w:val="008B7D7E"/>
    <w:rsid w:val="008C05C0"/>
    <w:rsid w:val="008C09A5"/>
    <w:rsid w:val="008C149B"/>
    <w:rsid w:val="008C1DAE"/>
    <w:rsid w:val="008C24B8"/>
    <w:rsid w:val="008C3719"/>
    <w:rsid w:val="008C3ADC"/>
    <w:rsid w:val="008C3CF0"/>
    <w:rsid w:val="008C45A5"/>
    <w:rsid w:val="008C51C8"/>
    <w:rsid w:val="008C5610"/>
    <w:rsid w:val="008C5739"/>
    <w:rsid w:val="008C5ED8"/>
    <w:rsid w:val="008C61DA"/>
    <w:rsid w:val="008C7282"/>
    <w:rsid w:val="008C7ECB"/>
    <w:rsid w:val="008D001D"/>
    <w:rsid w:val="008D0337"/>
    <w:rsid w:val="008D0FD2"/>
    <w:rsid w:val="008D1552"/>
    <w:rsid w:val="008D2140"/>
    <w:rsid w:val="008D22DE"/>
    <w:rsid w:val="008D2942"/>
    <w:rsid w:val="008D3239"/>
    <w:rsid w:val="008D32FE"/>
    <w:rsid w:val="008D3339"/>
    <w:rsid w:val="008D3966"/>
    <w:rsid w:val="008D3B86"/>
    <w:rsid w:val="008D43FD"/>
    <w:rsid w:val="008D4755"/>
    <w:rsid w:val="008D4C3D"/>
    <w:rsid w:val="008D618D"/>
    <w:rsid w:val="008D6693"/>
    <w:rsid w:val="008D6E15"/>
    <w:rsid w:val="008D730F"/>
    <w:rsid w:val="008D743C"/>
    <w:rsid w:val="008D75B4"/>
    <w:rsid w:val="008D786E"/>
    <w:rsid w:val="008D7D05"/>
    <w:rsid w:val="008D7D54"/>
    <w:rsid w:val="008D7D73"/>
    <w:rsid w:val="008E0D3C"/>
    <w:rsid w:val="008E186A"/>
    <w:rsid w:val="008E1B9E"/>
    <w:rsid w:val="008E1EAB"/>
    <w:rsid w:val="008E257B"/>
    <w:rsid w:val="008E2E0A"/>
    <w:rsid w:val="008E33D0"/>
    <w:rsid w:val="008E370E"/>
    <w:rsid w:val="008E3EF0"/>
    <w:rsid w:val="008E3FB6"/>
    <w:rsid w:val="008E4DE6"/>
    <w:rsid w:val="008E5236"/>
    <w:rsid w:val="008E55AB"/>
    <w:rsid w:val="008E6649"/>
    <w:rsid w:val="008E6A4F"/>
    <w:rsid w:val="008E7183"/>
    <w:rsid w:val="008E71C4"/>
    <w:rsid w:val="008E759E"/>
    <w:rsid w:val="008E76A7"/>
    <w:rsid w:val="008F108C"/>
    <w:rsid w:val="008F11BA"/>
    <w:rsid w:val="008F120A"/>
    <w:rsid w:val="008F1A6A"/>
    <w:rsid w:val="008F1AF6"/>
    <w:rsid w:val="008F1D1B"/>
    <w:rsid w:val="008F1F0D"/>
    <w:rsid w:val="008F24B0"/>
    <w:rsid w:val="008F27E0"/>
    <w:rsid w:val="008F31E6"/>
    <w:rsid w:val="008F39A3"/>
    <w:rsid w:val="008F471D"/>
    <w:rsid w:val="008F48EB"/>
    <w:rsid w:val="008F4F0B"/>
    <w:rsid w:val="008F53EF"/>
    <w:rsid w:val="008F6060"/>
    <w:rsid w:val="008F638E"/>
    <w:rsid w:val="008F65B8"/>
    <w:rsid w:val="008F6BDD"/>
    <w:rsid w:val="008F70ED"/>
    <w:rsid w:val="008F7DB0"/>
    <w:rsid w:val="009003F8"/>
    <w:rsid w:val="009006A4"/>
    <w:rsid w:val="00900BFD"/>
    <w:rsid w:val="00900E1A"/>
    <w:rsid w:val="00901450"/>
    <w:rsid w:val="00902D92"/>
    <w:rsid w:val="00903472"/>
    <w:rsid w:val="00904032"/>
    <w:rsid w:val="009046C4"/>
    <w:rsid w:val="00904C10"/>
    <w:rsid w:val="00905CB6"/>
    <w:rsid w:val="00905F6D"/>
    <w:rsid w:val="009062A5"/>
    <w:rsid w:val="00906E7E"/>
    <w:rsid w:val="00906F66"/>
    <w:rsid w:val="009073F6"/>
    <w:rsid w:val="00907699"/>
    <w:rsid w:val="00907A90"/>
    <w:rsid w:val="00907C33"/>
    <w:rsid w:val="00910C31"/>
    <w:rsid w:val="00910FA7"/>
    <w:rsid w:val="00911272"/>
    <w:rsid w:val="00911339"/>
    <w:rsid w:val="00911806"/>
    <w:rsid w:val="009135D6"/>
    <w:rsid w:val="00913680"/>
    <w:rsid w:val="00914ADE"/>
    <w:rsid w:val="00914BAF"/>
    <w:rsid w:val="00914C77"/>
    <w:rsid w:val="00914D39"/>
    <w:rsid w:val="009157B1"/>
    <w:rsid w:val="00916254"/>
    <w:rsid w:val="009162E6"/>
    <w:rsid w:val="009170E0"/>
    <w:rsid w:val="009171F9"/>
    <w:rsid w:val="00917D36"/>
    <w:rsid w:val="00917ECB"/>
    <w:rsid w:val="00920F7B"/>
    <w:rsid w:val="00921367"/>
    <w:rsid w:val="009214CA"/>
    <w:rsid w:val="00921A27"/>
    <w:rsid w:val="00921ACB"/>
    <w:rsid w:val="0092272D"/>
    <w:rsid w:val="009228BF"/>
    <w:rsid w:val="009229BF"/>
    <w:rsid w:val="00922B8D"/>
    <w:rsid w:val="00922D2D"/>
    <w:rsid w:val="0092313F"/>
    <w:rsid w:val="009235D9"/>
    <w:rsid w:val="0092369B"/>
    <w:rsid w:val="00923C7C"/>
    <w:rsid w:val="0092431B"/>
    <w:rsid w:val="009252A1"/>
    <w:rsid w:val="009259EC"/>
    <w:rsid w:val="00925AE1"/>
    <w:rsid w:val="0092642B"/>
    <w:rsid w:val="009267ED"/>
    <w:rsid w:val="00926C5C"/>
    <w:rsid w:val="00926C86"/>
    <w:rsid w:val="00926DB3"/>
    <w:rsid w:val="0093036C"/>
    <w:rsid w:val="009303ED"/>
    <w:rsid w:val="00930ACF"/>
    <w:rsid w:val="00930EB7"/>
    <w:rsid w:val="009314AC"/>
    <w:rsid w:val="0093167B"/>
    <w:rsid w:val="00931904"/>
    <w:rsid w:val="00932435"/>
    <w:rsid w:val="0093255D"/>
    <w:rsid w:val="00932904"/>
    <w:rsid w:val="009329C4"/>
    <w:rsid w:val="0093309E"/>
    <w:rsid w:val="009330C6"/>
    <w:rsid w:val="00933CE3"/>
    <w:rsid w:val="0093429C"/>
    <w:rsid w:val="00934406"/>
    <w:rsid w:val="00934604"/>
    <w:rsid w:val="00934988"/>
    <w:rsid w:val="00935C0F"/>
    <w:rsid w:val="0093619C"/>
    <w:rsid w:val="0093648F"/>
    <w:rsid w:val="00936B77"/>
    <w:rsid w:val="00936D14"/>
    <w:rsid w:val="00936DDF"/>
    <w:rsid w:val="00937089"/>
    <w:rsid w:val="009376FA"/>
    <w:rsid w:val="0093789A"/>
    <w:rsid w:val="009378C6"/>
    <w:rsid w:val="00937A9F"/>
    <w:rsid w:val="00940B7B"/>
    <w:rsid w:val="00940FE9"/>
    <w:rsid w:val="00942230"/>
    <w:rsid w:val="00942298"/>
    <w:rsid w:val="009426B2"/>
    <w:rsid w:val="00942781"/>
    <w:rsid w:val="009439D1"/>
    <w:rsid w:val="00943EE1"/>
    <w:rsid w:val="00944F8A"/>
    <w:rsid w:val="00945628"/>
    <w:rsid w:val="00945BB8"/>
    <w:rsid w:val="009468DE"/>
    <w:rsid w:val="00946DA8"/>
    <w:rsid w:val="0094755C"/>
    <w:rsid w:val="00950F0C"/>
    <w:rsid w:val="009510A2"/>
    <w:rsid w:val="00951835"/>
    <w:rsid w:val="00952611"/>
    <w:rsid w:val="009531B0"/>
    <w:rsid w:val="00953257"/>
    <w:rsid w:val="009542DD"/>
    <w:rsid w:val="00954404"/>
    <w:rsid w:val="0095474C"/>
    <w:rsid w:val="009547B6"/>
    <w:rsid w:val="00954921"/>
    <w:rsid w:val="00954927"/>
    <w:rsid w:val="00954C68"/>
    <w:rsid w:val="00954F66"/>
    <w:rsid w:val="00955900"/>
    <w:rsid w:val="00955B01"/>
    <w:rsid w:val="00955FB9"/>
    <w:rsid w:val="00956C9A"/>
    <w:rsid w:val="0095765F"/>
    <w:rsid w:val="00957D36"/>
    <w:rsid w:val="00957D92"/>
    <w:rsid w:val="00960012"/>
    <w:rsid w:val="00960AF8"/>
    <w:rsid w:val="00960EE8"/>
    <w:rsid w:val="00961222"/>
    <w:rsid w:val="009615B9"/>
    <w:rsid w:val="0096186F"/>
    <w:rsid w:val="009618A9"/>
    <w:rsid w:val="00961E69"/>
    <w:rsid w:val="00962609"/>
    <w:rsid w:val="00962CB9"/>
    <w:rsid w:val="0096323F"/>
    <w:rsid w:val="0096324F"/>
    <w:rsid w:val="009636FF"/>
    <w:rsid w:val="00963E0C"/>
    <w:rsid w:val="00964312"/>
    <w:rsid w:val="009647A5"/>
    <w:rsid w:val="00964A28"/>
    <w:rsid w:val="00964F3E"/>
    <w:rsid w:val="00965377"/>
    <w:rsid w:val="00965B8A"/>
    <w:rsid w:val="00966090"/>
    <w:rsid w:val="00966330"/>
    <w:rsid w:val="009664FC"/>
    <w:rsid w:val="0096729E"/>
    <w:rsid w:val="00967E19"/>
    <w:rsid w:val="009705FE"/>
    <w:rsid w:val="0097071F"/>
    <w:rsid w:val="009707B2"/>
    <w:rsid w:val="00970D49"/>
    <w:rsid w:val="00970FA9"/>
    <w:rsid w:val="009717AC"/>
    <w:rsid w:val="009719A2"/>
    <w:rsid w:val="00971B4A"/>
    <w:rsid w:val="009720E8"/>
    <w:rsid w:val="009722DF"/>
    <w:rsid w:val="00972498"/>
    <w:rsid w:val="0097324F"/>
    <w:rsid w:val="0097325B"/>
    <w:rsid w:val="0097441B"/>
    <w:rsid w:val="0097465A"/>
    <w:rsid w:val="00974F68"/>
    <w:rsid w:val="0097512B"/>
    <w:rsid w:val="009751C1"/>
    <w:rsid w:val="00976474"/>
    <w:rsid w:val="009768E1"/>
    <w:rsid w:val="00976CFC"/>
    <w:rsid w:val="00977425"/>
    <w:rsid w:val="0098026E"/>
    <w:rsid w:val="00980425"/>
    <w:rsid w:val="009811F1"/>
    <w:rsid w:val="009816FC"/>
    <w:rsid w:val="0098262F"/>
    <w:rsid w:val="00982691"/>
    <w:rsid w:val="009828BD"/>
    <w:rsid w:val="00983B29"/>
    <w:rsid w:val="00983E57"/>
    <w:rsid w:val="00984A3B"/>
    <w:rsid w:val="00984C21"/>
    <w:rsid w:val="00985241"/>
    <w:rsid w:val="009853EB"/>
    <w:rsid w:val="00985943"/>
    <w:rsid w:val="00985DE2"/>
    <w:rsid w:val="00985E17"/>
    <w:rsid w:val="00985F7C"/>
    <w:rsid w:val="0098675D"/>
    <w:rsid w:val="00986930"/>
    <w:rsid w:val="00987736"/>
    <w:rsid w:val="00987835"/>
    <w:rsid w:val="009878CE"/>
    <w:rsid w:val="00987BA4"/>
    <w:rsid w:val="009900A9"/>
    <w:rsid w:val="009905E5"/>
    <w:rsid w:val="00990D08"/>
    <w:rsid w:val="00991904"/>
    <w:rsid w:val="00991E01"/>
    <w:rsid w:val="009922BA"/>
    <w:rsid w:val="00992391"/>
    <w:rsid w:val="009926E0"/>
    <w:rsid w:val="0099288E"/>
    <w:rsid w:val="00992BDA"/>
    <w:rsid w:val="00993110"/>
    <w:rsid w:val="0099361C"/>
    <w:rsid w:val="0099410D"/>
    <w:rsid w:val="0099451E"/>
    <w:rsid w:val="0099473F"/>
    <w:rsid w:val="00994AB2"/>
    <w:rsid w:val="00995C7E"/>
    <w:rsid w:val="00996997"/>
    <w:rsid w:val="00996B1A"/>
    <w:rsid w:val="00997124"/>
    <w:rsid w:val="00997516"/>
    <w:rsid w:val="009978BA"/>
    <w:rsid w:val="009A05CF"/>
    <w:rsid w:val="009A1454"/>
    <w:rsid w:val="009A18F6"/>
    <w:rsid w:val="009A1927"/>
    <w:rsid w:val="009A226A"/>
    <w:rsid w:val="009A2566"/>
    <w:rsid w:val="009A2970"/>
    <w:rsid w:val="009A2B50"/>
    <w:rsid w:val="009A2DCC"/>
    <w:rsid w:val="009A369B"/>
    <w:rsid w:val="009A3C96"/>
    <w:rsid w:val="009A535B"/>
    <w:rsid w:val="009A5ABC"/>
    <w:rsid w:val="009A5D99"/>
    <w:rsid w:val="009A6C7E"/>
    <w:rsid w:val="009A775E"/>
    <w:rsid w:val="009A77A0"/>
    <w:rsid w:val="009A7F10"/>
    <w:rsid w:val="009A7FBD"/>
    <w:rsid w:val="009B06D2"/>
    <w:rsid w:val="009B0854"/>
    <w:rsid w:val="009B0A84"/>
    <w:rsid w:val="009B21EE"/>
    <w:rsid w:val="009B3196"/>
    <w:rsid w:val="009B3611"/>
    <w:rsid w:val="009B3648"/>
    <w:rsid w:val="009B3E26"/>
    <w:rsid w:val="009B4D8A"/>
    <w:rsid w:val="009B5823"/>
    <w:rsid w:val="009B617D"/>
    <w:rsid w:val="009B65ED"/>
    <w:rsid w:val="009B6814"/>
    <w:rsid w:val="009B76F6"/>
    <w:rsid w:val="009B7967"/>
    <w:rsid w:val="009C0379"/>
    <w:rsid w:val="009C0786"/>
    <w:rsid w:val="009C0A11"/>
    <w:rsid w:val="009C0D3B"/>
    <w:rsid w:val="009C112D"/>
    <w:rsid w:val="009C1271"/>
    <w:rsid w:val="009C19F9"/>
    <w:rsid w:val="009C1A81"/>
    <w:rsid w:val="009C1B5E"/>
    <w:rsid w:val="009C1FD4"/>
    <w:rsid w:val="009C20E4"/>
    <w:rsid w:val="009C2462"/>
    <w:rsid w:val="009C2BBF"/>
    <w:rsid w:val="009C3706"/>
    <w:rsid w:val="009C3A3A"/>
    <w:rsid w:val="009C3B71"/>
    <w:rsid w:val="009C426B"/>
    <w:rsid w:val="009C46A2"/>
    <w:rsid w:val="009C4E2C"/>
    <w:rsid w:val="009C4F1D"/>
    <w:rsid w:val="009C534C"/>
    <w:rsid w:val="009C5648"/>
    <w:rsid w:val="009C615D"/>
    <w:rsid w:val="009C6425"/>
    <w:rsid w:val="009C6CEA"/>
    <w:rsid w:val="009C77D9"/>
    <w:rsid w:val="009C7B85"/>
    <w:rsid w:val="009C7EEF"/>
    <w:rsid w:val="009D0254"/>
    <w:rsid w:val="009D18BC"/>
    <w:rsid w:val="009D1A64"/>
    <w:rsid w:val="009D201E"/>
    <w:rsid w:val="009D23D7"/>
    <w:rsid w:val="009D23E3"/>
    <w:rsid w:val="009D2922"/>
    <w:rsid w:val="009D2A64"/>
    <w:rsid w:val="009D30C5"/>
    <w:rsid w:val="009D3AE5"/>
    <w:rsid w:val="009D4ABB"/>
    <w:rsid w:val="009D5005"/>
    <w:rsid w:val="009D5B91"/>
    <w:rsid w:val="009D63D3"/>
    <w:rsid w:val="009D6529"/>
    <w:rsid w:val="009D6775"/>
    <w:rsid w:val="009D6AF0"/>
    <w:rsid w:val="009D7211"/>
    <w:rsid w:val="009D792E"/>
    <w:rsid w:val="009D7B03"/>
    <w:rsid w:val="009E0DFE"/>
    <w:rsid w:val="009E1186"/>
    <w:rsid w:val="009E12DE"/>
    <w:rsid w:val="009E16D1"/>
    <w:rsid w:val="009E2D84"/>
    <w:rsid w:val="009E2E88"/>
    <w:rsid w:val="009E2EA8"/>
    <w:rsid w:val="009E31E0"/>
    <w:rsid w:val="009E31F6"/>
    <w:rsid w:val="009E3D8D"/>
    <w:rsid w:val="009E410A"/>
    <w:rsid w:val="009E42E4"/>
    <w:rsid w:val="009E4C07"/>
    <w:rsid w:val="009E4D7E"/>
    <w:rsid w:val="009E5642"/>
    <w:rsid w:val="009E5E6B"/>
    <w:rsid w:val="009E5F1F"/>
    <w:rsid w:val="009E633D"/>
    <w:rsid w:val="009E6439"/>
    <w:rsid w:val="009E6A22"/>
    <w:rsid w:val="009E6FD2"/>
    <w:rsid w:val="009E75B9"/>
    <w:rsid w:val="009E777F"/>
    <w:rsid w:val="009F22F7"/>
    <w:rsid w:val="009F25E8"/>
    <w:rsid w:val="009F2D97"/>
    <w:rsid w:val="009F32A0"/>
    <w:rsid w:val="009F37EE"/>
    <w:rsid w:val="009F42DD"/>
    <w:rsid w:val="009F440C"/>
    <w:rsid w:val="009F4729"/>
    <w:rsid w:val="009F4EF1"/>
    <w:rsid w:val="009F516A"/>
    <w:rsid w:val="009F6120"/>
    <w:rsid w:val="009F688B"/>
    <w:rsid w:val="009F6E7C"/>
    <w:rsid w:val="009F6F56"/>
    <w:rsid w:val="009F7C24"/>
    <w:rsid w:val="00A000CA"/>
    <w:rsid w:val="00A006A1"/>
    <w:rsid w:val="00A00AA9"/>
    <w:rsid w:val="00A00C33"/>
    <w:rsid w:val="00A00D76"/>
    <w:rsid w:val="00A00F8A"/>
    <w:rsid w:val="00A0115F"/>
    <w:rsid w:val="00A01184"/>
    <w:rsid w:val="00A012DC"/>
    <w:rsid w:val="00A01449"/>
    <w:rsid w:val="00A01467"/>
    <w:rsid w:val="00A0191A"/>
    <w:rsid w:val="00A01D81"/>
    <w:rsid w:val="00A0230E"/>
    <w:rsid w:val="00A03022"/>
    <w:rsid w:val="00A0306A"/>
    <w:rsid w:val="00A037C2"/>
    <w:rsid w:val="00A037D1"/>
    <w:rsid w:val="00A03D43"/>
    <w:rsid w:val="00A03F9D"/>
    <w:rsid w:val="00A04380"/>
    <w:rsid w:val="00A0465D"/>
    <w:rsid w:val="00A04786"/>
    <w:rsid w:val="00A05009"/>
    <w:rsid w:val="00A05118"/>
    <w:rsid w:val="00A05472"/>
    <w:rsid w:val="00A0567D"/>
    <w:rsid w:val="00A05BEC"/>
    <w:rsid w:val="00A05C32"/>
    <w:rsid w:val="00A0653F"/>
    <w:rsid w:val="00A068BA"/>
    <w:rsid w:val="00A07663"/>
    <w:rsid w:val="00A07FAE"/>
    <w:rsid w:val="00A1036E"/>
    <w:rsid w:val="00A10D1D"/>
    <w:rsid w:val="00A11B21"/>
    <w:rsid w:val="00A11CD0"/>
    <w:rsid w:val="00A12C4B"/>
    <w:rsid w:val="00A13004"/>
    <w:rsid w:val="00A13303"/>
    <w:rsid w:val="00A13948"/>
    <w:rsid w:val="00A13B73"/>
    <w:rsid w:val="00A13CDD"/>
    <w:rsid w:val="00A151D5"/>
    <w:rsid w:val="00A151E1"/>
    <w:rsid w:val="00A1555B"/>
    <w:rsid w:val="00A155C5"/>
    <w:rsid w:val="00A15691"/>
    <w:rsid w:val="00A16AD8"/>
    <w:rsid w:val="00A16B8F"/>
    <w:rsid w:val="00A173FB"/>
    <w:rsid w:val="00A17BC2"/>
    <w:rsid w:val="00A20140"/>
    <w:rsid w:val="00A2021E"/>
    <w:rsid w:val="00A20493"/>
    <w:rsid w:val="00A20C80"/>
    <w:rsid w:val="00A21447"/>
    <w:rsid w:val="00A218B3"/>
    <w:rsid w:val="00A21C95"/>
    <w:rsid w:val="00A21CF3"/>
    <w:rsid w:val="00A21E4C"/>
    <w:rsid w:val="00A221A7"/>
    <w:rsid w:val="00A221FE"/>
    <w:rsid w:val="00A22A84"/>
    <w:rsid w:val="00A232CC"/>
    <w:rsid w:val="00A233FC"/>
    <w:rsid w:val="00A239BD"/>
    <w:rsid w:val="00A2447A"/>
    <w:rsid w:val="00A24813"/>
    <w:rsid w:val="00A24B62"/>
    <w:rsid w:val="00A24EA1"/>
    <w:rsid w:val="00A25880"/>
    <w:rsid w:val="00A25C63"/>
    <w:rsid w:val="00A264C0"/>
    <w:rsid w:val="00A26CB4"/>
    <w:rsid w:val="00A2700E"/>
    <w:rsid w:val="00A271B1"/>
    <w:rsid w:val="00A277B9"/>
    <w:rsid w:val="00A27AEC"/>
    <w:rsid w:val="00A3164A"/>
    <w:rsid w:val="00A31C15"/>
    <w:rsid w:val="00A320DB"/>
    <w:rsid w:val="00A3255A"/>
    <w:rsid w:val="00A32865"/>
    <w:rsid w:val="00A3422D"/>
    <w:rsid w:val="00A34D1D"/>
    <w:rsid w:val="00A34F4C"/>
    <w:rsid w:val="00A356CB"/>
    <w:rsid w:val="00A35D16"/>
    <w:rsid w:val="00A3668D"/>
    <w:rsid w:val="00A36894"/>
    <w:rsid w:val="00A36B06"/>
    <w:rsid w:val="00A37743"/>
    <w:rsid w:val="00A37876"/>
    <w:rsid w:val="00A37BCD"/>
    <w:rsid w:val="00A37F3A"/>
    <w:rsid w:val="00A40782"/>
    <w:rsid w:val="00A40A8E"/>
    <w:rsid w:val="00A41689"/>
    <w:rsid w:val="00A41DDD"/>
    <w:rsid w:val="00A42592"/>
    <w:rsid w:val="00A42722"/>
    <w:rsid w:val="00A42DB5"/>
    <w:rsid w:val="00A43C59"/>
    <w:rsid w:val="00A44295"/>
    <w:rsid w:val="00A4442B"/>
    <w:rsid w:val="00A44488"/>
    <w:rsid w:val="00A44730"/>
    <w:rsid w:val="00A45AB6"/>
    <w:rsid w:val="00A47165"/>
    <w:rsid w:val="00A475DD"/>
    <w:rsid w:val="00A50980"/>
    <w:rsid w:val="00A50BFC"/>
    <w:rsid w:val="00A50ECD"/>
    <w:rsid w:val="00A50FB6"/>
    <w:rsid w:val="00A5103A"/>
    <w:rsid w:val="00A51622"/>
    <w:rsid w:val="00A518F3"/>
    <w:rsid w:val="00A51FC9"/>
    <w:rsid w:val="00A52409"/>
    <w:rsid w:val="00A52729"/>
    <w:rsid w:val="00A52940"/>
    <w:rsid w:val="00A53675"/>
    <w:rsid w:val="00A53A1C"/>
    <w:rsid w:val="00A5517A"/>
    <w:rsid w:val="00A55518"/>
    <w:rsid w:val="00A55A0B"/>
    <w:rsid w:val="00A55CEB"/>
    <w:rsid w:val="00A5601F"/>
    <w:rsid w:val="00A56106"/>
    <w:rsid w:val="00A564D7"/>
    <w:rsid w:val="00A5661C"/>
    <w:rsid w:val="00A56AB4"/>
    <w:rsid w:val="00A56B6A"/>
    <w:rsid w:val="00A5709F"/>
    <w:rsid w:val="00A576F8"/>
    <w:rsid w:val="00A577C7"/>
    <w:rsid w:val="00A578DC"/>
    <w:rsid w:val="00A57B28"/>
    <w:rsid w:val="00A603ED"/>
    <w:rsid w:val="00A60468"/>
    <w:rsid w:val="00A61E4A"/>
    <w:rsid w:val="00A61EFC"/>
    <w:rsid w:val="00A62216"/>
    <w:rsid w:val="00A62E89"/>
    <w:rsid w:val="00A630E1"/>
    <w:rsid w:val="00A640E2"/>
    <w:rsid w:val="00A64D65"/>
    <w:rsid w:val="00A64EE3"/>
    <w:rsid w:val="00A64F5D"/>
    <w:rsid w:val="00A65331"/>
    <w:rsid w:val="00A654BF"/>
    <w:rsid w:val="00A6603F"/>
    <w:rsid w:val="00A667FF"/>
    <w:rsid w:val="00A67106"/>
    <w:rsid w:val="00A6725B"/>
    <w:rsid w:val="00A6786F"/>
    <w:rsid w:val="00A67931"/>
    <w:rsid w:val="00A67F28"/>
    <w:rsid w:val="00A67F3D"/>
    <w:rsid w:val="00A7004B"/>
    <w:rsid w:val="00A702A9"/>
    <w:rsid w:val="00A70605"/>
    <w:rsid w:val="00A706C9"/>
    <w:rsid w:val="00A7090C"/>
    <w:rsid w:val="00A715DF"/>
    <w:rsid w:val="00A71DC2"/>
    <w:rsid w:val="00A71F9B"/>
    <w:rsid w:val="00A72B67"/>
    <w:rsid w:val="00A72EBF"/>
    <w:rsid w:val="00A73072"/>
    <w:rsid w:val="00A73134"/>
    <w:rsid w:val="00A7355E"/>
    <w:rsid w:val="00A7365A"/>
    <w:rsid w:val="00A74395"/>
    <w:rsid w:val="00A747FB"/>
    <w:rsid w:val="00A75CB2"/>
    <w:rsid w:val="00A75E3F"/>
    <w:rsid w:val="00A75E4F"/>
    <w:rsid w:val="00A76001"/>
    <w:rsid w:val="00A76538"/>
    <w:rsid w:val="00A76AA7"/>
    <w:rsid w:val="00A76B67"/>
    <w:rsid w:val="00A77284"/>
    <w:rsid w:val="00A775E8"/>
    <w:rsid w:val="00A777B2"/>
    <w:rsid w:val="00A77B5C"/>
    <w:rsid w:val="00A804D1"/>
    <w:rsid w:val="00A80ACB"/>
    <w:rsid w:val="00A80E79"/>
    <w:rsid w:val="00A825D4"/>
    <w:rsid w:val="00A828F6"/>
    <w:rsid w:val="00A82B73"/>
    <w:rsid w:val="00A8344B"/>
    <w:rsid w:val="00A83994"/>
    <w:rsid w:val="00A841F9"/>
    <w:rsid w:val="00A843FD"/>
    <w:rsid w:val="00A84402"/>
    <w:rsid w:val="00A84D45"/>
    <w:rsid w:val="00A854E8"/>
    <w:rsid w:val="00A858DB"/>
    <w:rsid w:val="00A86E8B"/>
    <w:rsid w:val="00A87164"/>
    <w:rsid w:val="00A871A9"/>
    <w:rsid w:val="00A87614"/>
    <w:rsid w:val="00A87625"/>
    <w:rsid w:val="00A87C19"/>
    <w:rsid w:val="00A87EC3"/>
    <w:rsid w:val="00A87EE4"/>
    <w:rsid w:val="00A9075D"/>
    <w:rsid w:val="00A90AD5"/>
    <w:rsid w:val="00A90AF9"/>
    <w:rsid w:val="00A913C8"/>
    <w:rsid w:val="00A91423"/>
    <w:rsid w:val="00A91B5F"/>
    <w:rsid w:val="00A92330"/>
    <w:rsid w:val="00A924EB"/>
    <w:rsid w:val="00A926A2"/>
    <w:rsid w:val="00A9303B"/>
    <w:rsid w:val="00A93072"/>
    <w:rsid w:val="00A932FD"/>
    <w:rsid w:val="00A93384"/>
    <w:rsid w:val="00A938BD"/>
    <w:rsid w:val="00A93953"/>
    <w:rsid w:val="00A93E05"/>
    <w:rsid w:val="00A948F1"/>
    <w:rsid w:val="00A95396"/>
    <w:rsid w:val="00A959D8"/>
    <w:rsid w:val="00A95F32"/>
    <w:rsid w:val="00A96BE0"/>
    <w:rsid w:val="00A96C1E"/>
    <w:rsid w:val="00AA01D7"/>
    <w:rsid w:val="00AA0ED0"/>
    <w:rsid w:val="00AA113D"/>
    <w:rsid w:val="00AA1293"/>
    <w:rsid w:val="00AA20A5"/>
    <w:rsid w:val="00AA2EE4"/>
    <w:rsid w:val="00AA37FF"/>
    <w:rsid w:val="00AA4665"/>
    <w:rsid w:val="00AA506C"/>
    <w:rsid w:val="00AA5418"/>
    <w:rsid w:val="00AA5457"/>
    <w:rsid w:val="00AA5C2E"/>
    <w:rsid w:val="00AA5CA6"/>
    <w:rsid w:val="00AA6BD5"/>
    <w:rsid w:val="00AA6BD8"/>
    <w:rsid w:val="00AA6C7D"/>
    <w:rsid w:val="00AA73E5"/>
    <w:rsid w:val="00AA7A99"/>
    <w:rsid w:val="00AA7B0B"/>
    <w:rsid w:val="00AA7FD6"/>
    <w:rsid w:val="00AB042A"/>
    <w:rsid w:val="00AB0A77"/>
    <w:rsid w:val="00AB10EE"/>
    <w:rsid w:val="00AB11AD"/>
    <w:rsid w:val="00AB12DB"/>
    <w:rsid w:val="00AB19EF"/>
    <w:rsid w:val="00AB1FE5"/>
    <w:rsid w:val="00AB237A"/>
    <w:rsid w:val="00AB2495"/>
    <w:rsid w:val="00AB277B"/>
    <w:rsid w:val="00AB2D34"/>
    <w:rsid w:val="00AB31E0"/>
    <w:rsid w:val="00AB3430"/>
    <w:rsid w:val="00AB36E5"/>
    <w:rsid w:val="00AB37B9"/>
    <w:rsid w:val="00AB4187"/>
    <w:rsid w:val="00AB455C"/>
    <w:rsid w:val="00AB4879"/>
    <w:rsid w:val="00AB4AD1"/>
    <w:rsid w:val="00AB4CF5"/>
    <w:rsid w:val="00AB4EF1"/>
    <w:rsid w:val="00AB57D0"/>
    <w:rsid w:val="00AB5E07"/>
    <w:rsid w:val="00AB626C"/>
    <w:rsid w:val="00AB6286"/>
    <w:rsid w:val="00AB6C2B"/>
    <w:rsid w:val="00AB6F7A"/>
    <w:rsid w:val="00AB7685"/>
    <w:rsid w:val="00AB7CFA"/>
    <w:rsid w:val="00AC00E0"/>
    <w:rsid w:val="00AC10BE"/>
    <w:rsid w:val="00AC13B9"/>
    <w:rsid w:val="00AC2560"/>
    <w:rsid w:val="00AC36D1"/>
    <w:rsid w:val="00AC4208"/>
    <w:rsid w:val="00AC4AB1"/>
    <w:rsid w:val="00AC4DF2"/>
    <w:rsid w:val="00AC548C"/>
    <w:rsid w:val="00AC5926"/>
    <w:rsid w:val="00AC5AF7"/>
    <w:rsid w:val="00AC5B42"/>
    <w:rsid w:val="00AC5B48"/>
    <w:rsid w:val="00AC6117"/>
    <w:rsid w:val="00AC66DA"/>
    <w:rsid w:val="00AC6798"/>
    <w:rsid w:val="00AC6ACC"/>
    <w:rsid w:val="00AC6E95"/>
    <w:rsid w:val="00AC749D"/>
    <w:rsid w:val="00AD0A93"/>
    <w:rsid w:val="00AD0D0C"/>
    <w:rsid w:val="00AD0D41"/>
    <w:rsid w:val="00AD0DB4"/>
    <w:rsid w:val="00AD1450"/>
    <w:rsid w:val="00AD15E8"/>
    <w:rsid w:val="00AD1974"/>
    <w:rsid w:val="00AD1D6D"/>
    <w:rsid w:val="00AD355D"/>
    <w:rsid w:val="00AD356D"/>
    <w:rsid w:val="00AD3A1E"/>
    <w:rsid w:val="00AD3EEE"/>
    <w:rsid w:val="00AD409B"/>
    <w:rsid w:val="00AD4470"/>
    <w:rsid w:val="00AD4606"/>
    <w:rsid w:val="00AD4942"/>
    <w:rsid w:val="00AD4E79"/>
    <w:rsid w:val="00AD51C5"/>
    <w:rsid w:val="00AD5E6D"/>
    <w:rsid w:val="00AD6502"/>
    <w:rsid w:val="00AD7AEC"/>
    <w:rsid w:val="00AE0695"/>
    <w:rsid w:val="00AE0763"/>
    <w:rsid w:val="00AE0F83"/>
    <w:rsid w:val="00AE2BDD"/>
    <w:rsid w:val="00AE2D4D"/>
    <w:rsid w:val="00AE32C6"/>
    <w:rsid w:val="00AE3E7E"/>
    <w:rsid w:val="00AE4C15"/>
    <w:rsid w:val="00AE55D8"/>
    <w:rsid w:val="00AE562C"/>
    <w:rsid w:val="00AE5DEE"/>
    <w:rsid w:val="00AE6762"/>
    <w:rsid w:val="00AE7202"/>
    <w:rsid w:val="00AE7461"/>
    <w:rsid w:val="00AE760A"/>
    <w:rsid w:val="00AE7956"/>
    <w:rsid w:val="00AE7A5A"/>
    <w:rsid w:val="00AE7BB2"/>
    <w:rsid w:val="00AE7E53"/>
    <w:rsid w:val="00AF022D"/>
    <w:rsid w:val="00AF0BF4"/>
    <w:rsid w:val="00AF0E72"/>
    <w:rsid w:val="00AF1315"/>
    <w:rsid w:val="00AF19BF"/>
    <w:rsid w:val="00AF27B0"/>
    <w:rsid w:val="00AF29F9"/>
    <w:rsid w:val="00AF2DC3"/>
    <w:rsid w:val="00AF2E40"/>
    <w:rsid w:val="00AF3579"/>
    <w:rsid w:val="00AF3984"/>
    <w:rsid w:val="00AF3FD4"/>
    <w:rsid w:val="00AF436F"/>
    <w:rsid w:val="00AF4460"/>
    <w:rsid w:val="00AF46AC"/>
    <w:rsid w:val="00AF5A0D"/>
    <w:rsid w:val="00AF5B9B"/>
    <w:rsid w:val="00AF6565"/>
    <w:rsid w:val="00AF66CA"/>
    <w:rsid w:val="00AF699D"/>
    <w:rsid w:val="00AF6CAB"/>
    <w:rsid w:val="00AF6D19"/>
    <w:rsid w:val="00AF6EBC"/>
    <w:rsid w:val="00B00A43"/>
    <w:rsid w:val="00B0230D"/>
    <w:rsid w:val="00B02637"/>
    <w:rsid w:val="00B033E5"/>
    <w:rsid w:val="00B03A63"/>
    <w:rsid w:val="00B03CA6"/>
    <w:rsid w:val="00B04035"/>
    <w:rsid w:val="00B04888"/>
    <w:rsid w:val="00B0493B"/>
    <w:rsid w:val="00B05179"/>
    <w:rsid w:val="00B06ECF"/>
    <w:rsid w:val="00B0701E"/>
    <w:rsid w:val="00B07201"/>
    <w:rsid w:val="00B07B0B"/>
    <w:rsid w:val="00B07D6A"/>
    <w:rsid w:val="00B07F46"/>
    <w:rsid w:val="00B10231"/>
    <w:rsid w:val="00B1030F"/>
    <w:rsid w:val="00B104A1"/>
    <w:rsid w:val="00B113F8"/>
    <w:rsid w:val="00B11BD2"/>
    <w:rsid w:val="00B125FB"/>
    <w:rsid w:val="00B129A4"/>
    <w:rsid w:val="00B133EC"/>
    <w:rsid w:val="00B13C29"/>
    <w:rsid w:val="00B15045"/>
    <w:rsid w:val="00B1621B"/>
    <w:rsid w:val="00B163A4"/>
    <w:rsid w:val="00B16800"/>
    <w:rsid w:val="00B16A89"/>
    <w:rsid w:val="00B16E83"/>
    <w:rsid w:val="00B201A4"/>
    <w:rsid w:val="00B201D1"/>
    <w:rsid w:val="00B20380"/>
    <w:rsid w:val="00B20510"/>
    <w:rsid w:val="00B20CDC"/>
    <w:rsid w:val="00B213A6"/>
    <w:rsid w:val="00B21AF4"/>
    <w:rsid w:val="00B21E98"/>
    <w:rsid w:val="00B2215C"/>
    <w:rsid w:val="00B226E0"/>
    <w:rsid w:val="00B235B0"/>
    <w:rsid w:val="00B23EE7"/>
    <w:rsid w:val="00B2451F"/>
    <w:rsid w:val="00B24DF6"/>
    <w:rsid w:val="00B2586C"/>
    <w:rsid w:val="00B25C6C"/>
    <w:rsid w:val="00B26092"/>
    <w:rsid w:val="00B26FE7"/>
    <w:rsid w:val="00B2720D"/>
    <w:rsid w:val="00B27469"/>
    <w:rsid w:val="00B27A61"/>
    <w:rsid w:val="00B30248"/>
    <w:rsid w:val="00B30DD4"/>
    <w:rsid w:val="00B31F0D"/>
    <w:rsid w:val="00B3232F"/>
    <w:rsid w:val="00B32371"/>
    <w:rsid w:val="00B32B90"/>
    <w:rsid w:val="00B32ECB"/>
    <w:rsid w:val="00B34E4E"/>
    <w:rsid w:val="00B34F03"/>
    <w:rsid w:val="00B34FE2"/>
    <w:rsid w:val="00B35084"/>
    <w:rsid w:val="00B35166"/>
    <w:rsid w:val="00B35553"/>
    <w:rsid w:val="00B357D8"/>
    <w:rsid w:val="00B360F4"/>
    <w:rsid w:val="00B36A00"/>
    <w:rsid w:val="00B3792B"/>
    <w:rsid w:val="00B37BFC"/>
    <w:rsid w:val="00B37DF0"/>
    <w:rsid w:val="00B40358"/>
    <w:rsid w:val="00B40568"/>
    <w:rsid w:val="00B4057C"/>
    <w:rsid w:val="00B41026"/>
    <w:rsid w:val="00B41147"/>
    <w:rsid w:val="00B41448"/>
    <w:rsid w:val="00B41614"/>
    <w:rsid w:val="00B417C7"/>
    <w:rsid w:val="00B41AA9"/>
    <w:rsid w:val="00B41D70"/>
    <w:rsid w:val="00B421AD"/>
    <w:rsid w:val="00B425EE"/>
    <w:rsid w:val="00B42851"/>
    <w:rsid w:val="00B42A2C"/>
    <w:rsid w:val="00B42A3C"/>
    <w:rsid w:val="00B42F3D"/>
    <w:rsid w:val="00B42F80"/>
    <w:rsid w:val="00B43585"/>
    <w:rsid w:val="00B435CB"/>
    <w:rsid w:val="00B43843"/>
    <w:rsid w:val="00B44006"/>
    <w:rsid w:val="00B451EA"/>
    <w:rsid w:val="00B45F38"/>
    <w:rsid w:val="00B462FC"/>
    <w:rsid w:val="00B465EC"/>
    <w:rsid w:val="00B46AAA"/>
    <w:rsid w:val="00B47174"/>
    <w:rsid w:val="00B4743D"/>
    <w:rsid w:val="00B47A68"/>
    <w:rsid w:val="00B505C1"/>
    <w:rsid w:val="00B505C8"/>
    <w:rsid w:val="00B50DB8"/>
    <w:rsid w:val="00B515BC"/>
    <w:rsid w:val="00B51791"/>
    <w:rsid w:val="00B523C9"/>
    <w:rsid w:val="00B526FA"/>
    <w:rsid w:val="00B529E3"/>
    <w:rsid w:val="00B52A26"/>
    <w:rsid w:val="00B52B5C"/>
    <w:rsid w:val="00B52FF5"/>
    <w:rsid w:val="00B53654"/>
    <w:rsid w:val="00B53905"/>
    <w:rsid w:val="00B53F60"/>
    <w:rsid w:val="00B53F85"/>
    <w:rsid w:val="00B5439F"/>
    <w:rsid w:val="00B546A4"/>
    <w:rsid w:val="00B546DB"/>
    <w:rsid w:val="00B54B5B"/>
    <w:rsid w:val="00B54BC5"/>
    <w:rsid w:val="00B55196"/>
    <w:rsid w:val="00B55488"/>
    <w:rsid w:val="00B5562E"/>
    <w:rsid w:val="00B55638"/>
    <w:rsid w:val="00B55862"/>
    <w:rsid w:val="00B55CC2"/>
    <w:rsid w:val="00B55D65"/>
    <w:rsid w:val="00B56305"/>
    <w:rsid w:val="00B56309"/>
    <w:rsid w:val="00B564DE"/>
    <w:rsid w:val="00B57000"/>
    <w:rsid w:val="00B5714A"/>
    <w:rsid w:val="00B575CF"/>
    <w:rsid w:val="00B602B3"/>
    <w:rsid w:val="00B6090E"/>
    <w:rsid w:val="00B60939"/>
    <w:rsid w:val="00B6095C"/>
    <w:rsid w:val="00B609A1"/>
    <w:rsid w:val="00B60AFD"/>
    <w:rsid w:val="00B613EC"/>
    <w:rsid w:val="00B61BF5"/>
    <w:rsid w:val="00B62171"/>
    <w:rsid w:val="00B6228B"/>
    <w:rsid w:val="00B62715"/>
    <w:rsid w:val="00B62746"/>
    <w:rsid w:val="00B62858"/>
    <w:rsid w:val="00B62A07"/>
    <w:rsid w:val="00B63672"/>
    <w:rsid w:val="00B64C5E"/>
    <w:rsid w:val="00B65611"/>
    <w:rsid w:val="00B663BB"/>
    <w:rsid w:val="00B66848"/>
    <w:rsid w:val="00B66B0C"/>
    <w:rsid w:val="00B67BB8"/>
    <w:rsid w:val="00B702C3"/>
    <w:rsid w:val="00B70C8C"/>
    <w:rsid w:val="00B70E8E"/>
    <w:rsid w:val="00B71372"/>
    <w:rsid w:val="00B717A0"/>
    <w:rsid w:val="00B71DAA"/>
    <w:rsid w:val="00B71EED"/>
    <w:rsid w:val="00B71F9C"/>
    <w:rsid w:val="00B72540"/>
    <w:rsid w:val="00B727AF"/>
    <w:rsid w:val="00B729AE"/>
    <w:rsid w:val="00B73E39"/>
    <w:rsid w:val="00B73E68"/>
    <w:rsid w:val="00B7461F"/>
    <w:rsid w:val="00B74A4B"/>
    <w:rsid w:val="00B74CBE"/>
    <w:rsid w:val="00B74F1D"/>
    <w:rsid w:val="00B753C6"/>
    <w:rsid w:val="00B7586A"/>
    <w:rsid w:val="00B76005"/>
    <w:rsid w:val="00B76C92"/>
    <w:rsid w:val="00B773EC"/>
    <w:rsid w:val="00B80485"/>
    <w:rsid w:val="00B80EFD"/>
    <w:rsid w:val="00B818A4"/>
    <w:rsid w:val="00B81B4D"/>
    <w:rsid w:val="00B81D5F"/>
    <w:rsid w:val="00B8211B"/>
    <w:rsid w:val="00B8238F"/>
    <w:rsid w:val="00B82C00"/>
    <w:rsid w:val="00B82DC0"/>
    <w:rsid w:val="00B83739"/>
    <w:rsid w:val="00B83780"/>
    <w:rsid w:val="00B8383C"/>
    <w:rsid w:val="00B83959"/>
    <w:rsid w:val="00B84117"/>
    <w:rsid w:val="00B852FA"/>
    <w:rsid w:val="00B858F0"/>
    <w:rsid w:val="00B85AA2"/>
    <w:rsid w:val="00B8649C"/>
    <w:rsid w:val="00B86573"/>
    <w:rsid w:val="00B8695D"/>
    <w:rsid w:val="00B87667"/>
    <w:rsid w:val="00B87F0A"/>
    <w:rsid w:val="00B900AB"/>
    <w:rsid w:val="00B91614"/>
    <w:rsid w:val="00B92D0B"/>
    <w:rsid w:val="00B92F9B"/>
    <w:rsid w:val="00B935E2"/>
    <w:rsid w:val="00B93D5B"/>
    <w:rsid w:val="00B93E5F"/>
    <w:rsid w:val="00B9408E"/>
    <w:rsid w:val="00B94945"/>
    <w:rsid w:val="00B94AC7"/>
    <w:rsid w:val="00B94BFB"/>
    <w:rsid w:val="00B94DD6"/>
    <w:rsid w:val="00B94EB0"/>
    <w:rsid w:val="00B94F90"/>
    <w:rsid w:val="00B956D9"/>
    <w:rsid w:val="00B95D0B"/>
    <w:rsid w:val="00B97E92"/>
    <w:rsid w:val="00BA0552"/>
    <w:rsid w:val="00BA0824"/>
    <w:rsid w:val="00BA0C0E"/>
    <w:rsid w:val="00BA1041"/>
    <w:rsid w:val="00BA2550"/>
    <w:rsid w:val="00BA27CB"/>
    <w:rsid w:val="00BA322D"/>
    <w:rsid w:val="00BA40F7"/>
    <w:rsid w:val="00BA4158"/>
    <w:rsid w:val="00BA63FA"/>
    <w:rsid w:val="00BB00B3"/>
    <w:rsid w:val="00BB00C0"/>
    <w:rsid w:val="00BB00FF"/>
    <w:rsid w:val="00BB0423"/>
    <w:rsid w:val="00BB0746"/>
    <w:rsid w:val="00BB089B"/>
    <w:rsid w:val="00BB0BDD"/>
    <w:rsid w:val="00BB0E4A"/>
    <w:rsid w:val="00BB1744"/>
    <w:rsid w:val="00BB176C"/>
    <w:rsid w:val="00BB1AD4"/>
    <w:rsid w:val="00BB209E"/>
    <w:rsid w:val="00BB29B1"/>
    <w:rsid w:val="00BB2A73"/>
    <w:rsid w:val="00BB2BCF"/>
    <w:rsid w:val="00BB3A45"/>
    <w:rsid w:val="00BB4210"/>
    <w:rsid w:val="00BB49DF"/>
    <w:rsid w:val="00BB4ACC"/>
    <w:rsid w:val="00BB4EE9"/>
    <w:rsid w:val="00BB4FA6"/>
    <w:rsid w:val="00BB6174"/>
    <w:rsid w:val="00BB64C8"/>
    <w:rsid w:val="00BB6677"/>
    <w:rsid w:val="00BB6BF8"/>
    <w:rsid w:val="00BB703E"/>
    <w:rsid w:val="00BB732D"/>
    <w:rsid w:val="00BB7405"/>
    <w:rsid w:val="00BB750F"/>
    <w:rsid w:val="00BB7572"/>
    <w:rsid w:val="00BB7CB5"/>
    <w:rsid w:val="00BC00E3"/>
    <w:rsid w:val="00BC0237"/>
    <w:rsid w:val="00BC0313"/>
    <w:rsid w:val="00BC0FD5"/>
    <w:rsid w:val="00BC28DC"/>
    <w:rsid w:val="00BC2DEE"/>
    <w:rsid w:val="00BC3631"/>
    <w:rsid w:val="00BC43BF"/>
    <w:rsid w:val="00BC492B"/>
    <w:rsid w:val="00BC52C5"/>
    <w:rsid w:val="00BC5749"/>
    <w:rsid w:val="00BC591F"/>
    <w:rsid w:val="00BC5F32"/>
    <w:rsid w:val="00BC6CB0"/>
    <w:rsid w:val="00BC6F0E"/>
    <w:rsid w:val="00BC6FDF"/>
    <w:rsid w:val="00BC733D"/>
    <w:rsid w:val="00BC793F"/>
    <w:rsid w:val="00BC7D6D"/>
    <w:rsid w:val="00BD0646"/>
    <w:rsid w:val="00BD0D80"/>
    <w:rsid w:val="00BD2108"/>
    <w:rsid w:val="00BD3BEB"/>
    <w:rsid w:val="00BD3E5D"/>
    <w:rsid w:val="00BD4A0D"/>
    <w:rsid w:val="00BD4B45"/>
    <w:rsid w:val="00BD4D5F"/>
    <w:rsid w:val="00BD5246"/>
    <w:rsid w:val="00BD6604"/>
    <w:rsid w:val="00BD68A3"/>
    <w:rsid w:val="00BD6938"/>
    <w:rsid w:val="00BD6CF3"/>
    <w:rsid w:val="00BD711A"/>
    <w:rsid w:val="00BD7B77"/>
    <w:rsid w:val="00BD7F72"/>
    <w:rsid w:val="00BE04B8"/>
    <w:rsid w:val="00BE0525"/>
    <w:rsid w:val="00BE0ECA"/>
    <w:rsid w:val="00BE1CFA"/>
    <w:rsid w:val="00BE1FA8"/>
    <w:rsid w:val="00BE2180"/>
    <w:rsid w:val="00BE21D2"/>
    <w:rsid w:val="00BE21F2"/>
    <w:rsid w:val="00BE2231"/>
    <w:rsid w:val="00BE2AE4"/>
    <w:rsid w:val="00BE3642"/>
    <w:rsid w:val="00BE3ACE"/>
    <w:rsid w:val="00BE40D6"/>
    <w:rsid w:val="00BE4105"/>
    <w:rsid w:val="00BE4275"/>
    <w:rsid w:val="00BE429D"/>
    <w:rsid w:val="00BE5242"/>
    <w:rsid w:val="00BE636A"/>
    <w:rsid w:val="00BE6860"/>
    <w:rsid w:val="00BE6A61"/>
    <w:rsid w:val="00BE6AAA"/>
    <w:rsid w:val="00BE7107"/>
    <w:rsid w:val="00BE7740"/>
    <w:rsid w:val="00BE77CB"/>
    <w:rsid w:val="00BF04DE"/>
    <w:rsid w:val="00BF06AE"/>
    <w:rsid w:val="00BF0F95"/>
    <w:rsid w:val="00BF112B"/>
    <w:rsid w:val="00BF1166"/>
    <w:rsid w:val="00BF1C41"/>
    <w:rsid w:val="00BF1E32"/>
    <w:rsid w:val="00BF1E60"/>
    <w:rsid w:val="00BF20CB"/>
    <w:rsid w:val="00BF2433"/>
    <w:rsid w:val="00BF2B54"/>
    <w:rsid w:val="00BF2E6E"/>
    <w:rsid w:val="00BF32A3"/>
    <w:rsid w:val="00BF3A3E"/>
    <w:rsid w:val="00BF3DDE"/>
    <w:rsid w:val="00BF5818"/>
    <w:rsid w:val="00BF5A6A"/>
    <w:rsid w:val="00BF5C23"/>
    <w:rsid w:val="00BF61C9"/>
    <w:rsid w:val="00BF6A16"/>
    <w:rsid w:val="00BF6C94"/>
    <w:rsid w:val="00BF7440"/>
    <w:rsid w:val="00BF7BE4"/>
    <w:rsid w:val="00BF7D67"/>
    <w:rsid w:val="00C002E5"/>
    <w:rsid w:val="00C00424"/>
    <w:rsid w:val="00C00BB0"/>
    <w:rsid w:val="00C00D62"/>
    <w:rsid w:val="00C01ADA"/>
    <w:rsid w:val="00C01B0E"/>
    <w:rsid w:val="00C01CFE"/>
    <w:rsid w:val="00C02A28"/>
    <w:rsid w:val="00C02C35"/>
    <w:rsid w:val="00C02FBC"/>
    <w:rsid w:val="00C02FC2"/>
    <w:rsid w:val="00C03038"/>
    <w:rsid w:val="00C038D6"/>
    <w:rsid w:val="00C04E36"/>
    <w:rsid w:val="00C05299"/>
    <w:rsid w:val="00C0535C"/>
    <w:rsid w:val="00C067B5"/>
    <w:rsid w:val="00C073A7"/>
    <w:rsid w:val="00C07649"/>
    <w:rsid w:val="00C07B4B"/>
    <w:rsid w:val="00C10600"/>
    <w:rsid w:val="00C1179F"/>
    <w:rsid w:val="00C120FC"/>
    <w:rsid w:val="00C127B9"/>
    <w:rsid w:val="00C128DB"/>
    <w:rsid w:val="00C128FA"/>
    <w:rsid w:val="00C12B30"/>
    <w:rsid w:val="00C12C14"/>
    <w:rsid w:val="00C1381B"/>
    <w:rsid w:val="00C149A6"/>
    <w:rsid w:val="00C15440"/>
    <w:rsid w:val="00C15456"/>
    <w:rsid w:val="00C155F1"/>
    <w:rsid w:val="00C15A9A"/>
    <w:rsid w:val="00C15F04"/>
    <w:rsid w:val="00C161CB"/>
    <w:rsid w:val="00C171AA"/>
    <w:rsid w:val="00C17656"/>
    <w:rsid w:val="00C179B3"/>
    <w:rsid w:val="00C17A28"/>
    <w:rsid w:val="00C17DCA"/>
    <w:rsid w:val="00C17E3F"/>
    <w:rsid w:val="00C17E46"/>
    <w:rsid w:val="00C200AA"/>
    <w:rsid w:val="00C207A2"/>
    <w:rsid w:val="00C20FE2"/>
    <w:rsid w:val="00C21444"/>
    <w:rsid w:val="00C2229E"/>
    <w:rsid w:val="00C22D33"/>
    <w:rsid w:val="00C231EA"/>
    <w:rsid w:val="00C234FC"/>
    <w:rsid w:val="00C237ED"/>
    <w:rsid w:val="00C23AA3"/>
    <w:rsid w:val="00C2417A"/>
    <w:rsid w:val="00C24632"/>
    <w:rsid w:val="00C24A50"/>
    <w:rsid w:val="00C24D90"/>
    <w:rsid w:val="00C25418"/>
    <w:rsid w:val="00C257F2"/>
    <w:rsid w:val="00C259DF"/>
    <w:rsid w:val="00C25D9C"/>
    <w:rsid w:val="00C26A60"/>
    <w:rsid w:val="00C26EAE"/>
    <w:rsid w:val="00C2775D"/>
    <w:rsid w:val="00C2778B"/>
    <w:rsid w:val="00C27927"/>
    <w:rsid w:val="00C27D93"/>
    <w:rsid w:val="00C27ECF"/>
    <w:rsid w:val="00C30BA9"/>
    <w:rsid w:val="00C30BF5"/>
    <w:rsid w:val="00C30D94"/>
    <w:rsid w:val="00C30EA2"/>
    <w:rsid w:val="00C3162A"/>
    <w:rsid w:val="00C31649"/>
    <w:rsid w:val="00C328A6"/>
    <w:rsid w:val="00C32AEA"/>
    <w:rsid w:val="00C33D3E"/>
    <w:rsid w:val="00C341CC"/>
    <w:rsid w:val="00C3434C"/>
    <w:rsid w:val="00C3472D"/>
    <w:rsid w:val="00C35440"/>
    <w:rsid w:val="00C36E01"/>
    <w:rsid w:val="00C3745C"/>
    <w:rsid w:val="00C3786E"/>
    <w:rsid w:val="00C3792B"/>
    <w:rsid w:val="00C4008B"/>
    <w:rsid w:val="00C40385"/>
    <w:rsid w:val="00C40411"/>
    <w:rsid w:val="00C40A71"/>
    <w:rsid w:val="00C40E0D"/>
    <w:rsid w:val="00C41768"/>
    <w:rsid w:val="00C41E02"/>
    <w:rsid w:val="00C42319"/>
    <w:rsid w:val="00C4392E"/>
    <w:rsid w:val="00C4448C"/>
    <w:rsid w:val="00C44F44"/>
    <w:rsid w:val="00C4504C"/>
    <w:rsid w:val="00C45BDE"/>
    <w:rsid w:val="00C45ECC"/>
    <w:rsid w:val="00C46211"/>
    <w:rsid w:val="00C47470"/>
    <w:rsid w:val="00C475AA"/>
    <w:rsid w:val="00C479F1"/>
    <w:rsid w:val="00C50718"/>
    <w:rsid w:val="00C5085F"/>
    <w:rsid w:val="00C50CBD"/>
    <w:rsid w:val="00C50F57"/>
    <w:rsid w:val="00C5142C"/>
    <w:rsid w:val="00C515BE"/>
    <w:rsid w:val="00C51A6A"/>
    <w:rsid w:val="00C5200D"/>
    <w:rsid w:val="00C5229B"/>
    <w:rsid w:val="00C52340"/>
    <w:rsid w:val="00C527C7"/>
    <w:rsid w:val="00C536CB"/>
    <w:rsid w:val="00C53C98"/>
    <w:rsid w:val="00C548BD"/>
    <w:rsid w:val="00C554A7"/>
    <w:rsid w:val="00C55633"/>
    <w:rsid w:val="00C5565A"/>
    <w:rsid w:val="00C55A25"/>
    <w:rsid w:val="00C55C54"/>
    <w:rsid w:val="00C5634C"/>
    <w:rsid w:val="00C567DA"/>
    <w:rsid w:val="00C56A4B"/>
    <w:rsid w:val="00C56FCF"/>
    <w:rsid w:val="00C572F6"/>
    <w:rsid w:val="00C5735F"/>
    <w:rsid w:val="00C57990"/>
    <w:rsid w:val="00C57B6C"/>
    <w:rsid w:val="00C60746"/>
    <w:rsid w:val="00C61106"/>
    <w:rsid w:val="00C61A59"/>
    <w:rsid w:val="00C62052"/>
    <w:rsid w:val="00C628A6"/>
    <w:rsid w:val="00C628C0"/>
    <w:rsid w:val="00C63786"/>
    <w:rsid w:val="00C63F12"/>
    <w:rsid w:val="00C63FF5"/>
    <w:rsid w:val="00C64344"/>
    <w:rsid w:val="00C646E0"/>
    <w:rsid w:val="00C64E2A"/>
    <w:rsid w:val="00C64FB9"/>
    <w:rsid w:val="00C65108"/>
    <w:rsid w:val="00C65576"/>
    <w:rsid w:val="00C65C21"/>
    <w:rsid w:val="00C66165"/>
    <w:rsid w:val="00C66170"/>
    <w:rsid w:val="00C6721E"/>
    <w:rsid w:val="00C704D7"/>
    <w:rsid w:val="00C7060A"/>
    <w:rsid w:val="00C70CB3"/>
    <w:rsid w:val="00C70E25"/>
    <w:rsid w:val="00C70FB2"/>
    <w:rsid w:val="00C7151A"/>
    <w:rsid w:val="00C717E3"/>
    <w:rsid w:val="00C71932"/>
    <w:rsid w:val="00C71F60"/>
    <w:rsid w:val="00C72241"/>
    <w:rsid w:val="00C72360"/>
    <w:rsid w:val="00C7238B"/>
    <w:rsid w:val="00C723F1"/>
    <w:rsid w:val="00C72544"/>
    <w:rsid w:val="00C72EF8"/>
    <w:rsid w:val="00C72FBC"/>
    <w:rsid w:val="00C7328F"/>
    <w:rsid w:val="00C73BEE"/>
    <w:rsid w:val="00C73F15"/>
    <w:rsid w:val="00C74106"/>
    <w:rsid w:val="00C74C38"/>
    <w:rsid w:val="00C750C8"/>
    <w:rsid w:val="00C7560F"/>
    <w:rsid w:val="00C75617"/>
    <w:rsid w:val="00C7570B"/>
    <w:rsid w:val="00C75B2B"/>
    <w:rsid w:val="00C75C67"/>
    <w:rsid w:val="00C76FEB"/>
    <w:rsid w:val="00C77A35"/>
    <w:rsid w:val="00C77A8C"/>
    <w:rsid w:val="00C80A0E"/>
    <w:rsid w:val="00C80DC4"/>
    <w:rsid w:val="00C81131"/>
    <w:rsid w:val="00C81762"/>
    <w:rsid w:val="00C81987"/>
    <w:rsid w:val="00C8213F"/>
    <w:rsid w:val="00C8303F"/>
    <w:rsid w:val="00C83229"/>
    <w:rsid w:val="00C83F1F"/>
    <w:rsid w:val="00C8458F"/>
    <w:rsid w:val="00C85154"/>
    <w:rsid w:val="00C8525A"/>
    <w:rsid w:val="00C855C7"/>
    <w:rsid w:val="00C85907"/>
    <w:rsid w:val="00C85A70"/>
    <w:rsid w:val="00C867C3"/>
    <w:rsid w:val="00C8797A"/>
    <w:rsid w:val="00C9001B"/>
    <w:rsid w:val="00C900B8"/>
    <w:rsid w:val="00C9011E"/>
    <w:rsid w:val="00C90197"/>
    <w:rsid w:val="00C90C71"/>
    <w:rsid w:val="00C91386"/>
    <w:rsid w:val="00C91D0E"/>
    <w:rsid w:val="00C91FD1"/>
    <w:rsid w:val="00C92D2C"/>
    <w:rsid w:val="00C92D9A"/>
    <w:rsid w:val="00C931CF"/>
    <w:rsid w:val="00C93746"/>
    <w:rsid w:val="00C938CF"/>
    <w:rsid w:val="00C93F5D"/>
    <w:rsid w:val="00C94053"/>
    <w:rsid w:val="00C944DB"/>
    <w:rsid w:val="00C94A27"/>
    <w:rsid w:val="00C95579"/>
    <w:rsid w:val="00C959EF"/>
    <w:rsid w:val="00C9624D"/>
    <w:rsid w:val="00C9696C"/>
    <w:rsid w:val="00C969DA"/>
    <w:rsid w:val="00C96C7C"/>
    <w:rsid w:val="00C972CD"/>
    <w:rsid w:val="00C97A54"/>
    <w:rsid w:val="00C97C4B"/>
    <w:rsid w:val="00CA0B11"/>
    <w:rsid w:val="00CA0C28"/>
    <w:rsid w:val="00CA0CD2"/>
    <w:rsid w:val="00CA1B60"/>
    <w:rsid w:val="00CA2971"/>
    <w:rsid w:val="00CA2C77"/>
    <w:rsid w:val="00CA359B"/>
    <w:rsid w:val="00CA444F"/>
    <w:rsid w:val="00CA4698"/>
    <w:rsid w:val="00CA5245"/>
    <w:rsid w:val="00CA5522"/>
    <w:rsid w:val="00CA5585"/>
    <w:rsid w:val="00CA6E50"/>
    <w:rsid w:val="00CA71F4"/>
    <w:rsid w:val="00CA72D3"/>
    <w:rsid w:val="00CA767E"/>
    <w:rsid w:val="00CA7B09"/>
    <w:rsid w:val="00CA7F2B"/>
    <w:rsid w:val="00CB12A5"/>
    <w:rsid w:val="00CB1732"/>
    <w:rsid w:val="00CB1A05"/>
    <w:rsid w:val="00CB1CAC"/>
    <w:rsid w:val="00CB1FB3"/>
    <w:rsid w:val="00CB2806"/>
    <w:rsid w:val="00CB2F2A"/>
    <w:rsid w:val="00CB3297"/>
    <w:rsid w:val="00CB3492"/>
    <w:rsid w:val="00CB36DB"/>
    <w:rsid w:val="00CB413E"/>
    <w:rsid w:val="00CB4359"/>
    <w:rsid w:val="00CB485E"/>
    <w:rsid w:val="00CB4972"/>
    <w:rsid w:val="00CB4EB4"/>
    <w:rsid w:val="00CB4F4F"/>
    <w:rsid w:val="00CB518F"/>
    <w:rsid w:val="00CB523A"/>
    <w:rsid w:val="00CB54BD"/>
    <w:rsid w:val="00CB5592"/>
    <w:rsid w:val="00CB567C"/>
    <w:rsid w:val="00CB5B1A"/>
    <w:rsid w:val="00CB5F36"/>
    <w:rsid w:val="00CB6AEC"/>
    <w:rsid w:val="00CB6B22"/>
    <w:rsid w:val="00CB7F5F"/>
    <w:rsid w:val="00CC01E3"/>
    <w:rsid w:val="00CC027E"/>
    <w:rsid w:val="00CC0816"/>
    <w:rsid w:val="00CC1985"/>
    <w:rsid w:val="00CC1B39"/>
    <w:rsid w:val="00CC1BFA"/>
    <w:rsid w:val="00CC1DA2"/>
    <w:rsid w:val="00CC2259"/>
    <w:rsid w:val="00CC2E65"/>
    <w:rsid w:val="00CC2E9F"/>
    <w:rsid w:val="00CC3414"/>
    <w:rsid w:val="00CC35EA"/>
    <w:rsid w:val="00CC3848"/>
    <w:rsid w:val="00CC3AE9"/>
    <w:rsid w:val="00CC3D91"/>
    <w:rsid w:val="00CC40FC"/>
    <w:rsid w:val="00CC4465"/>
    <w:rsid w:val="00CC464D"/>
    <w:rsid w:val="00CC50A9"/>
    <w:rsid w:val="00CC5797"/>
    <w:rsid w:val="00CC62CD"/>
    <w:rsid w:val="00CC6520"/>
    <w:rsid w:val="00CC6D5E"/>
    <w:rsid w:val="00CC7924"/>
    <w:rsid w:val="00CD0200"/>
    <w:rsid w:val="00CD0B39"/>
    <w:rsid w:val="00CD1235"/>
    <w:rsid w:val="00CD1237"/>
    <w:rsid w:val="00CD150E"/>
    <w:rsid w:val="00CD15E1"/>
    <w:rsid w:val="00CD1FE2"/>
    <w:rsid w:val="00CD32B1"/>
    <w:rsid w:val="00CD34FF"/>
    <w:rsid w:val="00CD3CBB"/>
    <w:rsid w:val="00CD3F36"/>
    <w:rsid w:val="00CD3F77"/>
    <w:rsid w:val="00CD4066"/>
    <w:rsid w:val="00CD41D5"/>
    <w:rsid w:val="00CD5A46"/>
    <w:rsid w:val="00CD5AE5"/>
    <w:rsid w:val="00CD66DE"/>
    <w:rsid w:val="00CD6924"/>
    <w:rsid w:val="00CD6ADC"/>
    <w:rsid w:val="00CD7193"/>
    <w:rsid w:val="00CD7B53"/>
    <w:rsid w:val="00CE01DA"/>
    <w:rsid w:val="00CE0B80"/>
    <w:rsid w:val="00CE2377"/>
    <w:rsid w:val="00CE29BF"/>
    <w:rsid w:val="00CE304B"/>
    <w:rsid w:val="00CE3127"/>
    <w:rsid w:val="00CE369C"/>
    <w:rsid w:val="00CE38C8"/>
    <w:rsid w:val="00CE3A26"/>
    <w:rsid w:val="00CE3FF4"/>
    <w:rsid w:val="00CE4ABC"/>
    <w:rsid w:val="00CE4C1F"/>
    <w:rsid w:val="00CE51DF"/>
    <w:rsid w:val="00CE524F"/>
    <w:rsid w:val="00CE58CC"/>
    <w:rsid w:val="00CE5E03"/>
    <w:rsid w:val="00CE6274"/>
    <w:rsid w:val="00CE6731"/>
    <w:rsid w:val="00CE7087"/>
    <w:rsid w:val="00CE7180"/>
    <w:rsid w:val="00CE7733"/>
    <w:rsid w:val="00CE77B6"/>
    <w:rsid w:val="00CF02AD"/>
    <w:rsid w:val="00CF075E"/>
    <w:rsid w:val="00CF09F4"/>
    <w:rsid w:val="00CF0CE5"/>
    <w:rsid w:val="00CF146F"/>
    <w:rsid w:val="00CF18C9"/>
    <w:rsid w:val="00CF1EE6"/>
    <w:rsid w:val="00CF2286"/>
    <w:rsid w:val="00CF2420"/>
    <w:rsid w:val="00CF26E2"/>
    <w:rsid w:val="00CF2AAC"/>
    <w:rsid w:val="00CF2B8D"/>
    <w:rsid w:val="00CF2EC1"/>
    <w:rsid w:val="00CF300C"/>
    <w:rsid w:val="00CF3153"/>
    <w:rsid w:val="00CF3A1B"/>
    <w:rsid w:val="00CF3A79"/>
    <w:rsid w:val="00CF3C09"/>
    <w:rsid w:val="00CF3EF9"/>
    <w:rsid w:val="00CF4109"/>
    <w:rsid w:val="00CF456B"/>
    <w:rsid w:val="00CF4A4E"/>
    <w:rsid w:val="00CF4E86"/>
    <w:rsid w:val="00CF4F90"/>
    <w:rsid w:val="00CF5667"/>
    <w:rsid w:val="00CF5A22"/>
    <w:rsid w:val="00CF5A90"/>
    <w:rsid w:val="00CF5BC4"/>
    <w:rsid w:val="00CF62B6"/>
    <w:rsid w:val="00CF6307"/>
    <w:rsid w:val="00CF742C"/>
    <w:rsid w:val="00CF76E9"/>
    <w:rsid w:val="00CF774B"/>
    <w:rsid w:val="00CF7A38"/>
    <w:rsid w:val="00D00085"/>
    <w:rsid w:val="00D006FE"/>
    <w:rsid w:val="00D0100B"/>
    <w:rsid w:val="00D01669"/>
    <w:rsid w:val="00D01883"/>
    <w:rsid w:val="00D01D2E"/>
    <w:rsid w:val="00D022F2"/>
    <w:rsid w:val="00D0237E"/>
    <w:rsid w:val="00D0262E"/>
    <w:rsid w:val="00D028B1"/>
    <w:rsid w:val="00D03679"/>
    <w:rsid w:val="00D03BF4"/>
    <w:rsid w:val="00D04923"/>
    <w:rsid w:val="00D04E82"/>
    <w:rsid w:val="00D05D36"/>
    <w:rsid w:val="00D05E3D"/>
    <w:rsid w:val="00D06090"/>
    <w:rsid w:val="00D06139"/>
    <w:rsid w:val="00D06A69"/>
    <w:rsid w:val="00D06F6D"/>
    <w:rsid w:val="00D07208"/>
    <w:rsid w:val="00D0751F"/>
    <w:rsid w:val="00D07E50"/>
    <w:rsid w:val="00D10E98"/>
    <w:rsid w:val="00D110BD"/>
    <w:rsid w:val="00D116F6"/>
    <w:rsid w:val="00D11BAA"/>
    <w:rsid w:val="00D12222"/>
    <w:rsid w:val="00D12CE3"/>
    <w:rsid w:val="00D13137"/>
    <w:rsid w:val="00D13675"/>
    <w:rsid w:val="00D13CEB"/>
    <w:rsid w:val="00D141E1"/>
    <w:rsid w:val="00D15054"/>
    <w:rsid w:val="00D151CA"/>
    <w:rsid w:val="00D15314"/>
    <w:rsid w:val="00D15672"/>
    <w:rsid w:val="00D1578F"/>
    <w:rsid w:val="00D15B48"/>
    <w:rsid w:val="00D160F3"/>
    <w:rsid w:val="00D175A7"/>
    <w:rsid w:val="00D17BCE"/>
    <w:rsid w:val="00D17D6C"/>
    <w:rsid w:val="00D2108C"/>
    <w:rsid w:val="00D21153"/>
    <w:rsid w:val="00D2155B"/>
    <w:rsid w:val="00D21681"/>
    <w:rsid w:val="00D21686"/>
    <w:rsid w:val="00D21E03"/>
    <w:rsid w:val="00D224EC"/>
    <w:rsid w:val="00D228D5"/>
    <w:rsid w:val="00D22D71"/>
    <w:rsid w:val="00D2301B"/>
    <w:rsid w:val="00D23D11"/>
    <w:rsid w:val="00D2430B"/>
    <w:rsid w:val="00D244B6"/>
    <w:rsid w:val="00D24711"/>
    <w:rsid w:val="00D24B8C"/>
    <w:rsid w:val="00D25544"/>
    <w:rsid w:val="00D25842"/>
    <w:rsid w:val="00D2590C"/>
    <w:rsid w:val="00D25F3C"/>
    <w:rsid w:val="00D2666D"/>
    <w:rsid w:val="00D26E42"/>
    <w:rsid w:val="00D26FEE"/>
    <w:rsid w:val="00D2754D"/>
    <w:rsid w:val="00D27719"/>
    <w:rsid w:val="00D27B27"/>
    <w:rsid w:val="00D30AD5"/>
    <w:rsid w:val="00D30D5B"/>
    <w:rsid w:val="00D310ED"/>
    <w:rsid w:val="00D3157F"/>
    <w:rsid w:val="00D31614"/>
    <w:rsid w:val="00D322C4"/>
    <w:rsid w:val="00D32472"/>
    <w:rsid w:val="00D32ABE"/>
    <w:rsid w:val="00D32E5E"/>
    <w:rsid w:val="00D3379E"/>
    <w:rsid w:val="00D33BE9"/>
    <w:rsid w:val="00D33F93"/>
    <w:rsid w:val="00D34877"/>
    <w:rsid w:val="00D34B03"/>
    <w:rsid w:val="00D350D1"/>
    <w:rsid w:val="00D357FF"/>
    <w:rsid w:val="00D35984"/>
    <w:rsid w:val="00D35CDD"/>
    <w:rsid w:val="00D36026"/>
    <w:rsid w:val="00D36572"/>
    <w:rsid w:val="00D36ABE"/>
    <w:rsid w:val="00D40084"/>
    <w:rsid w:val="00D40105"/>
    <w:rsid w:val="00D40197"/>
    <w:rsid w:val="00D40EC6"/>
    <w:rsid w:val="00D41114"/>
    <w:rsid w:val="00D41179"/>
    <w:rsid w:val="00D41B41"/>
    <w:rsid w:val="00D421C3"/>
    <w:rsid w:val="00D424C7"/>
    <w:rsid w:val="00D430EF"/>
    <w:rsid w:val="00D432C8"/>
    <w:rsid w:val="00D43447"/>
    <w:rsid w:val="00D43557"/>
    <w:rsid w:val="00D43915"/>
    <w:rsid w:val="00D43B2A"/>
    <w:rsid w:val="00D43CF1"/>
    <w:rsid w:val="00D43D83"/>
    <w:rsid w:val="00D4404D"/>
    <w:rsid w:val="00D45ECB"/>
    <w:rsid w:val="00D45F02"/>
    <w:rsid w:val="00D46D32"/>
    <w:rsid w:val="00D473EC"/>
    <w:rsid w:val="00D47575"/>
    <w:rsid w:val="00D47CB3"/>
    <w:rsid w:val="00D5068F"/>
    <w:rsid w:val="00D50928"/>
    <w:rsid w:val="00D50A45"/>
    <w:rsid w:val="00D50B76"/>
    <w:rsid w:val="00D51004"/>
    <w:rsid w:val="00D514EB"/>
    <w:rsid w:val="00D51ED0"/>
    <w:rsid w:val="00D5243B"/>
    <w:rsid w:val="00D526CF"/>
    <w:rsid w:val="00D52B29"/>
    <w:rsid w:val="00D52B7C"/>
    <w:rsid w:val="00D52EA7"/>
    <w:rsid w:val="00D533EC"/>
    <w:rsid w:val="00D53548"/>
    <w:rsid w:val="00D539D3"/>
    <w:rsid w:val="00D53B22"/>
    <w:rsid w:val="00D54202"/>
    <w:rsid w:val="00D54A0F"/>
    <w:rsid w:val="00D56A95"/>
    <w:rsid w:val="00D56E5C"/>
    <w:rsid w:val="00D56F9B"/>
    <w:rsid w:val="00D57077"/>
    <w:rsid w:val="00D57138"/>
    <w:rsid w:val="00D5751F"/>
    <w:rsid w:val="00D576E8"/>
    <w:rsid w:val="00D57817"/>
    <w:rsid w:val="00D57E29"/>
    <w:rsid w:val="00D602A1"/>
    <w:rsid w:val="00D6076E"/>
    <w:rsid w:val="00D61CFF"/>
    <w:rsid w:val="00D62728"/>
    <w:rsid w:val="00D62B91"/>
    <w:rsid w:val="00D63769"/>
    <w:rsid w:val="00D63B66"/>
    <w:rsid w:val="00D65558"/>
    <w:rsid w:val="00D65D45"/>
    <w:rsid w:val="00D6617B"/>
    <w:rsid w:val="00D66436"/>
    <w:rsid w:val="00D67673"/>
    <w:rsid w:val="00D67BF9"/>
    <w:rsid w:val="00D70783"/>
    <w:rsid w:val="00D70F16"/>
    <w:rsid w:val="00D70FFC"/>
    <w:rsid w:val="00D723FC"/>
    <w:rsid w:val="00D72617"/>
    <w:rsid w:val="00D72F57"/>
    <w:rsid w:val="00D74420"/>
    <w:rsid w:val="00D7459B"/>
    <w:rsid w:val="00D74751"/>
    <w:rsid w:val="00D750B6"/>
    <w:rsid w:val="00D7559C"/>
    <w:rsid w:val="00D75B7C"/>
    <w:rsid w:val="00D75E8B"/>
    <w:rsid w:val="00D76A44"/>
    <w:rsid w:val="00D76EF1"/>
    <w:rsid w:val="00D80226"/>
    <w:rsid w:val="00D805D1"/>
    <w:rsid w:val="00D80827"/>
    <w:rsid w:val="00D80B9C"/>
    <w:rsid w:val="00D8101E"/>
    <w:rsid w:val="00D815EF"/>
    <w:rsid w:val="00D81648"/>
    <w:rsid w:val="00D81949"/>
    <w:rsid w:val="00D81F26"/>
    <w:rsid w:val="00D822E2"/>
    <w:rsid w:val="00D82793"/>
    <w:rsid w:val="00D833ED"/>
    <w:rsid w:val="00D83F26"/>
    <w:rsid w:val="00D840E4"/>
    <w:rsid w:val="00D843F2"/>
    <w:rsid w:val="00D84C80"/>
    <w:rsid w:val="00D850AD"/>
    <w:rsid w:val="00D85122"/>
    <w:rsid w:val="00D85404"/>
    <w:rsid w:val="00D85EB7"/>
    <w:rsid w:val="00D86231"/>
    <w:rsid w:val="00D87396"/>
    <w:rsid w:val="00D87762"/>
    <w:rsid w:val="00D878D1"/>
    <w:rsid w:val="00D87FF3"/>
    <w:rsid w:val="00D9036A"/>
    <w:rsid w:val="00D90C1D"/>
    <w:rsid w:val="00D90F5B"/>
    <w:rsid w:val="00D90FE2"/>
    <w:rsid w:val="00D912AB"/>
    <w:rsid w:val="00D91474"/>
    <w:rsid w:val="00D91923"/>
    <w:rsid w:val="00D91F2C"/>
    <w:rsid w:val="00D92D9D"/>
    <w:rsid w:val="00D92E88"/>
    <w:rsid w:val="00D931F0"/>
    <w:rsid w:val="00D93753"/>
    <w:rsid w:val="00D93DB5"/>
    <w:rsid w:val="00D94017"/>
    <w:rsid w:val="00D94A4C"/>
    <w:rsid w:val="00D94B23"/>
    <w:rsid w:val="00D94CCA"/>
    <w:rsid w:val="00D95520"/>
    <w:rsid w:val="00D96847"/>
    <w:rsid w:val="00D96D6B"/>
    <w:rsid w:val="00D96E1D"/>
    <w:rsid w:val="00D975FA"/>
    <w:rsid w:val="00DA0F25"/>
    <w:rsid w:val="00DA1311"/>
    <w:rsid w:val="00DA21ED"/>
    <w:rsid w:val="00DA28FF"/>
    <w:rsid w:val="00DA2C95"/>
    <w:rsid w:val="00DA2E0C"/>
    <w:rsid w:val="00DA3167"/>
    <w:rsid w:val="00DA325B"/>
    <w:rsid w:val="00DA3427"/>
    <w:rsid w:val="00DA35E2"/>
    <w:rsid w:val="00DA3786"/>
    <w:rsid w:val="00DA3D2C"/>
    <w:rsid w:val="00DA3E5C"/>
    <w:rsid w:val="00DA4016"/>
    <w:rsid w:val="00DA4D98"/>
    <w:rsid w:val="00DA4DC3"/>
    <w:rsid w:val="00DA4DD2"/>
    <w:rsid w:val="00DA57B9"/>
    <w:rsid w:val="00DA5880"/>
    <w:rsid w:val="00DA66E3"/>
    <w:rsid w:val="00DA6DA2"/>
    <w:rsid w:val="00DA6FF5"/>
    <w:rsid w:val="00DA74FC"/>
    <w:rsid w:val="00DA77A5"/>
    <w:rsid w:val="00DA7964"/>
    <w:rsid w:val="00DB032D"/>
    <w:rsid w:val="00DB0686"/>
    <w:rsid w:val="00DB0787"/>
    <w:rsid w:val="00DB0BC6"/>
    <w:rsid w:val="00DB0E36"/>
    <w:rsid w:val="00DB1257"/>
    <w:rsid w:val="00DB140E"/>
    <w:rsid w:val="00DB1EA1"/>
    <w:rsid w:val="00DB2723"/>
    <w:rsid w:val="00DB3075"/>
    <w:rsid w:val="00DB32A7"/>
    <w:rsid w:val="00DB3DBF"/>
    <w:rsid w:val="00DB484F"/>
    <w:rsid w:val="00DB5311"/>
    <w:rsid w:val="00DB5791"/>
    <w:rsid w:val="00DB593C"/>
    <w:rsid w:val="00DB5D32"/>
    <w:rsid w:val="00DB5DDC"/>
    <w:rsid w:val="00DB6B13"/>
    <w:rsid w:val="00DB7BA2"/>
    <w:rsid w:val="00DC0459"/>
    <w:rsid w:val="00DC04F6"/>
    <w:rsid w:val="00DC0581"/>
    <w:rsid w:val="00DC0690"/>
    <w:rsid w:val="00DC0F9E"/>
    <w:rsid w:val="00DC10C3"/>
    <w:rsid w:val="00DC1D65"/>
    <w:rsid w:val="00DC1DB0"/>
    <w:rsid w:val="00DC21B1"/>
    <w:rsid w:val="00DC22C5"/>
    <w:rsid w:val="00DC25E1"/>
    <w:rsid w:val="00DC27A9"/>
    <w:rsid w:val="00DC2E22"/>
    <w:rsid w:val="00DC3C57"/>
    <w:rsid w:val="00DC42EC"/>
    <w:rsid w:val="00DC49F9"/>
    <w:rsid w:val="00DC5501"/>
    <w:rsid w:val="00DC5D5A"/>
    <w:rsid w:val="00DC5DE4"/>
    <w:rsid w:val="00DC67A4"/>
    <w:rsid w:val="00DC6AB8"/>
    <w:rsid w:val="00DC6D45"/>
    <w:rsid w:val="00DC7154"/>
    <w:rsid w:val="00DC773C"/>
    <w:rsid w:val="00DC7E80"/>
    <w:rsid w:val="00DC7E8A"/>
    <w:rsid w:val="00DD040E"/>
    <w:rsid w:val="00DD0E7A"/>
    <w:rsid w:val="00DD0F78"/>
    <w:rsid w:val="00DD13D4"/>
    <w:rsid w:val="00DD1830"/>
    <w:rsid w:val="00DD1ADA"/>
    <w:rsid w:val="00DD2335"/>
    <w:rsid w:val="00DD2582"/>
    <w:rsid w:val="00DD273C"/>
    <w:rsid w:val="00DD2EB6"/>
    <w:rsid w:val="00DD2EE9"/>
    <w:rsid w:val="00DD35E2"/>
    <w:rsid w:val="00DD3C5C"/>
    <w:rsid w:val="00DD3CBE"/>
    <w:rsid w:val="00DD3F28"/>
    <w:rsid w:val="00DD4446"/>
    <w:rsid w:val="00DD4537"/>
    <w:rsid w:val="00DD4879"/>
    <w:rsid w:val="00DD4E15"/>
    <w:rsid w:val="00DD56F0"/>
    <w:rsid w:val="00DD5D9A"/>
    <w:rsid w:val="00DD7120"/>
    <w:rsid w:val="00DD7C91"/>
    <w:rsid w:val="00DE10DD"/>
    <w:rsid w:val="00DE15C9"/>
    <w:rsid w:val="00DE18E1"/>
    <w:rsid w:val="00DE1FDC"/>
    <w:rsid w:val="00DE2304"/>
    <w:rsid w:val="00DE2508"/>
    <w:rsid w:val="00DE2935"/>
    <w:rsid w:val="00DE29DD"/>
    <w:rsid w:val="00DE303B"/>
    <w:rsid w:val="00DE3138"/>
    <w:rsid w:val="00DE35BA"/>
    <w:rsid w:val="00DE36FA"/>
    <w:rsid w:val="00DE37A0"/>
    <w:rsid w:val="00DE37F8"/>
    <w:rsid w:val="00DE3DAE"/>
    <w:rsid w:val="00DE4273"/>
    <w:rsid w:val="00DE4F62"/>
    <w:rsid w:val="00DE4FCB"/>
    <w:rsid w:val="00DE5075"/>
    <w:rsid w:val="00DE50BD"/>
    <w:rsid w:val="00DE50FF"/>
    <w:rsid w:val="00DE5D07"/>
    <w:rsid w:val="00DE5EEE"/>
    <w:rsid w:val="00DE6047"/>
    <w:rsid w:val="00DE72A7"/>
    <w:rsid w:val="00DE7832"/>
    <w:rsid w:val="00DE7A3E"/>
    <w:rsid w:val="00DF014C"/>
    <w:rsid w:val="00DF069F"/>
    <w:rsid w:val="00DF0BBA"/>
    <w:rsid w:val="00DF0BF1"/>
    <w:rsid w:val="00DF18FC"/>
    <w:rsid w:val="00DF2F81"/>
    <w:rsid w:val="00DF3D5D"/>
    <w:rsid w:val="00DF4162"/>
    <w:rsid w:val="00DF46E2"/>
    <w:rsid w:val="00DF4D2C"/>
    <w:rsid w:val="00DF5D2B"/>
    <w:rsid w:val="00DF6341"/>
    <w:rsid w:val="00DF6E46"/>
    <w:rsid w:val="00DF78E4"/>
    <w:rsid w:val="00DF78F0"/>
    <w:rsid w:val="00E0033E"/>
    <w:rsid w:val="00E00E8E"/>
    <w:rsid w:val="00E0159B"/>
    <w:rsid w:val="00E0174D"/>
    <w:rsid w:val="00E0206B"/>
    <w:rsid w:val="00E02534"/>
    <w:rsid w:val="00E036CA"/>
    <w:rsid w:val="00E04287"/>
    <w:rsid w:val="00E05630"/>
    <w:rsid w:val="00E05993"/>
    <w:rsid w:val="00E060AF"/>
    <w:rsid w:val="00E061F2"/>
    <w:rsid w:val="00E06628"/>
    <w:rsid w:val="00E068EE"/>
    <w:rsid w:val="00E06C61"/>
    <w:rsid w:val="00E06DBB"/>
    <w:rsid w:val="00E06EA7"/>
    <w:rsid w:val="00E075C7"/>
    <w:rsid w:val="00E07AC4"/>
    <w:rsid w:val="00E07D0E"/>
    <w:rsid w:val="00E10149"/>
    <w:rsid w:val="00E10423"/>
    <w:rsid w:val="00E10757"/>
    <w:rsid w:val="00E109B3"/>
    <w:rsid w:val="00E11255"/>
    <w:rsid w:val="00E11340"/>
    <w:rsid w:val="00E11D9E"/>
    <w:rsid w:val="00E11F48"/>
    <w:rsid w:val="00E12071"/>
    <w:rsid w:val="00E122A1"/>
    <w:rsid w:val="00E1256F"/>
    <w:rsid w:val="00E12FE1"/>
    <w:rsid w:val="00E14375"/>
    <w:rsid w:val="00E150BA"/>
    <w:rsid w:val="00E15129"/>
    <w:rsid w:val="00E16353"/>
    <w:rsid w:val="00E16372"/>
    <w:rsid w:val="00E16802"/>
    <w:rsid w:val="00E16AD8"/>
    <w:rsid w:val="00E171C6"/>
    <w:rsid w:val="00E1738F"/>
    <w:rsid w:val="00E17398"/>
    <w:rsid w:val="00E1748A"/>
    <w:rsid w:val="00E174D2"/>
    <w:rsid w:val="00E17BD3"/>
    <w:rsid w:val="00E17EB0"/>
    <w:rsid w:val="00E17FD0"/>
    <w:rsid w:val="00E17FFA"/>
    <w:rsid w:val="00E204C9"/>
    <w:rsid w:val="00E204F9"/>
    <w:rsid w:val="00E20ADB"/>
    <w:rsid w:val="00E20E4D"/>
    <w:rsid w:val="00E20ED6"/>
    <w:rsid w:val="00E21358"/>
    <w:rsid w:val="00E2249B"/>
    <w:rsid w:val="00E22A0D"/>
    <w:rsid w:val="00E22E89"/>
    <w:rsid w:val="00E22EB0"/>
    <w:rsid w:val="00E23B83"/>
    <w:rsid w:val="00E24442"/>
    <w:rsid w:val="00E244F6"/>
    <w:rsid w:val="00E248D7"/>
    <w:rsid w:val="00E24C20"/>
    <w:rsid w:val="00E24CAF"/>
    <w:rsid w:val="00E2540A"/>
    <w:rsid w:val="00E254AB"/>
    <w:rsid w:val="00E2569A"/>
    <w:rsid w:val="00E258DB"/>
    <w:rsid w:val="00E25DD0"/>
    <w:rsid w:val="00E263D6"/>
    <w:rsid w:val="00E26540"/>
    <w:rsid w:val="00E26900"/>
    <w:rsid w:val="00E26D2C"/>
    <w:rsid w:val="00E272F8"/>
    <w:rsid w:val="00E274A1"/>
    <w:rsid w:val="00E2771E"/>
    <w:rsid w:val="00E27A4B"/>
    <w:rsid w:val="00E27B76"/>
    <w:rsid w:val="00E3036C"/>
    <w:rsid w:val="00E304D4"/>
    <w:rsid w:val="00E30571"/>
    <w:rsid w:val="00E30EF4"/>
    <w:rsid w:val="00E311EF"/>
    <w:rsid w:val="00E314E4"/>
    <w:rsid w:val="00E31B5F"/>
    <w:rsid w:val="00E32180"/>
    <w:rsid w:val="00E3220D"/>
    <w:rsid w:val="00E32D14"/>
    <w:rsid w:val="00E32EFF"/>
    <w:rsid w:val="00E335AA"/>
    <w:rsid w:val="00E33D21"/>
    <w:rsid w:val="00E34372"/>
    <w:rsid w:val="00E34948"/>
    <w:rsid w:val="00E35691"/>
    <w:rsid w:val="00E35692"/>
    <w:rsid w:val="00E35CBB"/>
    <w:rsid w:val="00E361C6"/>
    <w:rsid w:val="00E367EE"/>
    <w:rsid w:val="00E37569"/>
    <w:rsid w:val="00E401B2"/>
    <w:rsid w:val="00E418C4"/>
    <w:rsid w:val="00E41933"/>
    <w:rsid w:val="00E41A04"/>
    <w:rsid w:val="00E41E30"/>
    <w:rsid w:val="00E4252C"/>
    <w:rsid w:val="00E42665"/>
    <w:rsid w:val="00E42F73"/>
    <w:rsid w:val="00E431C5"/>
    <w:rsid w:val="00E43D70"/>
    <w:rsid w:val="00E43EDE"/>
    <w:rsid w:val="00E43F10"/>
    <w:rsid w:val="00E445D9"/>
    <w:rsid w:val="00E44D89"/>
    <w:rsid w:val="00E4512E"/>
    <w:rsid w:val="00E4539C"/>
    <w:rsid w:val="00E466F3"/>
    <w:rsid w:val="00E46BF2"/>
    <w:rsid w:val="00E4727F"/>
    <w:rsid w:val="00E47865"/>
    <w:rsid w:val="00E47B2C"/>
    <w:rsid w:val="00E47B90"/>
    <w:rsid w:val="00E50B6D"/>
    <w:rsid w:val="00E51560"/>
    <w:rsid w:val="00E517DD"/>
    <w:rsid w:val="00E51821"/>
    <w:rsid w:val="00E52201"/>
    <w:rsid w:val="00E5273D"/>
    <w:rsid w:val="00E529D5"/>
    <w:rsid w:val="00E52B58"/>
    <w:rsid w:val="00E53A85"/>
    <w:rsid w:val="00E53FC8"/>
    <w:rsid w:val="00E5427A"/>
    <w:rsid w:val="00E54347"/>
    <w:rsid w:val="00E54406"/>
    <w:rsid w:val="00E5523D"/>
    <w:rsid w:val="00E55424"/>
    <w:rsid w:val="00E55915"/>
    <w:rsid w:val="00E55A46"/>
    <w:rsid w:val="00E55BB5"/>
    <w:rsid w:val="00E55F6E"/>
    <w:rsid w:val="00E56006"/>
    <w:rsid w:val="00E56294"/>
    <w:rsid w:val="00E5638B"/>
    <w:rsid w:val="00E570F8"/>
    <w:rsid w:val="00E6024E"/>
    <w:rsid w:val="00E6031C"/>
    <w:rsid w:val="00E60666"/>
    <w:rsid w:val="00E6081F"/>
    <w:rsid w:val="00E60DF7"/>
    <w:rsid w:val="00E60F2C"/>
    <w:rsid w:val="00E60F46"/>
    <w:rsid w:val="00E60F7A"/>
    <w:rsid w:val="00E611DF"/>
    <w:rsid w:val="00E61BDD"/>
    <w:rsid w:val="00E62195"/>
    <w:rsid w:val="00E62770"/>
    <w:rsid w:val="00E63120"/>
    <w:rsid w:val="00E63460"/>
    <w:rsid w:val="00E63A51"/>
    <w:rsid w:val="00E63D46"/>
    <w:rsid w:val="00E65BE5"/>
    <w:rsid w:val="00E65DAC"/>
    <w:rsid w:val="00E65DB7"/>
    <w:rsid w:val="00E65E79"/>
    <w:rsid w:val="00E668E7"/>
    <w:rsid w:val="00E66BA2"/>
    <w:rsid w:val="00E6723F"/>
    <w:rsid w:val="00E67416"/>
    <w:rsid w:val="00E67CDF"/>
    <w:rsid w:val="00E67DFF"/>
    <w:rsid w:val="00E701B6"/>
    <w:rsid w:val="00E70211"/>
    <w:rsid w:val="00E70E62"/>
    <w:rsid w:val="00E70E9E"/>
    <w:rsid w:val="00E718B6"/>
    <w:rsid w:val="00E71B80"/>
    <w:rsid w:val="00E723BA"/>
    <w:rsid w:val="00E72553"/>
    <w:rsid w:val="00E7284C"/>
    <w:rsid w:val="00E72859"/>
    <w:rsid w:val="00E72F06"/>
    <w:rsid w:val="00E7335F"/>
    <w:rsid w:val="00E7345C"/>
    <w:rsid w:val="00E73581"/>
    <w:rsid w:val="00E73F3A"/>
    <w:rsid w:val="00E742E9"/>
    <w:rsid w:val="00E74544"/>
    <w:rsid w:val="00E7468E"/>
    <w:rsid w:val="00E74A7E"/>
    <w:rsid w:val="00E75693"/>
    <w:rsid w:val="00E759B8"/>
    <w:rsid w:val="00E75D99"/>
    <w:rsid w:val="00E76C47"/>
    <w:rsid w:val="00E7738D"/>
    <w:rsid w:val="00E7786F"/>
    <w:rsid w:val="00E77E1F"/>
    <w:rsid w:val="00E80328"/>
    <w:rsid w:val="00E80AF4"/>
    <w:rsid w:val="00E81053"/>
    <w:rsid w:val="00E815CB"/>
    <w:rsid w:val="00E81A9A"/>
    <w:rsid w:val="00E81DBB"/>
    <w:rsid w:val="00E82252"/>
    <w:rsid w:val="00E8250A"/>
    <w:rsid w:val="00E828BE"/>
    <w:rsid w:val="00E82B32"/>
    <w:rsid w:val="00E82B7D"/>
    <w:rsid w:val="00E82E3A"/>
    <w:rsid w:val="00E8305D"/>
    <w:rsid w:val="00E833F7"/>
    <w:rsid w:val="00E8348E"/>
    <w:rsid w:val="00E836B0"/>
    <w:rsid w:val="00E836EF"/>
    <w:rsid w:val="00E8398B"/>
    <w:rsid w:val="00E83BDF"/>
    <w:rsid w:val="00E8498E"/>
    <w:rsid w:val="00E8529E"/>
    <w:rsid w:val="00E85367"/>
    <w:rsid w:val="00E857A3"/>
    <w:rsid w:val="00E86146"/>
    <w:rsid w:val="00E86231"/>
    <w:rsid w:val="00E867A0"/>
    <w:rsid w:val="00E86B94"/>
    <w:rsid w:val="00E86E0D"/>
    <w:rsid w:val="00E86FCC"/>
    <w:rsid w:val="00E87A1D"/>
    <w:rsid w:val="00E87FFC"/>
    <w:rsid w:val="00E9094A"/>
    <w:rsid w:val="00E91BF8"/>
    <w:rsid w:val="00E91D35"/>
    <w:rsid w:val="00E91E43"/>
    <w:rsid w:val="00E92325"/>
    <w:rsid w:val="00E926A5"/>
    <w:rsid w:val="00E92CE3"/>
    <w:rsid w:val="00E93216"/>
    <w:rsid w:val="00E934A4"/>
    <w:rsid w:val="00E937D7"/>
    <w:rsid w:val="00E94533"/>
    <w:rsid w:val="00E9464D"/>
    <w:rsid w:val="00E9479E"/>
    <w:rsid w:val="00E962CC"/>
    <w:rsid w:val="00E965E4"/>
    <w:rsid w:val="00E96959"/>
    <w:rsid w:val="00E9727C"/>
    <w:rsid w:val="00EA1322"/>
    <w:rsid w:val="00EA17C3"/>
    <w:rsid w:val="00EA17D1"/>
    <w:rsid w:val="00EA19F2"/>
    <w:rsid w:val="00EA2267"/>
    <w:rsid w:val="00EA27B4"/>
    <w:rsid w:val="00EA29BD"/>
    <w:rsid w:val="00EA2CAA"/>
    <w:rsid w:val="00EA2FF6"/>
    <w:rsid w:val="00EA3864"/>
    <w:rsid w:val="00EA38CB"/>
    <w:rsid w:val="00EA3A0D"/>
    <w:rsid w:val="00EA3A5A"/>
    <w:rsid w:val="00EA3C02"/>
    <w:rsid w:val="00EA4105"/>
    <w:rsid w:val="00EA4658"/>
    <w:rsid w:val="00EA4759"/>
    <w:rsid w:val="00EA4EF4"/>
    <w:rsid w:val="00EA5162"/>
    <w:rsid w:val="00EA5A50"/>
    <w:rsid w:val="00EA6201"/>
    <w:rsid w:val="00EA65E1"/>
    <w:rsid w:val="00EA65F9"/>
    <w:rsid w:val="00EA6ED8"/>
    <w:rsid w:val="00EA79E6"/>
    <w:rsid w:val="00EA7F1C"/>
    <w:rsid w:val="00EB0208"/>
    <w:rsid w:val="00EB15B6"/>
    <w:rsid w:val="00EB3D06"/>
    <w:rsid w:val="00EB4469"/>
    <w:rsid w:val="00EB4916"/>
    <w:rsid w:val="00EB4F2B"/>
    <w:rsid w:val="00EB5944"/>
    <w:rsid w:val="00EB5A75"/>
    <w:rsid w:val="00EB5B79"/>
    <w:rsid w:val="00EB5BA4"/>
    <w:rsid w:val="00EB5CC0"/>
    <w:rsid w:val="00EB6195"/>
    <w:rsid w:val="00EB665D"/>
    <w:rsid w:val="00EB6797"/>
    <w:rsid w:val="00EB6CF7"/>
    <w:rsid w:val="00EB7A51"/>
    <w:rsid w:val="00EC0048"/>
    <w:rsid w:val="00EC00C9"/>
    <w:rsid w:val="00EC0DD9"/>
    <w:rsid w:val="00EC0F9F"/>
    <w:rsid w:val="00EC1414"/>
    <w:rsid w:val="00EC2308"/>
    <w:rsid w:val="00EC2649"/>
    <w:rsid w:val="00EC2822"/>
    <w:rsid w:val="00EC28BC"/>
    <w:rsid w:val="00EC31ED"/>
    <w:rsid w:val="00EC35E9"/>
    <w:rsid w:val="00EC35EB"/>
    <w:rsid w:val="00EC3711"/>
    <w:rsid w:val="00EC3A2D"/>
    <w:rsid w:val="00EC3D5E"/>
    <w:rsid w:val="00EC42CD"/>
    <w:rsid w:val="00EC4962"/>
    <w:rsid w:val="00EC4A6E"/>
    <w:rsid w:val="00EC4A96"/>
    <w:rsid w:val="00EC5836"/>
    <w:rsid w:val="00EC6406"/>
    <w:rsid w:val="00EC688C"/>
    <w:rsid w:val="00EC69A1"/>
    <w:rsid w:val="00EC6EE8"/>
    <w:rsid w:val="00ED0CBB"/>
    <w:rsid w:val="00ED12E3"/>
    <w:rsid w:val="00ED186F"/>
    <w:rsid w:val="00ED24D3"/>
    <w:rsid w:val="00ED2977"/>
    <w:rsid w:val="00ED2B74"/>
    <w:rsid w:val="00ED2BBA"/>
    <w:rsid w:val="00ED2CE2"/>
    <w:rsid w:val="00ED2EA8"/>
    <w:rsid w:val="00ED3859"/>
    <w:rsid w:val="00ED386E"/>
    <w:rsid w:val="00ED3B1F"/>
    <w:rsid w:val="00ED3E71"/>
    <w:rsid w:val="00ED47C5"/>
    <w:rsid w:val="00ED4B04"/>
    <w:rsid w:val="00ED4DB2"/>
    <w:rsid w:val="00ED57EA"/>
    <w:rsid w:val="00ED5BD4"/>
    <w:rsid w:val="00ED5DE0"/>
    <w:rsid w:val="00ED5E2A"/>
    <w:rsid w:val="00ED6308"/>
    <w:rsid w:val="00ED6D10"/>
    <w:rsid w:val="00ED71C6"/>
    <w:rsid w:val="00ED7447"/>
    <w:rsid w:val="00ED78F0"/>
    <w:rsid w:val="00EE01ED"/>
    <w:rsid w:val="00EE0431"/>
    <w:rsid w:val="00EE07D3"/>
    <w:rsid w:val="00EE0E4C"/>
    <w:rsid w:val="00EE1598"/>
    <w:rsid w:val="00EE15EB"/>
    <w:rsid w:val="00EE17AC"/>
    <w:rsid w:val="00EE1896"/>
    <w:rsid w:val="00EE1996"/>
    <w:rsid w:val="00EE1C01"/>
    <w:rsid w:val="00EE1CE7"/>
    <w:rsid w:val="00EE22AF"/>
    <w:rsid w:val="00EE411F"/>
    <w:rsid w:val="00EE4603"/>
    <w:rsid w:val="00EE4B21"/>
    <w:rsid w:val="00EE4D5B"/>
    <w:rsid w:val="00EE4F27"/>
    <w:rsid w:val="00EE5321"/>
    <w:rsid w:val="00EE5A9D"/>
    <w:rsid w:val="00EE63A5"/>
    <w:rsid w:val="00EE684D"/>
    <w:rsid w:val="00EE6AB9"/>
    <w:rsid w:val="00EE6C5F"/>
    <w:rsid w:val="00EE7268"/>
    <w:rsid w:val="00EE7355"/>
    <w:rsid w:val="00EE7434"/>
    <w:rsid w:val="00EE75F6"/>
    <w:rsid w:val="00EF0171"/>
    <w:rsid w:val="00EF062B"/>
    <w:rsid w:val="00EF0B0B"/>
    <w:rsid w:val="00EF1094"/>
    <w:rsid w:val="00EF1B25"/>
    <w:rsid w:val="00EF1DA0"/>
    <w:rsid w:val="00EF2403"/>
    <w:rsid w:val="00EF2AB7"/>
    <w:rsid w:val="00EF2D03"/>
    <w:rsid w:val="00EF3857"/>
    <w:rsid w:val="00EF3B37"/>
    <w:rsid w:val="00EF4747"/>
    <w:rsid w:val="00EF48E0"/>
    <w:rsid w:val="00EF4BF8"/>
    <w:rsid w:val="00EF4EFB"/>
    <w:rsid w:val="00EF57B8"/>
    <w:rsid w:val="00EF5DBB"/>
    <w:rsid w:val="00EF625F"/>
    <w:rsid w:val="00EF65A7"/>
    <w:rsid w:val="00EF6620"/>
    <w:rsid w:val="00EF6DB2"/>
    <w:rsid w:val="00EF7D11"/>
    <w:rsid w:val="00EF7E4E"/>
    <w:rsid w:val="00F00062"/>
    <w:rsid w:val="00F00B14"/>
    <w:rsid w:val="00F012A4"/>
    <w:rsid w:val="00F01FC1"/>
    <w:rsid w:val="00F020AE"/>
    <w:rsid w:val="00F02253"/>
    <w:rsid w:val="00F028DA"/>
    <w:rsid w:val="00F02CB6"/>
    <w:rsid w:val="00F032EC"/>
    <w:rsid w:val="00F03694"/>
    <w:rsid w:val="00F03C2E"/>
    <w:rsid w:val="00F03E02"/>
    <w:rsid w:val="00F0463B"/>
    <w:rsid w:val="00F04846"/>
    <w:rsid w:val="00F04971"/>
    <w:rsid w:val="00F04A66"/>
    <w:rsid w:val="00F04B4B"/>
    <w:rsid w:val="00F04B7A"/>
    <w:rsid w:val="00F0516C"/>
    <w:rsid w:val="00F055D8"/>
    <w:rsid w:val="00F06446"/>
    <w:rsid w:val="00F067A2"/>
    <w:rsid w:val="00F0688E"/>
    <w:rsid w:val="00F074C6"/>
    <w:rsid w:val="00F07B9E"/>
    <w:rsid w:val="00F07BDE"/>
    <w:rsid w:val="00F1029F"/>
    <w:rsid w:val="00F10638"/>
    <w:rsid w:val="00F1083F"/>
    <w:rsid w:val="00F1116F"/>
    <w:rsid w:val="00F117F6"/>
    <w:rsid w:val="00F1263A"/>
    <w:rsid w:val="00F12654"/>
    <w:rsid w:val="00F126EF"/>
    <w:rsid w:val="00F12D37"/>
    <w:rsid w:val="00F131F3"/>
    <w:rsid w:val="00F13399"/>
    <w:rsid w:val="00F139C5"/>
    <w:rsid w:val="00F1403A"/>
    <w:rsid w:val="00F1409E"/>
    <w:rsid w:val="00F14636"/>
    <w:rsid w:val="00F1476A"/>
    <w:rsid w:val="00F14871"/>
    <w:rsid w:val="00F14B1A"/>
    <w:rsid w:val="00F14C4E"/>
    <w:rsid w:val="00F15B1B"/>
    <w:rsid w:val="00F15B77"/>
    <w:rsid w:val="00F17D67"/>
    <w:rsid w:val="00F206DF"/>
    <w:rsid w:val="00F210F0"/>
    <w:rsid w:val="00F21236"/>
    <w:rsid w:val="00F2219B"/>
    <w:rsid w:val="00F22BFF"/>
    <w:rsid w:val="00F23003"/>
    <w:rsid w:val="00F239DF"/>
    <w:rsid w:val="00F23D96"/>
    <w:rsid w:val="00F23EBE"/>
    <w:rsid w:val="00F242F8"/>
    <w:rsid w:val="00F24837"/>
    <w:rsid w:val="00F24B26"/>
    <w:rsid w:val="00F2575F"/>
    <w:rsid w:val="00F25B00"/>
    <w:rsid w:val="00F25EB8"/>
    <w:rsid w:val="00F26FAD"/>
    <w:rsid w:val="00F27565"/>
    <w:rsid w:val="00F302DE"/>
    <w:rsid w:val="00F30A5E"/>
    <w:rsid w:val="00F30BC1"/>
    <w:rsid w:val="00F3104B"/>
    <w:rsid w:val="00F310D4"/>
    <w:rsid w:val="00F31399"/>
    <w:rsid w:val="00F3155B"/>
    <w:rsid w:val="00F3175B"/>
    <w:rsid w:val="00F31A65"/>
    <w:rsid w:val="00F31D5A"/>
    <w:rsid w:val="00F32486"/>
    <w:rsid w:val="00F327CD"/>
    <w:rsid w:val="00F32952"/>
    <w:rsid w:val="00F32ED1"/>
    <w:rsid w:val="00F331CC"/>
    <w:rsid w:val="00F337D3"/>
    <w:rsid w:val="00F33975"/>
    <w:rsid w:val="00F33DE9"/>
    <w:rsid w:val="00F346E3"/>
    <w:rsid w:val="00F3514E"/>
    <w:rsid w:val="00F351D7"/>
    <w:rsid w:val="00F35548"/>
    <w:rsid w:val="00F35A1B"/>
    <w:rsid w:val="00F35E6D"/>
    <w:rsid w:val="00F360BB"/>
    <w:rsid w:val="00F3619A"/>
    <w:rsid w:val="00F3740C"/>
    <w:rsid w:val="00F401F6"/>
    <w:rsid w:val="00F40538"/>
    <w:rsid w:val="00F405EE"/>
    <w:rsid w:val="00F40746"/>
    <w:rsid w:val="00F40AAA"/>
    <w:rsid w:val="00F40BA7"/>
    <w:rsid w:val="00F40D2F"/>
    <w:rsid w:val="00F40F9D"/>
    <w:rsid w:val="00F4190F"/>
    <w:rsid w:val="00F4192C"/>
    <w:rsid w:val="00F41ACD"/>
    <w:rsid w:val="00F41B76"/>
    <w:rsid w:val="00F42511"/>
    <w:rsid w:val="00F42871"/>
    <w:rsid w:val="00F42977"/>
    <w:rsid w:val="00F42F99"/>
    <w:rsid w:val="00F4318C"/>
    <w:rsid w:val="00F43457"/>
    <w:rsid w:val="00F435E2"/>
    <w:rsid w:val="00F4398A"/>
    <w:rsid w:val="00F44024"/>
    <w:rsid w:val="00F444EA"/>
    <w:rsid w:val="00F44914"/>
    <w:rsid w:val="00F45530"/>
    <w:rsid w:val="00F458E9"/>
    <w:rsid w:val="00F45C92"/>
    <w:rsid w:val="00F460DB"/>
    <w:rsid w:val="00F4639E"/>
    <w:rsid w:val="00F46967"/>
    <w:rsid w:val="00F46A3C"/>
    <w:rsid w:val="00F46CB6"/>
    <w:rsid w:val="00F4756D"/>
    <w:rsid w:val="00F47DE8"/>
    <w:rsid w:val="00F50032"/>
    <w:rsid w:val="00F50269"/>
    <w:rsid w:val="00F5230E"/>
    <w:rsid w:val="00F527EF"/>
    <w:rsid w:val="00F528ED"/>
    <w:rsid w:val="00F52A5F"/>
    <w:rsid w:val="00F531D2"/>
    <w:rsid w:val="00F5326C"/>
    <w:rsid w:val="00F542C1"/>
    <w:rsid w:val="00F544E8"/>
    <w:rsid w:val="00F546AC"/>
    <w:rsid w:val="00F550E3"/>
    <w:rsid w:val="00F555FF"/>
    <w:rsid w:val="00F559A0"/>
    <w:rsid w:val="00F55D5C"/>
    <w:rsid w:val="00F55E73"/>
    <w:rsid w:val="00F55EDA"/>
    <w:rsid w:val="00F55F68"/>
    <w:rsid w:val="00F56C80"/>
    <w:rsid w:val="00F5756D"/>
    <w:rsid w:val="00F60092"/>
    <w:rsid w:val="00F60110"/>
    <w:rsid w:val="00F601D5"/>
    <w:rsid w:val="00F6070F"/>
    <w:rsid w:val="00F60BA1"/>
    <w:rsid w:val="00F6112D"/>
    <w:rsid w:val="00F61462"/>
    <w:rsid w:val="00F616C2"/>
    <w:rsid w:val="00F61C18"/>
    <w:rsid w:val="00F626DC"/>
    <w:rsid w:val="00F628BF"/>
    <w:rsid w:val="00F63236"/>
    <w:rsid w:val="00F6327D"/>
    <w:rsid w:val="00F633DA"/>
    <w:rsid w:val="00F63E90"/>
    <w:rsid w:val="00F64B1C"/>
    <w:rsid w:val="00F651BA"/>
    <w:rsid w:val="00F65984"/>
    <w:rsid w:val="00F659A8"/>
    <w:rsid w:val="00F65F4B"/>
    <w:rsid w:val="00F662A5"/>
    <w:rsid w:val="00F664B6"/>
    <w:rsid w:val="00F66CAC"/>
    <w:rsid w:val="00F67228"/>
    <w:rsid w:val="00F6767F"/>
    <w:rsid w:val="00F67A69"/>
    <w:rsid w:val="00F7014C"/>
    <w:rsid w:val="00F70BFF"/>
    <w:rsid w:val="00F70C9D"/>
    <w:rsid w:val="00F70D2E"/>
    <w:rsid w:val="00F7101E"/>
    <w:rsid w:val="00F71078"/>
    <w:rsid w:val="00F714D1"/>
    <w:rsid w:val="00F71B11"/>
    <w:rsid w:val="00F71C4E"/>
    <w:rsid w:val="00F71E55"/>
    <w:rsid w:val="00F72209"/>
    <w:rsid w:val="00F72857"/>
    <w:rsid w:val="00F72E14"/>
    <w:rsid w:val="00F72EAD"/>
    <w:rsid w:val="00F73A23"/>
    <w:rsid w:val="00F73D06"/>
    <w:rsid w:val="00F73E08"/>
    <w:rsid w:val="00F74CD9"/>
    <w:rsid w:val="00F74E13"/>
    <w:rsid w:val="00F75005"/>
    <w:rsid w:val="00F7546A"/>
    <w:rsid w:val="00F75857"/>
    <w:rsid w:val="00F77248"/>
    <w:rsid w:val="00F800FA"/>
    <w:rsid w:val="00F802C3"/>
    <w:rsid w:val="00F80A7B"/>
    <w:rsid w:val="00F80E5D"/>
    <w:rsid w:val="00F81237"/>
    <w:rsid w:val="00F81C37"/>
    <w:rsid w:val="00F81C79"/>
    <w:rsid w:val="00F81D77"/>
    <w:rsid w:val="00F81E78"/>
    <w:rsid w:val="00F82083"/>
    <w:rsid w:val="00F8255B"/>
    <w:rsid w:val="00F825C1"/>
    <w:rsid w:val="00F838DA"/>
    <w:rsid w:val="00F83916"/>
    <w:rsid w:val="00F8395F"/>
    <w:rsid w:val="00F83A24"/>
    <w:rsid w:val="00F851CE"/>
    <w:rsid w:val="00F858F5"/>
    <w:rsid w:val="00F85FC0"/>
    <w:rsid w:val="00F862EE"/>
    <w:rsid w:val="00F864C7"/>
    <w:rsid w:val="00F86740"/>
    <w:rsid w:val="00F86C4A"/>
    <w:rsid w:val="00F86C8C"/>
    <w:rsid w:val="00F86F98"/>
    <w:rsid w:val="00F8742A"/>
    <w:rsid w:val="00F91219"/>
    <w:rsid w:val="00F912A8"/>
    <w:rsid w:val="00F9134F"/>
    <w:rsid w:val="00F92338"/>
    <w:rsid w:val="00F92444"/>
    <w:rsid w:val="00F9393E"/>
    <w:rsid w:val="00F94370"/>
    <w:rsid w:val="00F945F9"/>
    <w:rsid w:val="00F9525B"/>
    <w:rsid w:val="00F95319"/>
    <w:rsid w:val="00F95323"/>
    <w:rsid w:val="00F95692"/>
    <w:rsid w:val="00F961F4"/>
    <w:rsid w:val="00F964E8"/>
    <w:rsid w:val="00F9665A"/>
    <w:rsid w:val="00F96FD0"/>
    <w:rsid w:val="00F971C2"/>
    <w:rsid w:val="00F977F0"/>
    <w:rsid w:val="00F97A78"/>
    <w:rsid w:val="00FA0779"/>
    <w:rsid w:val="00FA07CD"/>
    <w:rsid w:val="00FA0B20"/>
    <w:rsid w:val="00FA1142"/>
    <w:rsid w:val="00FA1A1B"/>
    <w:rsid w:val="00FA202D"/>
    <w:rsid w:val="00FA2178"/>
    <w:rsid w:val="00FA2206"/>
    <w:rsid w:val="00FA24E7"/>
    <w:rsid w:val="00FA284D"/>
    <w:rsid w:val="00FA2BCB"/>
    <w:rsid w:val="00FA32BA"/>
    <w:rsid w:val="00FA36B3"/>
    <w:rsid w:val="00FA3AE2"/>
    <w:rsid w:val="00FA3BAF"/>
    <w:rsid w:val="00FA3DA6"/>
    <w:rsid w:val="00FA3EF3"/>
    <w:rsid w:val="00FA48CF"/>
    <w:rsid w:val="00FA49BC"/>
    <w:rsid w:val="00FA4DE3"/>
    <w:rsid w:val="00FA50BE"/>
    <w:rsid w:val="00FA5791"/>
    <w:rsid w:val="00FA5EE6"/>
    <w:rsid w:val="00FA5EEA"/>
    <w:rsid w:val="00FA69FA"/>
    <w:rsid w:val="00FA6F3E"/>
    <w:rsid w:val="00FA7931"/>
    <w:rsid w:val="00FA7956"/>
    <w:rsid w:val="00FA7A20"/>
    <w:rsid w:val="00FA7E8E"/>
    <w:rsid w:val="00FB004C"/>
    <w:rsid w:val="00FB0824"/>
    <w:rsid w:val="00FB109D"/>
    <w:rsid w:val="00FB1579"/>
    <w:rsid w:val="00FB18F2"/>
    <w:rsid w:val="00FB1CD3"/>
    <w:rsid w:val="00FB20F6"/>
    <w:rsid w:val="00FB2436"/>
    <w:rsid w:val="00FB28A8"/>
    <w:rsid w:val="00FB2E14"/>
    <w:rsid w:val="00FB2FCB"/>
    <w:rsid w:val="00FB2FD7"/>
    <w:rsid w:val="00FB3A0E"/>
    <w:rsid w:val="00FB3E67"/>
    <w:rsid w:val="00FB465B"/>
    <w:rsid w:val="00FB4C9C"/>
    <w:rsid w:val="00FB4FC0"/>
    <w:rsid w:val="00FB605B"/>
    <w:rsid w:val="00FB6214"/>
    <w:rsid w:val="00FB6A97"/>
    <w:rsid w:val="00FB72BF"/>
    <w:rsid w:val="00FB73C6"/>
    <w:rsid w:val="00FB7873"/>
    <w:rsid w:val="00FB7C55"/>
    <w:rsid w:val="00FC002F"/>
    <w:rsid w:val="00FC0764"/>
    <w:rsid w:val="00FC088B"/>
    <w:rsid w:val="00FC0C4B"/>
    <w:rsid w:val="00FC1074"/>
    <w:rsid w:val="00FC15D2"/>
    <w:rsid w:val="00FC17AA"/>
    <w:rsid w:val="00FC1884"/>
    <w:rsid w:val="00FC30E5"/>
    <w:rsid w:val="00FC3527"/>
    <w:rsid w:val="00FC371D"/>
    <w:rsid w:val="00FC3E6E"/>
    <w:rsid w:val="00FC3F60"/>
    <w:rsid w:val="00FC4620"/>
    <w:rsid w:val="00FC4CCD"/>
    <w:rsid w:val="00FC51B3"/>
    <w:rsid w:val="00FC5887"/>
    <w:rsid w:val="00FC5B8B"/>
    <w:rsid w:val="00FC5F0B"/>
    <w:rsid w:val="00FC6DB5"/>
    <w:rsid w:val="00FC715F"/>
    <w:rsid w:val="00FC7B20"/>
    <w:rsid w:val="00FC7D92"/>
    <w:rsid w:val="00FD09B4"/>
    <w:rsid w:val="00FD10F7"/>
    <w:rsid w:val="00FD1436"/>
    <w:rsid w:val="00FD1DDC"/>
    <w:rsid w:val="00FD1F20"/>
    <w:rsid w:val="00FD2091"/>
    <w:rsid w:val="00FD2100"/>
    <w:rsid w:val="00FD22D4"/>
    <w:rsid w:val="00FD2A4E"/>
    <w:rsid w:val="00FD2FF1"/>
    <w:rsid w:val="00FD436C"/>
    <w:rsid w:val="00FD446D"/>
    <w:rsid w:val="00FD4716"/>
    <w:rsid w:val="00FD47A2"/>
    <w:rsid w:val="00FD4842"/>
    <w:rsid w:val="00FD4BA5"/>
    <w:rsid w:val="00FD4F2C"/>
    <w:rsid w:val="00FD5241"/>
    <w:rsid w:val="00FD5274"/>
    <w:rsid w:val="00FD5687"/>
    <w:rsid w:val="00FD57C5"/>
    <w:rsid w:val="00FD6394"/>
    <w:rsid w:val="00FD67DD"/>
    <w:rsid w:val="00FD76D5"/>
    <w:rsid w:val="00FD7846"/>
    <w:rsid w:val="00FD7C09"/>
    <w:rsid w:val="00FD7D71"/>
    <w:rsid w:val="00FE0557"/>
    <w:rsid w:val="00FE0E5E"/>
    <w:rsid w:val="00FE0E6C"/>
    <w:rsid w:val="00FE1BB4"/>
    <w:rsid w:val="00FE1CDC"/>
    <w:rsid w:val="00FE1D1A"/>
    <w:rsid w:val="00FE26A4"/>
    <w:rsid w:val="00FE322D"/>
    <w:rsid w:val="00FE33FE"/>
    <w:rsid w:val="00FE4189"/>
    <w:rsid w:val="00FE46AD"/>
    <w:rsid w:val="00FE5241"/>
    <w:rsid w:val="00FE546C"/>
    <w:rsid w:val="00FE6001"/>
    <w:rsid w:val="00FE6072"/>
    <w:rsid w:val="00FE70C3"/>
    <w:rsid w:val="00FE7391"/>
    <w:rsid w:val="00FE7640"/>
    <w:rsid w:val="00FE7711"/>
    <w:rsid w:val="00FF01EA"/>
    <w:rsid w:val="00FF0592"/>
    <w:rsid w:val="00FF1A8B"/>
    <w:rsid w:val="00FF21F5"/>
    <w:rsid w:val="00FF2A5B"/>
    <w:rsid w:val="00FF2AD9"/>
    <w:rsid w:val="00FF2E92"/>
    <w:rsid w:val="00FF33E4"/>
    <w:rsid w:val="00FF359F"/>
    <w:rsid w:val="00FF3DCF"/>
    <w:rsid w:val="00FF492C"/>
    <w:rsid w:val="00FF4A21"/>
    <w:rsid w:val="00FF5731"/>
    <w:rsid w:val="00FF5AA3"/>
    <w:rsid w:val="00FF5AD8"/>
    <w:rsid w:val="00FF5B26"/>
    <w:rsid w:val="00FF5BBF"/>
    <w:rsid w:val="00FF5DF3"/>
    <w:rsid w:val="00FF5F74"/>
    <w:rsid w:val="00FF7359"/>
    <w:rsid w:val="08C6C510"/>
    <w:rsid w:val="29DF3DBE"/>
    <w:rsid w:val="2F9F94EC"/>
    <w:rsid w:val="4A11040C"/>
    <w:rsid w:val="4C7512B1"/>
    <w:rsid w:val="532D46BE"/>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4407B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uiPriority="1"/>
    <w:lsdException w:name="heading 7" w:semiHidden="1" w:unhideWhenUsed="1"/>
    <w:lsdException w:name="heading 8" w:semiHidden="1" w:uiPriority="7"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qFormat="1"/>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C3B02"/>
    <w:pPr>
      <w:jc w:val="both"/>
    </w:pPr>
    <w:rPr>
      <w:rFonts w:ascii="Calibri" w:hAnsi="Calibri" w:cs="Arial"/>
      <w:sz w:val="24"/>
      <w:szCs w:val="24"/>
    </w:rPr>
  </w:style>
  <w:style w:type="paragraph" w:styleId="Heading1">
    <w:name w:val="heading 1"/>
    <w:basedOn w:val="Normal"/>
    <w:next w:val="Normal"/>
    <w:uiPriority w:val="1"/>
    <w:rsid w:val="001B204E"/>
    <w:pPr>
      <w:ind w:left="720" w:hanging="720"/>
      <w:outlineLvl w:val="0"/>
    </w:pPr>
    <w:rPr>
      <w:b/>
      <w:caps/>
      <w:sz w:val="32"/>
    </w:rPr>
  </w:style>
  <w:style w:type="paragraph" w:styleId="Heading2">
    <w:name w:val="heading 2"/>
    <w:basedOn w:val="Normal"/>
    <w:next w:val="Normal"/>
    <w:link w:val="Heading2Char"/>
    <w:rsid w:val="001B204E"/>
    <w:pPr>
      <w:outlineLvl w:val="1"/>
    </w:pPr>
    <w:rPr>
      <w:b/>
      <w:i/>
      <w:sz w:val="28"/>
    </w:rPr>
  </w:style>
  <w:style w:type="paragraph" w:styleId="Heading3">
    <w:name w:val="heading 3"/>
    <w:basedOn w:val="Normal"/>
    <w:next w:val="Normal"/>
    <w:rsid w:val="001F7361"/>
    <w:pPr>
      <w:outlineLvl w:val="2"/>
    </w:pPr>
    <w:rPr>
      <w:u w:val="single"/>
    </w:rPr>
  </w:style>
  <w:style w:type="paragraph" w:styleId="Heading4">
    <w:name w:val="heading 4"/>
    <w:basedOn w:val="Normal"/>
    <w:next w:val="Normal"/>
    <w:rsid w:val="00124A51"/>
    <w:pPr>
      <w:keepNext/>
      <w:spacing w:before="240" w:after="60"/>
      <w:outlineLvl w:val="3"/>
    </w:pPr>
    <w:rPr>
      <w:b/>
      <w:bCs/>
      <w:i/>
      <w:sz w:val="26"/>
      <w:szCs w:val="28"/>
    </w:rPr>
  </w:style>
  <w:style w:type="paragraph" w:styleId="Heading5">
    <w:name w:val="heading 5"/>
    <w:basedOn w:val="Normal"/>
    <w:next w:val="Normal"/>
    <w:rsid w:val="00124A51"/>
    <w:pPr>
      <w:spacing w:before="240" w:after="60"/>
      <w:outlineLvl w:val="4"/>
    </w:pPr>
    <w:rPr>
      <w:b/>
      <w:bCs/>
      <w:iCs/>
      <w:sz w:val="26"/>
      <w:szCs w:val="26"/>
    </w:rPr>
  </w:style>
  <w:style w:type="paragraph" w:styleId="Heading6">
    <w:name w:val="heading 6"/>
    <w:basedOn w:val="Normal"/>
    <w:next w:val="Normal"/>
    <w:rsid w:val="00124A51"/>
    <w:pPr>
      <w:spacing w:before="240" w:after="60"/>
      <w:outlineLvl w:val="5"/>
    </w:pPr>
    <w:rPr>
      <w:b/>
      <w:bCs/>
      <w:i/>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uiPriority w:val="7"/>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1B204E"/>
    <w:rPr>
      <w:rFonts w:ascii="Calibri" w:hAnsi="Calibri" w:cs="Arial"/>
      <w:b/>
      <w:i/>
      <w:snapToGrid w:val="0"/>
      <w:sz w:val="28"/>
      <w:szCs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customStyle="1" w:styleId="TableFooter">
    <w:name w:val="Table Footer"/>
    <w:basedOn w:val="Normal"/>
    <w:link w:val="TableFooterChar"/>
    <w:qFormat/>
    <w:rsid w:val="00E2771E"/>
    <w:rPr>
      <w:rFonts w:ascii="Arial Narrow" w:hAnsi="Arial Narrow"/>
      <w:sz w:val="18"/>
    </w:rPr>
  </w:style>
  <w:style w:type="character" w:customStyle="1" w:styleId="TableFooterChar">
    <w:name w:val="Table Footer Char"/>
    <w:link w:val="TableFooter"/>
    <w:rsid w:val="00322846"/>
    <w:rPr>
      <w:rFonts w:ascii="Arial Narrow" w:hAnsi="Arial Narrow" w:cs="Arial"/>
      <w:snapToGrid w:val="0"/>
      <w:sz w:val="18"/>
      <w:lang w:eastAsia="en-US"/>
    </w:rPr>
  </w:style>
  <w:style w:type="paragraph" w:customStyle="1" w:styleId="TableHeader">
    <w:name w:val="Table Header"/>
    <w:basedOn w:val="Normal"/>
    <w:uiPriority w:val="3"/>
    <w:rsid w:val="000D1BFC"/>
    <w:rPr>
      <w:b/>
      <w:sz w:val="20"/>
    </w:rPr>
  </w:style>
  <w:style w:type="paragraph" w:styleId="Caption">
    <w:name w:val="caption"/>
    <w:aliases w:val="Figure caption,Bayer Caption,IB Caption,Medical Caption,- H17,Tabellen-Titel,Caption Char2 Char,Caption Char Char Char2,Caption Char1 Char Char Char1,Caption Char2 Char Char Char1 Char1,Caption Char Char1 Char Char Char1 Char1,c,Caption Char2,!"/>
    <w:basedOn w:val="Normal"/>
    <w:next w:val="Normal"/>
    <w:link w:val="CaptionChar"/>
    <w:uiPriority w:val="35"/>
    <w:unhideWhenUsed/>
    <w:qFormat/>
    <w:rsid w:val="00E16AD8"/>
    <w:pPr>
      <w:keepNext/>
      <w:keepLines/>
    </w:pPr>
    <w:rPr>
      <w:rFonts w:ascii="Arial Narrow" w:hAnsi="Arial Narrow"/>
      <w:b/>
      <w:bCs/>
      <w:sz w:val="20"/>
      <w:szCs w:val="18"/>
    </w:rPr>
  </w:style>
  <w:style w:type="character" w:customStyle="1" w:styleId="CaptionChar">
    <w:name w:val="Caption Char"/>
    <w:aliases w:val="Figure caption Char,Bayer Caption Char,IB Caption Char,Medical Caption Char,- H17 Char,Tabellen-Titel Char,Caption Char2 Char Char,Caption Char Char Char2 Char,Caption Char1 Char Char Char1 Char,Caption Char2 Char Char Char1 Char1 Char"/>
    <w:link w:val="Caption"/>
    <w:uiPriority w:val="35"/>
    <w:rsid w:val="00E16AD8"/>
    <w:rPr>
      <w:rFonts w:ascii="Arial Narrow" w:hAnsi="Arial Narrow" w:cs="Arial"/>
      <w:b/>
      <w:bCs/>
      <w:szCs w:val="18"/>
    </w:rPr>
  </w:style>
  <w:style w:type="paragraph" w:styleId="Title">
    <w:name w:val="Title"/>
    <w:basedOn w:val="Normal"/>
    <w:next w:val="Normal"/>
    <w:link w:val="TitleChar"/>
    <w:rsid w:val="00124A51"/>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rsid w:val="00124A51"/>
    <w:rPr>
      <w:rFonts w:ascii="Cambria" w:hAnsi="Cambria"/>
      <w:b/>
      <w:bCs/>
      <w:snapToGrid w:val="0"/>
      <w:kern w:val="28"/>
      <w:sz w:val="32"/>
      <w:szCs w:val="32"/>
      <w:lang w:eastAsia="en-US"/>
    </w:rPr>
  </w:style>
  <w:style w:type="paragraph" w:styleId="BodyText">
    <w:name w:val="Body Text"/>
    <w:basedOn w:val="Normal"/>
    <w:link w:val="BodyTextChar"/>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aliases w:val="Body Text Bullet Points,Numbered para,BulletPoints,List Paragraph1,Bullet point,List Paragraph11,Recommendation,Section heading,Footnote,BULLET,Figure_name,Numbered Indented Text,Bullet- First level,List NUmber,Listenabsatz1,lp1,Style 2,n"/>
    <w:link w:val="ListParagraphChar"/>
    <w:uiPriority w:val="34"/>
    <w:qFormat/>
    <w:rsid w:val="004C3B02"/>
    <w:pPr>
      <w:numPr>
        <w:numId w:val="7"/>
      </w:numPr>
      <w:spacing w:after="120"/>
    </w:pPr>
    <w:rPr>
      <w:rFonts w:asciiTheme="minorHAnsi" w:hAnsiTheme="minorHAnsi" w:cs="Arial"/>
      <w:snapToGrid w:val="0"/>
      <w:sz w:val="24"/>
      <w:szCs w:val="24"/>
    </w:rPr>
  </w:style>
  <w:style w:type="character" w:customStyle="1" w:styleId="ListParagraphChar">
    <w:name w:val="List Paragraph Char"/>
    <w:aliases w:val="Body Text Bullet Points Char,Numbered para Char,BulletPoints Char,List Paragraph1 Char,Bullet point Char,List Paragraph11 Char,Recommendation Char,Section heading Char,Footnote Char,BULLET Char,Figure_name Char,List NUmber Char"/>
    <w:basedOn w:val="DefaultParagraphFont"/>
    <w:link w:val="ListParagraph"/>
    <w:uiPriority w:val="34"/>
    <w:qFormat/>
    <w:locked/>
    <w:rsid w:val="004C3B02"/>
    <w:rPr>
      <w:rFonts w:asciiTheme="minorHAnsi" w:hAnsiTheme="minorHAnsi" w:cs="Arial"/>
      <w:snapToGrid w:val="0"/>
      <w:sz w:val="24"/>
      <w:szCs w:val="24"/>
    </w:rPr>
  </w:style>
  <w:style w:type="paragraph" w:customStyle="1" w:styleId="RegularText">
    <w:name w:val="Regular Text"/>
    <w:basedOn w:val="BodyText"/>
    <w:link w:val="RegularTextChar"/>
    <w:rsid w:val="00124A51"/>
    <w:rPr>
      <w:b/>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NoSpacing">
    <w:name w:val="No Spacing"/>
    <w:uiPriority w:val="1"/>
    <w:rsid w:val="00124A51"/>
    <w:pPr>
      <w:widowControl w:val="0"/>
      <w:jc w:val="both"/>
    </w:pPr>
    <w:rPr>
      <w:rFonts w:ascii="Arial" w:hAnsi="Arial" w:cs="Arial"/>
      <w:snapToGrid w:val="0"/>
      <w:sz w:val="22"/>
      <w:lang w:eastAsia="en-US"/>
    </w:rPr>
  </w:style>
  <w:style w:type="paragraph" w:styleId="Header">
    <w:name w:val="header"/>
    <w:aliases w:val="Page Header,Header title,he=header,cntr/bld"/>
    <w:basedOn w:val="Normal"/>
    <w:link w:val="HeaderChar"/>
    <w:qFormat/>
    <w:rsid w:val="004C3B02"/>
    <w:pPr>
      <w:keepNext/>
      <w:tabs>
        <w:tab w:val="center" w:pos="4513"/>
        <w:tab w:val="right" w:pos="9026"/>
      </w:tabs>
      <w:jc w:val="center"/>
    </w:pPr>
    <w:rPr>
      <w:i/>
      <w:iCs/>
    </w:rPr>
  </w:style>
  <w:style w:type="character" w:customStyle="1" w:styleId="HeaderChar">
    <w:name w:val="Header Char"/>
    <w:aliases w:val="Page Header Char,Header title Char,he=header Char,cntr/bld Char"/>
    <w:basedOn w:val="DefaultParagraphFont"/>
    <w:link w:val="Header"/>
    <w:rsid w:val="004C3B02"/>
    <w:rPr>
      <w:rFonts w:ascii="Calibri" w:hAnsi="Calibri" w:cs="Arial"/>
      <w:i/>
      <w:iCs/>
      <w:sz w:val="24"/>
      <w:szCs w:val="24"/>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aliases w:val="Summary box,Table Gridbeth,CMA Table Template,ASD Table,RTI AMCP Table,new style,MSD Table Grid"/>
    <w:basedOn w:val="TableNormal"/>
    <w:uiPriority w:val="39"/>
    <w:rsid w:val="004B3DDB"/>
    <w:tblPr/>
  </w:style>
  <w:style w:type="character" w:styleId="CommentReference">
    <w:name w:val="annotation reference"/>
    <w:aliases w:val="Table Title"/>
    <w:uiPriority w:val="99"/>
    <w:qFormat/>
    <w:rsid w:val="001E30D4"/>
    <w:rPr>
      <w:rFonts w:ascii="Arial Narrow" w:hAnsi="Arial Narrow"/>
      <w:b/>
      <w:sz w:val="20"/>
      <w:szCs w:val="16"/>
    </w:rPr>
  </w:style>
  <w:style w:type="paragraph" w:customStyle="1" w:styleId="Tabletext">
    <w:name w:val="Table text"/>
    <w:basedOn w:val="Normal"/>
    <w:link w:val="TabletextChar"/>
    <w:rsid w:val="00A518F3"/>
    <w:pPr>
      <w:jc w:val="left"/>
    </w:pPr>
    <w:rPr>
      <w:rFonts w:ascii="Arial Narrow" w:hAnsi="Arial Narrow" w:cs="Times New Roman"/>
      <w:snapToGrid w:val="0"/>
      <w:sz w:val="20"/>
    </w:rPr>
  </w:style>
  <w:style w:type="character" w:customStyle="1" w:styleId="TabletextChar">
    <w:name w:val="Table text Char"/>
    <w:link w:val="Tabletext"/>
    <w:rsid w:val="00A518F3"/>
    <w:rPr>
      <w:rFonts w:ascii="Arial Narrow" w:hAnsi="Arial Narrow"/>
      <w:lang w:eastAsia="en-US"/>
    </w:rPr>
  </w:style>
  <w:style w:type="paragraph" w:customStyle="1" w:styleId="TableHeading">
    <w:name w:val="TableHeading"/>
    <w:basedOn w:val="Normal"/>
    <w:qFormat/>
    <w:rsid w:val="00A56B6A"/>
    <w:pPr>
      <w:keepNext/>
      <w:spacing w:before="40" w:after="40"/>
      <w:jc w:val="left"/>
    </w:pPr>
    <w:rPr>
      <w:rFonts w:ascii="Arial Narrow" w:hAnsi="Arial Narrow" w:cs="Arial Narrow"/>
      <w:b/>
      <w:bCs/>
      <w:snapToGrid w:val="0"/>
      <w:sz w:val="20"/>
    </w:rPr>
  </w:style>
  <w:style w:type="paragraph" w:customStyle="1" w:styleId="Corpsdetextemarge">
    <w:name w:val="Corps de texte marge"/>
    <w:basedOn w:val="BodyText"/>
    <w:uiPriority w:val="99"/>
    <w:rsid w:val="008F48EB"/>
    <w:pPr>
      <w:jc w:val="both"/>
    </w:pPr>
    <w:rPr>
      <w:rFonts w:ascii="Times" w:hAnsi="Times" w:cs="Times New Roman"/>
      <w:snapToGrid w:val="0"/>
      <w:lang w:val="en-US"/>
    </w:rPr>
  </w:style>
  <w:style w:type="paragraph" w:styleId="NormalWeb">
    <w:name w:val="Normal (Web)"/>
    <w:basedOn w:val="Normal"/>
    <w:uiPriority w:val="99"/>
    <w:rsid w:val="008F48EB"/>
    <w:pPr>
      <w:spacing w:before="100" w:after="100"/>
      <w:jc w:val="left"/>
    </w:pPr>
    <w:rPr>
      <w:rFonts w:ascii="Times New Roman" w:hAnsi="Times New Roman" w:cs="Times New Roman"/>
      <w:snapToGrid w:val="0"/>
      <w:lang w:val="en-GB"/>
    </w:rPr>
  </w:style>
  <w:style w:type="paragraph" w:styleId="TOC2">
    <w:name w:val="toc 2"/>
    <w:basedOn w:val="Normal"/>
    <w:next w:val="Normal"/>
    <w:autoRedefine/>
    <w:uiPriority w:val="39"/>
    <w:rsid w:val="0009262B"/>
    <w:pPr>
      <w:tabs>
        <w:tab w:val="left" w:pos="713"/>
        <w:tab w:val="left" w:pos="880"/>
        <w:tab w:val="right" w:leader="dot" w:pos="9016"/>
      </w:tabs>
      <w:spacing w:before="40"/>
      <w:ind w:left="221"/>
      <w:jc w:val="left"/>
    </w:pPr>
    <w:rPr>
      <w:iCs/>
      <w:sz w:val="20"/>
    </w:rPr>
  </w:style>
  <w:style w:type="paragraph" w:styleId="TOC1">
    <w:name w:val="toc 1"/>
    <w:basedOn w:val="Normal"/>
    <w:next w:val="Normal"/>
    <w:autoRedefine/>
    <w:uiPriority w:val="39"/>
    <w:rsid w:val="005618D4"/>
    <w:pPr>
      <w:tabs>
        <w:tab w:val="left" w:pos="440"/>
        <w:tab w:val="right" w:leader="dot" w:pos="9016"/>
      </w:tabs>
      <w:spacing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rsid w:val="00CE6274"/>
    <w:pPr>
      <w:keepNext/>
      <w:keepLines/>
      <w:spacing w:before="480" w:line="276" w:lineRule="auto"/>
      <w:ind w:left="0" w:firstLine="0"/>
      <w:jc w:val="left"/>
      <w:outlineLvl w:val="9"/>
    </w:pPr>
    <w:rPr>
      <w:rFonts w:asciiTheme="majorHAnsi" w:eastAsiaTheme="majorEastAsia" w:hAnsiTheme="majorHAnsi" w:cstheme="majorBidi"/>
      <w:bCs/>
      <w:snapToGrid w:val="0"/>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TOC4">
    <w:name w:val="toc 4"/>
    <w:basedOn w:val="Normal"/>
    <w:next w:val="Normal"/>
    <w:autoRedefine/>
    <w:uiPriority w:val="39"/>
    <w:rsid w:val="00D0262E"/>
    <w:pPr>
      <w:ind w:left="660"/>
      <w:jc w:val="left"/>
    </w:pPr>
    <w:rPr>
      <w:rFonts w:asciiTheme="minorHAnsi" w:hAnsiTheme="minorHAnsi"/>
      <w:sz w:val="20"/>
    </w:rPr>
  </w:style>
  <w:style w:type="paragraph" w:styleId="TOC5">
    <w:name w:val="toc 5"/>
    <w:basedOn w:val="Normal"/>
    <w:next w:val="Normal"/>
    <w:autoRedefine/>
    <w:uiPriority w:val="39"/>
    <w:rsid w:val="00D0262E"/>
    <w:pPr>
      <w:ind w:left="880"/>
      <w:jc w:val="left"/>
    </w:pPr>
    <w:rPr>
      <w:rFonts w:asciiTheme="minorHAnsi" w:hAnsiTheme="minorHAnsi"/>
      <w:sz w:val="20"/>
    </w:rPr>
  </w:style>
  <w:style w:type="paragraph" w:styleId="TOC6">
    <w:name w:val="toc 6"/>
    <w:basedOn w:val="Normal"/>
    <w:next w:val="Normal"/>
    <w:autoRedefine/>
    <w:uiPriority w:val="39"/>
    <w:rsid w:val="00D0262E"/>
    <w:pPr>
      <w:ind w:left="1100"/>
      <w:jc w:val="left"/>
    </w:pPr>
    <w:rPr>
      <w:rFonts w:asciiTheme="minorHAnsi" w:hAnsiTheme="minorHAnsi"/>
      <w:sz w:val="20"/>
    </w:rPr>
  </w:style>
  <w:style w:type="paragraph" w:styleId="TOC7">
    <w:name w:val="toc 7"/>
    <w:basedOn w:val="Normal"/>
    <w:next w:val="Normal"/>
    <w:autoRedefine/>
    <w:uiPriority w:val="39"/>
    <w:rsid w:val="00D0262E"/>
    <w:pPr>
      <w:ind w:left="1320"/>
      <w:jc w:val="left"/>
    </w:pPr>
    <w:rPr>
      <w:rFonts w:asciiTheme="minorHAnsi" w:hAnsiTheme="minorHAnsi"/>
      <w:sz w:val="20"/>
    </w:rPr>
  </w:style>
  <w:style w:type="paragraph" w:styleId="TOC8">
    <w:name w:val="toc 8"/>
    <w:basedOn w:val="Normal"/>
    <w:next w:val="Normal"/>
    <w:autoRedefine/>
    <w:uiPriority w:val="39"/>
    <w:rsid w:val="00D0262E"/>
    <w:pPr>
      <w:ind w:left="1540"/>
      <w:jc w:val="left"/>
    </w:pPr>
    <w:rPr>
      <w:rFonts w:asciiTheme="minorHAnsi" w:hAnsiTheme="minorHAnsi"/>
      <w:sz w:val="20"/>
    </w:rPr>
  </w:style>
  <w:style w:type="paragraph" w:styleId="TOC9">
    <w:name w:val="toc 9"/>
    <w:basedOn w:val="Normal"/>
    <w:next w:val="Normal"/>
    <w:autoRedefine/>
    <w:uiPriority w:val="39"/>
    <w:rsid w:val="00D0262E"/>
    <w:pPr>
      <w:ind w:left="1760"/>
      <w:jc w:val="left"/>
    </w:pPr>
    <w:rPr>
      <w:rFonts w:asciiTheme="minorHAnsi" w:hAnsiTheme="minorHAnsi"/>
      <w:sz w:val="20"/>
    </w:rPr>
  </w:style>
  <w:style w:type="paragraph" w:styleId="CommentText">
    <w:name w:val="annotation text"/>
    <w:basedOn w:val="Normal"/>
    <w:link w:val="CommentTextChar"/>
    <w:rsid w:val="00FD2100"/>
    <w:rPr>
      <w:rFonts w:ascii="Times New Roman" w:hAnsi="Times New Roman" w:cs="Times New Roman"/>
      <w:sz w:val="20"/>
    </w:rPr>
  </w:style>
  <w:style w:type="character" w:customStyle="1" w:styleId="CommentTextChar">
    <w:name w:val="Comment Text Char"/>
    <w:basedOn w:val="DefaultParagraphFont"/>
    <w:link w:val="CommentText"/>
    <w:rsid w:val="00FD2100"/>
    <w:rPr>
      <w:snapToGrid w:val="0"/>
      <w:lang w:eastAsia="en-US"/>
    </w:rPr>
  </w:style>
  <w:style w:type="paragraph" w:customStyle="1" w:styleId="Bulletpoints">
    <w:name w:val="Bullet points"/>
    <w:basedOn w:val="ListParagraph"/>
    <w:rsid w:val="00B70E8E"/>
    <w:pPr>
      <w:numPr>
        <w:numId w:val="2"/>
      </w:numPr>
      <w:contextualSpacing/>
    </w:pPr>
  </w:style>
  <w:style w:type="paragraph" w:customStyle="1" w:styleId="TableName">
    <w:name w:val="TableName"/>
    <w:basedOn w:val="Normal"/>
    <w:rsid w:val="00CA7B09"/>
    <w:pPr>
      <w:keepNext/>
      <w:spacing w:before="120" w:after="120"/>
      <w:ind w:left="1800" w:hanging="1080"/>
      <w:jc w:val="left"/>
    </w:pPr>
    <w:rPr>
      <w:rFonts w:ascii="Arial Narrow" w:hAnsi="Arial Narrow" w:cs="Arial Narrow"/>
      <w:b/>
      <w:bCs/>
      <w:snapToGrid w:val="0"/>
    </w:rPr>
  </w:style>
  <w:style w:type="paragraph" w:customStyle="1" w:styleId="TableNotes18">
    <w:name w:val="TableNotes+18"/>
    <w:basedOn w:val="Normal"/>
    <w:rsid w:val="002C5099"/>
    <w:pPr>
      <w:keepLines/>
      <w:spacing w:after="360"/>
      <w:ind w:left="720"/>
      <w:jc w:val="left"/>
    </w:pPr>
    <w:rPr>
      <w:rFonts w:ascii="Arial Narrow" w:hAnsi="Arial Narrow" w:cs="Arial Narrow"/>
      <w:snapToGrid w:val="0"/>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rsid w:val="004319F8"/>
    <w:rPr>
      <w:rFonts w:ascii="Arial" w:hAnsi="Arial" w:cs="Arial"/>
      <w:b/>
      <w:bCs/>
    </w:rPr>
  </w:style>
  <w:style w:type="character" w:customStyle="1" w:styleId="CommentSubjectChar">
    <w:name w:val="Comment Subject Char"/>
    <w:basedOn w:val="CommentTextChar"/>
    <w:link w:val="CommentSubject"/>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spacing w:after="160" w:line="240" w:lineRule="exact"/>
      <w:jc w:val="left"/>
    </w:pPr>
    <w:rPr>
      <w:rFonts w:ascii="Verdana" w:eastAsia="MS Mincho" w:hAnsi="Verdana" w:cs="Verdana"/>
      <w:snapToGrid w:val="0"/>
      <w:sz w:val="20"/>
      <w:lang w:val="en-US"/>
    </w:rPr>
  </w:style>
  <w:style w:type="character" w:customStyle="1" w:styleId="SubtitleChar">
    <w:name w:val="Subtitle Char"/>
    <w:link w:val="Subtitle"/>
    <w:rsid w:val="00B50DB8"/>
    <w:rPr>
      <w:lang w:eastAsia="en-US"/>
    </w:rPr>
  </w:style>
  <w:style w:type="paragraph" w:styleId="Subtitle">
    <w:name w:val="Subtitle"/>
    <w:basedOn w:val="Normal"/>
    <w:link w:val="SubtitleChar"/>
    <w:rsid w:val="00B50DB8"/>
    <w:rPr>
      <w:rFonts w:ascii="Times New Roman" w:hAnsi="Times New Roman" w:cs="Times New Roman"/>
      <w:snapToGrid w:val="0"/>
      <w:sz w:val="20"/>
    </w:rPr>
  </w:style>
  <w:style w:type="character" w:customStyle="1" w:styleId="SubtitleChar1">
    <w:name w:val="Subtitle Char1"/>
    <w:basedOn w:val="DefaultParagraphFont"/>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rsid w:val="003C5542"/>
    <w:pPr>
      <w:outlineLvl w:val="0"/>
    </w:pPr>
    <w:rPr>
      <w:rFonts w:ascii="Calibri" w:hAnsi="Calibri" w:cs="Arial"/>
      <w:b/>
      <w:snapToGrid w:val="0"/>
      <w:sz w:val="32"/>
      <w:szCs w:val="22"/>
      <w:lang w:eastAsia="en-US"/>
    </w:rPr>
  </w:style>
  <w:style w:type="table" w:customStyle="1" w:styleId="PlainTable21">
    <w:name w:val="Plain Table 21"/>
    <w:basedOn w:val="TableNormal"/>
    <w:uiPriority w:val="42"/>
    <w:rsid w:val="00FF5AD8"/>
    <w:rPr>
      <w:rFonts w:asciiTheme="minorHAnsi" w:eastAsiaTheme="minorHAnsi" w:hAnsiTheme="minorHAnsi" w:cstheme="minorBidi"/>
      <w:sz w:val="22"/>
      <w:szCs w:val="22"/>
      <w:lang w:eastAsia="en-US"/>
    </w:rPr>
    <w:tblPr>
      <w:tblStyleRowBandSize w:val="1"/>
      <w:tblStyleColBandSize w:val="1"/>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FollowedHyperlink">
    <w:name w:val="FollowedHyperlink"/>
    <w:basedOn w:val="DefaultParagraphFont"/>
    <w:semiHidden/>
    <w:unhideWhenUsed/>
    <w:rsid w:val="00536F42"/>
    <w:rPr>
      <w:color w:val="800080" w:themeColor="followedHyperlink"/>
      <w:u w:val="single"/>
    </w:rPr>
  </w:style>
  <w:style w:type="character" w:styleId="PageNumber">
    <w:name w:val="page number"/>
    <w:basedOn w:val="DefaultParagraphFont"/>
    <w:semiHidden/>
    <w:unhideWhenUsed/>
    <w:rsid w:val="00953257"/>
  </w:style>
  <w:style w:type="paragraph" w:customStyle="1" w:styleId="Commentitalics">
    <w:name w:val="Comment (italics)"/>
    <w:basedOn w:val="Normal"/>
    <w:next w:val="Normal"/>
    <w:rsid w:val="00B53654"/>
    <w:rPr>
      <w:i/>
    </w:rPr>
  </w:style>
  <w:style w:type="paragraph" w:styleId="BalloonText">
    <w:name w:val="Balloon Text"/>
    <w:basedOn w:val="Normal"/>
    <w:link w:val="BalloonTextChar"/>
    <w:semiHidden/>
    <w:unhideWhenUsed/>
    <w:rsid w:val="00B34FE2"/>
    <w:rPr>
      <w:rFonts w:ascii="Tahoma" w:hAnsi="Tahoma" w:cs="Tahoma"/>
      <w:sz w:val="16"/>
      <w:szCs w:val="16"/>
    </w:rPr>
  </w:style>
  <w:style w:type="character" w:customStyle="1" w:styleId="BalloonTextChar">
    <w:name w:val="Balloon Text Char"/>
    <w:basedOn w:val="DefaultParagraphFont"/>
    <w:link w:val="BalloonText"/>
    <w:semiHidden/>
    <w:rsid w:val="00B34FE2"/>
    <w:rPr>
      <w:rFonts w:ascii="Tahoma" w:hAnsi="Tahoma" w:cs="Tahoma"/>
      <w:snapToGrid w:val="0"/>
      <w:sz w:val="16"/>
      <w:szCs w:val="16"/>
      <w:lang w:eastAsia="en-US"/>
    </w:rPr>
  </w:style>
  <w:style w:type="paragraph" w:customStyle="1" w:styleId="TableText0">
    <w:name w:val="Table Text"/>
    <w:link w:val="TableTextChar0"/>
    <w:qFormat/>
    <w:rsid w:val="00F95692"/>
    <w:pPr>
      <w:widowControl w:val="0"/>
    </w:pPr>
    <w:rPr>
      <w:rFonts w:ascii="Arial Narrow" w:eastAsiaTheme="majorEastAsia" w:hAnsi="Arial Narrow" w:cstheme="majorBidi"/>
      <w:szCs w:val="24"/>
    </w:rPr>
  </w:style>
  <w:style w:type="paragraph" w:customStyle="1" w:styleId="V50Tablename">
    <w:name w:val="V5.0 Table name"/>
    <w:basedOn w:val="Normal"/>
    <w:link w:val="V50TablenameChar"/>
    <w:rsid w:val="001A178E"/>
    <w:pPr>
      <w:keepNext/>
      <w:jc w:val="left"/>
    </w:pPr>
    <w:rPr>
      <w:rFonts w:asciiTheme="minorHAnsi" w:eastAsiaTheme="minorHAnsi" w:hAnsiTheme="minorHAnsi" w:cstheme="minorBidi"/>
      <w:b/>
      <w:snapToGrid w:val="0"/>
      <w:sz w:val="20"/>
      <w:lang w:val="en-US"/>
    </w:rPr>
  </w:style>
  <w:style w:type="character" w:customStyle="1" w:styleId="V50TablenameChar">
    <w:name w:val="V5.0 Table name Char"/>
    <w:basedOn w:val="DefaultParagraphFont"/>
    <w:link w:val="V50Tablename"/>
    <w:rsid w:val="001A178E"/>
    <w:rPr>
      <w:rFonts w:asciiTheme="minorHAnsi" w:eastAsiaTheme="minorHAnsi" w:hAnsiTheme="minorHAnsi" w:cstheme="minorBidi"/>
      <w:b/>
      <w:szCs w:val="24"/>
      <w:lang w:val="en-US" w:eastAsia="en-US"/>
    </w:rPr>
  </w:style>
  <w:style w:type="paragraph" w:customStyle="1" w:styleId="GeneralHeading">
    <w:name w:val="General Heading"/>
    <w:qFormat/>
    <w:rsid w:val="004C3B02"/>
    <w:pPr>
      <w:keepNext/>
      <w:spacing w:before="120" w:after="120"/>
      <w:ind w:left="720" w:hanging="720"/>
      <w:outlineLvl w:val="0"/>
    </w:pPr>
    <w:rPr>
      <w:rFonts w:ascii="Calibri" w:hAnsi="Calibri" w:cs="Arial"/>
      <w:b/>
      <w:snapToGrid w:val="0"/>
      <w:sz w:val="28"/>
      <w:szCs w:val="22"/>
    </w:rPr>
  </w:style>
  <w:style w:type="paragraph" w:customStyle="1" w:styleId="In-tableHeading">
    <w:name w:val="In-table Heading"/>
    <w:autoRedefine/>
    <w:qFormat/>
    <w:rsid w:val="00294858"/>
    <w:pPr>
      <w:widowControl w:val="0"/>
    </w:pPr>
    <w:rPr>
      <w:rFonts w:ascii="Arial Narrow" w:eastAsiaTheme="majorEastAsia" w:hAnsi="Arial Narrow"/>
      <w:b/>
      <w:szCs w:val="24"/>
    </w:rPr>
  </w:style>
  <w:style w:type="paragraph" w:customStyle="1" w:styleId="2-SectionHeading">
    <w:name w:val="2-Section Heading"/>
    <w:next w:val="3-BodyText"/>
    <w:qFormat/>
    <w:rsid w:val="004C3B02"/>
    <w:pPr>
      <w:keepNext/>
      <w:numPr>
        <w:numId w:val="8"/>
      </w:numPr>
      <w:spacing w:before="240" w:after="120"/>
      <w:outlineLvl w:val="0"/>
    </w:pPr>
    <w:rPr>
      <w:rFonts w:asciiTheme="minorHAnsi" w:hAnsiTheme="minorHAnsi" w:cs="Arial"/>
      <w:b/>
      <w:snapToGrid w:val="0"/>
      <w:sz w:val="32"/>
      <w:szCs w:val="32"/>
    </w:rPr>
  </w:style>
  <w:style w:type="paragraph" w:customStyle="1" w:styleId="1-MainHeading">
    <w:name w:val="1-Main Heading"/>
    <w:next w:val="2-SectionHeading"/>
    <w:link w:val="1-MainHeadingChar"/>
    <w:qFormat/>
    <w:rsid w:val="004C3B02"/>
    <w:pPr>
      <w:keepNext/>
      <w:spacing w:before="120" w:after="160"/>
      <w:ind w:left="720" w:hanging="720"/>
      <w:outlineLvl w:val="0"/>
    </w:pPr>
    <w:rPr>
      <w:rFonts w:asciiTheme="minorHAnsi" w:eastAsiaTheme="majorEastAsia" w:hAnsiTheme="minorHAnsi" w:cstheme="majorBidi"/>
      <w:b/>
      <w:spacing w:val="5"/>
      <w:kern w:val="28"/>
      <w:sz w:val="36"/>
      <w:szCs w:val="36"/>
    </w:rPr>
  </w:style>
  <w:style w:type="character" w:customStyle="1" w:styleId="1-MainHeadingChar">
    <w:name w:val="1-Main Heading Char"/>
    <w:basedOn w:val="DefaultParagraphFont"/>
    <w:link w:val="1-MainHeading"/>
    <w:rsid w:val="004C3B02"/>
    <w:rPr>
      <w:rFonts w:asciiTheme="minorHAnsi" w:eastAsiaTheme="majorEastAsia" w:hAnsiTheme="minorHAnsi" w:cstheme="majorBidi"/>
      <w:b/>
      <w:spacing w:val="5"/>
      <w:kern w:val="28"/>
      <w:sz w:val="36"/>
      <w:szCs w:val="36"/>
    </w:rPr>
  </w:style>
  <w:style w:type="paragraph" w:customStyle="1" w:styleId="TableFigureHeading">
    <w:name w:val="Table/Figure Heading"/>
    <w:link w:val="TableFigureHeadingChar"/>
    <w:qFormat/>
    <w:rsid w:val="004C3B02"/>
    <w:pPr>
      <w:keepNext/>
    </w:pPr>
    <w:rPr>
      <w:rFonts w:ascii="Arial Narrow" w:eastAsiaTheme="majorEastAsia" w:hAnsi="Arial Narrow" w:cstheme="majorBidi"/>
      <w:b/>
      <w:bCs/>
      <w:szCs w:val="24"/>
    </w:rPr>
  </w:style>
  <w:style w:type="character" w:customStyle="1" w:styleId="TableFigureHeadingChar">
    <w:name w:val="Table/Figure Heading Char"/>
    <w:basedOn w:val="DefaultParagraphFont"/>
    <w:link w:val="TableFigureHeading"/>
    <w:rsid w:val="004C3B02"/>
    <w:rPr>
      <w:rFonts w:ascii="Arial Narrow" w:eastAsiaTheme="majorEastAsia" w:hAnsi="Arial Narrow" w:cstheme="majorBidi"/>
      <w:b/>
      <w:bCs/>
      <w:szCs w:val="24"/>
    </w:rPr>
  </w:style>
  <w:style w:type="paragraph" w:customStyle="1" w:styleId="3-BodyText">
    <w:name w:val="3-Body Text"/>
    <w:link w:val="3-BodyTextChar"/>
    <w:qFormat/>
    <w:rsid w:val="004C3B02"/>
    <w:pPr>
      <w:numPr>
        <w:ilvl w:val="1"/>
        <w:numId w:val="8"/>
      </w:numPr>
      <w:spacing w:before="60" w:after="60"/>
      <w:jc w:val="both"/>
    </w:pPr>
    <w:rPr>
      <w:rFonts w:asciiTheme="minorHAnsi" w:eastAsiaTheme="minorHAnsi" w:hAnsiTheme="minorHAnsi" w:cstheme="minorBidi"/>
      <w:sz w:val="24"/>
      <w:szCs w:val="22"/>
    </w:rPr>
  </w:style>
  <w:style w:type="character" w:customStyle="1" w:styleId="3-BodyTextChar">
    <w:name w:val="3-Body Text Char"/>
    <w:basedOn w:val="ListParagraphChar"/>
    <w:link w:val="3-BodyText"/>
    <w:rsid w:val="004C3B02"/>
    <w:rPr>
      <w:rFonts w:asciiTheme="minorHAnsi" w:eastAsiaTheme="minorHAnsi" w:hAnsiTheme="minorHAnsi" w:cstheme="minorBidi"/>
      <w:snapToGrid/>
      <w:sz w:val="24"/>
      <w:szCs w:val="22"/>
    </w:rPr>
  </w:style>
  <w:style w:type="paragraph" w:customStyle="1" w:styleId="PageFooter">
    <w:name w:val="Page Footer"/>
    <w:basedOn w:val="Normal"/>
    <w:link w:val="PageFooterChar"/>
    <w:qFormat/>
    <w:rsid w:val="004C3B02"/>
    <w:pPr>
      <w:keepNext/>
      <w:tabs>
        <w:tab w:val="center" w:pos="4153"/>
        <w:tab w:val="center" w:pos="4513"/>
        <w:tab w:val="right" w:pos="8306"/>
        <w:tab w:val="right" w:pos="9026"/>
      </w:tabs>
      <w:jc w:val="center"/>
    </w:pPr>
    <w:rPr>
      <w:b/>
    </w:rPr>
  </w:style>
  <w:style w:type="character" w:customStyle="1" w:styleId="PageFooterChar">
    <w:name w:val="Page Footer Char"/>
    <w:basedOn w:val="DefaultParagraphFont"/>
    <w:link w:val="PageFooter"/>
    <w:rsid w:val="004C3B02"/>
    <w:rPr>
      <w:rFonts w:ascii="Calibri" w:hAnsi="Calibri" w:cs="Arial"/>
      <w:b/>
      <w:sz w:val="24"/>
      <w:szCs w:val="24"/>
    </w:rPr>
  </w:style>
  <w:style w:type="paragraph" w:customStyle="1" w:styleId="FooterTableFigure">
    <w:name w:val="Footer Table/Figure"/>
    <w:basedOn w:val="Normal"/>
    <w:link w:val="FooterTableFigureChar"/>
    <w:qFormat/>
    <w:rsid w:val="00EC5836"/>
    <w:pPr>
      <w:spacing w:after="120"/>
      <w:contextualSpacing/>
    </w:pPr>
    <w:rPr>
      <w:rFonts w:ascii="Arial Narrow" w:hAnsi="Arial Narrow"/>
      <w:snapToGrid w:val="0"/>
      <w:sz w:val="18"/>
      <w:szCs w:val="22"/>
    </w:rPr>
  </w:style>
  <w:style w:type="character" w:customStyle="1" w:styleId="FooterTableFigureChar">
    <w:name w:val="Footer Table/Figure Char"/>
    <w:link w:val="FooterTableFigure"/>
    <w:rsid w:val="00EC5836"/>
    <w:rPr>
      <w:rFonts w:ascii="Arial Narrow" w:hAnsi="Arial Narrow" w:cs="Arial"/>
      <w:snapToGrid w:val="0"/>
      <w:sz w:val="18"/>
      <w:szCs w:val="22"/>
    </w:rPr>
  </w:style>
  <w:style w:type="paragraph" w:customStyle="1" w:styleId="4-SubsectionHeading">
    <w:name w:val="4-Subsection Heading"/>
    <w:basedOn w:val="Heading2"/>
    <w:next w:val="3-BodyText"/>
    <w:link w:val="4-SubsectionHeadingChar"/>
    <w:autoRedefine/>
    <w:qFormat/>
    <w:rsid w:val="000F1D34"/>
    <w:pPr>
      <w:keepNext/>
      <w:spacing w:before="120" w:after="120"/>
    </w:pPr>
    <w:rPr>
      <w:rFonts w:asciiTheme="minorHAnsi" w:eastAsiaTheme="majorEastAsia" w:hAnsiTheme="minorHAnsi" w:cstheme="majorBidi"/>
      <w:i w:val="0"/>
      <w:iCs/>
      <w:color w:val="000000" w:themeColor="text1"/>
      <w:spacing w:val="5"/>
      <w:kern w:val="28"/>
      <w:sz w:val="32"/>
      <w:szCs w:val="40"/>
      <w:lang w:eastAsia="en-US"/>
    </w:rPr>
  </w:style>
  <w:style w:type="character" w:customStyle="1" w:styleId="4-SubsectionHeadingChar">
    <w:name w:val="4-Subsection Heading Char"/>
    <w:basedOn w:val="Heading2Char"/>
    <w:link w:val="4-SubsectionHeading"/>
    <w:rsid w:val="000F1D34"/>
    <w:rPr>
      <w:rFonts w:asciiTheme="minorHAnsi" w:eastAsiaTheme="majorEastAsia" w:hAnsiTheme="minorHAnsi" w:cstheme="majorBidi"/>
      <w:b/>
      <w:i w:val="0"/>
      <w:iCs/>
      <w:snapToGrid/>
      <w:color w:val="000000" w:themeColor="text1"/>
      <w:spacing w:val="5"/>
      <w:kern w:val="28"/>
      <w:sz w:val="32"/>
      <w:szCs w:val="40"/>
      <w:lang w:eastAsia="en-US"/>
    </w:rPr>
  </w:style>
  <w:style w:type="paragraph" w:customStyle="1" w:styleId="5-SubsectionSubheading">
    <w:name w:val="5-Subsection Subheading"/>
    <w:basedOn w:val="Heading3"/>
    <w:next w:val="3-BodyText"/>
    <w:link w:val="5-SubsectionSubheadingChar"/>
    <w:qFormat/>
    <w:rsid w:val="004C3B02"/>
    <w:pPr>
      <w:keepNext/>
      <w:keepLines/>
      <w:spacing w:before="40"/>
    </w:pPr>
    <w:rPr>
      <w:rFonts w:asciiTheme="minorHAnsi" w:eastAsiaTheme="majorEastAsia" w:hAnsiTheme="minorHAnsi" w:cstheme="majorBidi"/>
      <w:b/>
      <w:color w:val="000000" w:themeColor="text1"/>
      <w:u w:val="none"/>
    </w:rPr>
  </w:style>
  <w:style w:type="character" w:customStyle="1" w:styleId="5-SubsectionSubheadingChar">
    <w:name w:val="5-Subsection Subheading Char"/>
    <w:basedOn w:val="DefaultParagraphFont"/>
    <w:link w:val="5-SubsectionSubheading"/>
    <w:rsid w:val="004C3B02"/>
    <w:rPr>
      <w:rFonts w:asciiTheme="minorHAnsi" w:eastAsiaTheme="majorEastAsia" w:hAnsiTheme="minorHAnsi" w:cstheme="majorBidi"/>
      <w:b/>
      <w:color w:val="000000" w:themeColor="text1"/>
      <w:sz w:val="24"/>
      <w:szCs w:val="24"/>
    </w:rPr>
  </w:style>
  <w:style w:type="paragraph" w:styleId="ListBullet">
    <w:name w:val="List Bullet"/>
    <w:basedOn w:val="Normal"/>
    <w:unhideWhenUsed/>
    <w:rsid w:val="00EE1996"/>
    <w:pPr>
      <w:numPr>
        <w:numId w:val="3"/>
      </w:numPr>
      <w:contextualSpacing/>
    </w:pPr>
  </w:style>
  <w:style w:type="character" w:customStyle="1" w:styleId="TableTextChar0">
    <w:name w:val="Table Text Char"/>
    <w:basedOn w:val="DefaultParagraphFont"/>
    <w:link w:val="TableText0"/>
    <w:rsid w:val="00F95692"/>
    <w:rPr>
      <w:rFonts w:ascii="Arial Narrow" w:eastAsiaTheme="majorEastAsia" w:hAnsi="Arial Narrow" w:cstheme="majorBidi"/>
      <w:szCs w:val="24"/>
    </w:rPr>
  </w:style>
  <w:style w:type="paragraph" w:customStyle="1" w:styleId="ExecSumBodyText">
    <w:name w:val="Exec Sum Body Text"/>
    <w:basedOn w:val="Normal"/>
    <w:link w:val="ExecSumBodyTextChar"/>
    <w:uiPriority w:val="99"/>
    <w:rsid w:val="00D30D5B"/>
    <w:pPr>
      <w:spacing w:after="120"/>
      <w:ind w:left="720" w:hanging="720"/>
    </w:pPr>
    <w:rPr>
      <w:rFonts w:asciiTheme="minorHAnsi" w:hAnsiTheme="minorHAnsi"/>
      <w:snapToGrid w:val="0"/>
    </w:rPr>
  </w:style>
  <w:style w:type="character" w:customStyle="1" w:styleId="ExecSumBodyTextChar">
    <w:name w:val="Exec Sum Body Text Char"/>
    <w:basedOn w:val="DefaultParagraphFont"/>
    <w:link w:val="ExecSumBodyText"/>
    <w:uiPriority w:val="99"/>
    <w:rsid w:val="00D30D5B"/>
    <w:rPr>
      <w:rFonts w:asciiTheme="minorHAnsi" w:hAnsiTheme="minorHAnsi" w:cs="Arial"/>
      <w:snapToGrid w:val="0"/>
      <w:sz w:val="24"/>
      <w:szCs w:val="24"/>
    </w:rPr>
  </w:style>
  <w:style w:type="paragraph" w:customStyle="1" w:styleId="bullet">
    <w:name w:val="bullet"/>
    <w:basedOn w:val="ListParagraph"/>
    <w:link w:val="bulletChar"/>
    <w:rsid w:val="00D30D5B"/>
    <w:pPr>
      <w:numPr>
        <w:numId w:val="6"/>
      </w:numPr>
    </w:pPr>
    <w:rPr>
      <w:rFonts w:ascii="Calibri" w:hAnsi="Calibri" w:cstheme="minorBidi"/>
      <w:i/>
      <w:snapToGrid/>
      <w:sz w:val="22"/>
      <w:szCs w:val="22"/>
      <w:lang w:eastAsia="en-US"/>
    </w:rPr>
  </w:style>
  <w:style w:type="character" w:customStyle="1" w:styleId="bulletChar">
    <w:name w:val="bullet Char"/>
    <w:basedOn w:val="DefaultParagraphFont"/>
    <w:link w:val="bullet"/>
    <w:rsid w:val="00D30D5B"/>
    <w:rPr>
      <w:rFonts w:ascii="Calibri" w:hAnsi="Calibri" w:cstheme="minorBidi"/>
      <w:i/>
      <w:sz w:val="22"/>
      <w:szCs w:val="22"/>
      <w:lang w:eastAsia="en-US"/>
    </w:rPr>
  </w:style>
  <w:style w:type="paragraph" w:customStyle="1" w:styleId="Default">
    <w:name w:val="Default"/>
    <w:rsid w:val="00AB11AD"/>
    <w:pPr>
      <w:autoSpaceDE w:val="0"/>
      <w:autoSpaceDN w:val="0"/>
      <w:adjustRightInd w:val="0"/>
    </w:pPr>
    <w:rPr>
      <w:rFonts w:ascii="Calibri" w:hAnsi="Calibri" w:cs="Calibri"/>
      <w:color w:val="000000"/>
      <w:sz w:val="24"/>
      <w:szCs w:val="24"/>
    </w:rPr>
  </w:style>
  <w:style w:type="paragraph" w:customStyle="1" w:styleId="TableFigureFooter">
    <w:name w:val="Table/Figure Footer"/>
    <w:basedOn w:val="Normal"/>
    <w:next w:val="3-BodyText"/>
    <w:link w:val="TableFigureFooterChar"/>
    <w:autoRedefine/>
    <w:qFormat/>
    <w:rsid w:val="000A113F"/>
    <w:pPr>
      <w:keepLines/>
      <w:spacing w:after="120"/>
      <w:contextualSpacing/>
      <w:jc w:val="left"/>
    </w:pPr>
    <w:rPr>
      <w:rFonts w:ascii="Arial Narrow" w:eastAsiaTheme="minorHAnsi" w:hAnsi="Arial Narrow"/>
      <w:snapToGrid w:val="0"/>
      <w:sz w:val="18"/>
      <w:szCs w:val="22"/>
    </w:rPr>
  </w:style>
  <w:style w:type="character" w:customStyle="1" w:styleId="TableFigureFooterChar">
    <w:name w:val="Table/Figure Footer Char"/>
    <w:link w:val="TableFigureFooter"/>
    <w:rsid w:val="000A113F"/>
    <w:rPr>
      <w:rFonts w:ascii="Arial Narrow" w:eastAsiaTheme="minorHAnsi" w:hAnsi="Arial Narrow" w:cs="Arial"/>
      <w:snapToGrid w:val="0"/>
      <w:sz w:val="18"/>
      <w:szCs w:val="22"/>
    </w:rPr>
  </w:style>
  <w:style w:type="character" w:styleId="Mention">
    <w:name w:val="Mention"/>
    <w:basedOn w:val="DefaultParagraphFont"/>
    <w:uiPriority w:val="99"/>
    <w:unhideWhenUsed/>
    <w:rsid w:val="00550D92"/>
    <w:rPr>
      <w:color w:val="2B579A"/>
      <w:shd w:val="clear" w:color="auto" w:fill="E1DFDD"/>
    </w:rPr>
  </w:style>
  <w:style w:type="paragraph" w:styleId="FootnoteText">
    <w:name w:val="footnote text"/>
    <w:basedOn w:val="Normal"/>
    <w:link w:val="FootnoteTextChar"/>
    <w:semiHidden/>
    <w:unhideWhenUsed/>
    <w:rsid w:val="00550D92"/>
    <w:rPr>
      <w:sz w:val="20"/>
      <w:szCs w:val="20"/>
    </w:rPr>
  </w:style>
  <w:style w:type="character" w:customStyle="1" w:styleId="FootnoteTextChar">
    <w:name w:val="Footnote Text Char"/>
    <w:basedOn w:val="DefaultParagraphFont"/>
    <w:link w:val="FootnoteText"/>
    <w:semiHidden/>
    <w:rsid w:val="00550D92"/>
    <w:rPr>
      <w:rFonts w:ascii="Calibri" w:hAnsi="Calibri" w:cs="Arial"/>
    </w:rPr>
  </w:style>
  <w:style w:type="character" w:styleId="FootnoteReference">
    <w:name w:val="footnote reference"/>
    <w:basedOn w:val="DefaultParagraphFont"/>
    <w:semiHidden/>
    <w:unhideWhenUsed/>
    <w:rsid w:val="00550D92"/>
    <w:rPr>
      <w:vertAlign w:val="superscript"/>
    </w:rPr>
  </w:style>
  <w:style w:type="paragraph" w:customStyle="1" w:styleId="TableNotes">
    <w:name w:val="Table Notes"/>
    <w:basedOn w:val="Normal"/>
    <w:link w:val="TableNotesChar"/>
    <w:uiPriority w:val="6"/>
    <w:qFormat/>
    <w:rsid w:val="00224E1A"/>
    <w:pPr>
      <w:spacing w:after="240"/>
      <w:contextualSpacing/>
    </w:pPr>
    <w:rPr>
      <w:rFonts w:ascii="Arial Narrow" w:eastAsiaTheme="majorEastAsia" w:hAnsi="Arial Narrow" w:cstheme="majorBidi"/>
      <w:sz w:val="18"/>
      <w:szCs w:val="22"/>
      <w:lang w:eastAsia="en-US"/>
    </w:rPr>
  </w:style>
  <w:style w:type="character" w:customStyle="1" w:styleId="TableNotesChar">
    <w:name w:val="Table Notes Char"/>
    <w:basedOn w:val="DefaultParagraphFont"/>
    <w:link w:val="TableNotes"/>
    <w:uiPriority w:val="6"/>
    <w:locked/>
    <w:rsid w:val="00224E1A"/>
    <w:rPr>
      <w:rFonts w:ascii="Arial Narrow" w:eastAsiaTheme="majorEastAsia" w:hAnsi="Arial Narrow" w:cstheme="majorBidi"/>
      <w:sz w:val="18"/>
      <w:szCs w:val="22"/>
      <w:lang w:eastAsia="en-US"/>
    </w:rPr>
  </w:style>
  <w:style w:type="paragraph" w:customStyle="1" w:styleId="tabletextNS">
    <w:name w:val="table:textNS"/>
    <w:basedOn w:val="Normal"/>
    <w:link w:val="tabletextNSChar"/>
    <w:qFormat/>
    <w:rsid w:val="00F714D1"/>
    <w:pPr>
      <w:jc w:val="left"/>
    </w:pPr>
    <w:rPr>
      <w:rFonts w:ascii="Arial Narrow" w:hAnsi="Arial Narrow" w:cs="Arial Narrow"/>
      <w:lang w:val="en-GB" w:eastAsia="en-US"/>
    </w:rPr>
  </w:style>
  <w:style w:type="character" w:customStyle="1" w:styleId="tabletextNSChar">
    <w:name w:val="table:textNS Char"/>
    <w:aliases w:val="Bold Char Char"/>
    <w:link w:val="tabletextNS"/>
    <w:rsid w:val="00F714D1"/>
    <w:rPr>
      <w:rFonts w:ascii="Arial Narrow" w:hAnsi="Arial Narrow" w:cs="Arial Narrow"/>
      <w:sz w:val="24"/>
      <w:szCs w:val="24"/>
      <w:lang w:val="en-GB" w:eastAsia="en-US"/>
    </w:rPr>
  </w:style>
  <w:style w:type="paragraph" w:customStyle="1" w:styleId="Table">
    <w:name w:val="Table"/>
    <w:basedOn w:val="Normal"/>
    <w:link w:val="TableChar"/>
    <w:qFormat/>
    <w:rsid w:val="00F714D1"/>
    <w:pPr>
      <w:spacing w:after="40"/>
      <w:jc w:val="left"/>
    </w:pPr>
    <w:rPr>
      <w:rFonts w:ascii="Arial Narrow" w:eastAsiaTheme="majorEastAsia" w:hAnsi="Arial Narrow" w:cs="Times New Roman"/>
      <w:sz w:val="20"/>
      <w:szCs w:val="22"/>
      <w:lang w:eastAsia="en-US"/>
    </w:rPr>
  </w:style>
  <w:style w:type="character" w:customStyle="1" w:styleId="TableChar">
    <w:name w:val="Table Char"/>
    <w:basedOn w:val="DefaultParagraphFont"/>
    <w:link w:val="Table"/>
    <w:locked/>
    <w:rsid w:val="00F714D1"/>
    <w:rPr>
      <w:rFonts w:ascii="Arial Narrow" w:eastAsiaTheme="majorEastAsia" w:hAnsi="Arial Narrow"/>
      <w:szCs w:val="22"/>
      <w:lang w:eastAsia="en-US"/>
    </w:rPr>
  </w:style>
  <w:style w:type="paragraph" w:customStyle="1" w:styleId="TableLeft">
    <w:name w:val="Table Left"/>
    <w:basedOn w:val="Normal"/>
    <w:link w:val="TableLeftChar"/>
    <w:uiPriority w:val="5"/>
    <w:qFormat/>
    <w:rsid w:val="00F714D1"/>
    <w:pPr>
      <w:spacing w:after="40"/>
      <w:contextualSpacing/>
      <w:jc w:val="left"/>
    </w:pPr>
    <w:rPr>
      <w:rFonts w:ascii="Arial Narrow" w:eastAsiaTheme="majorEastAsia" w:hAnsi="Arial Narrow" w:cstheme="majorBidi"/>
      <w:sz w:val="20"/>
      <w:szCs w:val="22"/>
      <w:lang w:eastAsia="en-US"/>
    </w:rPr>
  </w:style>
  <w:style w:type="character" w:customStyle="1" w:styleId="TableLeftChar">
    <w:name w:val="Table Left Char"/>
    <w:basedOn w:val="DefaultParagraphFont"/>
    <w:link w:val="TableLeft"/>
    <w:uiPriority w:val="5"/>
    <w:rsid w:val="00F714D1"/>
    <w:rPr>
      <w:rFonts w:ascii="Arial Narrow" w:eastAsiaTheme="majorEastAsia" w:hAnsi="Arial Narrow" w:cstheme="majorBidi"/>
      <w:szCs w:val="22"/>
      <w:lang w:eastAsia="en-US"/>
    </w:rPr>
  </w:style>
  <w:style w:type="paragraph" w:customStyle="1" w:styleId="TableHeading0">
    <w:name w:val="Table Heading"/>
    <w:basedOn w:val="Normal"/>
    <w:qFormat/>
    <w:rsid w:val="00F714D1"/>
    <w:pPr>
      <w:spacing w:after="40"/>
      <w:jc w:val="left"/>
    </w:pPr>
    <w:rPr>
      <w:rFonts w:ascii="Arial Narrow" w:eastAsiaTheme="minorHAnsi" w:hAnsi="Arial Narrow" w:cstheme="minorBidi"/>
      <w:b/>
      <w:sz w:val="20"/>
      <w:szCs w:val="22"/>
      <w:lang w:eastAsia="en-US"/>
    </w:rPr>
  </w:style>
  <w:style w:type="paragraph" w:customStyle="1" w:styleId="subsubheadingnotintemplateevaluatorown">
    <w:name w:val="sub sub heading not in template evaluator own"/>
    <w:basedOn w:val="3-BodyText"/>
    <w:link w:val="subsubheadingnotintemplateevaluatorownChar"/>
    <w:rsid w:val="00ED2B74"/>
    <w:pPr>
      <w:numPr>
        <w:ilvl w:val="0"/>
        <w:numId w:val="0"/>
      </w:numPr>
    </w:pPr>
    <w:rPr>
      <w:b/>
      <w:bCs/>
    </w:rPr>
  </w:style>
  <w:style w:type="character" w:customStyle="1" w:styleId="subsubheadingnotintemplateevaluatorownChar">
    <w:name w:val="sub sub heading not in template evaluator own Char"/>
    <w:basedOn w:val="3-BodyTextChar"/>
    <w:link w:val="subsubheadingnotintemplateevaluatorown"/>
    <w:rsid w:val="00ED2B74"/>
    <w:rPr>
      <w:rFonts w:asciiTheme="minorHAnsi" w:eastAsiaTheme="minorHAnsi" w:hAnsiTheme="minorHAnsi" w:cstheme="minorBidi"/>
      <w:b/>
      <w:bCs/>
      <w:snapToGrid/>
      <w:sz w:val="24"/>
      <w:szCs w:val="22"/>
    </w:rPr>
  </w:style>
  <w:style w:type="paragraph" w:customStyle="1" w:styleId="Italicssubsubheading">
    <w:name w:val="Italics sub sub heading"/>
    <w:basedOn w:val="Normal"/>
    <w:link w:val="ItalicssubsubheadingChar"/>
    <w:qFormat/>
    <w:rsid w:val="003E1295"/>
    <w:rPr>
      <w:b/>
      <w:i/>
    </w:rPr>
  </w:style>
  <w:style w:type="character" w:customStyle="1" w:styleId="ItalicssubsubheadingChar">
    <w:name w:val="Italics sub sub heading Char"/>
    <w:basedOn w:val="DefaultParagraphFont"/>
    <w:link w:val="Italicssubsubheading"/>
    <w:rsid w:val="003E1295"/>
    <w:rPr>
      <w:rFonts w:ascii="Calibri" w:hAnsi="Calibri" w:cs="Arial"/>
      <w:b/>
      <w:i/>
      <w:sz w:val="24"/>
      <w:szCs w:val="24"/>
    </w:rPr>
  </w:style>
  <w:style w:type="character" w:customStyle="1" w:styleId="wtbs9">
    <w:name w:val="wtbs9"/>
    <w:basedOn w:val="DefaultParagraphFont"/>
    <w:rsid w:val="000E1A9D"/>
  </w:style>
  <w:style w:type="paragraph" w:customStyle="1" w:styleId="bigsubsubheading">
    <w:name w:val="big sub sub heading"/>
    <w:basedOn w:val="Normal"/>
    <w:link w:val="bigsubsubheadingChar"/>
    <w:qFormat/>
    <w:rsid w:val="009E31E0"/>
    <w:rPr>
      <w:b/>
      <w:sz w:val="28"/>
      <w:szCs w:val="28"/>
    </w:rPr>
  </w:style>
  <w:style w:type="character" w:customStyle="1" w:styleId="bigsubsubheadingChar">
    <w:name w:val="big sub sub heading Char"/>
    <w:basedOn w:val="DefaultParagraphFont"/>
    <w:link w:val="bigsubsubheading"/>
    <w:rsid w:val="009E31E0"/>
    <w:rPr>
      <w:rFonts w:ascii="Calibri" w:hAnsi="Calibri" w:cs="Arial"/>
      <w:b/>
      <w:sz w:val="28"/>
      <w:szCs w:val="28"/>
    </w:rPr>
  </w:style>
  <w:style w:type="character" w:styleId="UnresolvedMention">
    <w:name w:val="Unresolved Mention"/>
    <w:basedOn w:val="DefaultParagraphFont"/>
    <w:uiPriority w:val="99"/>
    <w:semiHidden/>
    <w:unhideWhenUsed/>
    <w:rsid w:val="00B6228B"/>
    <w:rPr>
      <w:color w:val="605E5C"/>
      <w:shd w:val="clear" w:color="auto" w:fill="E1DFDD"/>
    </w:rPr>
  </w:style>
  <w:style w:type="character" w:customStyle="1" w:styleId="TableBold">
    <w:name w:val="Table Bold"/>
    <w:uiPriority w:val="4"/>
    <w:qFormat/>
    <w:rsid w:val="00B6228B"/>
    <w:rPr>
      <w:rFonts w:ascii="Arial Narrow" w:hAnsi="Arial Narrow" w:cs="Times New Roman"/>
      <w:b/>
      <w:sz w:val="20"/>
      <w:lang w:val="en-AU"/>
    </w:rPr>
  </w:style>
  <w:style w:type="table" w:customStyle="1" w:styleId="TableGrid0">
    <w:name w:val="TableGrid"/>
    <w:rsid w:val="00B6228B"/>
    <w:rPr>
      <w:rFonts w:asciiTheme="minorHAnsi" w:eastAsiaTheme="minorEastAsia" w:hAnsiTheme="minorHAnsi" w:cstheme="minorBidi"/>
      <w:sz w:val="22"/>
      <w:szCs w:val="22"/>
    </w:rPr>
    <w:tblPr>
      <w:tblCellMar>
        <w:top w:w="0" w:type="dxa"/>
        <w:left w:w="0" w:type="dxa"/>
        <w:bottom w:w="0" w:type="dxa"/>
        <w:right w:w="0" w:type="dxa"/>
      </w:tblCellMar>
    </w:tblPr>
  </w:style>
  <w:style w:type="character" w:styleId="IntenseReference">
    <w:name w:val="Intense Reference"/>
    <w:basedOn w:val="DefaultParagraphFont"/>
    <w:uiPriority w:val="32"/>
    <w:qFormat/>
    <w:rsid w:val="00B6228B"/>
    <w:rPr>
      <w:b/>
      <w:smallCaps/>
    </w:rPr>
  </w:style>
  <w:style w:type="table" w:styleId="LightShading-Accent3">
    <w:name w:val="Light Shading Accent 3"/>
    <w:basedOn w:val="TableNormal"/>
    <w:uiPriority w:val="60"/>
    <w:rsid w:val="00B6228B"/>
    <w:rPr>
      <w:rFonts w:asciiTheme="majorHAnsi" w:eastAsiaTheme="majorEastAsia" w:hAnsiTheme="majorHAnsi" w:cstheme="majorBidi"/>
      <w:color w:val="76923C" w:themeColor="accent3" w:themeShade="BF"/>
      <w:sz w:val="22"/>
      <w:szCs w:val="22"/>
      <w:lang w:val="en-US" w:eastAsia="en-US"/>
    </w:rPr>
    <w:tblPr>
      <w:tblStyleRowBandSize w:val="1"/>
      <w:tblStyleColBandSize w:val="1"/>
    </w:tblPr>
    <w:tblStylePr w:type="firstRow">
      <w:pPr>
        <w:spacing w:before="0" w:after="0"/>
      </w:pPr>
      <w:rPr>
        <w:rFonts w:cstheme="majorBidi"/>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pPr>
      <w:rPr>
        <w:rFonts w:cstheme="majorBidi"/>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rFonts w:cstheme="majorBidi"/>
        <w:b/>
        <w:bCs/>
      </w:rPr>
    </w:tblStylePr>
    <w:tblStylePr w:type="lastCol">
      <w:rPr>
        <w:rFonts w:cstheme="majorBidi"/>
        <w:b/>
        <w:bCs/>
      </w:rPr>
    </w:tblStylePr>
    <w:tblStylePr w:type="band1Vert">
      <w:rPr>
        <w:rFonts w:cstheme="majorBidi"/>
      </w:rPr>
      <w:tblPr/>
      <w:tcPr>
        <w:tcBorders>
          <w:left w:val="nil"/>
          <w:right w:val="nil"/>
          <w:insideH w:val="nil"/>
          <w:insideV w:val="nil"/>
        </w:tcBorders>
        <w:shd w:val="clear" w:color="auto" w:fill="E6EED5" w:themeFill="accent3" w:themeFillTint="3F"/>
      </w:tcPr>
    </w:tblStylePr>
    <w:tblStylePr w:type="band1Horz">
      <w:rPr>
        <w:rFonts w:cstheme="majorBidi"/>
      </w:rPr>
      <w:tblPr/>
      <w:tcPr>
        <w:tcBorders>
          <w:left w:val="nil"/>
          <w:right w:val="nil"/>
          <w:insideH w:val="nil"/>
          <w:insideV w:val="nil"/>
        </w:tcBorders>
        <w:shd w:val="clear" w:color="auto" w:fill="E6EED5" w:themeFill="accent3" w:themeFillTint="3F"/>
      </w:tcPr>
    </w:tblStylePr>
  </w:style>
  <w:style w:type="character" w:styleId="PlaceholderText">
    <w:name w:val="Placeholder Text"/>
    <w:basedOn w:val="DefaultParagraphFont"/>
    <w:uiPriority w:val="99"/>
    <w:semiHidden/>
    <w:rsid w:val="00B6228B"/>
    <w:rPr>
      <w:color w:val="666666"/>
    </w:rPr>
  </w:style>
  <w:style w:type="paragraph" w:customStyle="1" w:styleId="Subheading">
    <w:name w:val="Subheading"/>
    <w:basedOn w:val="Heading2"/>
    <w:link w:val="SubheadingChar"/>
    <w:qFormat/>
    <w:rsid w:val="00B6228B"/>
    <w:rPr>
      <w:lang w:eastAsia="en-US"/>
    </w:rPr>
  </w:style>
  <w:style w:type="character" w:customStyle="1" w:styleId="SubheadingChar">
    <w:name w:val="Subheading Char"/>
    <w:basedOn w:val="Heading2Char"/>
    <w:link w:val="Subheading"/>
    <w:rsid w:val="00B6228B"/>
    <w:rPr>
      <w:rFonts w:ascii="Calibri" w:hAnsi="Calibri" w:cs="Arial"/>
      <w:b/>
      <w:i/>
      <w:snapToGrid/>
      <w:sz w:val="28"/>
      <w:szCs w:val="24"/>
      <w:lang w:eastAsia="en-US"/>
    </w:rPr>
  </w:style>
  <w:style w:type="paragraph" w:customStyle="1" w:styleId="Tableletteredlist">
    <w:name w:val="Table lettered list"/>
    <w:basedOn w:val="TableLeft"/>
    <w:uiPriority w:val="3"/>
    <w:qFormat/>
    <w:rsid w:val="00275202"/>
    <w:pPr>
      <w:numPr>
        <w:numId w:val="20"/>
      </w:numPr>
    </w:pPr>
    <w:rPr>
      <w:lang w:bidi="en-US"/>
    </w:rPr>
  </w:style>
  <w:style w:type="table" w:customStyle="1" w:styleId="TableGrid00">
    <w:name w:val="Table Grid0"/>
    <w:basedOn w:val="TableNormal"/>
    <w:uiPriority w:val="39"/>
    <w:rsid w:val="00275202"/>
    <w:rPr>
      <w:rFonts w:asciiTheme="minorHAnsi" w:eastAsiaTheme="minorEastAsia" w:hAnsiTheme="minorHAnsi" w:cstheme="minorBidi"/>
      <w:sz w:val="22"/>
      <w:szCs w:val="22"/>
      <w:lang w:eastAsia="en-US"/>
    </w:rPr>
    <w:tblPr>
      <w:tblInd w:w="0" w:type="nil"/>
    </w:tblPr>
  </w:style>
  <w:style w:type="paragraph" w:customStyle="1" w:styleId="TableHeadingCA">
    <w:name w:val="Table Heading CA"/>
    <w:basedOn w:val="TableHeading0"/>
    <w:qFormat/>
    <w:rsid w:val="00275202"/>
    <w:pPr>
      <w:jc w:val="center"/>
    </w:pPr>
  </w:style>
  <w:style w:type="numbering" w:customStyle="1" w:styleId="CurrentList1">
    <w:name w:val="Current List1"/>
    <w:uiPriority w:val="99"/>
    <w:rsid w:val="00275202"/>
    <w:pPr>
      <w:numPr>
        <w:numId w:val="21"/>
      </w:numPr>
    </w:pPr>
  </w:style>
  <w:style w:type="paragraph" w:customStyle="1" w:styleId="Subsectionheading">
    <w:name w:val="Subsection heading"/>
    <w:basedOn w:val="4-SubsectionHeading"/>
    <w:link w:val="SubsectionheadingChar"/>
    <w:qFormat/>
    <w:rsid w:val="00275202"/>
    <w:rPr>
      <w:iCs w:val="0"/>
      <w:szCs w:val="36"/>
    </w:rPr>
  </w:style>
  <w:style w:type="character" w:customStyle="1" w:styleId="SubsectionheadingChar">
    <w:name w:val="Subsection heading Char"/>
    <w:basedOn w:val="4-SubsectionHeadingChar"/>
    <w:link w:val="Subsectionheading"/>
    <w:rsid w:val="00275202"/>
    <w:rPr>
      <w:rFonts w:asciiTheme="minorHAnsi" w:eastAsiaTheme="majorEastAsia" w:hAnsiTheme="minorHAnsi" w:cstheme="majorBidi"/>
      <w:b/>
      <w:i w:val="0"/>
      <w:iCs w:val="0"/>
      <w:snapToGrid/>
      <w:color w:val="000000" w:themeColor="text1"/>
      <w:spacing w:val="5"/>
      <w:kern w:val="28"/>
      <w:sz w:val="32"/>
      <w:szCs w:val="36"/>
      <w:lang w:eastAsia="en-US"/>
    </w:rPr>
  </w:style>
  <w:style w:type="paragraph" w:customStyle="1" w:styleId="Subsectionsubheading">
    <w:name w:val="Subsection subheading"/>
    <w:basedOn w:val="Heading2"/>
    <w:link w:val="SubsectionsubheadingChar"/>
    <w:qFormat/>
    <w:rsid w:val="00275202"/>
    <w:rPr>
      <w:lang w:eastAsia="en-US"/>
    </w:rPr>
  </w:style>
  <w:style w:type="character" w:customStyle="1" w:styleId="SubsectionsubheadingChar">
    <w:name w:val="Subsection subheading Char"/>
    <w:basedOn w:val="Heading2Char"/>
    <w:link w:val="Subsectionsubheading"/>
    <w:rsid w:val="00275202"/>
    <w:rPr>
      <w:rFonts w:ascii="Calibri" w:hAnsi="Calibri" w:cs="Arial"/>
      <w:b/>
      <w:i/>
      <w:snapToGrid/>
      <w:sz w:val="28"/>
      <w:szCs w:val="24"/>
      <w:lang w:eastAsia="en-US"/>
    </w:rPr>
  </w:style>
  <w:style w:type="paragraph" w:customStyle="1" w:styleId="Actual4Subsection">
    <w:name w:val="Actual 4 Subsection"/>
    <w:basedOn w:val="4-SubsectionHeading"/>
    <w:link w:val="Actual4SubsectionChar"/>
    <w:qFormat/>
    <w:rsid w:val="00992BDA"/>
    <w:rPr>
      <w:i/>
      <w:sz w:val="28"/>
    </w:rPr>
  </w:style>
  <w:style w:type="character" w:customStyle="1" w:styleId="Actual4SubsectionChar">
    <w:name w:val="Actual 4 Subsection Char"/>
    <w:basedOn w:val="4-SubsectionHeadingChar"/>
    <w:link w:val="Actual4Subsection"/>
    <w:rsid w:val="00992BDA"/>
    <w:rPr>
      <w:rFonts w:asciiTheme="minorHAnsi" w:eastAsiaTheme="majorEastAsia" w:hAnsiTheme="minorHAnsi" w:cstheme="majorBidi"/>
      <w:b/>
      <w:i/>
      <w:iCs/>
      <w:snapToGrid/>
      <w:color w:val="000000" w:themeColor="text1"/>
      <w:spacing w:val="5"/>
      <w:kern w:val="28"/>
      <w:sz w:val="28"/>
      <w:szCs w:val="40"/>
      <w:lang w:eastAsia="en-US"/>
    </w:rPr>
  </w:style>
  <w:style w:type="character" w:customStyle="1" w:styleId="cf01">
    <w:name w:val="cf01"/>
    <w:basedOn w:val="DefaultParagraphFont"/>
    <w:rsid w:val="00F81D77"/>
    <w:rPr>
      <w:rFonts w:ascii="Segoe UI" w:hAnsi="Segoe UI" w:cs="Segoe UI" w:hint="default"/>
      <w:sz w:val="18"/>
      <w:szCs w:val="18"/>
    </w:rPr>
  </w:style>
  <w:style w:type="table" w:customStyle="1" w:styleId="TableGrid1">
    <w:name w:val="Table Grid1"/>
    <w:basedOn w:val="TableNormal"/>
    <w:next w:val="TableGrid"/>
    <w:uiPriority w:val="39"/>
    <w:rsid w:val="007B0991"/>
    <w:rPr>
      <w:rFonts w:eastAsia="Aptos"/>
      <w:kern w:val="2"/>
      <w:sz w:val="24"/>
      <w:szCs w:val="24"/>
      <w:lang w:eastAsia="en-US"/>
      <w14:ligatures w14:val="standardContextual"/>
    </w:rPr>
    <w:tblPr/>
  </w:style>
  <w:style w:type="paragraph" w:customStyle="1" w:styleId="3-SubsectionHeading">
    <w:name w:val="3-Subsection Heading"/>
    <w:basedOn w:val="Heading2"/>
    <w:next w:val="Normal"/>
    <w:link w:val="3-SubsectionHeadingChar"/>
    <w:qFormat/>
    <w:rsid w:val="00EC4962"/>
    <w:pPr>
      <w:keepNext/>
      <w:spacing w:before="120" w:after="120"/>
      <w:outlineLvl w:val="9"/>
    </w:pPr>
    <w:rPr>
      <w:rFonts w:asciiTheme="minorHAnsi" w:eastAsiaTheme="majorEastAsia" w:hAnsiTheme="minorHAnsi" w:cstheme="majorBidi"/>
      <w:spacing w:val="5"/>
      <w:kern w:val="28"/>
      <w:szCs w:val="36"/>
      <w:lang w:eastAsia="en-US"/>
    </w:rPr>
  </w:style>
  <w:style w:type="character" w:customStyle="1" w:styleId="3-SubsectionHeadingChar">
    <w:name w:val="3-Subsection Heading Char"/>
    <w:basedOn w:val="Heading2Char"/>
    <w:link w:val="3-SubsectionHeading"/>
    <w:rsid w:val="00EC4962"/>
    <w:rPr>
      <w:rFonts w:asciiTheme="minorHAnsi" w:eastAsiaTheme="majorEastAsia" w:hAnsiTheme="minorHAnsi" w:cstheme="majorBidi"/>
      <w:b/>
      <w:i/>
      <w:snapToGrid/>
      <w:spacing w:val="5"/>
      <w:kern w:val="28"/>
      <w:sz w:val="28"/>
      <w:szCs w:val="36"/>
      <w:lang w:eastAsia="en-US"/>
    </w:rPr>
  </w:style>
  <w:style w:type="table" w:styleId="GridTable1Light">
    <w:name w:val="Grid Table 1 Light"/>
    <w:basedOn w:val="TableNormal"/>
    <w:uiPriority w:val="46"/>
    <w:rsid w:val="008248CF"/>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0999308">
      <w:bodyDiv w:val="1"/>
      <w:marLeft w:val="0"/>
      <w:marRight w:val="0"/>
      <w:marTop w:val="0"/>
      <w:marBottom w:val="0"/>
      <w:divBdr>
        <w:top w:val="none" w:sz="0" w:space="0" w:color="auto"/>
        <w:left w:val="none" w:sz="0" w:space="0" w:color="auto"/>
        <w:bottom w:val="none" w:sz="0" w:space="0" w:color="auto"/>
        <w:right w:val="none" w:sz="0" w:space="0" w:color="auto"/>
      </w:divBdr>
    </w:div>
    <w:div w:id="111094126">
      <w:bodyDiv w:val="1"/>
      <w:marLeft w:val="0"/>
      <w:marRight w:val="0"/>
      <w:marTop w:val="0"/>
      <w:marBottom w:val="0"/>
      <w:divBdr>
        <w:top w:val="none" w:sz="0" w:space="0" w:color="auto"/>
        <w:left w:val="none" w:sz="0" w:space="0" w:color="auto"/>
        <w:bottom w:val="none" w:sz="0" w:space="0" w:color="auto"/>
        <w:right w:val="none" w:sz="0" w:space="0" w:color="auto"/>
      </w:divBdr>
    </w:div>
    <w:div w:id="121578584">
      <w:bodyDiv w:val="1"/>
      <w:marLeft w:val="0"/>
      <w:marRight w:val="0"/>
      <w:marTop w:val="0"/>
      <w:marBottom w:val="0"/>
      <w:divBdr>
        <w:top w:val="none" w:sz="0" w:space="0" w:color="auto"/>
        <w:left w:val="none" w:sz="0" w:space="0" w:color="auto"/>
        <w:bottom w:val="none" w:sz="0" w:space="0" w:color="auto"/>
        <w:right w:val="none" w:sz="0" w:space="0" w:color="auto"/>
      </w:divBdr>
    </w:div>
    <w:div w:id="316298999">
      <w:bodyDiv w:val="1"/>
      <w:marLeft w:val="0"/>
      <w:marRight w:val="0"/>
      <w:marTop w:val="0"/>
      <w:marBottom w:val="0"/>
      <w:divBdr>
        <w:top w:val="none" w:sz="0" w:space="0" w:color="auto"/>
        <w:left w:val="none" w:sz="0" w:space="0" w:color="auto"/>
        <w:bottom w:val="none" w:sz="0" w:space="0" w:color="auto"/>
        <w:right w:val="none" w:sz="0" w:space="0" w:color="auto"/>
      </w:divBdr>
    </w:div>
    <w:div w:id="831333547">
      <w:bodyDiv w:val="1"/>
      <w:marLeft w:val="0"/>
      <w:marRight w:val="0"/>
      <w:marTop w:val="0"/>
      <w:marBottom w:val="0"/>
      <w:divBdr>
        <w:top w:val="none" w:sz="0" w:space="0" w:color="auto"/>
        <w:left w:val="none" w:sz="0" w:space="0" w:color="auto"/>
        <w:bottom w:val="none" w:sz="0" w:space="0" w:color="auto"/>
        <w:right w:val="none" w:sz="0" w:space="0" w:color="auto"/>
      </w:divBdr>
    </w:div>
    <w:div w:id="1173183840">
      <w:bodyDiv w:val="1"/>
      <w:marLeft w:val="0"/>
      <w:marRight w:val="0"/>
      <w:marTop w:val="0"/>
      <w:marBottom w:val="0"/>
      <w:divBdr>
        <w:top w:val="none" w:sz="0" w:space="0" w:color="auto"/>
        <w:left w:val="none" w:sz="0" w:space="0" w:color="auto"/>
        <w:bottom w:val="none" w:sz="0" w:space="0" w:color="auto"/>
        <w:right w:val="none" w:sz="0" w:space="0" w:color="auto"/>
      </w:divBdr>
      <w:divsChild>
        <w:div w:id="574321363">
          <w:marLeft w:val="0"/>
          <w:marRight w:val="0"/>
          <w:marTop w:val="0"/>
          <w:marBottom w:val="0"/>
          <w:divBdr>
            <w:top w:val="none" w:sz="0" w:space="0" w:color="auto"/>
            <w:left w:val="none" w:sz="0" w:space="0" w:color="auto"/>
            <w:bottom w:val="none" w:sz="0" w:space="0" w:color="auto"/>
            <w:right w:val="none" w:sz="0" w:space="0" w:color="auto"/>
          </w:divBdr>
          <w:divsChild>
            <w:div w:id="1144078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1093063">
      <w:bodyDiv w:val="1"/>
      <w:marLeft w:val="0"/>
      <w:marRight w:val="0"/>
      <w:marTop w:val="0"/>
      <w:marBottom w:val="0"/>
      <w:divBdr>
        <w:top w:val="none" w:sz="0" w:space="0" w:color="auto"/>
        <w:left w:val="none" w:sz="0" w:space="0" w:color="auto"/>
        <w:bottom w:val="none" w:sz="0" w:space="0" w:color="auto"/>
        <w:right w:val="none" w:sz="0" w:space="0" w:color="auto"/>
      </w:divBdr>
    </w:div>
    <w:div w:id="1227960595">
      <w:bodyDiv w:val="1"/>
      <w:marLeft w:val="0"/>
      <w:marRight w:val="0"/>
      <w:marTop w:val="0"/>
      <w:marBottom w:val="0"/>
      <w:divBdr>
        <w:top w:val="none" w:sz="0" w:space="0" w:color="auto"/>
        <w:left w:val="none" w:sz="0" w:space="0" w:color="auto"/>
        <w:bottom w:val="none" w:sz="0" w:space="0" w:color="auto"/>
        <w:right w:val="none" w:sz="0" w:space="0" w:color="auto"/>
      </w:divBdr>
    </w:div>
    <w:div w:id="1348213703">
      <w:bodyDiv w:val="1"/>
      <w:marLeft w:val="0"/>
      <w:marRight w:val="0"/>
      <w:marTop w:val="0"/>
      <w:marBottom w:val="0"/>
      <w:divBdr>
        <w:top w:val="none" w:sz="0" w:space="0" w:color="auto"/>
        <w:left w:val="none" w:sz="0" w:space="0" w:color="auto"/>
        <w:bottom w:val="none" w:sz="0" w:space="0" w:color="auto"/>
        <w:right w:val="none" w:sz="0" w:space="0" w:color="auto"/>
      </w:divBdr>
    </w:div>
    <w:div w:id="1953391969">
      <w:bodyDiv w:val="1"/>
      <w:marLeft w:val="0"/>
      <w:marRight w:val="0"/>
      <w:marTop w:val="0"/>
      <w:marBottom w:val="0"/>
      <w:divBdr>
        <w:top w:val="none" w:sz="0" w:space="0" w:color="auto"/>
        <w:left w:val="none" w:sz="0" w:space="0" w:color="auto"/>
        <w:bottom w:val="none" w:sz="0" w:space="0" w:color="auto"/>
        <w:right w:val="none" w:sz="0" w:space="0" w:color="auto"/>
      </w:divBdr>
    </w:div>
    <w:div w:id="2081898678">
      <w:bodyDiv w:val="1"/>
      <w:marLeft w:val="0"/>
      <w:marRight w:val="0"/>
      <w:marTop w:val="0"/>
      <w:marBottom w:val="0"/>
      <w:divBdr>
        <w:top w:val="none" w:sz="0" w:space="0" w:color="auto"/>
        <w:left w:val="none" w:sz="0" w:space="0" w:color="auto"/>
        <w:bottom w:val="none" w:sz="0" w:space="0" w:color="auto"/>
        <w:right w:val="none" w:sz="0" w:space="0" w:color="auto"/>
      </w:divBdr>
    </w:div>
    <w:div w:id="2104255608">
      <w:bodyDiv w:val="1"/>
      <w:marLeft w:val="0"/>
      <w:marRight w:val="0"/>
      <w:marTop w:val="0"/>
      <w:marBottom w:val="0"/>
      <w:divBdr>
        <w:top w:val="none" w:sz="0" w:space="0" w:color="auto"/>
        <w:left w:val="none" w:sz="0" w:space="0" w:color="auto"/>
        <w:bottom w:val="none" w:sz="0" w:space="0" w:color="auto"/>
        <w:right w:val="none" w:sz="0" w:space="0" w:color="auto"/>
      </w:divBdr>
      <w:divsChild>
        <w:div w:id="1218198392">
          <w:marLeft w:val="1080"/>
          <w:marRight w:val="0"/>
          <w:marTop w:val="10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cid:image001.png@01DC41A1.D3EA25B0"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 Id="rId22"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s://clinicaltrials.gov/study/NCT05371080" TargetMode="External"/><Relationship Id="rId2" Type="http://schemas.openxmlformats.org/officeDocument/2006/relationships/hyperlink" Target="https://doi.org/10.1371/journal.pone.0125025" TargetMode="External"/><Relationship Id="rId1" Type="http://schemas.openxmlformats.org/officeDocument/2006/relationships/hyperlink" Target="https://immunisationhandbook.health.gov.au/contents/vaccine-preventable-diseases/zoster-herpes-zoster" TargetMode="External"/><Relationship Id="rId4" Type="http://schemas.openxmlformats.org/officeDocument/2006/relationships/hyperlink" Target="https://catalogues.ema.europa.eu/node/3357/resourc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7FED174C5281F747A8037A05221D6DBD" ma:contentTypeVersion="15" ma:contentTypeDescription="Create a new document." ma:contentTypeScope="" ma:versionID="800ebfdfa1bbf1ff6c9cf58b3ab635a0">
  <xsd:schema xmlns:xsd="http://www.w3.org/2001/XMLSchema" xmlns:xs="http://www.w3.org/2001/XMLSchema" xmlns:p="http://schemas.microsoft.com/office/2006/metadata/properties" xmlns:ns2="7f856f8d-13b3-495a-9a4b-41f8182eda4c" xmlns:ns3="72f95629-adac-4ec1-8738-e1cec852b92b" targetNamespace="http://schemas.microsoft.com/office/2006/metadata/properties" ma:root="true" ma:fieldsID="cd488804b94607c00d160a5d5b6e66e9" ns2:_="" ns3:_="">
    <xsd:import namespace="7f856f8d-13b3-495a-9a4b-41f8182eda4c"/>
    <xsd:import namespace="72f95629-adac-4ec1-8738-e1cec852b92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MediaServiceBillingMetadata" minOccurs="0"/>
                <xsd:element ref="ns2:Datecreat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f856f8d-13b3-495a-9a4b-41f8182eda4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89927c38-8944-418e-ac9b-4d6e75543028"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element name="Datecreated" ma:index="22" nillable="true" ma:displayName="Date created" ma:description="date created" ma:format="DateOnly" ma:internalName="Datecreated">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72f95629-adac-4ec1-8738-e1cec852b92b"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69ae0e28-eb5b-45a0-b45a-3f44301ba7c5}" ma:internalName="TaxCatchAll" ma:showField="CatchAllData" ma:web="72f95629-adac-4ec1-8738-e1cec852b92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Datecreated xmlns="7f856f8d-13b3-495a-9a4b-41f8182eda4c" xsi:nil="true"/>
    <lcf76f155ced4ddcb4097134ff3c332f xmlns="7f856f8d-13b3-495a-9a4b-41f8182eda4c">
      <Terms xmlns="http://schemas.microsoft.com/office/infopath/2007/PartnerControls"/>
    </lcf76f155ced4ddcb4097134ff3c332f>
    <TaxCatchAll xmlns="72f95629-adac-4ec1-8738-e1cec852b92b" xsi:nil="true"/>
  </documentManagement>
</p:properties>
</file>

<file path=customXml/itemProps1.xml><?xml version="1.0" encoding="utf-8"?>
<ds:datastoreItem xmlns:ds="http://schemas.openxmlformats.org/officeDocument/2006/customXml" ds:itemID="{619032FD-E582-49F8-B731-5C437A304F08}">
  <ds:schemaRefs>
    <ds:schemaRef ds:uri="http://schemas.microsoft.com/sharepoint/v3/contenttype/forms"/>
  </ds:schemaRefs>
</ds:datastoreItem>
</file>

<file path=customXml/itemProps2.xml><?xml version="1.0" encoding="utf-8"?>
<ds:datastoreItem xmlns:ds="http://schemas.openxmlformats.org/officeDocument/2006/customXml" ds:itemID="{42E83014-4E88-420D-9D25-5F827ED8DAFF}">
  <ds:schemaRefs>
    <ds:schemaRef ds:uri="http://schemas.openxmlformats.org/officeDocument/2006/bibliography"/>
  </ds:schemaRefs>
</ds:datastoreItem>
</file>

<file path=customXml/itemProps3.xml><?xml version="1.0" encoding="utf-8"?>
<ds:datastoreItem xmlns:ds="http://schemas.openxmlformats.org/officeDocument/2006/customXml" ds:itemID="{CE53BA3D-C404-4E57-94C1-B144EFD7369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f856f8d-13b3-495a-9a4b-41f8182eda4c"/>
    <ds:schemaRef ds:uri="72f95629-adac-4ec1-8738-e1cec852b92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409E961-D28D-4793-91C7-255FB4CEAAAB}">
  <ds:schemaRefs>
    <ds:schemaRef ds:uri="http://schemas.microsoft.com/office/2006/metadata/properties"/>
    <ds:schemaRef ds:uri="http://schemas.microsoft.com/office/infopath/2007/PartnerControls"/>
    <ds:schemaRef ds:uri="7f856f8d-13b3-495a-9a4b-41f8182eda4c"/>
    <ds:schemaRef ds:uri="72f95629-adac-4ec1-8738-e1cec852b92b"/>
  </ds:schemaRefs>
</ds:datastoreItem>
</file>

<file path=docMetadata/LabelInfo.xml><?xml version="1.0" encoding="utf-8"?>
<clbl:labelList xmlns:clbl="http://schemas.microsoft.com/office/2020/mipLabelMetadata">
  <clbl:label id="{49c687ae-d6f4-4bcc-a056-fdce1a7919da}" enabled="1" method="Standard" siteId="{63982aff-fb6c-4c22-973b-70e4acfb63e6}" removed="0"/>
  <clbl:label id="{82b3e37e-8171-485d-b10b-38dae7ed14a8}" enabled="0" method="" siteId="{82b3e37e-8171-485d-b10b-38dae7ed14a8}" removed="1"/>
</clbl:labelList>
</file>

<file path=docProps/app.xml><?xml version="1.0" encoding="utf-8"?>
<Properties xmlns="http://schemas.openxmlformats.org/officeDocument/2006/extended-properties" xmlns:vt="http://schemas.openxmlformats.org/officeDocument/2006/docPropsVTypes">
  <Template>Normal.dotm</Template>
  <TotalTime>0</TotalTime>
  <Pages>39</Pages>
  <Words>18666</Words>
  <Characters>99682</Characters>
  <Application>Microsoft Office Word</Application>
  <DocSecurity>0</DocSecurity>
  <Lines>3560</Lines>
  <Paragraphs>2465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115883</CharactersWithSpaces>
  <SharedDoc>false</SharedDoc>
  <HLinks>
    <vt:vector size="42" baseType="variant">
      <vt:variant>
        <vt:i4>327771</vt:i4>
      </vt:variant>
      <vt:variant>
        <vt:i4>9</vt:i4>
      </vt:variant>
      <vt:variant>
        <vt:i4>0</vt:i4>
      </vt:variant>
      <vt:variant>
        <vt:i4>5</vt:i4>
      </vt:variant>
      <vt:variant>
        <vt:lpwstr>https://catalogues.ema.europa.eu/node/3357/resources</vt:lpwstr>
      </vt:variant>
      <vt:variant>
        <vt:lpwstr/>
      </vt:variant>
      <vt:variant>
        <vt:i4>655371</vt:i4>
      </vt:variant>
      <vt:variant>
        <vt:i4>6</vt:i4>
      </vt:variant>
      <vt:variant>
        <vt:i4>0</vt:i4>
      </vt:variant>
      <vt:variant>
        <vt:i4>5</vt:i4>
      </vt:variant>
      <vt:variant>
        <vt:lpwstr>https://clinicaltrials.gov/study/NCT05371080</vt:lpwstr>
      </vt:variant>
      <vt:variant>
        <vt:lpwstr/>
      </vt:variant>
      <vt:variant>
        <vt:i4>4915267</vt:i4>
      </vt:variant>
      <vt:variant>
        <vt:i4>3</vt:i4>
      </vt:variant>
      <vt:variant>
        <vt:i4>0</vt:i4>
      </vt:variant>
      <vt:variant>
        <vt:i4>5</vt:i4>
      </vt:variant>
      <vt:variant>
        <vt:lpwstr>https://doi.org/10.1371/journal.pone.0125025</vt:lpwstr>
      </vt:variant>
      <vt:variant>
        <vt:lpwstr/>
      </vt:variant>
      <vt:variant>
        <vt:i4>2031705</vt:i4>
      </vt:variant>
      <vt:variant>
        <vt:i4>0</vt:i4>
      </vt:variant>
      <vt:variant>
        <vt:i4>0</vt:i4>
      </vt:variant>
      <vt:variant>
        <vt:i4>5</vt:i4>
      </vt:variant>
      <vt:variant>
        <vt:lpwstr>https://immunisationhandbook.health.gov.au/contents/vaccine-preventable-diseases/zoster-herpes-zoster</vt:lpwstr>
      </vt:variant>
      <vt:variant>
        <vt:lpwstr/>
      </vt:variant>
      <vt:variant>
        <vt:i4>2752565</vt:i4>
      </vt:variant>
      <vt:variant>
        <vt:i4>6</vt:i4>
      </vt:variant>
      <vt:variant>
        <vt:i4>0</vt:i4>
      </vt:variant>
      <vt:variant>
        <vt:i4>5</vt:i4>
      </vt:variant>
      <vt:variant>
        <vt:lpwstr>https://pdf.sciencedirectassets.com/319402/1-s2.0-S2589537025X00043/1-s2.0-S2589537025001737/main.pdf?X-Amz-Security-Token=IQoJb3JpZ2luX2VjEDkaCXVzLWVhc3QtMSJHMEUCIB0h4dvk44EHWHFqya1bf3TLeF9d%2BThSiZWTjaVXuXDoAiEA8sccu63GsUIOvz0UnWuo7Vg4PgmVF%2FBloVf9sHi8W9sqswUIAhAFGgwwNTkwMDM1NDY4NjUiDIxQ%2FmaLEQ6UmvwwoCqQBeigQd6JnhodxVJIRF29b7tuFjLLPBGtrGNcLoVcKNacGFxchwGtpRx1HFrUoJ8IpBroPKPu%2B2ugq09SLj%2FVF8faqEw7PqDYg0aB0gUyQrjIkues5%2BkoVvseRQWXxb9EcupJXI%2FPZUsAWqdpZ%2B0VybJd%2FBceEDMHPcF9pUNDrREl30M03bmAXWUBQb%2FOhq0uq80NEih1PUgBqr%2FwzXBHQW1Cm654BuOos78wxhEMHJ5eOOm%2BHiIn4GzRrIim5YuSn3lzU9C0IitRBikkgI7QYJCcCSgeilw5%2FleDOJd20akwPUh8T71Q8xg7U4pNmdZmn%2FNPyyIMgQ5ty7JaOA%2FjB0T2MWYK5X8zmIl0W9lKc1F7R2AUGk5JLrJZf1zacsbDeaVB%2FVF5eTilvtfcphEsubw2peSEuL3LUGgZFzect4UiS6SVNNjKTuYZEJ0LqNVCD7CBwTPBT2HG8H0qkyZDFiO1IYx0H4H2FqJE5BdefouJN8qMpnhOMDvFXpHu1WgGoAvpFFLOFdbxgRTWS5Inw%2FXxrHc%2FtwD25ZRBynCXCWbk%2F7VnDJ%2FEENU%2F1yrPmpoful3C99s%2FPdclSlXE2YWZsoWvVpvVt2US6ddpizLQ0V4sADopPdjgU6MRsTuz29RiL%2F0T3B%2BLhUle9o3yyFZdkvFuS70zqa9dQc0u7Vhibz7j2t2tXBa6AKtB3%2FEaQYNjWZiywyhIUH0ZfS3%2FHPJfP9NJIGPk31FprOVLT89tK1NE%2BqzqtfUfI8yUAfZ2LC6r9YwRiqy91zL4hsCJ3HEPsikc5ycjjpyj%2BymVfV1ljETGsIQbWCfNIqZUFUtEvjKu%2BmlArBMOi9W0UDg%2FwCnYZeREQsIOV%2FhQvdEHUaDyN2kZMK%2BU%2BcwGOrEB9l9H9k33Ex%2Be%2BOogqNwHOS1IM2C9EfNNwOMzNQq25PHDUGOTeAbAon%2FarJODBlAVi%2B%2FQzVHkQr9ZQ10yPyCOpXhBz7WQ92niqBI%2F3VQh2SSd9WgwaRS5BR3eU4hVl%2F9Z1cUtgsBYMv6fHzF5L9NqVssnwINEFWOPS%2F9lOScA3VHF2I%2F1gRmZYr9HqRuQXoclbtXaJnfyLPUVVDEAnsg%2ByydXi3gnHkxQyy5iyEqUkOel&amp;X-Amz-Algorithm=AWS4-HMAC-SHA256&amp;X-Amz-Date=20260225T013820Z&amp;X-Amz-SignedHeaders=host&amp;X-Amz-Expires=300&amp;X-Amz-Credential=ASIAQ3PHCVTYU4WRYJOU%2F20260225%2Fus-east-1%2Fs3%2Faws4_request&amp;X-Amz-Signature=bfac9389d666a13d0a928b69769a905237bb9f06f331606e4c3350bad808c9b5&amp;hash=6af302ad25c6cc4ee95e650c58921b43e2c95e0b5c0a7acc1d5691c9a1858376&amp;host=68042c943591013ac2b2430a89b270f6af2c76d8dfd086a07176afe7c76c2c61&amp;pii=S2589537025001737&amp;tid=spdf-7fd889f6-aba9-458d-a66e-d8567cccab57&amp;sid=c21bc4b6973863410b7a76c8576f8c2ceb41gxrqa&amp;type=client&amp;tsoh=d3d3LnNjaWVuY2VkaXJlY3QuY29t&amp;rh=d</vt:lpwstr>
      </vt:variant>
      <vt:variant>
        <vt:lpwstr/>
      </vt:variant>
      <vt:variant>
        <vt:i4>2293859</vt:i4>
      </vt:variant>
      <vt:variant>
        <vt:i4>3</vt:i4>
      </vt:variant>
      <vt:variant>
        <vt:i4>0</vt:i4>
      </vt:variant>
      <vt:variant>
        <vt:i4>5</vt:i4>
      </vt:variant>
      <vt:variant>
        <vt:lpwstr>https://www.tga.gov.au/resources/prescription-medicines-registrations/shingrix-glaxosmithkline-australia-pty-ltd-0</vt:lpwstr>
      </vt:variant>
      <vt:variant>
        <vt:lpwstr/>
      </vt:variant>
      <vt:variant>
        <vt:i4>1966093</vt:i4>
      </vt:variant>
      <vt:variant>
        <vt:i4>0</vt:i4>
      </vt:variant>
      <vt:variant>
        <vt:i4>0</vt:i4>
      </vt:variant>
      <vt:variant>
        <vt:i4>5</vt:i4>
      </vt:variant>
      <vt:variant>
        <vt:lpwstr>https://www.ebs.tga.gov.au/ebs/picmi/picmirepository.nsf/pdf?OpenAgent=&amp;id=CP-2018-PI-02062-1&amp;d=20251218172310101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2026-04-08T23:42:00Z</dcterms:created>
  <dcterms:modified xsi:type="dcterms:W3CDTF">2026-07-16T00:06:00Z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3b65bcf1,5c368a2f,21a11075</vt:lpwstr>
  </property>
  <property fmtid="{D5CDD505-2E9C-101B-9397-08002B2CF9AE}" pid="3" name="ClassificationContentMarkingHeaderFontProps">
    <vt:lpwstr>#ff0000,12,Aptos</vt:lpwstr>
  </property>
  <property fmtid="{D5CDD505-2E9C-101B-9397-08002B2CF9AE}" pid="4" name="ClassificationContentMarkingHeaderText">
    <vt:lpwstr>OFFICIAL</vt:lpwstr>
  </property>
  <property fmtid="{D5CDD505-2E9C-101B-9397-08002B2CF9AE}" pid="5" name="ClassificationContentMarkingFooterShapeIds">
    <vt:lpwstr>699c9ec,a7b9763,31d918db</vt:lpwstr>
  </property>
  <property fmtid="{D5CDD505-2E9C-101B-9397-08002B2CF9AE}" pid="6" name="ClassificationContentMarkingFooterFontProps">
    <vt:lpwstr>#ff0000,12,Aptos</vt:lpwstr>
  </property>
  <property fmtid="{D5CDD505-2E9C-101B-9397-08002B2CF9AE}" pid="7" name="ClassificationContentMarkingFooterText">
    <vt:lpwstr>OFFICIAL</vt:lpwstr>
  </property>
  <property fmtid="{D5CDD505-2E9C-101B-9397-08002B2CF9AE}" pid="8" name="MSIP_Label_7cd3e8b9-ffed-43a8-b7f4-cc2fa0382d36_Enabled">
    <vt:lpwstr>true</vt:lpwstr>
  </property>
  <property fmtid="{D5CDD505-2E9C-101B-9397-08002B2CF9AE}" pid="9" name="MSIP_Label_7cd3e8b9-ffed-43a8-b7f4-cc2fa0382d36_SetDate">
    <vt:lpwstr>2026-04-08T23:42:49Z</vt:lpwstr>
  </property>
  <property fmtid="{D5CDD505-2E9C-101B-9397-08002B2CF9AE}" pid="10" name="MSIP_Label_7cd3e8b9-ffed-43a8-b7f4-cc2fa0382d36_Method">
    <vt:lpwstr>Privileged</vt:lpwstr>
  </property>
  <property fmtid="{D5CDD505-2E9C-101B-9397-08002B2CF9AE}" pid="11" name="MSIP_Label_7cd3e8b9-ffed-43a8-b7f4-cc2fa0382d36_Name">
    <vt:lpwstr>O</vt:lpwstr>
  </property>
  <property fmtid="{D5CDD505-2E9C-101B-9397-08002B2CF9AE}" pid="12" name="MSIP_Label_7cd3e8b9-ffed-43a8-b7f4-cc2fa0382d36_SiteId">
    <vt:lpwstr>34a3929c-73cf-4954-abfe-147dc3517892</vt:lpwstr>
  </property>
  <property fmtid="{D5CDD505-2E9C-101B-9397-08002B2CF9AE}" pid="13" name="MSIP_Label_7cd3e8b9-ffed-43a8-b7f4-cc2fa0382d36_ActionId">
    <vt:lpwstr>15ccc3a7-aec5-4e2c-86e0-370695de23d3</vt:lpwstr>
  </property>
  <property fmtid="{D5CDD505-2E9C-101B-9397-08002B2CF9AE}" pid="14" name="MSIP_Label_7cd3e8b9-ffed-43a8-b7f4-cc2fa0382d36_ContentBits">
    <vt:lpwstr>3</vt:lpwstr>
  </property>
  <property fmtid="{D5CDD505-2E9C-101B-9397-08002B2CF9AE}" pid="15" name="MSIP_Label_7cd3e8b9-ffed-43a8-b7f4-cc2fa0382d36_Tag">
    <vt:lpwstr>10, 0, 1, 1</vt:lpwstr>
  </property>
  <property fmtid="{D5CDD505-2E9C-101B-9397-08002B2CF9AE}" pid="16" name="MSIP_Label_7cd3e8b9-ffed-43a8-b7f4-cc2fa0382d36_Removed">
    <vt:lpwstr>False</vt:lpwstr>
  </property>
  <property fmtid="{D5CDD505-2E9C-101B-9397-08002B2CF9AE}" pid="17" name="MSIP_Label_0f488380-630a-4f55-a077-a19445e3f360_ActionId">
    <vt:lpwstr>73543f7d-cd6c-4630-abe5-d7254d0bc556</vt:lpwstr>
  </property>
  <property fmtid="{D5CDD505-2E9C-101B-9397-08002B2CF9AE}" pid="18" name="Order">
    <vt:r8>6500</vt:r8>
  </property>
  <property fmtid="{D5CDD505-2E9C-101B-9397-08002B2CF9AE}" pid="19" name="MSIP_Label_0f488380-630a-4f55-a077-a19445e3f360_ContentBits">
    <vt:lpwstr>0</vt:lpwstr>
  </property>
  <property fmtid="{D5CDD505-2E9C-101B-9397-08002B2CF9AE}" pid="20" name="xd_ProgID">
    <vt:lpwstr/>
  </property>
  <property fmtid="{D5CDD505-2E9C-101B-9397-08002B2CF9AE}" pid="21" name="MediaServiceImageTags">
    <vt:lpwstr/>
  </property>
  <property fmtid="{D5CDD505-2E9C-101B-9397-08002B2CF9AE}" pid="22" name="MSIP_Label_0f488380-630a-4f55-a077-a19445e3f360_SiteId">
    <vt:lpwstr>b6e377cf-9db3-46cb-91a2-fad9605bb15c</vt:lpwstr>
  </property>
  <property fmtid="{D5CDD505-2E9C-101B-9397-08002B2CF9AE}" pid="23" name="ContentTypeId">
    <vt:lpwstr>0x0101007FED174C5281F747A8037A05221D6DBD</vt:lpwstr>
  </property>
  <property fmtid="{D5CDD505-2E9C-101B-9397-08002B2CF9AE}" pid="24" name="MSIP_Label_0f488380-630a-4f55-a077-a19445e3f360_Method">
    <vt:lpwstr>Standard</vt:lpwstr>
  </property>
  <property fmtid="{D5CDD505-2E9C-101B-9397-08002B2CF9AE}" pid="25" name="ComplianceAssetId">
    <vt:lpwstr/>
  </property>
  <property fmtid="{D5CDD505-2E9C-101B-9397-08002B2CF9AE}" pid="26" name="TemplateUrl">
    <vt:lpwstr/>
  </property>
  <property fmtid="{D5CDD505-2E9C-101B-9397-08002B2CF9AE}" pid="27" name="_ExtendedDescription">
    <vt:lpwstr/>
  </property>
  <property fmtid="{D5CDD505-2E9C-101B-9397-08002B2CF9AE}" pid="28" name="MSIP_Label_0f488380-630a-4f55-a077-a19445e3f360_Name">
    <vt:lpwstr>OFFICIAL - INTERNAL</vt:lpwstr>
  </property>
  <property fmtid="{D5CDD505-2E9C-101B-9397-08002B2CF9AE}" pid="29" name="MSIP_Label_0f488380-630a-4f55-a077-a19445e3f360_Tag">
    <vt:lpwstr>10, 3, 0, 1</vt:lpwstr>
  </property>
  <property fmtid="{D5CDD505-2E9C-101B-9397-08002B2CF9AE}" pid="30" name="docLang">
    <vt:lpwstr>en</vt:lpwstr>
  </property>
  <property fmtid="{D5CDD505-2E9C-101B-9397-08002B2CF9AE}" pid="31" name="MSIP_Label_7cd3e8b9-ffed-43a8-b7f4-cc2fa0382d36_Extended_MSFT_Method">
    <vt:lpwstr>Standard</vt:lpwstr>
  </property>
  <property fmtid="{D5CDD505-2E9C-101B-9397-08002B2CF9AE}" pid="32" name="xd_Signature">
    <vt:bool>false</vt:bool>
  </property>
  <property fmtid="{D5CDD505-2E9C-101B-9397-08002B2CF9AE}" pid="33" name="MSIP_Label_0f488380-630a-4f55-a077-a19445e3f360_Enabled">
    <vt:lpwstr>true</vt:lpwstr>
  </property>
  <property fmtid="{D5CDD505-2E9C-101B-9397-08002B2CF9AE}" pid="34" name="MSIP_Label_0f488380-630a-4f55-a077-a19445e3f360_SetDate">
    <vt:lpwstr>2025-10-20T02:42:22Z</vt:lpwstr>
  </property>
  <property fmtid="{D5CDD505-2E9C-101B-9397-08002B2CF9AE}" pid="35" name="TriggerFlowInfo">
    <vt:lpwstr/>
  </property>
</Properties>
</file>