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90FE" w14:textId="77777777" w:rsidR="00F1080A" w:rsidRPr="00EB1825" w:rsidRDefault="00F1080A" w:rsidP="00F1080A">
      <w:pPr>
        <w:pStyle w:val="1-MainHeading"/>
      </w:pPr>
      <w:bookmarkStart w:id="0" w:name="_Toc208999794"/>
      <w:r w:rsidRPr="00EB1825">
        <w:t>7.02</w:t>
      </w:r>
      <w:r w:rsidRPr="00EB1825">
        <w:tab/>
        <w:t>FEZOLINETANT,</w:t>
      </w:r>
      <w:r w:rsidRPr="00EB1825">
        <w:br/>
        <w:t>Tablet 45 mg,</w:t>
      </w:r>
      <w:r w:rsidRPr="00EB1825">
        <w:br/>
        <w:t>Veoza®,</w:t>
      </w:r>
      <w:r w:rsidRPr="00EB1825">
        <w:br/>
        <w:t xml:space="preserve">ASTELLAS PHARMA AUSTRALIA PTY LTD. </w:t>
      </w:r>
    </w:p>
    <w:p w14:paraId="0E323DEB" w14:textId="77777777" w:rsidR="00C77D0D" w:rsidRPr="00EB1825" w:rsidRDefault="00C77D0D" w:rsidP="00C77D0D">
      <w:pPr>
        <w:pStyle w:val="2-SectionHeading"/>
        <w:numPr>
          <w:ilvl w:val="0"/>
          <w:numId w:val="1"/>
        </w:numPr>
      </w:pPr>
      <w:bookmarkStart w:id="1" w:name="_Toc202884166"/>
      <w:bookmarkStart w:id="2" w:name="_Toc208999796"/>
      <w:bookmarkEnd w:id="0"/>
      <w:r w:rsidRPr="00EB1825">
        <w:t>Purpose of submission</w:t>
      </w:r>
      <w:bookmarkEnd w:id="1"/>
      <w:bookmarkEnd w:id="2"/>
    </w:p>
    <w:p w14:paraId="387E2455" w14:textId="7A14B045" w:rsidR="00C77D0D" w:rsidRPr="003D566C" w:rsidRDefault="00C77D0D" w:rsidP="00766C07">
      <w:pPr>
        <w:pStyle w:val="3-BodyText"/>
      </w:pPr>
      <w:r w:rsidRPr="003D566C">
        <w:t xml:space="preserve">The standard re-entry resubmission requested Authority Required (Streamlined) listing for </w:t>
      </w:r>
      <w:proofErr w:type="spellStart"/>
      <w:r w:rsidRPr="003D566C">
        <w:t>fezolinetant</w:t>
      </w:r>
      <w:proofErr w:type="spellEnd"/>
      <w:r w:rsidRPr="003D566C">
        <w:t xml:space="preserve"> (Veoza®) 45 mg for the treatment of moderate to severe vasomotor symptoms (VMS) associated with menopause in patients unsuitable for menopausal hormone therapy (MHT) due to contraindication (MHT contraindicated), treatment cessation (MHT stopper) or risk versus benefit safety concerns (MHT cautioned). The PBAC considered </w:t>
      </w:r>
      <w:proofErr w:type="spellStart"/>
      <w:r w:rsidRPr="003D566C">
        <w:t>fezolinetant</w:t>
      </w:r>
      <w:proofErr w:type="spellEnd"/>
      <w:r w:rsidRPr="003D566C">
        <w:t xml:space="preserve"> for the same indication in patients unsuitable for MHT (including those unwilling to take MHT (i.e. MHT averse)) at the March 2025 PBAC meeting. </w:t>
      </w:r>
    </w:p>
    <w:p w14:paraId="5A44A10D" w14:textId="0FED9268" w:rsidR="00C77D0D" w:rsidRPr="003D566C" w:rsidRDefault="00C77D0D" w:rsidP="00766C07">
      <w:pPr>
        <w:pStyle w:val="3-BodyText"/>
      </w:pPr>
      <w:r w:rsidRPr="003D566C">
        <w:t xml:space="preserve">Listing was requested </w:t>
      </w:r>
      <w:proofErr w:type="gramStart"/>
      <w:r w:rsidRPr="003D566C">
        <w:t xml:space="preserve">on the basis </w:t>
      </w:r>
      <w:r w:rsidR="009D2E19" w:rsidRPr="003D566C">
        <w:t>of</w:t>
      </w:r>
      <w:proofErr w:type="gramEnd"/>
      <w:r w:rsidR="009D2E19" w:rsidRPr="003D566C">
        <w:t xml:space="preserve"> </w:t>
      </w:r>
      <w:r w:rsidRPr="003D566C">
        <w:t xml:space="preserve">a cost-utility analysis versus placebo (no treatment). The basis of the listing was unchanged from </w:t>
      </w:r>
      <w:r w:rsidR="004C4E35" w:rsidRPr="003D566C">
        <w:t xml:space="preserve">the </w:t>
      </w:r>
      <w:r w:rsidRPr="003D566C">
        <w:t>March 2025 submission. Table 1 summarises the components of the overall clinical claim addressed by the resubmission.</w:t>
      </w:r>
    </w:p>
    <w:p w14:paraId="15E35734" w14:textId="3EBF4BD4" w:rsidR="00C77D0D" w:rsidRPr="00EB1825" w:rsidRDefault="00C77D0D" w:rsidP="00C77D0D">
      <w:pPr>
        <w:pStyle w:val="TableFigureHeading"/>
        <w:rPr>
          <w:rStyle w:val="CommentReference"/>
          <w:b/>
          <w:szCs w:val="24"/>
        </w:rPr>
      </w:pPr>
      <w:bookmarkStart w:id="3" w:name="_Ref213941988"/>
      <w:r w:rsidRPr="00EB1825">
        <w:t xml:space="preserve">Table </w:t>
      </w:r>
      <w:r w:rsidR="005B6061">
        <w:fldChar w:fldCharType="begin"/>
      </w:r>
      <w:r w:rsidR="005B6061">
        <w:instrText xml:space="preserve"> SEQ Table \* ARABIC </w:instrText>
      </w:r>
      <w:r w:rsidR="005B6061">
        <w:fldChar w:fldCharType="separate"/>
      </w:r>
      <w:r w:rsidR="00946DF5">
        <w:rPr>
          <w:noProof/>
        </w:rPr>
        <w:t>1</w:t>
      </w:r>
      <w:r w:rsidR="005B6061">
        <w:rPr>
          <w:noProof/>
        </w:rPr>
        <w:fldChar w:fldCharType="end"/>
      </w:r>
      <w:bookmarkEnd w:id="3"/>
      <w:r w:rsidRPr="00EB1825">
        <w:t>:</w:t>
      </w:r>
      <w:r w:rsidRPr="00EB1825">
        <w:rPr>
          <w:rStyle w:val="CommentReference"/>
          <w:b/>
          <w:szCs w:val="24"/>
        </w:rPr>
        <w:t xml:space="preserve"> Key components of the clinical issue addressed by the resubmission (as stated in the resubmission)</w:t>
      </w:r>
    </w:p>
    <w:tbl>
      <w:tblPr>
        <w:tblStyle w:val="PBAC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as stated in the resubmission)"/>
      </w:tblPr>
      <w:tblGrid>
        <w:gridCol w:w="1129"/>
        <w:gridCol w:w="7888"/>
      </w:tblGrid>
      <w:tr w:rsidR="00C77D0D" w:rsidRPr="00EB1825" w14:paraId="0F073052" w14:textId="77777777" w:rsidTr="00DD4868">
        <w:tc>
          <w:tcPr>
            <w:tcW w:w="626" w:type="pct"/>
          </w:tcPr>
          <w:p w14:paraId="4D951372" w14:textId="77777777" w:rsidR="00C77D0D" w:rsidRPr="00EB1825" w:rsidRDefault="00C77D0D" w:rsidP="00AC6C8D">
            <w:pPr>
              <w:pStyle w:val="In-tableHeading"/>
              <w:rPr>
                <w:szCs w:val="20"/>
                <w:lang w:val="en-AU"/>
              </w:rPr>
            </w:pPr>
            <w:r w:rsidRPr="00EB1825">
              <w:rPr>
                <w:lang w:val="en-AU"/>
              </w:rPr>
              <w:t>Component</w:t>
            </w:r>
          </w:p>
        </w:tc>
        <w:tc>
          <w:tcPr>
            <w:tcW w:w="4374" w:type="pct"/>
          </w:tcPr>
          <w:p w14:paraId="6B17E709" w14:textId="77777777" w:rsidR="00C77D0D" w:rsidRPr="00EB1825" w:rsidRDefault="00C77D0D" w:rsidP="00AC6C8D">
            <w:pPr>
              <w:pStyle w:val="In-tableHeading"/>
              <w:rPr>
                <w:lang w:val="en-AU"/>
              </w:rPr>
            </w:pPr>
            <w:r w:rsidRPr="00EB1825">
              <w:rPr>
                <w:lang w:val="en-AU"/>
              </w:rPr>
              <w:t>Description</w:t>
            </w:r>
          </w:p>
        </w:tc>
      </w:tr>
      <w:tr w:rsidR="00C77D0D" w:rsidRPr="00EB1825" w14:paraId="4FE7A733" w14:textId="77777777" w:rsidTr="00DD4868">
        <w:tc>
          <w:tcPr>
            <w:tcW w:w="626" w:type="pct"/>
          </w:tcPr>
          <w:p w14:paraId="21D56A92" w14:textId="77777777" w:rsidR="00C77D0D" w:rsidRPr="00EB1825" w:rsidRDefault="00C77D0D" w:rsidP="00AC6C8D">
            <w:pPr>
              <w:pStyle w:val="TableText0"/>
            </w:pPr>
            <w:r w:rsidRPr="00EB1825">
              <w:t>Population</w:t>
            </w:r>
          </w:p>
        </w:tc>
        <w:tc>
          <w:tcPr>
            <w:tcW w:w="4374" w:type="pct"/>
          </w:tcPr>
          <w:p w14:paraId="13662009" w14:textId="77777777" w:rsidR="00C77D0D" w:rsidRPr="00EB1825" w:rsidRDefault="00C77D0D" w:rsidP="00AC6C8D">
            <w:pPr>
              <w:pStyle w:val="TableText0"/>
              <w:rPr>
                <w:szCs w:val="20"/>
              </w:rPr>
            </w:pPr>
            <w:r w:rsidRPr="00EB1825">
              <w:rPr>
                <w:szCs w:val="20"/>
              </w:rPr>
              <w:t>Post-menopausal women experiencing moderate to severe vasomotor symptoms (VMS) who are unsuitable for MHT due to contraindications, treatment cessation (stopper), or risk versus benefit safety concerns (caution).</w:t>
            </w:r>
          </w:p>
        </w:tc>
      </w:tr>
      <w:tr w:rsidR="00C77D0D" w:rsidRPr="00EB1825" w14:paraId="4606A453" w14:textId="77777777" w:rsidTr="00DD4868">
        <w:tc>
          <w:tcPr>
            <w:tcW w:w="626" w:type="pct"/>
          </w:tcPr>
          <w:p w14:paraId="050636A2" w14:textId="77777777" w:rsidR="00C77D0D" w:rsidRPr="00EB1825" w:rsidRDefault="00C77D0D" w:rsidP="00AC6C8D">
            <w:pPr>
              <w:pStyle w:val="TableText0"/>
            </w:pPr>
            <w:r w:rsidRPr="00EB1825">
              <w:t>Intervention</w:t>
            </w:r>
          </w:p>
        </w:tc>
        <w:tc>
          <w:tcPr>
            <w:tcW w:w="4374" w:type="pct"/>
            <w:shd w:val="clear" w:color="auto" w:fill="B8CCE4" w:themeFill="accent1" w:themeFillTint="66"/>
          </w:tcPr>
          <w:p w14:paraId="5A6A95EE" w14:textId="77777777" w:rsidR="00C77D0D" w:rsidRPr="00EB1825" w:rsidRDefault="00C77D0D" w:rsidP="00AC6C8D">
            <w:pPr>
              <w:pStyle w:val="TableText0"/>
            </w:pPr>
            <w:proofErr w:type="spellStart"/>
            <w:r w:rsidRPr="00EB1825">
              <w:t>Fezolinetant</w:t>
            </w:r>
            <w:proofErr w:type="spellEnd"/>
            <w:r w:rsidRPr="00EB1825">
              <w:t xml:space="preserve"> 45 mg oral tablet once daily (monotherapy),</w:t>
            </w:r>
          </w:p>
        </w:tc>
      </w:tr>
      <w:tr w:rsidR="00C77D0D" w:rsidRPr="00EB1825" w14:paraId="15098B79" w14:textId="77777777" w:rsidTr="00DD4868">
        <w:tc>
          <w:tcPr>
            <w:tcW w:w="626" w:type="pct"/>
          </w:tcPr>
          <w:p w14:paraId="07DAEE54" w14:textId="77777777" w:rsidR="00C77D0D" w:rsidRPr="00EB1825" w:rsidRDefault="00C77D0D" w:rsidP="00AC6C8D">
            <w:pPr>
              <w:pStyle w:val="TableText0"/>
            </w:pPr>
            <w:r w:rsidRPr="00EB1825">
              <w:t>Comparator</w:t>
            </w:r>
          </w:p>
        </w:tc>
        <w:tc>
          <w:tcPr>
            <w:tcW w:w="4374" w:type="pct"/>
            <w:shd w:val="clear" w:color="auto" w:fill="B8CCE4" w:themeFill="accent1" w:themeFillTint="66"/>
          </w:tcPr>
          <w:p w14:paraId="74F5CEC0" w14:textId="77777777" w:rsidR="00C77D0D" w:rsidRPr="00EB1825" w:rsidRDefault="00C77D0D" w:rsidP="00AC6C8D">
            <w:pPr>
              <w:pStyle w:val="TableText0"/>
            </w:pPr>
            <w:r w:rsidRPr="00EB1825">
              <w:t>No treatment, represented by placebo in the key clinical trial as the proposed relevant comparator,</w:t>
            </w:r>
          </w:p>
        </w:tc>
      </w:tr>
      <w:tr w:rsidR="00C77D0D" w:rsidRPr="00EB1825" w14:paraId="16F1693A" w14:textId="77777777" w:rsidTr="00DD4868">
        <w:tc>
          <w:tcPr>
            <w:tcW w:w="626" w:type="pct"/>
          </w:tcPr>
          <w:p w14:paraId="2A384DD7" w14:textId="77777777" w:rsidR="00C77D0D" w:rsidRPr="00EB1825" w:rsidRDefault="00C77D0D" w:rsidP="00AC6C8D">
            <w:pPr>
              <w:pStyle w:val="TableText0"/>
            </w:pPr>
            <w:r w:rsidRPr="00EB1825">
              <w:t>Outcomes</w:t>
            </w:r>
          </w:p>
        </w:tc>
        <w:tc>
          <w:tcPr>
            <w:tcW w:w="4374" w:type="pct"/>
            <w:shd w:val="clear" w:color="auto" w:fill="B8CCE4" w:themeFill="accent1" w:themeFillTint="66"/>
          </w:tcPr>
          <w:p w14:paraId="4D0F0360" w14:textId="77777777" w:rsidR="00C77D0D" w:rsidRPr="00EB1825" w:rsidRDefault="00C77D0D" w:rsidP="00AC6C8D">
            <w:pPr>
              <w:pStyle w:val="TableText0"/>
              <w:rPr>
                <w:rFonts w:eastAsia="Times New Roman" w:cs="Arial"/>
                <w:bCs w:val="0"/>
                <w:snapToGrid w:val="0"/>
                <w:szCs w:val="20"/>
              </w:rPr>
            </w:pPr>
            <w:r w:rsidRPr="00EB1825">
              <w:rPr>
                <w:rFonts w:eastAsia="Times New Roman" w:cs="Arial"/>
                <w:bCs w:val="0"/>
                <w:snapToGrid w:val="0"/>
                <w:szCs w:val="20"/>
              </w:rPr>
              <w:t xml:space="preserve">Primary </w:t>
            </w:r>
            <w:r w:rsidRPr="00EB1825">
              <w:rPr>
                <w:snapToGrid w:val="0"/>
                <w:szCs w:val="20"/>
              </w:rPr>
              <w:t>outcomes</w:t>
            </w:r>
            <w:r w:rsidRPr="00EB1825">
              <w:rPr>
                <w:rFonts w:eastAsia="Times New Roman" w:cs="Arial"/>
                <w:bCs w:val="0"/>
                <w:snapToGrid w:val="0"/>
                <w:szCs w:val="20"/>
              </w:rPr>
              <w:t>:</w:t>
            </w:r>
          </w:p>
          <w:p w14:paraId="540164A6" w14:textId="77777777" w:rsidR="00C77D0D" w:rsidRPr="00EB1825" w:rsidRDefault="00C77D0D" w:rsidP="00AC6C8D">
            <w:pPr>
              <w:pStyle w:val="TableText0"/>
              <w:rPr>
                <w:rFonts w:eastAsia="Times New Roman" w:cs="Arial"/>
                <w:bCs w:val="0"/>
                <w:snapToGrid w:val="0"/>
                <w:szCs w:val="20"/>
              </w:rPr>
            </w:pPr>
            <w:r w:rsidRPr="00EB1825">
              <w:rPr>
                <w:rFonts w:eastAsia="Times New Roman" w:cs="Arial"/>
                <w:bCs w:val="0"/>
                <w:snapToGrid w:val="0"/>
                <w:szCs w:val="20"/>
              </w:rPr>
              <w:t>- Change from baseline in frequency and severity of moderate to severe VMS at Week 4 and Week 12 (SKYLIGHT), and Week 24 (DAYLIGHT).</w:t>
            </w:r>
          </w:p>
          <w:p w14:paraId="547F07EC" w14:textId="77777777" w:rsidR="00C77D0D" w:rsidRPr="00EB1825" w:rsidRDefault="00C77D0D" w:rsidP="00AC6C8D">
            <w:pPr>
              <w:pStyle w:val="TableText0"/>
              <w:rPr>
                <w:rFonts w:eastAsia="Times New Roman" w:cs="Arial"/>
                <w:bCs w:val="0"/>
                <w:snapToGrid w:val="0"/>
                <w:szCs w:val="20"/>
              </w:rPr>
            </w:pPr>
            <w:r w:rsidRPr="00EB1825">
              <w:rPr>
                <w:rFonts w:eastAsia="Times New Roman" w:cs="Arial"/>
                <w:bCs w:val="0"/>
                <w:snapToGrid w:val="0"/>
                <w:szCs w:val="20"/>
              </w:rPr>
              <w:t xml:space="preserve">Key secondary </w:t>
            </w:r>
            <w:r w:rsidRPr="00EB1825">
              <w:rPr>
                <w:snapToGrid w:val="0"/>
                <w:szCs w:val="20"/>
              </w:rPr>
              <w:t>outcomes</w:t>
            </w:r>
            <w:r w:rsidRPr="00EB1825">
              <w:rPr>
                <w:rFonts w:eastAsia="Times New Roman" w:cs="Arial"/>
                <w:bCs w:val="0"/>
                <w:snapToGrid w:val="0"/>
                <w:szCs w:val="20"/>
              </w:rPr>
              <w:t>:</w:t>
            </w:r>
          </w:p>
          <w:p w14:paraId="285FDDD9" w14:textId="77777777" w:rsidR="00C77D0D" w:rsidRPr="00EB1825" w:rsidRDefault="00C77D0D" w:rsidP="00AC6C8D">
            <w:pPr>
              <w:pStyle w:val="TableText0"/>
              <w:rPr>
                <w:rFonts w:eastAsia="Times New Roman" w:cs="Arial"/>
                <w:bCs w:val="0"/>
                <w:snapToGrid w:val="0"/>
                <w:szCs w:val="20"/>
              </w:rPr>
            </w:pPr>
            <w:r w:rsidRPr="00EB1825">
              <w:rPr>
                <w:rFonts w:eastAsia="Times New Roman" w:cs="Arial"/>
                <w:bCs w:val="0"/>
                <w:snapToGrid w:val="0"/>
                <w:szCs w:val="20"/>
              </w:rPr>
              <w:t>- Menopause-specific quality of life (MENQOL)</w:t>
            </w:r>
          </w:p>
          <w:p w14:paraId="00CEA401" w14:textId="77777777" w:rsidR="00C77D0D" w:rsidRPr="00EB1825" w:rsidRDefault="00C77D0D" w:rsidP="00AC6C8D">
            <w:pPr>
              <w:pStyle w:val="TableText0"/>
              <w:rPr>
                <w:rFonts w:eastAsia="Times New Roman" w:cs="Arial"/>
                <w:bCs w:val="0"/>
                <w:snapToGrid w:val="0"/>
                <w:szCs w:val="20"/>
              </w:rPr>
            </w:pPr>
            <w:r w:rsidRPr="00EB1825">
              <w:rPr>
                <w:rFonts w:eastAsia="Times New Roman" w:cs="Arial"/>
                <w:bCs w:val="0"/>
                <w:snapToGrid w:val="0"/>
                <w:szCs w:val="20"/>
              </w:rPr>
              <w:t>- Sleep disturbance (PROMIS-SD SF 8b)</w:t>
            </w:r>
          </w:p>
          <w:p w14:paraId="1276697F" w14:textId="77777777" w:rsidR="00C77D0D" w:rsidRPr="00EB1825" w:rsidRDefault="00C77D0D" w:rsidP="00AC6C8D">
            <w:pPr>
              <w:pStyle w:val="TableText0"/>
              <w:rPr>
                <w:rFonts w:eastAsia="Times New Roman" w:cs="Arial"/>
                <w:bCs w:val="0"/>
                <w:snapToGrid w:val="0"/>
                <w:szCs w:val="20"/>
              </w:rPr>
            </w:pPr>
            <w:r w:rsidRPr="00EB1825">
              <w:rPr>
                <w:rFonts w:eastAsia="Times New Roman" w:cs="Arial"/>
                <w:bCs w:val="0"/>
                <w:snapToGrid w:val="0"/>
                <w:szCs w:val="20"/>
              </w:rPr>
              <w:t>- Work productivity (WPAI-VMS)</w:t>
            </w:r>
          </w:p>
          <w:p w14:paraId="63B9EA47" w14:textId="77777777" w:rsidR="00C77D0D" w:rsidRPr="00EB1825" w:rsidRDefault="00C77D0D" w:rsidP="00AC6C8D">
            <w:pPr>
              <w:pStyle w:val="TableText0"/>
              <w:rPr>
                <w:rFonts w:eastAsia="Times New Roman" w:cs="Arial"/>
                <w:bCs w:val="0"/>
                <w:snapToGrid w:val="0"/>
                <w:szCs w:val="20"/>
              </w:rPr>
            </w:pPr>
            <w:r w:rsidRPr="00EB1825">
              <w:rPr>
                <w:rFonts w:eastAsia="Times New Roman" w:cs="Arial"/>
                <w:bCs w:val="0"/>
                <w:snapToGrid w:val="0"/>
                <w:szCs w:val="20"/>
              </w:rPr>
              <w:t>- Patient-reported global impression of change (PGI-C VMS, PGI-S SD)</w:t>
            </w:r>
          </w:p>
          <w:p w14:paraId="6E5D9386" w14:textId="77777777" w:rsidR="00C77D0D" w:rsidRPr="00EB1825" w:rsidRDefault="00C77D0D" w:rsidP="00AC6C8D">
            <w:pPr>
              <w:pStyle w:val="TableText0"/>
              <w:rPr>
                <w:rFonts w:eastAsia="Times New Roman" w:cs="Arial"/>
                <w:bCs w:val="0"/>
                <w:snapToGrid w:val="0"/>
                <w:color w:val="0066FF"/>
                <w:szCs w:val="20"/>
              </w:rPr>
            </w:pPr>
            <w:r w:rsidRPr="00EB1825">
              <w:rPr>
                <w:rFonts w:eastAsia="Times New Roman" w:cs="Arial"/>
                <w:bCs w:val="0"/>
                <w:snapToGrid w:val="0"/>
                <w:szCs w:val="20"/>
              </w:rPr>
              <w:t>- EQ-5D-5L; PHQ-4</w:t>
            </w:r>
          </w:p>
        </w:tc>
      </w:tr>
      <w:tr w:rsidR="00C77D0D" w:rsidRPr="00EB1825" w14:paraId="4C46084E" w14:textId="77777777" w:rsidTr="00DD4868">
        <w:tc>
          <w:tcPr>
            <w:tcW w:w="626" w:type="pct"/>
          </w:tcPr>
          <w:p w14:paraId="465E9F20" w14:textId="77777777" w:rsidR="00C77D0D" w:rsidRPr="00EB1825" w:rsidRDefault="00C77D0D" w:rsidP="00AC6C8D">
            <w:pPr>
              <w:pStyle w:val="TableText0"/>
            </w:pPr>
            <w:r w:rsidRPr="00EB1825">
              <w:t>Clinical claim</w:t>
            </w:r>
          </w:p>
        </w:tc>
        <w:tc>
          <w:tcPr>
            <w:tcW w:w="4374" w:type="pct"/>
            <w:shd w:val="clear" w:color="auto" w:fill="B8CCE4" w:themeFill="accent1" w:themeFillTint="66"/>
          </w:tcPr>
          <w:p w14:paraId="370B6C49" w14:textId="77777777" w:rsidR="00C77D0D" w:rsidRPr="00EB1825" w:rsidRDefault="00C77D0D" w:rsidP="00AC6C8D">
            <w:pPr>
              <w:pStyle w:val="TableText0"/>
            </w:pPr>
            <w:proofErr w:type="spellStart"/>
            <w:r w:rsidRPr="00EB1825">
              <w:t>Fezolinetant</w:t>
            </w:r>
            <w:proofErr w:type="spellEnd"/>
            <w:r w:rsidRPr="00EB1825">
              <w:t xml:space="preserve"> 45 mg is superior in effectiveness compared to no pharmacologic treatment, with a manageable safety profile as demonstrated in Phase 3 trials (DAYLIGHT; SKYLIGHT 1, 2, 4).</w:t>
            </w:r>
          </w:p>
        </w:tc>
      </w:tr>
    </w:tbl>
    <w:p w14:paraId="294C3844" w14:textId="77777777" w:rsidR="00C77D0D" w:rsidRPr="00EB1825" w:rsidRDefault="00C77D0D" w:rsidP="004006BD">
      <w:pPr>
        <w:pStyle w:val="FooterTableFigure"/>
        <w:spacing w:after="0"/>
      </w:pPr>
      <w:r w:rsidRPr="00EB1825">
        <w:t>Source: Table 1.1-1, p4 of the resubmission.</w:t>
      </w:r>
    </w:p>
    <w:p w14:paraId="2B31A0EF" w14:textId="77777777" w:rsidR="004006BD" w:rsidRPr="00EB1825" w:rsidRDefault="00C77D0D" w:rsidP="004006BD">
      <w:pPr>
        <w:pStyle w:val="TableFigureFooter"/>
        <w:spacing w:after="0"/>
        <w:rPr>
          <w:szCs w:val="20"/>
        </w:rPr>
      </w:pPr>
      <w:r w:rsidRPr="00EB1825">
        <w:rPr>
          <w:szCs w:val="20"/>
        </w:rPr>
        <w:t>EQ-5D-5L=Euro-Qol-5D-5L; MHT=menopausal hormone therapy; PGI-S SD=Patient Global Impression of Severity in Sleep Disturbance; PGI-C VMS=Patient Global Impression of Change in Vasomotor Symptoms; PHQ-4=Patient Health Questionnaire for Anxiety and Depression; PROMIS-SD SF 8b=Patient-reported Outcomes Measurement Information System Sleep Disturbance – Short Form 8b; WPAI-VMS=Work Productivity and Activity Impairment for Vasomotor Symptoms</w:t>
      </w:r>
    </w:p>
    <w:p w14:paraId="6C1760AB" w14:textId="0691013A" w:rsidR="00C77D0D" w:rsidRPr="00EB1825" w:rsidRDefault="004006BD" w:rsidP="00CE4605">
      <w:pPr>
        <w:pStyle w:val="TableFigureFooter"/>
        <w:spacing w:after="0"/>
      </w:pPr>
      <w:r w:rsidRPr="00EB1825">
        <w:rPr>
          <w:rStyle w:val="CommentReference"/>
          <w:b w:val="0"/>
          <w:sz w:val="18"/>
          <w:szCs w:val="18"/>
          <w:shd w:val="clear" w:color="auto" w:fill="B8CCE4" w:themeFill="accent1" w:themeFillTint="66"/>
        </w:rPr>
        <w:t xml:space="preserve">Blue </w:t>
      </w:r>
      <w:r w:rsidRPr="00EB1825">
        <w:rPr>
          <w:rStyle w:val="CommentReference"/>
          <w:b w:val="0"/>
          <w:sz w:val="18"/>
          <w:szCs w:val="18"/>
        </w:rPr>
        <w:t xml:space="preserve">shading indicates data previously seen by the PBAC. </w:t>
      </w:r>
    </w:p>
    <w:p w14:paraId="57E46366" w14:textId="77777777" w:rsidR="00C77D0D" w:rsidRPr="00EB1825" w:rsidRDefault="00C77D0D" w:rsidP="00C77D0D">
      <w:pPr>
        <w:pStyle w:val="2-SectionHeading"/>
        <w:numPr>
          <w:ilvl w:val="0"/>
          <w:numId w:val="1"/>
        </w:numPr>
      </w:pPr>
      <w:bookmarkStart w:id="4" w:name="_Toc202884167"/>
      <w:bookmarkStart w:id="5" w:name="_Toc208999797"/>
      <w:r w:rsidRPr="00EB1825">
        <w:lastRenderedPageBreak/>
        <w:t>Background</w:t>
      </w:r>
      <w:bookmarkEnd w:id="4"/>
      <w:bookmarkEnd w:id="5"/>
    </w:p>
    <w:p w14:paraId="6FC633D1" w14:textId="77777777" w:rsidR="00C77D0D" w:rsidRPr="00EB1825" w:rsidRDefault="00C77D0D" w:rsidP="00C77D0D">
      <w:pPr>
        <w:pStyle w:val="4-SubsectionHeading"/>
      </w:pPr>
      <w:bookmarkStart w:id="6" w:name="_Toc202884168"/>
      <w:bookmarkStart w:id="7" w:name="_Toc208999798"/>
      <w:r w:rsidRPr="00EB1825">
        <w:t>Registration status</w:t>
      </w:r>
      <w:bookmarkEnd w:id="6"/>
      <w:bookmarkEnd w:id="7"/>
    </w:p>
    <w:p w14:paraId="4B3DAA21" w14:textId="44F73482" w:rsidR="00F36E77" w:rsidRPr="00E91CCF" w:rsidRDefault="00C77D0D" w:rsidP="00766C07">
      <w:pPr>
        <w:pStyle w:val="3-BodyText"/>
      </w:pPr>
      <w:proofErr w:type="spellStart"/>
      <w:r w:rsidRPr="00E91CCF">
        <w:t>Fezolinetant</w:t>
      </w:r>
      <w:proofErr w:type="spellEnd"/>
      <w:r w:rsidRPr="00E91CCF">
        <w:t xml:space="preserve"> 45 mg was registered by the TGA on 26 February 2024 for the following indication: “VEOZA is indicated for the treatment of moderate to severe vasomotor symptoms (VMS) associated with menopause.”</w:t>
      </w:r>
    </w:p>
    <w:p w14:paraId="5AA64727" w14:textId="4A901291" w:rsidR="00105682" w:rsidRPr="00E91CCF" w:rsidRDefault="00105682" w:rsidP="00766C07">
      <w:pPr>
        <w:pStyle w:val="3-BodyText"/>
      </w:pPr>
      <w:r w:rsidRPr="00E91CCF">
        <w:t xml:space="preserve">The resubmission stated the product information (PI) </w:t>
      </w:r>
      <w:r w:rsidR="009B5884" w:rsidRPr="00E91CCF">
        <w:t>wa</w:t>
      </w:r>
      <w:r w:rsidRPr="00E91CCF">
        <w:t>s being reviewed by the TGA for changes that included recommendations for hepatoxicity and liver function monitoring.</w:t>
      </w:r>
      <w:r w:rsidR="009B5884" w:rsidRPr="00E91CCF">
        <w:t xml:space="preserve"> These changes were finalised </w:t>
      </w:r>
      <w:r w:rsidR="00B61266" w:rsidRPr="00E91CCF">
        <w:t xml:space="preserve">and the PI revised </w:t>
      </w:r>
      <w:r w:rsidR="00A66731">
        <w:t xml:space="preserve">on </w:t>
      </w:r>
      <w:r w:rsidR="0077565F" w:rsidRPr="00E91CCF">
        <w:t xml:space="preserve">29 August 2025, prior to the PBAC’s consideration of the resubmission. </w:t>
      </w:r>
    </w:p>
    <w:p w14:paraId="2F8310D8" w14:textId="77777777" w:rsidR="00C77D0D" w:rsidRPr="00EB1825" w:rsidRDefault="00C77D0D" w:rsidP="00C77D0D">
      <w:pPr>
        <w:pStyle w:val="4-SubsectionHeading"/>
      </w:pPr>
      <w:bookmarkStart w:id="8" w:name="_Toc202884169"/>
      <w:bookmarkStart w:id="9" w:name="_Toc208999799"/>
      <w:r w:rsidRPr="00EB1825">
        <w:t>Previous PBAC consideration</w:t>
      </w:r>
      <w:bookmarkEnd w:id="8"/>
      <w:bookmarkEnd w:id="9"/>
    </w:p>
    <w:p w14:paraId="522A0B3B" w14:textId="6DEB8BB0" w:rsidR="00C77D0D" w:rsidRPr="00E91CCF" w:rsidRDefault="00C77D0D" w:rsidP="00766C07">
      <w:pPr>
        <w:pStyle w:val="3-BodyText"/>
      </w:pPr>
      <w:r w:rsidRPr="00E91CCF">
        <w:t xml:space="preserve">At the March 2025 meeting, the PBAC did not recommend </w:t>
      </w:r>
      <w:proofErr w:type="spellStart"/>
      <w:r w:rsidRPr="00E91CCF">
        <w:t>fezolinetant</w:t>
      </w:r>
      <w:proofErr w:type="spellEnd"/>
      <w:r w:rsidRPr="00E91CCF">
        <w:t xml:space="preserve"> for the treatment of moderate to severe menopause-related VMS. The PBAC considered that the clinical place for </w:t>
      </w:r>
      <w:proofErr w:type="spellStart"/>
      <w:r w:rsidRPr="00E91CCF">
        <w:t>fezolinetant</w:t>
      </w:r>
      <w:proofErr w:type="spellEnd"/>
      <w:r w:rsidRPr="00E91CCF">
        <w:t xml:space="preserve"> was not well-defined and the proposed population eligible for </w:t>
      </w:r>
      <w:proofErr w:type="spellStart"/>
      <w:r w:rsidRPr="00E91CCF">
        <w:t>fezolinetant</w:t>
      </w:r>
      <w:proofErr w:type="spellEnd"/>
      <w:r w:rsidRPr="00E91CCF">
        <w:t xml:space="preserve"> was broader than is clinically appropriate, including patients who could be treated with MHT. The PBAC noted the increasing safety concern of drug-induced liver disease with the use of </w:t>
      </w:r>
      <w:proofErr w:type="spellStart"/>
      <w:r w:rsidRPr="00E91CCF">
        <w:t>fezolinetant</w:t>
      </w:r>
      <w:proofErr w:type="spellEnd"/>
      <w:r w:rsidRPr="00E91CCF">
        <w:t xml:space="preserve"> since TGA approval in May 2024, and that this had not been adequately addressed in the submission. In addition, the PBAC considered that the incremental cost-effectiveness ratio (ICER) and financial impact of listing </w:t>
      </w:r>
      <w:proofErr w:type="spellStart"/>
      <w:r w:rsidRPr="00E91CCF">
        <w:t>fezolinetant</w:t>
      </w:r>
      <w:proofErr w:type="spellEnd"/>
      <w:r w:rsidRPr="00E91CCF">
        <w:t xml:space="preserve"> were unacceptably high (paragraphs 7.1, 7.11 and 7.13, </w:t>
      </w:r>
      <w:proofErr w:type="spellStart"/>
      <w:r w:rsidRPr="00E91CCF">
        <w:t>fezolinetant</w:t>
      </w:r>
      <w:proofErr w:type="spellEnd"/>
      <w:r w:rsidRPr="00E91CCF">
        <w:t xml:space="preserve"> </w:t>
      </w:r>
      <w:r w:rsidR="00DB68FB">
        <w:t>Public Summary Document [</w:t>
      </w:r>
      <w:r w:rsidR="00011509" w:rsidRPr="00E91CCF">
        <w:t>PSD</w:t>
      </w:r>
      <w:r w:rsidR="00DB68FB">
        <w:t>]</w:t>
      </w:r>
      <w:r w:rsidRPr="00E91CCF">
        <w:t xml:space="preserve"> March 2025 PBAC meeting).</w:t>
      </w:r>
    </w:p>
    <w:p w14:paraId="31FDAB54" w14:textId="4775F35E" w:rsidR="00C77D0D" w:rsidRPr="00E91CCF" w:rsidRDefault="00C77D0D" w:rsidP="00766C07">
      <w:pPr>
        <w:pStyle w:val="3-BodyText"/>
      </w:pPr>
      <w:proofErr w:type="spellStart"/>
      <w:r w:rsidRPr="00E91CCF">
        <w:t>Fezolinetant</w:t>
      </w:r>
      <w:proofErr w:type="spellEnd"/>
      <w:r w:rsidRPr="00E91CCF">
        <w:t xml:space="preserve"> for moderate to severe VMS associated with menopause was recently considered by other Health Technology Assessment (HTA) Committees. The UK National Institute for Health and Care Excellence (NICE) March 2025 draft guidance</w:t>
      </w:r>
      <w:r w:rsidRPr="002308E4">
        <w:rPr>
          <w:rStyle w:val="FootnoteReference"/>
        </w:rPr>
        <w:footnoteReference w:id="1"/>
      </w:r>
      <w:r w:rsidRPr="002308E4">
        <w:rPr>
          <w:vertAlign w:val="superscript"/>
        </w:rPr>
        <w:t xml:space="preserve"> </w:t>
      </w:r>
      <w:r w:rsidRPr="00E91CCF">
        <w:t xml:space="preserve">recommended that </w:t>
      </w:r>
      <w:proofErr w:type="spellStart"/>
      <w:r w:rsidRPr="00E91CCF">
        <w:t>fezolinetant</w:t>
      </w:r>
      <w:proofErr w:type="spellEnd"/>
      <w:r w:rsidRPr="00E91CCF">
        <w:t xml:space="preserve"> should not be used to treat moderate to severe VMS caused by menopause. The NICE UK draft guidance stated that there is not enough evidence to determine whether </w:t>
      </w:r>
      <w:proofErr w:type="spellStart"/>
      <w:r w:rsidRPr="00E91CCF">
        <w:t>fezolinetant</w:t>
      </w:r>
      <w:proofErr w:type="spellEnd"/>
      <w:r w:rsidRPr="00E91CCF">
        <w:t xml:space="preserve"> is value for money</w:t>
      </w:r>
      <w:r w:rsidR="00D72189" w:rsidRPr="00E91CCF">
        <w:t>,</w:t>
      </w:r>
      <w:r w:rsidRPr="00E91CCF">
        <w:t xml:space="preserve"> noting the lack of robust evidence to show how moderate to severe VMS changed over time and uncertainties in the economic model (with respect to VMS symptoms important to patients, impact of treatment on severity of these symptoms and the eligible population) to estimate the cost-effectiveness of </w:t>
      </w:r>
      <w:proofErr w:type="spellStart"/>
      <w:r w:rsidRPr="00E91CCF">
        <w:t>fezolinetant</w:t>
      </w:r>
      <w:proofErr w:type="spellEnd"/>
      <w:r w:rsidRPr="00E91CCF">
        <w:t xml:space="preserve"> compared to other treatment options.</w:t>
      </w:r>
    </w:p>
    <w:p w14:paraId="6BA287A2" w14:textId="33A8494C" w:rsidR="00C77D0D" w:rsidRPr="00E91CCF" w:rsidRDefault="00E33237" w:rsidP="00766C07">
      <w:pPr>
        <w:pStyle w:val="3-BodyText"/>
      </w:pPr>
      <w:r w:rsidRPr="00E91CCF">
        <w:fldChar w:fldCharType="begin"/>
      </w:r>
      <w:r w:rsidRPr="00E91CCF">
        <w:instrText xml:space="preserve"> REF _Ref208235623 \h </w:instrText>
      </w:r>
      <w:r w:rsidR="00E91CCF">
        <w:instrText xml:space="preserve"> \* MERGEFORMAT </w:instrText>
      </w:r>
      <w:r w:rsidRPr="00E91CCF">
        <w:fldChar w:fldCharType="separate"/>
      </w:r>
      <w:r w:rsidR="00946DF5" w:rsidRPr="00EB1825">
        <w:t xml:space="preserve">Table </w:t>
      </w:r>
      <w:r w:rsidR="00946DF5">
        <w:t>2</w:t>
      </w:r>
      <w:r w:rsidRPr="00E91CCF">
        <w:fldChar w:fldCharType="end"/>
      </w:r>
      <w:r w:rsidR="004F1CAF" w:rsidRPr="00E91CCF">
        <w:t xml:space="preserve"> </w:t>
      </w:r>
      <w:r w:rsidR="00C77D0D" w:rsidRPr="00E91CCF">
        <w:t>presents a summary of key matters of concern raised by the PBAC at the March</w:t>
      </w:r>
      <w:r w:rsidR="008F4053">
        <w:t> </w:t>
      </w:r>
      <w:r w:rsidR="00C77D0D" w:rsidRPr="00E91CCF">
        <w:t>2025 meeting and how the matters were addressed in the resubmission.</w:t>
      </w:r>
    </w:p>
    <w:p w14:paraId="553A550D" w14:textId="1CB982D8" w:rsidR="00C77D0D" w:rsidRPr="00EB1825" w:rsidRDefault="00E33237" w:rsidP="004F1CAF">
      <w:pPr>
        <w:pStyle w:val="Caption"/>
        <w:rPr>
          <w:b w:val="0"/>
          <w:bCs w:val="0"/>
          <w:szCs w:val="20"/>
        </w:rPr>
      </w:pPr>
      <w:bookmarkStart w:id="10" w:name="_Ref208235623"/>
      <w:r w:rsidRPr="00EB1825">
        <w:lastRenderedPageBreak/>
        <w:t xml:space="preserve">Table </w:t>
      </w:r>
      <w:r w:rsidR="005B6061">
        <w:fldChar w:fldCharType="begin"/>
      </w:r>
      <w:r w:rsidR="005B6061">
        <w:instrText xml:space="preserve"> SEQ Table \* ARABIC </w:instrText>
      </w:r>
      <w:r w:rsidR="005B6061">
        <w:fldChar w:fldCharType="separate"/>
      </w:r>
      <w:r w:rsidR="00946DF5">
        <w:rPr>
          <w:noProof/>
        </w:rPr>
        <w:t>2</w:t>
      </w:r>
      <w:r w:rsidR="005B6061">
        <w:rPr>
          <w:noProof/>
        </w:rPr>
        <w:fldChar w:fldCharType="end"/>
      </w:r>
      <w:bookmarkEnd w:id="10"/>
      <w:r w:rsidRPr="00EB1825">
        <w:t>:</w:t>
      </w:r>
      <w:r w:rsidR="00C77D0D" w:rsidRPr="00EB1825">
        <w:rPr>
          <w:szCs w:val="20"/>
        </w:rPr>
        <w:t xml:space="preserve"> Summary of key matters of concern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 Summary of key matters of concern"/>
      </w:tblPr>
      <w:tblGrid>
        <w:gridCol w:w="1271"/>
        <w:gridCol w:w="4438"/>
        <w:gridCol w:w="3308"/>
      </w:tblGrid>
      <w:tr w:rsidR="00C77D0D" w:rsidRPr="00EB1825" w14:paraId="5122E517" w14:textId="77777777" w:rsidTr="00DD4868">
        <w:trPr>
          <w:cantSplit/>
          <w:tblHeader/>
        </w:trPr>
        <w:tc>
          <w:tcPr>
            <w:tcW w:w="1271" w:type="dxa"/>
          </w:tcPr>
          <w:p w14:paraId="39DDAFA9" w14:textId="77777777" w:rsidR="00C77D0D" w:rsidRPr="00EB1825" w:rsidRDefault="00C77D0D" w:rsidP="004F1CAF">
            <w:pPr>
              <w:pStyle w:val="In-tableHeading"/>
              <w:rPr>
                <w:lang w:val="en-AU"/>
              </w:rPr>
            </w:pPr>
            <w:r w:rsidRPr="00EB1825">
              <w:rPr>
                <w:lang w:val="en-AU"/>
              </w:rPr>
              <w:t>Component</w:t>
            </w:r>
          </w:p>
        </w:tc>
        <w:tc>
          <w:tcPr>
            <w:tcW w:w="4438" w:type="dxa"/>
            <w:shd w:val="clear" w:color="auto" w:fill="B8CCE4" w:themeFill="accent1" w:themeFillTint="66"/>
          </w:tcPr>
          <w:p w14:paraId="08A8BB5E" w14:textId="77777777" w:rsidR="00C77D0D" w:rsidRPr="00EB1825" w:rsidRDefault="00C77D0D" w:rsidP="004F1CAF">
            <w:pPr>
              <w:pStyle w:val="In-tableHeading"/>
              <w:rPr>
                <w:lang w:val="en-AU"/>
              </w:rPr>
            </w:pPr>
            <w:r w:rsidRPr="00EB1825">
              <w:rPr>
                <w:lang w:val="en-AU"/>
              </w:rPr>
              <w:t>Matter of concern</w:t>
            </w:r>
          </w:p>
        </w:tc>
        <w:tc>
          <w:tcPr>
            <w:tcW w:w="3308" w:type="dxa"/>
          </w:tcPr>
          <w:p w14:paraId="4C28B7E0" w14:textId="77777777" w:rsidR="00C77D0D" w:rsidRPr="00EB1825" w:rsidRDefault="00C77D0D" w:rsidP="004F1CAF">
            <w:pPr>
              <w:pStyle w:val="In-tableHeading"/>
              <w:rPr>
                <w:lang w:val="en-AU"/>
              </w:rPr>
            </w:pPr>
            <w:r w:rsidRPr="00EB1825">
              <w:rPr>
                <w:lang w:val="en-AU"/>
              </w:rPr>
              <w:t>How the resubmission addresses it</w:t>
            </w:r>
          </w:p>
        </w:tc>
      </w:tr>
      <w:tr w:rsidR="00732AE0" w:rsidRPr="00EB1825" w14:paraId="6CF34F35" w14:textId="77777777" w:rsidTr="00DD4868">
        <w:trPr>
          <w:cantSplit/>
        </w:trPr>
        <w:tc>
          <w:tcPr>
            <w:tcW w:w="1271" w:type="dxa"/>
          </w:tcPr>
          <w:p w14:paraId="5D28598D" w14:textId="36E6083A" w:rsidR="00AF3E62" w:rsidRPr="00EB1825" w:rsidRDefault="00AF3E62" w:rsidP="004F1CAF">
            <w:pPr>
              <w:pStyle w:val="TableText0"/>
              <w:widowControl w:val="0"/>
            </w:pPr>
            <w:r w:rsidRPr="00EB1825">
              <w:t>Requested price</w:t>
            </w:r>
          </w:p>
        </w:tc>
        <w:tc>
          <w:tcPr>
            <w:tcW w:w="4438" w:type="dxa"/>
            <w:shd w:val="clear" w:color="auto" w:fill="B8CCE4" w:themeFill="accent1" w:themeFillTint="66"/>
          </w:tcPr>
          <w:p w14:paraId="70005441" w14:textId="4E2D5FDD" w:rsidR="00AF3E62" w:rsidRPr="00EB1825" w:rsidRDefault="00AF3E62" w:rsidP="004F1CAF">
            <w:pPr>
              <w:pStyle w:val="TableText0"/>
              <w:widowControl w:val="0"/>
            </w:pPr>
            <w:r w:rsidRPr="00EB1825">
              <w:t xml:space="preserve">The requested price for </w:t>
            </w:r>
            <w:proofErr w:type="spellStart"/>
            <w:r w:rsidRPr="00EB1825">
              <w:t>fezolinetant</w:t>
            </w:r>
            <w:proofErr w:type="spellEnd"/>
            <w:r w:rsidRPr="00EB1825">
              <w:t xml:space="preserve"> (AEMP $</w:t>
            </w:r>
            <w:r w:rsidR="00E901B5" w:rsidRPr="00E901B5">
              <w:rPr>
                <w:highlight w:val="black"/>
              </w:rPr>
              <w:t>&amp;&amp;&amp;&amp;</w:t>
            </w:r>
            <w:r w:rsidRPr="00EB1825">
              <w:t xml:space="preserve"> and DPMQ $</w:t>
            </w:r>
            <w:r w:rsidR="00E901B5" w:rsidRPr="00E901B5">
              <w:rPr>
                <w:highlight w:val="black"/>
              </w:rPr>
              <w:t>&amp;&amp;&amp;&amp;</w:t>
            </w:r>
            <w:r w:rsidRPr="00EB1825">
              <w:t xml:space="preserve">) was higher than the current private market price (~$70) (para 7.10, </w:t>
            </w:r>
            <w:proofErr w:type="spellStart"/>
            <w:r w:rsidRPr="00EB1825">
              <w:t>fezolinetant</w:t>
            </w:r>
            <w:proofErr w:type="spellEnd"/>
            <w:r w:rsidRPr="00EB1825">
              <w:t xml:space="preserve"> ratified minutes March 2025).</w:t>
            </w:r>
          </w:p>
        </w:tc>
        <w:tc>
          <w:tcPr>
            <w:tcW w:w="3308" w:type="dxa"/>
          </w:tcPr>
          <w:p w14:paraId="57AD403E" w14:textId="1911DD1D" w:rsidR="00AF3E62" w:rsidRPr="00EB1825" w:rsidRDefault="00AF3E62" w:rsidP="004F1CAF">
            <w:pPr>
              <w:pStyle w:val="TableText0"/>
              <w:widowControl w:val="0"/>
            </w:pPr>
            <w:r w:rsidRPr="00EB1825">
              <w:t xml:space="preserve">The resubmission requested a Special Pricing Arrangement for </w:t>
            </w:r>
            <w:proofErr w:type="spellStart"/>
            <w:r w:rsidRPr="00EB1825">
              <w:t>fezolinetant</w:t>
            </w:r>
            <w:proofErr w:type="spellEnd"/>
            <w:r w:rsidRPr="00EB1825">
              <w:t xml:space="preserve"> with an effective AEMP $</w:t>
            </w:r>
            <w:r w:rsidR="00E901B5" w:rsidRPr="00E901B5">
              <w:rPr>
                <w:highlight w:val="black"/>
              </w:rPr>
              <w:t>&amp;&amp;&amp;&amp;</w:t>
            </w:r>
            <w:r w:rsidRPr="00EB1825">
              <w:t xml:space="preserve"> (DPMQ $</w:t>
            </w:r>
            <w:r w:rsidR="00E901B5" w:rsidRPr="00E901B5">
              <w:rPr>
                <w:highlight w:val="black"/>
              </w:rPr>
              <w:t>&amp;&amp;&amp;&amp;</w:t>
            </w:r>
            <w:r w:rsidRPr="00EB1825">
              <w:t xml:space="preserve">), representing a </w:t>
            </w:r>
            <w:r w:rsidR="00E901B5" w:rsidRPr="00E901B5">
              <w:rPr>
                <w:highlight w:val="black"/>
              </w:rPr>
              <w:t>&amp;&amp;&amp;&amp;</w:t>
            </w:r>
            <w:r w:rsidRPr="00EB1825">
              <w:t>% reduction on the previous submission.</w:t>
            </w:r>
            <w:r w:rsidR="00D045F6" w:rsidRPr="00EB1825">
              <w:t xml:space="preserve"> </w:t>
            </w:r>
          </w:p>
        </w:tc>
      </w:tr>
      <w:tr w:rsidR="00732AE0" w:rsidRPr="00EB1825" w14:paraId="3A81CD99" w14:textId="77777777" w:rsidTr="00DD4868">
        <w:trPr>
          <w:cantSplit/>
        </w:trPr>
        <w:tc>
          <w:tcPr>
            <w:tcW w:w="1271" w:type="dxa"/>
          </w:tcPr>
          <w:p w14:paraId="08E9A6E3" w14:textId="12F8C1ED" w:rsidR="00343CCA" w:rsidRPr="00EB1825" w:rsidRDefault="00343CCA" w:rsidP="00CF283B">
            <w:pPr>
              <w:pStyle w:val="TableText0"/>
              <w:keepNext w:val="0"/>
              <w:keepLines w:val="0"/>
              <w:widowControl w:val="0"/>
            </w:pPr>
            <w:r w:rsidRPr="00EB1825">
              <w:t>Restriction</w:t>
            </w:r>
            <w:r w:rsidR="00622077" w:rsidRPr="00EB1825">
              <w:t xml:space="preserve"> and Clinical place for proposed therapy</w:t>
            </w:r>
          </w:p>
        </w:tc>
        <w:tc>
          <w:tcPr>
            <w:tcW w:w="4438" w:type="dxa"/>
            <w:shd w:val="clear" w:color="auto" w:fill="B8CCE4" w:themeFill="accent1" w:themeFillTint="66"/>
          </w:tcPr>
          <w:p w14:paraId="06B3FF6D" w14:textId="773C3760" w:rsidR="00343CCA" w:rsidRPr="00EB1825" w:rsidRDefault="00343CCA" w:rsidP="00CF283B">
            <w:pPr>
              <w:pStyle w:val="TableText0"/>
              <w:keepNext w:val="0"/>
              <w:keepLines w:val="0"/>
              <w:widowControl w:val="0"/>
            </w:pPr>
            <w:r w:rsidRPr="00EB1825">
              <w:t xml:space="preserve">The PBAC considered that the requested restriction would not limit first-line access to patients with medical reasons to avoid MHT. It would be essential to more clearly articulate sub-populations ‘unsuitable for MHT’ </w:t>
            </w:r>
            <w:proofErr w:type="gramStart"/>
            <w:r w:rsidRPr="00EB1825">
              <w:t>in order to</w:t>
            </w:r>
            <w:proofErr w:type="gramEnd"/>
            <w:r w:rsidRPr="00EB1825">
              <w:t xml:space="preserve"> exclude patients without a medical reason to avoid MHT. The PBAC considered that definitions for “MHT caution” and “MHT contraindication” should be explicit (e.g. as defined in the Toolkit and Guidelines), rather than referring to product information (PIs) for MHT. The PBAC considered that the population and listing may require further refinement, but it may be appropriate to include (para 7.4, </w:t>
            </w:r>
            <w:proofErr w:type="spellStart"/>
            <w:r w:rsidRPr="00EB1825">
              <w:t>fezolinetant</w:t>
            </w:r>
            <w:proofErr w:type="spellEnd"/>
            <w:r w:rsidRPr="00EB1825">
              <w:t xml:space="preserve"> </w:t>
            </w:r>
            <w:r w:rsidR="00FC0059" w:rsidRPr="00EB1825">
              <w:t>PSD</w:t>
            </w:r>
            <w:r w:rsidRPr="00EB1825">
              <w:t xml:space="preserve"> March 2025):</w:t>
            </w:r>
          </w:p>
          <w:p w14:paraId="425AAB79" w14:textId="77777777" w:rsidR="00343CCA" w:rsidRPr="00EB1825" w:rsidRDefault="00343CCA" w:rsidP="00D61AF9">
            <w:pPr>
              <w:pStyle w:val="TableText0"/>
              <w:keepNext w:val="0"/>
              <w:keepLines w:val="0"/>
              <w:widowControl w:val="0"/>
              <w:numPr>
                <w:ilvl w:val="0"/>
                <w:numId w:val="5"/>
              </w:numPr>
              <w:ind w:left="333" w:hanging="283"/>
            </w:pPr>
            <w:r w:rsidRPr="00EB1825">
              <w:t xml:space="preserve">First-line treatment for moderate to severe menopause-related VMS in patients with a MHT contraindication. </w:t>
            </w:r>
          </w:p>
          <w:p w14:paraId="2B71279C" w14:textId="77777777" w:rsidR="00343CCA" w:rsidRPr="00EB1825" w:rsidRDefault="00343CCA" w:rsidP="00D61AF9">
            <w:pPr>
              <w:pStyle w:val="TableText0"/>
              <w:keepNext w:val="0"/>
              <w:keepLines w:val="0"/>
              <w:widowControl w:val="0"/>
              <w:numPr>
                <w:ilvl w:val="0"/>
                <w:numId w:val="5"/>
              </w:numPr>
              <w:ind w:left="333" w:hanging="283"/>
            </w:pPr>
            <w:r w:rsidRPr="00EB1825">
              <w:t>Treatment for patients who discontinued MHT due to side effects.</w:t>
            </w:r>
          </w:p>
          <w:p w14:paraId="2F095FAB" w14:textId="77777777" w:rsidR="00343CCA" w:rsidRPr="00EB1825" w:rsidRDefault="00343CCA" w:rsidP="00D61AF9">
            <w:pPr>
              <w:pStyle w:val="TableText0"/>
              <w:keepNext w:val="0"/>
              <w:keepLines w:val="0"/>
              <w:widowControl w:val="0"/>
              <w:numPr>
                <w:ilvl w:val="0"/>
                <w:numId w:val="5"/>
              </w:numPr>
              <w:ind w:left="333" w:hanging="283"/>
            </w:pPr>
            <w:r w:rsidRPr="00EB1825">
              <w:t xml:space="preserve">Treatment for patients with a high risk of breast or endometrial cancer. </w:t>
            </w:r>
          </w:p>
          <w:p w14:paraId="15A7EE5A" w14:textId="77777777" w:rsidR="00343CCA" w:rsidRPr="00EB1825" w:rsidRDefault="00343CCA" w:rsidP="00D61AF9">
            <w:pPr>
              <w:pStyle w:val="TableText0"/>
              <w:keepNext w:val="0"/>
              <w:keepLines w:val="0"/>
              <w:widowControl w:val="0"/>
              <w:numPr>
                <w:ilvl w:val="0"/>
                <w:numId w:val="5"/>
              </w:numPr>
              <w:ind w:left="333" w:hanging="283"/>
            </w:pPr>
            <w:r w:rsidRPr="00EB1825">
              <w:t>Second-line treatment after at least 3 months trial of transdermal MHT if comorbidities have been exacerbated by MHT.</w:t>
            </w:r>
          </w:p>
          <w:p w14:paraId="666FB441" w14:textId="15FC85DA" w:rsidR="00343CCA" w:rsidRPr="00EB1825" w:rsidRDefault="00343CCA" w:rsidP="00CF283B">
            <w:pPr>
              <w:pStyle w:val="TableText0"/>
              <w:keepNext w:val="0"/>
              <w:keepLines w:val="0"/>
              <w:widowControl w:val="0"/>
            </w:pPr>
            <w:r w:rsidRPr="00EB1825">
              <w:t xml:space="preserve">The PBAC also considered </w:t>
            </w:r>
            <w:proofErr w:type="gramStart"/>
            <w:r w:rsidRPr="00EB1825">
              <w:t>with regard to</w:t>
            </w:r>
            <w:proofErr w:type="gramEnd"/>
            <w:r w:rsidRPr="00EB1825">
              <w:t xml:space="preserve"> the restriction (para 7.5, </w:t>
            </w:r>
            <w:proofErr w:type="spellStart"/>
            <w:r w:rsidRPr="00EB1825">
              <w:t>fezolinetant</w:t>
            </w:r>
            <w:proofErr w:type="spellEnd"/>
            <w:r w:rsidRPr="00EB1825">
              <w:t xml:space="preserve"> </w:t>
            </w:r>
            <w:r w:rsidR="00FC0059" w:rsidRPr="00EB1825">
              <w:t>PSD</w:t>
            </w:r>
            <w:r w:rsidRPr="00EB1825">
              <w:t xml:space="preserve"> March 2025):</w:t>
            </w:r>
          </w:p>
          <w:p w14:paraId="66631F57" w14:textId="77777777" w:rsidR="00343CCA" w:rsidRPr="00EB1825" w:rsidRDefault="00343CCA" w:rsidP="00D61AF9">
            <w:pPr>
              <w:pStyle w:val="TableText0"/>
              <w:keepNext w:val="0"/>
              <w:keepLines w:val="0"/>
              <w:widowControl w:val="0"/>
              <w:numPr>
                <w:ilvl w:val="0"/>
                <w:numId w:val="5"/>
              </w:numPr>
              <w:ind w:left="333" w:hanging="283"/>
            </w:pPr>
            <w:r w:rsidRPr="00EB1825">
              <w:t>It was unclear if it would exclude perimenopausal women. The PBAC noted that some perimenopausal women also experience VMS, but that these patients were excluded from clinical trials.</w:t>
            </w:r>
          </w:p>
          <w:p w14:paraId="03B644DF" w14:textId="77777777" w:rsidR="00343CCA" w:rsidRPr="00EB1825" w:rsidRDefault="00343CCA" w:rsidP="00D61AF9">
            <w:pPr>
              <w:pStyle w:val="TableText0"/>
              <w:keepNext w:val="0"/>
              <w:keepLines w:val="0"/>
              <w:widowControl w:val="0"/>
              <w:numPr>
                <w:ilvl w:val="0"/>
                <w:numId w:val="5"/>
              </w:numPr>
              <w:ind w:left="333" w:hanging="283"/>
            </w:pPr>
            <w:r w:rsidRPr="00EB1825">
              <w:t xml:space="preserve">It would be appropriate to define moderate to severe VMS, consistent with definitions in guidelines. </w:t>
            </w:r>
          </w:p>
          <w:p w14:paraId="027CC095" w14:textId="77777777" w:rsidR="00343CCA" w:rsidRPr="00EB1825" w:rsidRDefault="00343CCA" w:rsidP="00D61AF9">
            <w:pPr>
              <w:pStyle w:val="TableText0"/>
              <w:keepNext w:val="0"/>
              <w:keepLines w:val="0"/>
              <w:widowControl w:val="0"/>
              <w:numPr>
                <w:ilvl w:val="0"/>
                <w:numId w:val="5"/>
              </w:numPr>
              <w:ind w:left="333" w:hanging="283"/>
            </w:pPr>
            <w:r w:rsidRPr="00EB1825">
              <w:t xml:space="preserve">It would be appropriate to add a caution regarding hepatotoxicity and recommended LFT. </w:t>
            </w:r>
          </w:p>
          <w:p w14:paraId="06F4D5FF" w14:textId="77777777" w:rsidR="00343CCA" w:rsidRPr="00EB1825" w:rsidRDefault="00343CCA" w:rsidP="00D61AF9">
            <w:pPr>
              <w:pStyle w:val="TableText0"/>
              <w:keepNext w:val="0"/>
              <w:keepLines w:val="0"/>
              <w:widowControl w:val="0"/>
              <w:numPr>
                <w:ilvl w:val="0"/>
                <w:numId w:val="5"/>
              </w:numPr>
              <w:ind w:left="333" w:hanging="283"/>
            </w:pPr>
            <w:r w:rsidRPr="00EB1825">
              <w:t>A written or telephone authority required listing may be more appropriate for initial treatment to ensure that treatment is limited to the intended population.</w:t>
            </w:r>
          </w:p>
        </w:tc>
        <w:tc>
          <w:tcPr>
            <w:tcW w:w="3308" w:type="dxa"/>
          </w:tcPr>
          <w:p w14:paraId="79C23E26" w14:textId="77777777" w:rsidR="00343CCA" w:rsidRPr="00EB1825" w:rsidRDefault="00343CCA" w:rsidP="00CF283B">
            <w:pPr>
              <w:pStyle w:val="TableText0"/>
              <w:keepNext w:val="0"/>
              <w:keepLines w:val="0"/>
              <w:widowControl w:val="0"/>
            </w:pPr>
            <w:r w:rsidRPr="00EB1825">
              <w:t>The PBS restriction was revised with clinical criteria indicating patients must be MHT unsuitable (excluding MHT averse) due to one of the following:</w:t>
            </w:r>
          </w:p>
          <w:p w14:paraId="2BD73693" w14:textId="01F9F7D5" w:rsidR="00343CCA" w:rsidRPr="00EB1825" w:rsidRDefault="00343CCA" w:rsidP="00D61AF9">
            <w:pPr>
              <w:pStyle w:val="TableText0"/>
              <w:keepNext w:val="0"/>
              <w:keepLines w:val="0"/>
              <w:widowControl w:val="0"/>
              <w:numPr>
                <w:ilvl w:val="0"/>
                <w:numId w:val="5"/>
              </w:numPr>
              <w:ind w:left="333" w:hanging="283"/>
            </w:pPr>
            <w:r w:rsidRPr="00EB1825">
              <w:t xml:space="preserve">MHT contraindicated (refer to MHT </w:t>
            </w:r>
            <w:r w:rsidR="00A84B58" w:rsidRPr="00EB1825">
              <w:t>PI</w:t>
            </w:r>
            <w:r w:rsidRPr="00EB1825">
              <w:t xml:space="preserve"> for contraindications</w:t>
            </w:r>
            <w:proofErr w:type="gramStart"/>
            <w:r w:rsidRPr="00EB1825">
              <w:t>);</w:t>
            </w:r>
            <w:proofErr w:type="gramEnd"/>
          </w:p>
          <w:p w14:paraId="7A557CFE" w14:textId="77777777" w:rsidR="00343CCA" w:rsidRPr="00EB1825" w:rsidRDefault="00343CCA" w:rsidP="00D61AF9">
            <w:pPr>
              <w:pStyle w:val="TableText0"/>
              <w:keepNext w:val="0"/>
              <w:keepLines w:val="0"/>
              <w:widowControl w:val="0"/>
              <w:numPr>
                <w:ilvl w:val="0"/>
                <w:numId w:val="5"/>
              </w:numPr>
              <w:ind w:left="333" w:hanging="283"/>
            </w:pPr>
            <w:r w:rsidRPr="00EB1825">
              <w:t xml:space="preserve">Discontinued MHT due to side effects, poor tolerability or lack of </w:t>
            </w:r>
            <w:proofErr w:type="gramStart"/>
            <w:r w:rsidRPr="00EB1825">
              <w:t>efficacy;</w:t>
            </w:r>
            <w:proofErr w:type="gramEnd"/>
          </w:p>
          <w:p w14:paraId="3CA90313" w14:textId="77777777" w:rsidR="00343CCA" w:rsidRPr="00EB1825" w:rsidRDefault="00343CCA" w:rsidP="00D61AF9">
            <w:pPr>
              <w:pStyle w:val="TableText0"/>
              <w:keepNext w:val="0"/>
              <w:keepLines w:val="0"/>
              <w:widowControl w:val="0"/>
              <w:numPr>
                <w:ilvl w:val="0"/>
                <w:numId w:val="5"/>
              </w:numPr>
              <w:ind w:left="333" w:hanging="283"/>
            </w:pPr>
            <w:r w:rsidRPr="00EB1825">
              <w:t>Has an underlying condition which requires special caution to MHT (including history of diabetes, hyperlipidaemia, smoking, migraine, obesity, systemic lupus erythematosus, epilepsy, history of breast cancer or mutation of breast cancer gene (BRCA1 and BRCA2)).</w:t>
            </w:r>
          </w:p>
          <w:p w14:paraId="0760D0C8" w14:textId="547575F7" w:rsidR="00F36E77" w:rsidRPr="00EB1825" w:rsidRDefault="00F36E77" w:rsidP="00CF283B">
            <w:pPr>
              <w:pStyle w:val="TableText0"/>
              <w:keepNext w:val="0"/>
              <w:keepLines w:val="0"/>
              <w:widowControl w:val="0"/>
            </w:pPr>
          </w:p>
          <w:p w14:paraId="7639E53E" w14:textId="43BE9D1C" w:rsidR="002F1576" w:rsidRPr="00EB1825" w:rsidRDefault="00F36E77" w:rsidP="00F36E77">
            <w:pPr>
              <w:pStyle w:val="TableText0"/>
              <w:widowControl w:val="0"/>
            </w:pPr>
            <w:r w:rsidRPr="00EB1825">
              <w:t xml:space="preserve">The resubmission presented the TGA PI with </w:t>
            </w:r>
            <w:bookmarkStart w:id="11" w:name="_Hlk207975911"/>
            <w:r w:rsidRPr="00EB1825">
              <w:t xml:space="preserve">revisions to include recommendations for hepatoxicity and liver function monitoring </w:t>
            </w:r>
            <w:bookmarkEnd w:id="11"/>
            <w:r w:rsidRPr="00EB1825">
              <w:t xml:space="preserve">(Attachment 01 of the resubmission). The revised TGA PI recommends </w:t>
            </w:r>
            <w:r w:rsidR="00172FB4" w:rsidRPr="00EB1825">
              <w:t xml:space="preserve">evaluating hepatic function before initiating therapy. Then </w:t>
            </w:r>
            <w:r w:rsidRPr="00EB1825">
              <w:t xml:space="preserve">follow-up evaluation of hepatic function monthly for the first three months of initiating </w:t>
            </w:r>
            <w:proofErr w:type="spellStart"/>
            <w:r w:rsidRPr="00EB1825">
              <w:t>fezolinetant</w:t>
            </w:r>
            <w:proofErr w:type="spellEnd"/>
            <w:r w:rsidRPr="00EB1825">
              <w:t xml:space="preserve"> and thereafter periodically based on clinical judgement. Patients are recommended to discontinue </w:t>
            </w:r>
            <w:proofErr w:type="spellStart"/>
            <w:r w:rsidRPr="00EB1825">
              <w:t>fezolinetant</w:t>
            </w:r>
            <w:proofErr w:type="spellEnd"/>
            <w:r w:rsidRPr="00EB1825">
              <w:t xml:space="preserve"> if they experience hepatoxicity or increase in serum alanine aminotransferase (ALT) or </w:t>
            </w:r>
            <w:r w:rsidR="002049F0" w:rsidRPr="00EB1825">
              <w:t>a</w:t>
            </w:r>
            <w:r w:rsidRPr="00EB1825">
              <w:t>spartate aminotransferase (AST) levels.</w:t>
            </w:r>
          </w:p>
        </w:tc>
      </w:tr>
      <w:tr w:rsidR="00C77D0D" w:rsidRPr="00EB1825" w14:paraId="2BA3F14D" w14:textId="77777777" w:rsidTr="00DD4868">
        <w:trPr>
          <w:cantSplit/>
        </w:trPr>
        <w:tc>
          <w:tcPr>
            <w:tcW w:w="1271" w:type="dxa"/>
          </w:tcPr>
          <w:p w14:paraId="42BB7F98" w14:textId="77777777" w:rsidR="00C77D0D" w:rsidRPr="00EB1825" w:rsidRDefault="00C77D0D" w:rsidP="000E736B">
            <w:pPr>
              <w:pStyle w:val="TableText0"/>
              <w:keepNext w:val="0"/>
              <w:keepLines w:val="0"/>
              <w:widowControl w:val="0"/>
            </w:pPr>
            <w:r w:rsidRPr="00EB1825">
              <w:t>Comparator</w:t>
            </w:r>
          </w:p>
        </w:tc>
        <w:tc>
          <w:tcPr>
            <w:tcW w:w="4438" w:type="dxa"/>
            <w:shd w:val="clear" w:color="auto" w:fill="B8CCE4" w:themeFill="accent1" w:themeFillTint="66"/>
          </w:tcPr>
          <w:p w14:paraId="2E1AB4B3" w14:textId="39DBB8D6" w:rsidR="00C77D0D" w:rsidRPr="00EB1825" w:rsidRDefault="00C77D0D" w:rsidP="000E736B">
            <w:pPr>
              <w:pStyle w:val="TableText0"/>
              <w:keepNext w:val="0"/>
              <w:keepLines w:val="0"/>
              <w:widowControl w:val="0"/>
            </w:pPr>
            <w:r w:rsidRPr="00EB1825">
              <w:t xml:space="preserve">The PBAC considered that the nomination of ‘no treatment’ as the main comparator is not appropriate for the requested PBS patients who are contraindicated to MHT, or who have discontinued MHT due to adverse effects (AEs). </w:t>
            </w:r>
            <w:r w:rsidR="00343CCA" w:rsidRPr="00EB1825">
              <w:t xml:space="preserve">The PBAC noted that there are </w:t>
            </w:r>
            <w:proofErr w:type="gramStart"/>
            <w:r w:rsidR="00343CCA" w:rsidRPr="00EB1825">
              <w:t>a number of</w:t>
            </w:r>
            <w:proofErr w:type="gramEnd"/>
            <w:r w:rsidR="00343CCA" w:rsidRPr="00EB1825">
              <w:t xml:space="preserve"> non-hormonal medicines currently used off-label in Australian clinical practice for treatment of menopause-related VMS (e.g. oxybutynin, gabapentin, propranolol, clonidine, SSRIs), however the submission did not present any evidence for </w:t>
            </w:r>
            <w:proofErr w:type="spellStart"/>
            <w:r w:rsidR="00343CCA" w:rsidRPr="00EB1825">
              <w:t>fezolinetant</w:t>
            </w:r>
            <w:proofErr w:type="spellEnd"/>
            <w:r w:rsidR="00343CCA" w:rsidRPr="00EB1825">
              <w:t xml:space="preserve"> compared to these alternative treatments. The PBAC considered it important to better understand what treatments, if any, are currently used in Australian clinical practice by subpopulations of patients with menopause related VMS. </w:t>
            </w:r>
            <w:r w:rsidRPr="00EB1825">
              <w:t xml:space="preserve">The PBAC also considered that ‘no treatment’ is not an appropriate comparator where MHT is a clinically appropriate option and patients do not have a medical reason to avoid MHT, even where some patients in this category may choose not to receive MHT in the absence of an alternative. The PBAC considered that while there may be a place for </w:t>
            </w:r>
            <w:proofErr w:type="spellStart"/>
            <w:r w:rsidRPr="00EB1825">
              <w:t>fezolinetant</w:t>
            </w:r>
            <w:proofErr w:type="spellEnd"/>
            <w:r w:rsidRPr="00EB1825">
              <w:t xml:space="preserve"> in some “MHT caution” patients, MHT should still be considered as a valid comparator to </w:t>
            </w:r>
            <w:proofErr w:type="spellStart"/>
            <w:r w:rsidRPr="00EB1825">
              <w:t>fezolinetant</w:t>
            </w:r>
            <w:proofErr w:type="spellEnd"/>
            <w:r w:rsidRPr="00EB1825">
              <w:t xml:space="preserve">, as the risks and benefits of MHT in these patients would need to be considered against the risks and benefits of using </w:t>
            </w:r>
            <w:proofErr w:type="spellStart"/>
            <w:r w:rsidRPr="00EB1825">
              <w:t>fezolinetant</w:t>
            </w:r>
            <w:proofErr w:type="spellEnd"/>
            <w:r w:rsidRPr="00EB1825">
              <w:t xml:space="preserve"> (para 7.6, </w:t>
            </w:r>
            <w:proofErr w:type="spellStart"/>
            <w:r w:rsidRPr="00EB1825">
              <w:t>fezolinetant</w:t>
            </w:r>
            <w:proofErr w:type="spellEnd"/>
            <w:r w:rsidRPr="00EB1825">
              <w:t xml:space="preserve"> </w:t>
            </w:r>
            <w:r w:rsidR="00250FD7" w:rsidRPr="00EB1825">
              <w:t>PSD</w:t>
            </w:r>
            <w:r w:rsidRPr="00EB1825">
              <w:t xml:space="preserve"> March 2025).</w:t>
            </w:r>
          </w:p>
        </w:tc>
        <w:tc>
          <w:tcPr>
            <w:tcW w:w="3308" w:type="dxa"/>
          </w:tcPr>
          <w:p w14:paraId="5192FFA2" w14:textId="5C8090D0" w:rsidR="00C77D0D" w:rsidRPr="00EB1825" w:rsidRDefault="00C77D0D" w:rsidP="000E736B">
            <w:pPr>
              <w:pStyle w:val="TableText0"/>
              <w:keepNext w:val="0"/>
              <w:keepLines w:val="0"/>
              <w:widowControl w:val="0"/>
            </w:pPr>
            <w:r w:rsidRPr="00EB1825">
              <w:t xml:space="preserve">Unchanged from the previous submission. The resubmission nominated ‘no pharmacologic treatment’ as the main comparator for the proposed PBS population who are unsuitable for MHT. </w:t>
            </w:r>
            <w:r w:rsidR="009D2E19" w:rsidRPr="00EB1825">
              <w:t>However, t</w:t>
            </w:r>
            <w:r w:rsidRPr="00EB1825">
              <w:t xml:space="preserve">he restriction wording was amended to restrict use to those medically unsuitable to MHT, which is more aligned with second-line use. </w:t>
            </w:r>
            <w:r w:rsidR="00821ED6" w:rsidRPr="00EB1825">
              <w:t>T</w:t>
            </w:r>
            <w:r w:rsidRPr="00EB1825">
              <w:t>he resubmission argued that:</w:t>
            </w:r>
          </w:p>
          <w:p w14:paraId="0F65C412" w14:textId="365A8CF9" w:rsidR="00C77D0D" w:rsidRPr="00EB1825" w:rsidRDefault="00F36E77" w:rsidP="00D61AF9">
            <w:pPr>
              <w:pStyle w:val="TableText0"/>
              <w:keepNext w:val="0"/>
              <w:keepLines w:val="0"/>
              <w:widowControl w:val="0"/>
              <w:numPr>
                <w:ilvl w:val="0"/>
                <w:numId w:val="5"/>
              </w:numPr>
              <w:ind w:left="333" w:hanging="283"/>
            </w:pPr>
            <w:r w:rsidRPr="00EB1825">
              <w:t xml:space="preserve">Real </w:t>
            </w:r>
            <w:r w:rsidR="00C77D0D" w:rsidRPr="00EB1825">
              <w:t xml:space="preserve">world data and clinical advisory consensus statement indicate that non-hormonal treatment options (e.g., SSRI/SNRI, </w:t>
            </w:r>
            <w:proofErr w:type="spellStart"/>
            <w:r w:rsidR="00C77D0D" w:rsidRPr="00EB1825">
              <w:t>gabapentinoid</w:t>
            </w:r>
            <w:proofErr w:type="spellEnd"/>
            <w:r w:rsidR="00C77D0D" w:rsidRPr="00EB1825">
              <w:t xml:space="preserve">, oxybutynin) and clonidine are not routinely used, infrequently prescribed, have tolerability concerns and </w:t>
            </w:r>
            <w:r w:rsidR="009D2E19" w:rsidRPr="00EB1825">
              <w:t xml:space="preserve">are </w:t>
            </w:r>
            <w:r w:rsidR="00C77D0D" w:rsidRPr="00EB1825">
              <w:t>not PBS-listed or TGA-approved for this indication (see Attachments 1 and 2 of the resubmission).</w:t>
            </w:r>
          </w:p>
          <w:p w14:paraId="4E1F8E53" w14:textId="77777777" w:rsidR="00C77D0D" w:rsidRPr="00EB1825" w:rsidRDefault="00C77D0D" w:rsidP="00D61AF9">
            <w:pPr>
              <w:pStyle w:val="TableText0"/>
              <w:keepNext w:val="0"/>
              <w:keepLines w:val="0"/>
              <w:widowControl w:val="0"/>
              <w:numPr>
                <w:ilvl w:val="0"/>
                <w:numId w:val="5"/>
              </w:numPr>
              <w:ind w:left="333" w:hanging="283"/>
            </w:pPr>
            <w:r w:rsidRPr="00EB1825">
              <w:t xml:space="preserve">Placebo (no active treatment) was the comparator in the </w:t>
            </w:r>
            <w:proofErr w:type="spellStart"/>
            <w:r w:rsidRPr="00EB1825">
              <w:t>fezolinetant</w:t>
            </w:r>
            <w:proofErr w:type="spellEnd"/>
            <w:r w:rsidRPr="00EB1825">
              <w:t xml:space="preserve"> trials (DAYLIGHT, SKYLIGHT 1 and SKYLIGHT 2).</w:t>
            </w:r>
          </w:p>
        </w:tc>
      </w:tr>
      <w:tr w:rsidR="00C77D0D" w:rsidRPr="00EB1825" w14:paraId="289E618A" w14:textId="77777777" w:rsidTr="00DD4868">
        <w:trPr>
          <w:cantSplit/>
        </w:trPr>
        <w:tc>
          <w:tcPr>
            <w:tcW w:w="1271" w:type="dxa"/>
          </w:tcPr>
          <w:p w14:paraId="4D3AD6DA" w14:textId="77777777" w:rsidR="00C77D0D" w:rsidRPr="00EB1825" w:rsidRDefault="00C77D0D" w:rsidP="000E736B">
            <w:pPr>
              <w:pStyle w:val="TableText0"/>
              <w:keepNext w:val="0"/>
              <w:keepLines w:val="0"/>
              <w:widowControl w:val="0"/>
            </w:pPr>
            <w:r w:rsidRPr="00EB1825">
              <w:t>Clinical evidence &amp; clinical claim</w:t>
            </w:r>
          </w:p>
        </w:tc>
        <w:tc>
          <w:tcPr>
            <w:tcW w:w="4438" w:type="dxa"/>
            <w:shd w:val="clear" w:color="auto" w:fill="B8CCE4" w:themeFill="accent1" w:themeFillTint="66"/>
          </w:tcPr>
          <w:p w14:paraId="655141FC" w14:textId="5083529E" w:rsidR="00C77D0D" w:rsidRPr="00EB1825" w:rsidRDefault="00C77D0D" w:rsidP="000E736B">
            <w:pPr>
              <w:pStyle w:val="TableText0"/>
              <w:keepNext w:val="0"/>
              <w:keepLines w:val="0"/>
              <w:widowControl w:val="0"/>
            </w:pPr>
            <w:r w:rsidRPr="00EB1825">
              <w:t>The PBAC considered that the claim of superior effectiveness over no treatment was likely supported by the evidence</w:t>
            </w:r>
            <w:r w:rsidR="009D2E19" w:rsidRPr="00EB1825">
              <w:t>;</w:t>
            </w:r>
            <w:r w:rsidRPr="00EB1825">
              <w:t xml:space="preserve"> however</w:t>
            </w:r>
            <w:r w:rsidR="009D2E19" w:rsidRPr="00EB1825">
              <w:t>,</w:t>
            </w:r>
            <w:r w:rsidRPr="00EB1825">
              <w:t xml:space="preserve"> the clinical significance is somewhat uncertain (para 7.8, </w:t>
            </w:r>
            <w:proofErr w:type="spellStart"/>
            <w:r w:rsidRPr="00EB1825">
              <w:t>fezolinetant</w:t>
            </w:r>
            <w:proofErr w:type="spellEnd"/>
            <w:r w:rsidRPr="00EB1825">
              <w:t xml:space="preserve"> </w:t>
            </w:r>
            <w:r w:rsidR="00343CCA" w:rsidRPr="00EB1825">
              <w:t>PSD</w:t>
            </w:r>
            <w:r w:rsidRPr="00EB1825">
              <w:t xml:space="preserve"> March 2025).</w:t>
            </w:r>
          </w:p>
          <w:p w14:paraId="795D43C0" w14:textId="16BB2749" w:rsidR="00C77D0D" w:rsidRPr="00EB1825" w:rsidRDefault="00C77D0D" w:rsidP="000E736B">
            <w:pPr>
              <w:pStyle w:val="TableText0"/>
              <w:keepNext w:val="0"/>
              <w:keepLines w:val="0"/>
              <w:widowControl w:val="0"/>
            </w:pPr>
            <w:r w:rsidRPr="00EB1825">
              <w:t>The PBAC considered that</w:t>
            </w:r>
            <w:r w:rsidR="009D2E19" w:rsidRPr="00EB1825">
              <w:t>,</w:t>
            </w:r>
            <w:r w:rsidRPr="00EB1825">
              <w:t xml:space="preserve"> based on the evidence presented</w:t>
            </w:r>
            <w:r w:rsidR="009D2E19" w:rsidRPr="00EB1825">
              <w:t>,</w:t>
            </w:r>
            <w:r w:rsidRPr="00EB1825">
              <w:t xml:space="preserve"> the safety of </w:t>
            </w:r>
            <w:proofErr w:type="spellStart"/>
            <w:r w:rsidRPr="00EB1825">
              <w:t>fezolinetant</w:t>
            </w:r>
            <w:proofErr w:type="spellEnd"/>
            <w:r w:rsidRPr="00EB1825">
              <w:t xml:space="preserve"> was inferior compared to placebo. </w:t>
            </w:r>
            <w:r w:rsidR="00110422" w:rsidRPr="00EB1825">
              <w:t xml:space="preserve">The PBAC noted that the PSUR (July 2024) reported that </w:t>
            </w:r>
            <w:proofErr w:type="spellStart"/>
            <w:r w:rsidR="00110422" w:rsidRPr="00EB1825">
              <w:t>fezolinetant</w:t>
            </w:r>
            <w:proofErr w:type="spellEnd"/>
            <w:r w:rsidR="00110422" w:rsidRPr="00EB1825">
              <w:t xml:space="preserve"> was associated with symptomatic hepatotoxicity and the PSCR noted the sponsor will be updating the TGA approved PI with a recommendation for follow-up monitoring of liver function. </w:t>
            </w:r>
            <w:r w:rsidRPr="00EB1825">
              <w:t>However, the PBAC considered that symptomatic hepatotoxicity was a concern, particularly given the limited safety data beyond 52 weeks. The PBAC considered that monitoring of LFTs is potentially onerous for patients to comply with</w:t>
            </w:r>
            <w:r w:rsidR="009D2E19" w:rsidRPr="00EB1825">
              <w:t>,</w:t>
            </w:r>
            <w:r w:rsidRPr="00EB1825">
              <w:t xml:space="preserve"> and some patients may avoid LFTs until symptomatic. As such, stronger regulation or Quality Use of Medicines activities may be needed (para 7.9, </w:t>
            </w:r>
            <w:proofErr w:type="spellStart"/>
            <w:r w:rsidRPr="00EB1825">
              <w:t>fezolinetant</w:t>
            </w:r>
            <w:proofErr w:type="spellEnd"/>
            <w:r w:rsidRPr="00EB1825">
              <w:t xml:space="preserve"> </w:t>
            </w:r>
            <w:r w:rsidR="00343CCA" w:rsidRPr="00EB1825">
              <w:t>PSD</w:t>
            </w:r>
            <w:r w:rsidRPr="00EB1825">
              <w:t xml:space="preserve"> March 2025).</w:t>
            </w:r>
          </w:p>
        </w:tc>
        <w:tc>
          <w:tcPr>
            <w:tcW w:w="3308" w:type="dxa"/>
          </w:tcPr>
          <w:p w14:paraId="09FD0979" w14:textId="26B8FC85" w:rsidR="00C77D0D" w:rsidRPr="00EB1825" w:rsidRDefault="00C77D0D" w:rsidP="000E736B">
            <w:pPr>
              <w:pStyle w:val="TableText0"/>
              <w:keepNext w:val="0"/>
              <w:keepLines w:val="0"/>
              <w:widowControl w:val="0"/>
            </w:pPr>
            <w:r w:rsidRPr="00EB1825">
              <w:t xml:space="preserve">The resubmission presented additional </w:t>
            </w:r>
            <w:r w:rsidRPr="00EB1825">
              <w:rPr>
                <w:i/>
                <w:iCs/>
              </w:rPr>
              <w:t>post hoc</w:t>
            </w:r>
            <w:r w:rsidRPr="00EB1825">
              <w:t xml:space="preserve"> analysis in the revised PBS population who are MHT unsuitable (excluding MHT averse) from DAYLIGHT, SKYLIGHT 1 and SKYLIGHT 2. The efficacy and safety results were similar between patients who were MHT unsuitable (excluding MHT averse) versus MHT unsuitable (including MHT averse)</w:t>
            </w:r>
            <w:r w:rsidR="009D2E19" w:rsidRPr="00EB1825">
              <w:t>,</w:t>
            </w:r>
            <w:r w:rsidRPr="00EB1825">
              <w:t xml:space="preserve"> as presented in the previous submission.</w:t>
            </w:r>
          </w:p>
          <w:p w14:paraId="4B613003" w14:textId="77777777" w:rsidR="00C77D0D" w:rsidRPr="00EB1825" w:rsidRDefault="00C77D0D" w:rsidP="000E736B">
            <w:pPr>
              <w:pStyle w:val="TableText0"/>
              <w:keepNext w:val="0"/>
              <w:keepLines w:val="0"/>
              <w:widowControl w:val="0"/>
              <w:rPr>
                <w:sz w:val="8"/>
                <w:szCs w:val="8"/>
              </w:rPr>
            </w:pPr>
          </w:p>
          <w:p w14:paraId="6A7BC0BF" w14:textId="5D225BAD" w:rsidR="00B90C54" w:rsidRPr="00EB1825" w:rsidRDefault="00C77D0D" w:rsidP="000E736B">
            <w:pPr>
              <w:pStyle w:val="TableText0"/>
              <w:keepNext w:val="0"/>
              <w:keepLines w:val="0"/>
              <w:widowControl w:val="0"/>
            </w:pPr>
            <w:r w:rsidRPr="00EB1825">
              <w:t xml:space="preserve">The clinical claim was unchanged. </w:t>
            </w:r>
            <w:r w:rsidR="00B90C54" w:rsidRPr="00EB1825">
              <w:t xml:space="preserve">The resubmission </w:t>
            </w:r>
            <w:r w:rsidR="00937207">
              <w:t>did</w:t>
            </w:r>
            <w:r w:rsidR="00937207" w:rsidRPr="00EB1825">
              <w:t xml:space="preserve"> </w:t>
            </w:r>
            <w:r w:rsidR="00B90C54" w:rsidRPr="00EB1825">
              <w:t>not address the symptomatic hepatoxicity concerns</w:t>
            </w:r>
            <w:r w:rsidR="00122115" w:rsidRPr="00EB1825">
              <w:t xml:space="preserve">, but </w:t>
            </w:r>
            <w:r w:rsidR="00436BBD" w:rsidRPr="00EB1825">
              <w:t>provided an updated draft PI, which includes additional recommend</w:t>
            </w:r>
            <w:r w:rsidR="00F843F7" w:rsidRPr="00EB1825">
              <w:t>a</w:t>
            </w:r>
            <w:r w:rsidR="00436BBD" w:rsidRPr="00EB1825">
              <w:t xml:space="preserve">tions regarding </w:t>
            </w:r>
            <w:r w:rsidR="00CE6703" w:rsidRPr="00EB1825">
              <w:t>monitoring of liver function</w:t>
            </w:r>
            <w:r w:rsidR="00B90C54" w:rsidRPr="00EB1825">
              <w:t xml:space="preserve">. </w:t>
            </w:r>
            <w:r w:rsidRPr="00EB1825">
              <w:t xml:space="preserve">The resubmission </w:t>
            </w:r>
            <w:r w:rsidR="00110422" w:rsidRPr="00EB1825">
              <w:t xml:space="preserve">maintained </w:t>
            </w:r>
            <w:proofErr w:type="spellStart"/>
            <w:r w:rsidRPr="00EB1825">
              <w:t>fezolinetant</w:t>
            </w:r>
            <w:proofErr w:type="spellEnd"/>
            <w:r w:rsidRPr="00EB1825">
              <w:t xml:space="preserve"> as superior in terms of effectiveness and manageable </w:t>
            </w:r>
            <w:r w:rsidRPr="00937207">
              <w:t>(non-inferior)</w:t>
            </w:r>
            <w:r w:rsidRPr="00EB1825">
              <w:t xml:space="preserve"> safety compared to placebo (no treatment).</w:t>
            </w:r>
            <w:r w:rsidR="00B90C54" w:rsidRPr="00EB1825">
              <w:t xml:space="preserve"> </w:t>
            </w:r>
          </w:p>
        </w:tc>
      </w:tr>
      <w:tr w:rsidR="00C77D0D" w:rsidRPr="00EB1825" w14:paraId="0A8AD7A9" w14:textId="77777777" w:rsidTr="00DD4868">
        <w:trPr>
          <w:cantSplit/>
        </w:trPr>
        <w:tc>
          <w:tcPr>
            <w:tcW w:w="1271" w:type="dxa"/>
          </w:tcPr>
          <w:p w14:paraId="5F10B22A" w14:textId="77777777" w:rsidR="00C77D0D" w:rsidRPr="00EB1825" w:rsidRDefault="00C77D0D" w:rsidP="000E736B">
            <w:pPr>
              <w:pStyle w:val="TableText0"/>
              <w:keepNext w:val="0"/>
              <w:keepLines w:val="0"/>
              <w:widowControl w:val="0"/>
            </w:pPr>
            <w:r w:rsidRPr="00EB1825">
              <w:t>Economic evaluation</w:t>
            </w:r>
          </w:p>
        </w:tc>
        <w:tc>
          <w:tcPr>
            <w:tcW w:w="4438" w:type="dxa"/>
            <w:shd w:val="clear" w:color="auto" w:fill="B8CCE4" w:themeFill="accent1" w:themeFillTint="66"/>
          </w:tcPr>
          <w:p w14:paraId="1E8FD698" w14:textId="2574C2F0" w:rsidR="00C77D0D" w:rsidRPr="00EB1825" w:rsidRDefault="00C77D0D" w:rsidP="00F23FB5">
            <w:pPr>
              <w:pStyle w:val="TableText0"/>
              <w:keepNext w:val="0"/>
              <w:keepLines w:val="0"/>
              <w:widowControl w:val="0"/>
            </w:pPr>
            <w:r w:rsidRPr="00EB1825">
              <w:t>The PBAC considered that the ICER of $</w:t>
            </w:r>
            <w:r w:rsidR="00E901B5" w:rsidRPr="00E901B5">
              <w:rPr>
                <w:highlight w:val="black"/>
              </w:rPr>
              <w:t>&amp;&amp;&amp;&amp;</w:t>
            </w:r>
            <w:r w:rsidR="00E5587E">
              <w:rPr>
                <w:vertAlign w:val="superscript"/>
              </w:rPr>
              <w:t>1</w:t>
            </w:r>
            <w:r w:rsidRPr="00EB1825">
              <w:t>/QALY was unacceptably high given the level of uncertainty associated with the modelled outcomes and the potentially relatively large patient population. The PBAC considered that the price would need to be substantially reduced to realise an ICER in the range of $</w:t>
            </w:r>
            <w:r w:rsidR="00E901B5" w:rsidRPr="00E901B5">
              <w:rPr>
                <w:highlight w:val="black"/>
              </w:rPr>
              <w:t>&amp;&amp;&amp;&amp;</w:t>
            </w:r>
            <w:r w:rsidR="00F33B6D">
              <w:rPr>
                <w:vertAlign w:val="superscript"/>
              </w:rPr>
              <w:t>2</w:t>
            </w:r>
            <w:r w:rsidRPr="00EB1825">
              <w:t xml:space="preserve"> to $</w:t>
            </w:r>
            <w:r w:rsidR="00E901B5" w:rsidRPr="00E901B5">
              <w:rPr>
                <w:highlight w:val="black"/>
              </w:rPr>
              <w:t>&amp;&amp;&amp;&amp;</w:t>
            </w:r>
            <w:r w:rsidR="00F33B6D">
              <w:rPr>
                <w:vertAlign w:val="superscript"/>
              </w:rPr>
              <w:t>3</w:t>
            </w:r>
            <w:r w:rsidRPr="00EB1825">
              <w:t xml:space="preserve"> per QALY, which the PBAC considered would be more acceptable in the context of the uncertain benefit and the overall financial impact of listing </w:t>
            </w:r>
            <w:proofErr w:type="spellStart"/>
            <w:r w:rsidRPr="00EB1825">
              <w:t>fezolinetant</w:t>
            </w:r>
            <w:proofErr w:type="spellEnd"/>
            <w:r w:rsidRPr="00EB1825">
              <w:t xml:space="preserve"> in a revised patient population (para 7.11, </w:t>
            </w:r>
            <w:proofErr w:type="spellStart"/>
            <w:r w:rsidRPr="00EB1825">
              <w:t>fezolinetant</w:t>
            </w:r>
            <w:proofErr w:type="spellEnd"/>
            <w:r w:rsidRPr="00EB1825">
              <w:t xml:space="preserve"> ratified minutes March 2025).</w:t>
            </w:r>
          </w:p>
        </w:tc>
        <w:tc>
          <w:tcPr>
            <w:tcW w:w="3308" w:type="dxa"/>
          </w:tcPr>
          <w:p w14:paraId="0F2836D3" w14:textId="14C0E735" w:rsidR="00C77D0D" w:rsidRPr="00EB1825" w:rsidRDefault="00C77D0D" w:rsidP="000E736B">
            <w:pPr>
              <w:pStyle w:val="TableText0"/>
              <w:keepNext w:val="0"/>
              <w:keepLines w:val="0"/>
              <w:widowControl w:val="0"/>
            </w:pPr>
            <w:r w:rsidRPr="00EB1825">
              <w:t>Largely unchanged from the previous submission. The modelled economic evaluation was revised</w:t>
            </w:r>
            <w:r w:rsidR="009D2E19" w:rsidRPr="00EB1825">
              <w:t xml:space="preserve">, </w:t>
            </w:r>
            <w:r w:rsidRPr="00EB1825">
              <w:t>incorporating:</w:t>
            </w:r>
          </w:p>
          <w:p w14:paraId="14CBF992" w14:textId="73833C77" w:rsidR="00C77D0D" w:rsidRPr="00EB1825" w:rsidRDefault="00C77D0D" w:rsidP="00D61AF9">
            <w:pPr>
              <w:pStyle w:val="TableText0"/>
              <w:keepNext w:val="0"/>
              <w:keepLines w:val="0"/>
              <w:widowControl w:val="0"/>
              <w:numPr>
                <w:ilvl w:val="0"/>
                <w:numId w:val="5"/>
              </w:numPr>
              <w:ind w:left="333" w:hanging="283"/>
            </w:pPr>
            <w:r w:rsidRPr="00EB1825">
              <w:t>Proposed effective price</w:t>
            </w:r>
            <w:r w:rsidR="00AF3E62" w:rsidRPr="00EB1825">
              <w:t xml:space="preserve"> (AEMP was reduced from $</w:t>
            </w:r>
            <w:r w:rsidR="00E901B5" w:rsidRPr="00E901B5">
              <w:rPr>
                <w:highlight w:val="black"/>
              </w:rPr>
              <w:t>&amp;&amp;&amp;&amp;</w:t>
            </w:r>
            <w:r w:rsidR="00AF3E62" w:rsidRPr="00EB1825">
              <w:t xml:space="preserve"> to $</w:t>
            </w:r>
            <w:r w:rsidR="00E901B5" w:rsidRPr="00E901B5">
              <w:rPr>
                <w:highlight w:val="black"/>
              </w:rPr>
              <w:t>&amp;&amp;&amp;&amp;</w:t>
            </w:r>
            <w:r w:rsidR="00AF3E62" w:rsidRPr="00EB1825">
              <w:t>/pack)</w:t>
            </w:r>
          </w:p>
          <w:p w14:paraId="7032235D" w14:textId="77777777" w:rsidR="00C77D0D" w:rsidRPr="00EB1825" w:rsidRDefault="00C77D0D" w:rsidP="00D61AF9">
            <w:pPr>
              <w:pStyle w:val="TableText0"/>
              <w:keepNext w:val="0"/>
              <w:keepLines w:val="0"/>
              <w:widowControl w:val="0"/>
              <w:numPr>
                <w:ilvl w:val="0"/>
                <w:numId w:val="5"/>
              </w:numPr>
              <w:ind w:left="333" w:hanging="283"/>
            </w:pPr>
            <w:r w:rsidRPr="00EB1825">
              <w:t>LFT cost</w:t>
            </w:r>
          </w:p>
          <w:p w14:paraId="4E839202" w14:textId="77777777" w:rsidR="00C77D0D" w:rsidRPr="00EB1825" w:rsidRDefault="00C77D0D" w:rsidP="00D61AF9">
            <w:pPr>
              <w:pStyle w:val="TableText0"/>
              <w:keepNext w:val="0"/>
              <w:keepLines w:val="0"/>
              <w:widowControl w:val="0"/>
              <w:numPr>
                <w:ilvl w:val="0"/>
                <w:numId w:val="5"/>
              </w:numPr>
              <w:ind w:left="333" w:hanging="283"/>
            </w:pPr>
            <w:r w:rsidRPr="00EB1825">
              <w:t>Updated health state cost and resource use to more recently available (2023-2024).</w:t>
            </w:r>
          </w:p>
          <w:p w14:paraId="28852DDF" w14:textId="3F1AD2F6" w:rsidR="00C77D0D" w:rsidRPr="00EB1825" w:rsidRDefault="00C77D0D" w:rsidP="000E736B">
            <w:pPr>
              <w:pStyle w:val="TableText0"/>
              <w:keepNext w:val="0"/>
              <w:keepLines w:val="0"/>
              <w:widowControl w:val="0"/>
            </w:pPr>
            <w:r w:rsidRPr="00EB1825">
              <w:t>Efficacy and utility data in MHT unsuitable population (including MHT averse) w</w:t>
            </w:r>
            <w:r w:rsidR="009D2E19" w:rsidRPr="00EB1825">
              <w:t>ere</w:t>
            </w:r>
            <w:r w:rsidRPr="00EB1825">
              <w:t xml:space="preserve"> unchanged from the previous submission and assumed for the revised PBS population who are MHT unsuitable (excluding MHT averse) given comparable results in the additional </w:t>
            </w:r>
            <w:r w:rsidRPr="00EB1825">
              <w:rPr>
                <w:i/>
                <w:iCs/>
              </w:rPr>
              <w:t>post hoc</w:t>
            </w:r>
            <w:r w:rsidRPr="00EB1825">
              <w:t xml:space="preserve"> analysis.</w:t>
            </w:r>
          </w:p>
          <w:p w14:paraId="183D8102" w14:textId="62A6ACAC" w:rsidR="00C77D0D" w:rsidRPr="00EB1825" w:rsidRDefault="00C77D0D" w:rsidP="000E736B">
            <w:pPr>
              <w:pStyle w:val="TableText0"/>
              <w:keepNext w:val="0"/>
              <w:keepLines w:val="0"/>
              <w:widowControl w:val="0"/>
            </w:pPr>
            <w:r w:rsidRPr="00EB1825">
              <w:t xml:space="preserve">The resubmission estimated ICER for </w:t>
            </w:r>
            <w:proofErr w:type="spellStart"/>
            <w:r w:rsidRPr="00EB1825">
              <w:t>fezolinetant</w:t>
            </w:r>
            <w:proofErr w:type="spellEnd"/>
            <w:r w:rsidRPr="00EB1825">
              <w:t xml:space="preserve"> versus no treatment was $</w:t>
            </w:r>
            <w:r w:rsidR="00E901B5" w:rsidRPr="00E901B5">
              <w:rPr>
                <w:highlight w:val="black"/>
              </w:rPr>
              <w:t>&amp;&amp;&amp;&amp;</w:t>
            </w:r>
            <w:r w:rsidR="00F33B6D" w:rsidRPr="00F33B6D">
              <w:rPr>
                <w:vertAlign w:val="superscript"/>
              </w:rPr>
              <w:t>3</w:t>
            </w:r>
            <w:r w:rsidRPr="00F33B6D">
              <w:t>/QALY</w:t>
            </w:r>
            <w:r w:rsidRPr="00EB1825">
              <w:t xml:space="preserve"> gained.</w:t>
            </w:r>
          </w:p>
        </w:tc>
      </w:tr>
      <w:tr w:rsidR="00C77D0D" w:rsidRPr="00EB1825" w14:paraId="0FDCF9EE" w14:textId="77777777" w:rsidTr="00DD4868">
        <w:trPr>
          <w:cantSplit/>
        </w:trPr>
        <w:tc>
          <w:tcPr>
            <w:tcW w:w="1271" w:type="dxa"/>
          </w:tcPr>
          <w:p w14:paraId="0B802F23" w14:textId="77777777" w:rsidR="00C77D0D" w:rsidRPr="00EB1825" w:rsidRDefault="00C77D0D" w:rsidP="000E736B">
            <w:pPr>
              <w:pStyle w:val="TableText0"/>
              <w:keepNext w:val="0"/>
              <w:keepLines w:val="0"/>
              <w:widowControl w:val="0"/>
            </w:pPr>
            <w:r w:rsidRPr="00EB1825">
              <w:t>Financial estimates</w:t>
            </w:r>
          </w:p>
        </w:tc>
        <w:tc>
          <w:tcPr>
            <w:tcW w:w="4438" w:type="dxa"/>
            <w:shd w:val="clear" w:color="auto" w:fill="B8CCE4" w:themeFill="accent1" w:themeFillTint="66"/>
          </w:tcPr>
          <w:p w14:paraId="4F9D02CB" w14:textId="16DDA6F5" w:rsidR="00C77D0D" w:rsidRPr="00EB1825" w:rsidRDefault="00C77D0D" w:rsidP="000E736B">
            <w:pPr>
              <w:pStyle w:val="TableText0"/>
              <w:keepNext w:val="0"/>
              <w:keepLines w:val="0"/>
              <w:widowControl w:val="0"/>
            </w:pPr>
            <w:r w:rsidRPr="00EB1825">
              <w:t>The PBAC considered the financial estimates of $</w:t>
            </w:r>
            <w:r w:rsidR="00E901B5" w:rsidRPr="00E901B5">
              <w:rPr>
                <w:highlight w:val="black"/>
              </w:rPr>
              <w:t>&amp;&amp;&amp;&amp;</w:t>
            </w:r>
            <w:r w:rsidR="00F1080A" w:rsidRPr="00F1080A">
              <w:t xml:space="preserve"> </w:t>
            </w:r>
            <w:r w:rsidR="00E901B5" w:rsidRPr="00E901B5">
              <w:rPr>
                <w:highlight w:val="black"/>
              </w:rPr>
              <w:t>&amp;&amp;&amp;&amp;</w:t>
            </w:r>
            <w:r w:rsidR="00DF722B">
              <w:rPr>
                <w:vertAlign w:val="superscript"/>
              </w:rPr>
              <w:t>4</w:t>
            </w:r>
            <w:r w:rsidRPr="00EB1825">
              <w:t xml:space="preserve"> over 6 years to be uncertain, unacceptably high, and likely substantially overestimated for the requested population. The PBAC agreed with the DUSC that the utilisation and financial estimates were complex and required substantial changes, including (para 7.13, </w:t>
            </w:r>
            <w:proofErr w:type="spellStart"/>
            <w:r w:rsidRPr="00EB1825">
              <w:t>fezolinetant</w:t>
            </w:r>
            <w:proofErr w:type="spellEnd"/>
            <w:r w:rsidRPr="00EB1825">
              <w:t xml:space="preserve"> ratified minutes March 2025): </w:t>
            </w:r>
          </w:p>
          <w:p w14:paraId="5580FE9C" w14:textId="77777777" w:rsidR="00C77D0D" w:rsidRPr="00EB1825" w:rsidRDefault="00C77D0D" w:rsidP="000E736B">
            <w:pPr>
              <w:pStyle w:val="TableText0"/>
              <w:keepNext w:val="0"/>
              <w:keepLines w:val="0"/>
              <w:widowControl w:val="0"/>
            </w:pPr>
            <w:r w:rsidRPr="00EB1825">
              <w:t>Revision of the patient population to align with a substantially more restricted population.</w:t>
            </w:r>
          </w:p>
          <w:p w14:paraId="50B490D8" w14:textId="77777777" w:rsidR="00C77D0D" w:rsidRPr="00EB1825" w:rsidRDefault="00C77D0D" w:rsidP="000E736B">
            <w:pPr>
              <w:pStyle w:val="TableText0"/>
              <w:keepNext w:val="0"/>
              <w:keepLines w:val="0"/>
              <w:widowControl w:val="0"/>
            </w:pPr>
            <w:r w:rsidRPr="00EB1825">
              <w:t>The assumption of 75% of Australian women ‘unsuitable for MHT’ is substantially overestimated (even if the ‘MHT adverse’ category is included). The PBAC considered that the patient population with the highest need for non-hormonal treatments for VMS (cancer patients with pharmacologically induced menopause) is likely to be much smaller.</w:t>
            </w:r>
          </w:p>
          <w:p w14:paraId="3A259712" w14:textId="77777777" w:rsidR="00C77D0D" w:rsidRPr="00EB1825" w:rsidRDefault="00C77D0D" w:rsidP="000E736B">
            <w:pPr>
              <w:pStyle w:val="TableText0"/>
              <w:keepNext w:val="0"/>
              <w:keepLines w:val="0"/>
              <w:widowControl w:val="0"/>
            </w:pPr>
            <w:r w:rsidRPr="00EB1825">
              <w:t xml:space="preserve">The uptake rate for </w:t>
            </w:r>
            <w:proofErr w:type="spellStart"/>
            <w:r w:rsidRPr="00EB1825">
              <w:t>fezolinetant</w:t>
            </w:r>
            <w:proofErr w:type="spellEnd"/>
            <w:r w:rsidRPr="00EB1825">
              <w:t xml:space="preserve"> was uncertain, and likely to be overestimated given hepatoxicity concerns and the need for liver function monitoring. </w:t>
            </w:r>
          </w:p>
          <w:p w14:paraId="4F2156E5" w14:textId="77777777" w:rsidR="00C77D0D" w:rsidRPr="00EB1825" w:rsidRDefault="00C77D0D" w:rsidP="000E736B">
            <w:pPr>
              <w:pStyle w:val="TableText0"/>
              <w:keepNext w:val="0"/>
              <w:keepLines w:val="0"/>
              <w:widowControl w:val="0"/>
            </w:pPr>
            <w:r w:rsidRPr="00EB1825">
              <w:t xml:space="preserve">The discontinuation rate applied as an annual compliance rate was not appropriate and did not reflect patients discontinuing treatment being removed from the pool of prevalent patients. </w:t>
            </w:r>
          </w:p>
          <w:p w14:paraId="4D0F625D" w14:textId="2213C7E3" w:rsidR="00C77D0D" w:rsidRPr="00EB1825" w:rsidRDefault="00C77D0D" w:rsidP="000E736B">
            <w:pPr>
              <w:pStyle w:val="TableText0"/>
              <w:keepNext w:val="0"/>
              <w:keepLines w:val="0"/>
              <w:widowControl w:val="0"/>
            </w:pPr>
            <w:r w:rsidRPr="00EB1825">
              <w:t xml:space="preserve">Substitution of </w:t>
            </w:r>
            <w:proofErr w:type="spellStart"/>
            <w:r w:rsidRPr="00EB1825">
              <w:t>fezolinetant</w:t>
            </w:r>
            <w:proofErr w:type="spellEnd"/>
            <w:r w:rsidRPr="00EB1825">
              <w:t xml:space="preserve"> for MHTs and its market implications were not considered. The PBAC considered that the availability of a PBS-listed non-hormonal may impact treatment decisions regarding risks and benefits of MHT</w:t>
            </w:r>
            <w:r w:rsidR="00A32D2D" w:rsidRPr="00EB1825">
              <w:t>,</w:t>
            </w:r>
            <w:r w:rsidRPr="00EB1825">
              <w:t xml:space="preserve"> and therefore</w:t>
            </w:r>
            <w:r w:rsidR="00A32D2D" w:rsidRPr="00EB1825">
              <w:t>,</w:t>
            </w:r>
            <w:r w:rsidRPr="00EB1825">
              <w:t xml:space="preserve"> </w:t>
            </w:r>
            <w:proofErr w:type="spellStart"/>
            <w:r w:rsidRPr="00EB1825">
              <w:t>fezolinetant</w:t>
            </w:r>
            <w:proofErr w:type="spellEnd"/>
            <w:r w:rsidRPr="00EB1825">
              <w:t xml:space="preserve"> would substitute for MHT for some patients.</w:t>
            </w:r>
          </w:p>
          <w:p w14:paraId="623D5516" w14:textId="77777777" w:rsidR="00C77D0D" w:rsidRPr="00EB1825" w:rsidRDefault="00C77D0D" w:rsidP="000E736B">
            <w:pPr>
              <w:pStyle w:val="TableText0"/>
              <w:keepNext w:val="0"/>
              <w:keepLines w:val="0"/>
              <w:widowControl w:val="0"/>
            </w:pPr>
            <w:r w:rsidRPr="00EB1825">
              <w:t>Additionally, tests and care costs should be included.</w:t>
            </w:r>
          </w:p>
        </w:tc>
        <w:tc>
          <w:tcPr>
            <w:tcW w:w="3308" w:type="dxa"/>
          </w:tcPr>
          <w:p w14:paraId="65F61BE2" w14:textId="77777777" w:rsidR="00C77D0D" w:rsidRPr="00EB1825" w:rsidRDefault="00C77D0D" w:rsidP="000E736B">
            <w:pPr>
              <w:pStyle w:val="TableText0"/>
              <w:keepNext w:val="0"/>
              <w:keepLines w:val="0"/>
              <w:widowControl w:val="0"/>
            </w:pPr>
            <w:r w:rsidRPr="00EB1825">
              <w:t>The financial estimates were revised, incorporating:</w:t>
            </w:r>
          </w:p>
          <w:p w14:paraId="2D98A6B6" w14:textId="77777777" w:rsidR="00C77D0D" w:rsidRPr="00EB1825" w:rsidRDefault="00C77D0D" w:rsidP="00D61AF9">
            <w:pPr>
              <w:pStyle w:val="TableText0"/>
              <w:keepNext w:val="0"/>
              <w:keepLines w:val="0"/>
              <w:widowControl w:val="0"/>
              <w:numPr>
                <w:ilvl w:val="0"/>
                <w:numId w:val="5"/>
              </w:numPr>
              <w:ind w:left="333" w:hanging="283"/>
            </w:pPr>
            <w:r w:rsidRPr="00EB1825">
              <w:t>Proposed effective price</w:t>
            </w:r>
          </w:p>
          <w:p w14:paraId="54406663" w14:textId="77777777" w:rsidR="00C77D0D" w:rsidRPr="00EB1825" w:rsidRDefault="00C77D0D" w:rsidP="00D61AF9">
            <w:pPr>
              <w:pStyle w:val="TableText0"/>
              <w:keepNext w:val="0"/>
              <w:keepLines w:val="0"/>
              <w:widowControl w:val="0"/>
              <w:numPr>
                <w:ilvl w:val="0"/>
                <w:numId w:val="5"/>
              </w:numPr>
              <w:ind w:left="333" w:hanging="283"/>
            </w:pPr>
            <w:r w:rsidRPr="00EB1825">
              <w:t>Revised PBS restriction</w:t>
            </w:r>
          </w:p>
          <w:p w14:paraId="18D5FD27" w14:textId="77777777" w:rsidR="00DB48E4" w:rsidRPr="00EB1825" w:rsidRDefault="00C77D0D" w:rsidP="00D61AF9">
            <w:pPr>
              <w:pStyle w:val="TableText0"/>
              <w:keepNext w:val="0"/>
              <w:keepLines w:val="0"/>
              <w:widowControl w:val="0"/>
              <w:numPr>
                <w:ilvl w:val="0"/>
                <w:numId w:val="5"/>
              </w:numPr>
              <w:ind w:left="333" w:hanging="283"/>
            </w:pPr>
            <w:r w:rsidRPr="00EB1825">
              <w:t>PBS population who are post-menopausal aged 40-65 years</w:t>
            </w:r>
          </w:p>
          <w:p w14:paraId="4290928A" w14:textId="77777777" w:rsidR="00DB48E4" w:rsidRPr="00EB1825" w:rsidRDefault="00C77D0D" w:rsidP="00D61AF9">
            <w:pPr>
              <w:pStyle w:val="TableText0"/>
              <w:keepNext w:val="0"/>
              <w:keepLines w:val="0"/>
              <w:widowControl w:val="0"/>
              <w:numPr>
                <w:ilvl w:val="0"/>
                <w:numId w:val="5"/>
              </w:numPr>
              <w:ind w:left="333" w:hanging="283"/>
            </w:pPr>
            <w:r w:rsidRPr="00EB1825">
              <w:t xml:space="preserve">Assumed 45.04% MHT unsuitable (excluding MHT averse) would be eligible for </w:t>
            </w:r>
            <w:proofErr w:type="spellStart"/>
            <w:r w:rsidRPr="00EB1825">
              <w:t>fezolinetant</w:t>
            </w:r>
            <w:proofErr w:type="spellEnd"/>
          </w:p>
          <w:p w14:paraId="7E56DBFB" w14:textId="77777777" w:rsidR="00DB48E4" w:rsidRPr="00EB1825" w:rsidRDefault="00C77D0D" w:rsidP="00D61AF9">
            <w:pPr>
              <w:pStyle w:val="TableText0"/>
              <w:keepNext w:val="0"/>
              <w:keepLines w:val="0"/>
              <w:widowControl w:val="0"/>
              <w:numPr>
                <w:ilvl w:val="0"/>
                <w:numId w:val="5"/>
              </w:numPr>
              <w:ind w:left="333" w:hanging="283"/>
            </w:pPr>
            <w:r w:rsidRPr="00EB1825">
              <w:t>Annual discontinuation of 27.4%; annual compliance of 77.9%.</w:t>
            </w:r>
          </w:p>
          <w:p w14:paraId="3D98E645" w14:textId="491B0AE9" w:rsidR="00DB48E4" w:rsidRPr="00EB1825" w:rsidRDefault="00C77D0D" w:rsidP="00D61AF9">
            <w:pPr>
              <w:pStyle w:val="TableText0"/>
              <w:keepNext w:val="0"/>
              <w:keepLines w:val="0"/>
              <w:widowControl w:val="0"/>
              <w:numPr>
                <w:ilvl w:val="0"/>
                <w:numId w:val="5"/>
              </w:numPr>
              <w:ind w:left="333" w:hanging="283"/>
            </w:pPr>
            <w:r w:rsidRPr="00EB1825">
              <w:t xml:space="preserve">Assumed uptake rates in Year 1: </w:t>
            </w:r>
            <w:r w:rsidR="00E901B5" w:rsidRPr="00E901B5">
              <w:rPr>
                <w:highlight w:val="black"/>
              </w:rPr>
              <w:t>&amp;&amp;&amp;&amp;</w:t>
            </w:r>
            <w:r w:rsidRPr="00EB1825">
              <w:t xml:space="preserve">%, Year 2: </w:t>
            </w:r>
            <w:r w:rsidR="00E901B5" w:rsidRPr="00E901B5">
              <w:rPr>
                <w:highlight w:val="black"/>
              </w:rPr>
              <w:t>&amp;&amp;&amp;&amp;</w:t>
            </w:r>
            <w:r w:rsidRPr="00EB1825">
              <w:t xml:space="preserve">%, Year 3: </w:t>
            </w:r>
            <w:r w:rsidR="00E901B5" w:rsidRPr="00E901B5">
              <w:rPr>
                <w:highlight w:val="black"/>
              </w:rPr>
              <w:t>&amp;&amp;&amp;&amp;</w:t>
            </w:r>
            <w:r w:rsidRPr="00EB1825">
              <w:t xml:space="preserve">%, Year 4: </w:t>
            </w:r>
            <w:r w:rsidR="00E901B5" w:rsidRPr="00E901B5">
              <w:rPr>
                <w:highlight w:val="black"/>
              </w:rPr>
              <w:t>&amp;&amp;&amp;&amp;</w:t>
            </w:r>
            <w:r w:rsidRPr="00EB1825">
              <w:t xml:space="preserve">%, Year 5: </w:t>
            </w:r>
            <w:r w:rsidR="00E901B5" w:rsidRPr="00E901B5">
              <w:rPr>
                <w:highlight w:val="black"/>
              </w:rPr>
              <w:t>&amp;&amp;&amp;&amp;</w:t>
            </w:r>
            <w:r w:rsidRPr="00EB1825">
              <w:t xml:space="preserve">% and Year 6: </w:t>
            </w:r>
            <w:r w:rsidR="00E901B5" w:rsidRPr="00E901B5">
              <w:rPr>
                <w:highlight w:val="black"/>
              </w:rPr>
              <w:t>&amp;&amp;&amp;&amp;</w:t>
            </w:r>
            <w:r w:rsidRPr="00EB1825">
              <w:t>%.</w:t>
            </w:r>
          </w:p>
          <w:p w14:paraId="5A6608E5" w14:textId="77777777" w:rsidR="00DB48E4" w:rsidRPr="00EB1825" w:rsidRDefault="00C77D0D" w:rsidP="00D61AF9">
            <w:pPr>
              <w:pStyle w:val="TableText0"/>
              <w:keepNext w:val="0"/>
              <w:keepLines w:val="0"/>
              <w:widowControl w:val="0"/>
              <w:numPr>
                <w:ilvl w:val="0"/>
                <w:numId w:val="5"/>
              </w:numPr>
              <w:ind w:left="333" w:hanging="283"/>
            </w:pPr>
            <w:r w:rsidRPr="00EB1825">
              <w:t>Removed MBS cost savings (GP visit and specialist visit)</w:t>
            </w:r>
          </w:p>
          <w:p w14:paraId="0C8E0593" w14:textId="0B3A65F4" w:rsidR="00C77D0D" w:rsidRPr="00EB1825" w:rsidRDefault="00C77D0D" w:rsidP="00D61AF9">
            <w:pPr>
              <w:pStyle w:val="TableText0"/>
              <w:keepNext w:val="0"/>
              <w:keepLines w:val="0"/>
              <w:widowControl w:val="0"/>
              <w:numPr>
                <w:ilvl w:val="0"/>
                <w:numId w:val="5"/>
              </w:numPr>
              <w:ind w:left="333" w:hanging="283"/>
            </w:pPr>
            <w:r w:rsidRPr="00EB1825">
              <w:t>Added MBS costs for LFTs</w:t>
            </w:r>
          </w:p>
          <w:p w14:paraId="3F789445" w14:textId="3C9BF612" w:rsidR="00C77D0D" w:rsidRPr="00EB1825" w:rsidRDefault="00C77D0D" w:rsidP="000E736B">
            <w:pPr>
              <w:pStyle w:val="TableText0"/>
              <w:keepNext w:val="0"/>
              <w:keepLines w:val="0"/>
              <w:widowControl w:val="0"/>
            </w:pPr>
            <w:r w:rsidRPr="00EB1825">
              <w:t>The resubmission estimated a total net cost to PBS/RPBS of $</w:t>
            </w:r>
            <w:r w:rsidR="00E901B5" w:rsidRPr="00E901B5">
              <w:rPr>
                <w:highlight w:val="black"/>
              </w:rPr>
              <w:t>&amp;&amp;&amp;&amp;</w:t>
            </w:r>
            <w:r w:rsidR="00F1080A" w:rsidRPr="00F1080A">
              <w:t xml:space="preserve"> </w:t>
            </w:r>
            <w:r w:rsidR="00E901B5" w:rsidRPr="00E901B5">
              <w:rPr>
                <w:highlight w:val="black"/>
              </w:rPr>
              <w:t>&amp;&amp;&amp;&amp;</w:t>
            </w:r>
            <w:r w:rsidR="00541E74">
              <w:rPr>
                <w:vertAlign w:val="superscript"/>
              </w:rPr>
              <w:t>5</w:t>
            </w:r>
            <w:r w:rsidRPr="00EB1825">
              <w:t xml:space="preserve"> over the first 6 years of use.</w:t>
            </w:r>
          </w:p>
        </w:tc>
      </w:tr>
      <w:tr w:rsidR="00C77D0D" w:rsidRPr="00EB1825" w14:paraId="0759F5D5" w14:textId="77777777" w:rsidTr="00DD4868">
        <w:trPr>
          <w:cantSplit/>
        </w:trPr>
        <w:tc>
          <w:tcPr>
            <w:tcW w:w="1271" w:type="dxa"/>
          </w:tcPr>
          <w:p w14:paraId="2B6CD14A" w14:textId="77777777" w:rsidR="00C77D0D" w:rsidRPr="00EB1825" w:rsidRDefault="00C77D0D" w:rsidP="000E736B">
            <w:pPr>
              <w:pStyle w:val="TableText0"/>
              <w:keepNext w:val="0"/>
              <w:keepLines w:val="0"/>
              <w:widowControl w:val="0"/>
            </w:pPr>
            <w:r w:rsidRPr="00EB1825">
              <w:t>RSA</w:t>
            </w:r>
          </w:p>
        </w:tc>
        <w:tc>
          <w:tcPr>
            <w:tcW w:w="4438" w:type="dxa"/>
            <w:shd w:val="clear" w:color="auto" w:fill="B8CCE4" w:themeFill="accent1" w:themeFillTint="66"/>
          </w:tcPr>
          <w:p w14:paraId="08A5D5B5" w14:textId="52BCA7C3" w:rsidR="00C77D0D" w:rsidRPr="00EB1825" w:rsidRDefault="00C77D0D" w:rsidP="000E736B">
            <w:pPr>
              <w:pStyle w:val="TableText0"/>
              <w:keepNext w:val="0"/>
              <w:keepLines w:val="0"/>
              <w:widowControl w:val="0"/>
            </w:pPr>
            <w:r w:rsidRPr="00EB1825">
              <w:t>The PBAC considered that a</w:t>
            </w:r>
            <w:r w:rsidR="003373C8" w:rsidRPr="00EB1825">
              <w:t>n</w:t>
            </w:r>
            <w:r w:rsidRPr="00EB1825">
              <w:t xml:space="preserve"> RSA is likely to be essential to manage risks of usage outside the revised PBS restriction, usage beyond expectations (e.g. average treatment durations longer than those in the trials), and uncertainty around the percentage of Australian women eligible for treatment (para 7.14, </w:t>
            </w:r>
            <w:proofErr w:type="spellStart"/>
            <w:r w:rsidRPr="00EB1825">
              <w:t>fezolinetant</w:t>
            </w:r>
            <w:proofErr w:type="spellEnd"/>
            <w:r w:rsidRPr="00EB1825">
              <w:t xml:space="preserve"> </w:t>
            </w:r>
            <w:r w:rsidR="00343CCA" w:rsidRPr="00EB1825">
              <w:t>PSD</w:t>
            </w:r>
            <w:r w:rsidRPr="00EB1825">
              <w:t xml:space="preserve"> March 2025).</w:t>
            </w:r>
          </w:p>
        </w:tc>
        <w:tc>
          <w:tcPr>
            <w:tcW w:w="3308" w:type="dxa"/>
          </w:tcPr>
          <w:p w14:paraId="5D0441B7" w14:textId="5F0DA20B" w:rsidR="00C77D0D" w:rsidRPr="00EB1825" w:rsidRDefault="00C77D0D" w:rsidP="000E736B">
            <w:pPr>
              <w:pStyle w:val="TableText0"/>
              <w:keepNext w:val="0"/>
              <w:keepLines w:val="0"/>
              <w:widowControl w:val="0"/>
            </w:pPr>
            <w:r w:rsidRPr="00EB1825">
              <w:t>The resubmission proposed a</w:t>
            </w:r>
            <w:r w:rsidR="00696D2F" w:rsidRPr="00EB1825">
              <w:t>n</w:t>
            </w:r>
            <w:r w:rsidRPr="00EB1825">
              <w:t xml:space="preserve"> RSA for </w:t>
            </w:r>
            <w:proofErr w:type="spellStart"/>
            <w:r w:rsidRPr="00EB1825">
              <w:t>fezolinetant</w:t>
            </w:r>
            <w:proofErr w:type="spellEnd"/>
            <w:r w:rsidRPr="00EB1825">
              <w:t xml:space="preserve"> under a single arrangement with tiered subsidisation cap: </w:t>
            </w:r>
            <w:r w:rsidR="00E901B5" w:rsidRPr="00E901B5">
              <w:rPr>
                <w:highlight w:val="black"/>
              </w:rPr>
              <w:t>&amp;&amp;&amp;&amp;</w:t>
            </w:r>
            <w:r w:rsidRPr="00EB1825">
              <w:t>% rebate if PBS/RPBS expenditures between &gt;</w:t>
            </w:r>
            <w:r w:rsidR="00E901B5" w:rsidRPr="00E901B5">
              <w:rPr>
                <w:highlight w:val="black"/>
              </w:rPr>
              <w:t>&amp;&amp;&amp;&amp;</w:t>
            </w:r>
            <w:r w:rsidRPr="00EB1825">
              <w:t>% and ≤</w:t>
            </w:r>
            <w:r w:rsidR="00E901B5" w:rsidRPr="00E901B5">
              <w:rPr>
                <w:highlight w:val="black"/>
              </w:rPr>
              <w:t>&amp;&amp;&amp;&amp;</w:t>
            </w:r>
            <w:r w:rsidRPr="00EB1825">
              <w:t xml:space="preserve">% of cap; </w:t>
            </w:r>
            <w:r w:rsidR="00E901B5" w:rsidRPr="00E901B5">
              <w:rPr>
                <w:highlight w:val="black"/>
              </w:rPr>
              <w:t>&amp;&amp;&amp;&amp;</w:t>
            </w:r>
            <w:r w:rsidRPr="00EB1825">
              <w:t>% rebate if PBS/RPBS expenditures between &gt;</w:t>
            </w:r>
            <w:r w:rsidR="00E901B5" w:rsidRPr="00E901B5">
              <w:rPr>
                <w:highlight w:val="black"/>
              </w:rPr>
              <w:t>&amp;&amp;&amp;&amp;</w:t>
            </w:r>
            <w:r w:rsidRPr="00EB1825">
              <w:t>% and ≤</w:t>
            </w:r>
            <w:r w:rsidR="00E901B5" w:rsidRPr="00E901B5">
              <w:rPr>
                <w:highlight w:val="black"/>
              </w:rPr>
              <w:t>&amp;&amp;&amp;&amp;</w:t>
            </w:r>
            <w:r w:rsidRPr="00EB1825">
              <w:t xml:space="preserve">% of cap; and </w:t>
            </w:r>
            <w:r w:rsidR="00E901B5" w:rsidRPr="00E901B5">
              <w:rPr>
                <w:highlight w:val="black"/>
              </w:rPr>
              <w:t>&amp;&amp;&amp;&amp;</w:t>
            </w:r>
            <w:r w:rsidRPr="00EB1825">
              <w:t>% rebate if PBS/RPBS expenditures between &gt;</w:t>
            </w:r>
            <w:r w:rsidR="00E901B5" w:rsidRPr="00E901B5">
              <w:rPr>
                <w:highlight w:val="black"/>
              </w:rPr>
              <w:t>&amp;&amp;&amp;&amp;</w:t>
            </w:r>
            <w:r w:rsidRPr="00EB1825">
              <w:t>% and ≤</w:t>
            </w:r>
            <w:r w:rsidR="00E901B5" w:rsidRPr="00E901B5">
              <w:rPr>
                <w:highlight w:val="black"/>
              </w:rPr>
              <w:t>&amp;&amp;&amp;&amp;</w:t>
            </w:r>
            <w:r w:rsidRPr="00EB1825">
              <w:t>% of cap.</w:t>
            </w:r>
          </w:p>
        </w:tc>
      </w:tr>
    </w:tbl>
    <w:p w14:paraId="1EEC417B" w14:textId="77777777" w:rsidR="00C77D0D" w:rsidRPr="00EB1825" w:rsidRDefault="00C77D0D" w:rsidP="00AB00E7">
      <w:pPr>
        <w:pStyle w:val="FooterTableFigure"/>
        <w:spacing w:after="0"/>
      </w:pPr>
      <w:r w:rsidRPr="00EB1825">
        <w:t>Source: Summary Table of Changes/Updates in Section 1, pp1-2, Section 2, p19, Section 3, p67, Section 4, pp103-104 of the resubmission.</w:t>
      </w:r>
    </w:p>
    <w:p w14:paraId="3B6F179B" w14:textId="77777777" w:rsidR="00793B10" w:rsidRPr="00EB1825" w:rsidRDefault="00C77D0D" w:rsidP="00793B10">
      <w:pPr>
        <w:pStyle w:val="TableFigureFooter"/>
        <w:spacing w:after="0"/>
      </w:pPr>
      <w:r w:rsidRPr="00EB1825">
        <w:t>LFT=liver function test; MHT=menopausal hormone therapy; RSA=risk share arrangement; SSRI=selective serotonin reuptake inhibitor; SNRI=serotonin-norepinephrine reuptake inhibitor</w:t>
      </w:r>
      <w:r w:rsidR="00793B10" w:rsidRPr="00EB1825">
        <w:t>.</w:t>
      </w:r>
    </w:p>
    <w:p w14:paraId="20D75E8D" w14:textId="77777777" w:rsidR="00AB00E7" w:rsidRDefault="00793B10" w:rsidP="00AB00E7">
      <w:pPr>
        <w:pStyle w:val="TableFigureFooter"/>
        <w:rPr>
          <w:i/>
        </w:rPr>
      </w:pPr>
      <w:r w:rsidRPr="00EB1825">
        <w:rPr>
          <w:rStyle w:val="CommentReference"/>
          <w:b w:val="0"/>
          <w:sz w:val="18"/>
          <w:szCs w:val="18"/>
          <w:shd w:val="clear" w:color="auto" w:fill="B8CCE4" w:themeFill="accent1" w:themeFillTint="66"/>
        </w:rPr>
        <w:t xml:space="preserve">Blue </w:t>
      </w:r>
      <w:r w:rsidRPr="00EB1825">
        <w:rPr>
          <w:rStyle w:val="CommentReference"/>
          <w:b w:val="0"/>
          <w:sz w:val="18"/>
          <w:szCs w:val="18"/>
        </w:rPr>
        <w:t>shading indicates data previously seen by the PBAC.</w:t>
      </w:r>
    </w:p>
    <w:p w14:paraId="64F1D17B" w14:textId="559DC690" w:rsidR="00AB00E7" w:rsidRPr="00AB00E7" w:rsidRDefault="00AB00E7" w:rsidP="00AB00E7">
      <w:pPr>
        <w:pStyle w:val="TableFigureFooter"/>
        <w:rPr>
          <w:i/>
        </w:rPr>
      </w:pPr>
      <w:r w:rsidRPr="00AB00E7">
        <w:rPr>
          <w:i/>
        </w:rPr>
        <w:t xml:space="preserve">The redacted values correspond to the following ranges: </w:t>
      </w:r>
    </w:p>
    <w:p w14:paraId="0AE3B9CC" w14:textId="77777777" w:rsidR="00F33B6D" w:rsidRDefault="00AB00E7" w:rsidP="00AB00E7">
      <w:pPr>
        <w:pStyle w:val="TableFigureFooter"/>
        <w:rPr>
          <w:i/>
        </w:rPr>
      </w:pPr>
      <w:r w:rsidRPr="00AB00E7">
        <w:rPr>
          <w:i/>
          <w:vertAlign w:val="superscript"/>
        </w:rPr>
        <w:t>1</w:t>
      </w:r>
      <w:r w:rsidRPr="00AB00E7">
        <w:rPr>
          <w:i/>
        </w:rPr>
        <w:t xml:space="preserve"> </w:t>
      </w:r>
      <w:r w:rsidR="008351F7" w:rsidRPr="008351F7">
        <w:rPr>
          <w:i/>
        </w:rPr>
        <w:t>$35,000 to &lt; $45,000</w:t>
      </w:r>
    </w:p>
    <w:p w14:paraId="2248C725" w14:textId="77777777" w:rsidR="00F33B6D" w:rsidRDefault="00F33B6D" w:rsidP="00AB00E7">
      <w:pPr>
        <w:pStyle w:val="TableFigureFooter"/>
        <w:rPr>
          <w:i/>
        </w:rPr>
      </w:pPr>
      <w:r>
        <w:rPr>
          <w:i/>
          <w:vertAlign w:val="superscript"/>
        </w:rPr>
        <w:t>2</w:t>
      </w:r>
      <w:r>
        <w:rPr>
          <w:iCs/>
          <w:vertAlign w:val="superscript"/>
        </w:rPr>
        <w:t xml:space="preserve"> </w:t>
      </w:r>
      <w:bookmarkStart w:id="12" w:name="_Hlk219370829"/>
      <w:r w:rsidRPr="00F33B6D">
        <w:rPr>
          <w:i/>
        </w:rPr>
        <w:t>$15,000 to &lt; $25,000</w:t>
      </w:r>
      <w:bookmarkEnd w:id="12"/>
    </w:p>
    <w:p w14:paraId="04D0B172" w14:textId="77777777" w:rsidR="00DF722B" w:rsidRDefault="00F33B6D" w:rsidP="00AB00E7">
      <w:pPr>
        <w:pStyle w:val="TableFigureFooter"/>
        <w:rPr>
          <w:i/>
        </w:rPr>
      </w:pPr>
      <w:r>
        <w:rPr>
          <w:i/>
          <w:vertAlign w:val="superscript"/>
        </w:rPr>
        <w:t xml:space="preserve">3 </w:t>
      </w:r>
      <w:r w:rsidR="00DF722B" w:rsidRPr="00DF722B">
        <w:rPr>
          <w:i/>
        </w:rPr>
        <w:t>$25,000 to &lt; $35,000</w:t>
      </w:r>
    </w:p>
    <w:p w14:paraId="3C563744" w14:textId="77777777" w:rsidR="00541E74" w:rsidRPr="00541E74" w:rsidRDefault="00DF722B" w:rsidP="00541E74">
      <w:pPr>
        <w:pStyle w:val="TableFigureFooter"/>
        <w:rPr>
          <w:i/>
        </w:rPr>
      </w:pPr>
      <w:r>
        <w:rPr>
          <w:i/>
          <w:vertAlign w:val="superscript"/>
        </w:rPr>
        <w:t>4</w:t>
      </w:r>
      <w:r w:rsidR="00541E74">
        <w:rPr>
          <w:i/>
          <w:vertAlign w:val="superscript"/>
        </w:rPr>
        <w:t xml:space="preserve"> </w:t>
      </w:r>
      <w:r w:rsidR="00541E74" w:rsidRPr="00541E74">
        <w:rPr>
          <w:i/>
        </w:rPr>
        <w:t>$800 million to &lt; $900 million</w:t>
      </w:r>
    </w:p>
    <w:p w14:paraId="1D004607" w14:textId="6ED27514" w:rsidR="00541E74" w:rsidRPr="00541E74" w:rsidRDefault="00541E74" w:rsidP="00541E74">
      <w:pPr>
        <w:pStyle w:val="TableFigureFooter"/>
        <w:rPr>
          <w:i/>
        </w:rPr>
      </w:pPr>
      <w:r>
        <w:rPr>
          <w:i/>
          <w:vertAlign w:val="superscript"/>
        </w:rPr>
        <w:t>5</w:t>
      </w:r>
      <w:r w:rsidRPr="00541E74">
        <w:rPr>
          <w:i/>
          <w:vertAlign w:val="superscript"/>
        </w:rPr>
        <w:t xml:space="preserve"> </w:t>
      </w:r>
      <w:r w:rsidR="00A8356B" w:rsidRPr="00A8356B">
        <w:rPr>
          <w:i/>
        </w:rPr>
        <w:t>$200 million to &lt; $300 million</w:t>
      </w:r>
    </w:p>
    <w:p w14:paraId="2BFE354D" w14:textId="52930CCF" w:rsidR="00AB00E7" w:rsidRPr="00541E74" w:rsidRDefault="00AB00E7" w:rsidP="00AB00E7">
      <w:pPr>
        <w:pStyle w:val="TableFigureFooter"/>
        <w:rPr>
          <w:i/>
        </w:rPr>
      </w:pPr>
    </w:p>
    <w:p w14:paraId="02EACEA8" w14:textId="77777777" w:rsidR="00F33B6D" w:rsidRPr="00AB00E7" w:rsidRDefault="00F33B6D" w:rsidP="00F33B6D">
      <w:pPr>
        <w:pStyle w:val="3-BodyText"/>
        <w:numPr>
          <w:ilvl w:val="0"/>
          <w:numId w:val="0"/>
        </w:numPr>
        <w:ind w:left="720" w:hanging="720"/>
      </w:pPr>
    </w:p>
    <w:p w14:paraId="0CA3299D" w14:textId="2782069C" w:rsidR="00793B10" w:rsidRPr="00EB1825" w:rsidRDefault="00793B10" w:rsidP="00793B10">
      <w:pPr>
        <w:pStyle w:val="TableFigureFooter"/>
        <w:spacing w:after="0"/>
        <w:rPr>
          <w:rStyle w:val="CommentReference"/>
          <w:b w:val="0"/>
          <w:sz w:val="18"/>
          <w:szCs w:val="18"/>
        </w:rPr>
      </w:pPr>
    </w:p>
    <w:p w14:paraId="6898D902" w14:textId="6A803011" w:rsidR="00C77D0D" w:rsidRPr="00EB1825" w:rsidRDefault="00C77D0D" w:rsidP="00C77D0D">
      <w:pPr>
        <w:pStyle w:val="FooterTableFigure"/>
      </w:pPr>
    </w:p>
    <w:p w14:paraId="5EC6818A" w14:textId="77777777" w:rsidR="00DF5B41" w:rsidRPr="00EB1825" w:rsidRDefault="00DF5B41" w:rsidP="00DF5B41">
      <w:pPr>
        <w:ind w:firstLine="709"/>
        <w:rPr>
          <w:rFonts w:asciiTheme="minorHAnsi" w:hAnsiTheme="minorHAnsi"/>
          <w:i/>
        </w:rPr>
      </w:pPr>
      <w:bookmarkStart w:id="13" w:name="_Hlk76375324"/>
      <w:r w:rsidRPr="00EB1825">
        <w:rPr>
          <w:rFonts w:asciiTheme="minorHAnsi" w:hAnsiTheme="minorHAnsi"/>
          <w:i/>
        </w:rPr>
        <w:t>For more detail on PBAC’s view, see section 7 PBAC outcome.</w:t>
      </w:r>
    </w:p>
    <w:p w14:paraId="4ACA0CF3" w14:textId="77777777" w:rsidR="00C77D0D" w:rsidRPr="00EB1825" w:rsidRDefault="00C77D0D" w:rsidP="00937207">
      <w:pPr>
        <w:pStyle w:val="2-SectionHeading"/>
        <w:keepNext w:val="0"/>
        <w:widowControl w:val="0"/>
        <w:numPr>
          <w:ilvl w:val="0"/>
          <w:numId w:val="1"/>
        </w:numPr>
      </w:pPr>
      <w:bookmarkStart w:id="14" w:name="_Toc202884170"/>
      <w:bookmarkStart w:id="15" w:name="_Toc208999800"/>
      <w:bookmarkStart w:id="16" w:name="_Ref213840002"/>
      <w:bookmarkEnd w:id="13"/>
      <w:r w:rsidRPr="00EB1825">
        <w:t>Requested listing</w:t>
      </w:r>
      <w:bookmarkEnd w:id="14"/>
      <w:bookmarkEnd w:id="15"/>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Requested listing "/>
      </w:tblPr>
      <w:tblGrid>
        <w:gridCol w:w="3114"/>
        <w:gridCol w:w="1843"/>
        <w:gridCol w:w="850"/>
        <w:gridCol w:w="851"/>
        <w:gridCol w:w="708"/>
        <w:gridCol w:w="1651"/>
      </w:tblGrid>
      <w:tr w:rsidR="00C77D0D" w:rsidRPr="00EB1825" w14:paraId="4EE6C5E2" w14:textId="77777777" w:rsidTr="00AC6C8D">
        <w:trPr>
          <w:cantSplit/>
          <w:trHeight w:val="20"/>
        </w:trPr>
        <w:tc>
          <w:tcPr>
            <w:tcW w:w="3114" w:type="dxa"/>
            <w:vAlign w:val="center"/>
          </w:tcPr>
          <w:p w14:paraId="2324155B" w14:textId="77777777" w:rsidR="00C77D0D" w:rsidRPr="00EB1825" w:rsidRDefault="00C77D0D" w:rsidP="00937207">
            <w:pPr>
              <w:pStyle w:val="In-tableHeading"/>
              <w:keepNext w:val="0"/>
              <w:keepLines w:val="0"/>
              <w:widowControl w:val="0"/>
              <w:rPr>
                <w:lang w:val="en-AU"/>
              </w:rPr>
            </w:pPr>
            <w:r w:rsidRPr="00EB1825">
              <w:rPr>
                <w:lang w:val="en-AU"/>
              </w:rPr>
              <w:t>MEDICINAL PRODUCT</w:t>
            </w:r>
          </w:p>
          <w:p w14:paraId="3A541C7A" w14:textId="77777777" w:rsidR="00C77D0D" w:rsidRPr="00EB1825" w:rsidRDefault="00C77D0D" w:rsidP="00937207">
            <w:pPr>
              <w:pStyle w:val="In-tableHeading"/>
              <w:keepNext w:val="0"/>
              <w:keepLines w:val="0"/>
              <w:widowControl w:val="0"/>
              <w:rPr>
                <w:lang w:val="en-AU"/>
              </w:rPr>
            </w:pPr>
            <w:r w:rsidRPr="00EB1825">
              <w:rPr>
                <w:lang w:val="en-AU"/>
              </w:rPr>
              <w:t>medicinal product pack</w:t>
            </w:r>
          </w:p>
        </w:tc>
        <w:tc>
          <w:tcPr>
            <w:tcW w:w="1843" w:type="dxa"/>
            <w:vAlign w:val="center"/>
          </w:tcPr>
          <w:p w14:paraId="47D534AF" w14:textId="77777777" w:rsidR="00C77D0D" w:rsidRPr="00EB1825" w:rsidRDefault="00C77D0D" w:rsidP="00937207">
            <w:pPr>
              <w:pStyle w:val="In-tableHeading"/>
              <w:keepNext w:val="0"/>
              <w:keepLines w:val="0"/>
              <w:widowControl w:val="0"/>
              <w:rPr>
                <w:lang w:val="en-AU"/>
              </w:rPr>
            </w:pPr>
            <w:r w:rsidRPr="00EB1825">
              <w:rPr>
                <w:snapToGrid w:val="0"/>
                <w:lang w:val="en-AU"/>
              </w:rPr>
              <w:t xml:space="preserve">Dispensed Price for Max. Qty </w:t>
            </w:r>
          </w:p>
        </w:tc>
        <w:tc>
          <w:tcPr>
            <w:tcW w:w="850" w:type="dxa"/>
            <w:vAlign w:val="center"/>
          </w:tcPr>
          <w:p w14:paraId="5952F889" w14:textId="77777777" w:rsidR="00C77D0D" w:rsidRPr="00EB1825" w:rsidRDefault="00C77D0D" w:rsidP="00937207">
            <w:pPr>
              <w:pStyle w:val="In-tableHeading"/>
              <w:keepNext w:val="0"/>
              <w:keepLines w:val="0"/>
              <w:widowControl w:val="0"/>
              <w:jc w:val="center"/>
              <w:rPr>
                <w:lang w:val="en-AU"/>
              </w:rPr>
            </w:pPr>
            <w:r w:rsidRPr="00EB1825">
              <w:rPr>
                <w:lang w:val="en-AU"/>
              </w:rPr>
              <w:t>Max. qty packs</w:t>
            </w:r>
          </w:p>
        </w:tc>
        <w:tc>
          <w:tcPr>
            <w:tcW w:w="851" w:type="dxa"/>
            <w:vAlign w:val="center"/>
          </w:tcPr>
          <w:p w14:paraId="5F158D3D" w14:textId="77777777" w:rsidR="00C77D0D" w:rsidRPr="00EB1825" w:rsidRDefault="00C77D0D" w:rsidP="00937207">
            <w:pPr>
              <w:pStyle w:val="In-tableHeading"/>
              <w:keepNext w:val="0"/>
              <w:keepLines w:val="0"/>
              <w:widowControl w:val="0"/>
              <w:jc w:val="center"/>
              <w:rPr>
                <w:lang w:val="en-AU"/>
              </w:rPr>
            </w:pPr>
            <w:r w:rsidRPr="00EB1825">
              <w:rPr>
                <w:lang w:val="en-AU"/>
              </w:rPr>
              <w:t>Max. qty units</w:t>
            </w:r>
          </w:p>
        </w:tc>
        <w:tc>
          <w:tcPr>
            <w:tcW w:w="708" w:type="dxa"/>
            <w:vAlign w:val="center"/>
          </w:tcPr>
          <w:p w14:paraId="58D84576" w14:textId="77777777" w:rsidR="00C77D0D" w:rsidRPr="00EB1825" w:rsidRDefault="00C77D0D" w:rsidP="00937207">
            <w:pPr>
              <w:pStyle w:val="In-tableHeading"/>
              <w:keepNext w:val="0"/>
              <w:keepLines w:val="0"/>
              <w:widowControl w:val="0"/>
              <w:jc w:val="center"/>
              <w:rPr>
                <w:lang w:val="en-AU"/>
              </w:rPr>
            </w:pPr>
            <w:r w:rsidRPr="00EB1825">
              <w:rPr>
                <w:lang w:val="en-AU"/>
              </w:rPr>
              <w:t>№.of</w:t>
            </w:r>
          </w:p>
          <w:p w14:paraId="7BED93B5" w14:textId="77777777" w:rsidR="00C77D0D" w:rsidRPr="00EB1825" w:rsidRDefault="00C77D0D" w:rsidP="00937207">
            <w:pPr>
              <w:pStyle w:val="In-tableHeading"/>
              <w:keepNext w:val="0"/>
              <w:keepLines w:val="0"/>
              <w:widowControl w:val="0"/>
              <w:jc w:val="center"/>
              <w:rPr>
                <w:lang w:val="en-AU"/>
              </w:rPr>
            </w:pPr>
            <w:proofErr w:type="spellStart"/>
            <w:r w:rsidRPr="00EB1825">
              <w:rPr>
                <w:lang w:val="en-AU"/>
              </w:rPr>
              <w:t>Rpts</w:t>
            </w:r>
            <w:proofErr w:type="spellEnd"/>
          </w:p>
        </w:tc>
        <w:tc>
          <w:tcPr>
            <w:tcW w:w="1651" w:type="dxa"/>
            <w:vAlign w:val="center"/>
          </w:tcPr>
          <w:p w14:paraId="644890C5" w14:textId="77777777" w:rsidR="00C77D0D" w:rsidRPr="00EB1825" w:rsidRDefault="00C77D0D" w:rsidP="00937207">
            <w:pPr>
              <w:pStyle w:val="In-tableHeading"/>
              <w:keepNext w:val="0"/>
              <w:keepLines w:val="0"/>
              <w:widowControl w:val="0"/>
              <w:rPr>
                <w:lang w:val="en-AU"/>
              </w:rPr>
            </w:pPr>
            <w:r w:rsidRPr="00EB1825">
              <w:rPr>
                <w:lang w:val="en-AU"/>
              </w:rPr>
              <w:t>Available brands</w:t>
            </w:r>
          </w:p>
        </w:tc>
      </w:tr>
      <w:tr w:rsidR="00C77D0D" w:rsidRPr="00EB1825" w14:paraId="399024BB" w14:textId="77777777" w:rsidTr="00AC6C8D">
        <w:trPr>
          <w:cantSplit/>
          <w:trHeight w:val="20"/>
        </w:trPr>
        <w:tc>
          <w:tcPr>
            <w:tcW w:w="9017" w:type="dxa"/>
            <w:gridSpan w:val="6"/>
            <w:vAlign w:val="center"/>
          </w:tcPr>
          <w:p w14:paraId="064253A9" w14:textId="77777777" w:rsidR="00C77D0D" w:rsidRPr="00EB1825" w:rsidRDefault="00C77D0D" w:rsidP="00937207">
            <w:pPr>
              <w:pStyle w:val="TableText0"/>
              <w:keepNext w:val="0"/>
              <w:keepLines w:val="0"/>
              <w:widowControl w:val="0"/>
              <w:rPr>
                <w:rFonts w:cs="Arial"/>
              </w:rPr>
            </w:pPr>
            <w:proofErr w:type="spellStart"/>
            <w:r w:rsidRPr="00EB1825">
              <w:rPr>
                <w:smallCaps/>
              </w:rPr>
              <w:t>Fezolinetant</w:t>
            </w:r>
            <w:proofErr w:type="spellEnd"/>
          </w:p>
        </w:tc>
      </w:tr>
      <w:tr w:rsidR="00C77D0D" w:rsidRPr="00EB1825" w14:paraId="1849315C" w14:textId="77777777" w:rsidTr="00AC6C8D">
        <w:trPr>
          <w:cantSplit/>
          <w:trHeight w:val="20"/>
        </w:trPr>
        <w:tc>
          <w:tcPr>
            <w:tcW w:w="3114" w:type="dxa"/>
            <w:vAlign w:val="center"/>
          </w:tcPr>
          <w:p w14:paraId="69DDE576" w14:textId="14F3FDEC" w:rsidR="00C77D0D" w:rsidRPr="00EB1825" w:rsidRDefault="00C77D0D" w:rsidP="00937207">
            <w:pPr>
              <w:pStyle w:val="TableText0"/>
              <w:keepNext w:val="0"/>
              <w:keepLines w:val="0"/>
              <w:widowControl w:val="0"/>
              <w:rPr>
                <w:color w:val="0066FF"/>
              </w:rPr>
            </w:pPr>
            <w:proofErr w:type="spellStart"/>
            <w:r w:rsidRPr="00EB1825">
              <w:t>Fezolinetant</w:t>
            </w:r>
            <w:proofErr w:type="spellEnd"/>
            <w:r w:rsidRPr="00EB1825">
              <w:t xml:space="preserve"> 45 mg film-coated tablet</w:t>
            </w:r>
            <w:r w:rsidR="00185134">
              <w:t>,</w:t>
            </w:r>
            <w:r w:rsidRPr="00EB1825">
              <w:t xml:space="preserve"> 30</w:t>
            </w:r>
          </w:p>
        </w:tc>
        <w:tc>
          <w:tcPr>
            <w:tcW w:w="1843" w:type="dxa"/>
          </w:tcPr>
          <w:p w14:paraId="00B8BD4F" w14:textId="29C3D3F2" w:rsidR="00C77D0D" w:rsidRPr="00EB1825" w:rsidRDefault="00C77D0D" w:rsidP="00937207">
            <w:pPr>
              <w:pStyle w:val="TableText0"/>
              <w:keepNext w:val="0"/>
              <w:keepLines w:val="0"/>
              <w:widowControl w:val="0"/>
              <w:shd w:val="clear" w:color="auto" w:fill="B8CCE4" w:themeFill="accent1" w:themeFillTint="66"/>
              <w:jc w:val="center"/>
            </w:pPr>
            <w:r w:rsidRPr="00EB1825">
              <w:t>$</w:t>
            </w:r>
            <w:r w:rsidR="00E901B5" w:rsidRPr="00E901B5">
              <w:rPr>
                <w:highlight w:val="black"/>
              </w:rPr>
              <w:t>&amp;&amp;&amp;&amp;</w:t>
            </w:r>
            <w:r w:rsidRPr="00EB1825">
              <w:t xml:space="preserve"> published price</w:t>
            </w:r>
          </w:p>
          <w:p w14:paraId="4A432038" w14:textId="0F1685F7" w:rsidR="00C77D0D" w:rsidRPr="00EB1825" w:rsidRDefault="00C77D0D" w:rsidP="00937207">
            <w:pPr>
              <w:pStyle w:val="TableText0"/>
              <w:keepNext w:val="0"/>
              <w:keepLines w:val="0"/>
              <w:widowControl w:val="0"/>
              <w:jc w:val="center"/>
            </w:pPr>
            <w:r w:rsidRPr="00D50B53">
              <w:t>$</w:t>
            </w:r>
            <w:r w:rsidR="00E901B5" w:rsidRPr="00E901B5">
              <w:rPr>
                <w:highlight w:val="black"/>
              </w:rPr>
              <w:t>&amp;&amp;&amp;&amp;</w:t>
            </w:r>
            <w:r w:rsidRPr="00D50B53">
              <w:t xml:space="preserve"> effective price</w:t>
            </w:r>
          </w:p>
        </w:tc>
        <w:tc>
          <w:tcPr>
            <w:tcW w:w="850" w:type="dxa"/>
            <w:vAlign w:val="center"/>
          </w:tcPr>
          <w:p w14:paraId="0C37D7BE" w14:textId="77777777" w:rsidR="00C77D0D" w:rsidRPr="00EB1825" w:rsidRDefault="00C77D0D" w:rsidP="00937207">
            <w:pPr>
              <w:pStyle w:val="TableText0"/>
              <w:keepNext w:val="0"/>
              <w:keepLines w:val="0"/>
              <w:widowControl w:val="0"/>
              <w:jc w:val="center"/>
            </w:pPr>
            <w:r w:rsidRPr="00EB1825">
              <w:t>1</w:t>
            </w:r>
          </w:p>
        </w:tc>
        <w:tc>
          <w:tcPr>
            <w:tcW w:w="851" w:type="dxa"/>
            <w:vAlign w:val="center"/>
          </w:tcPr>
          <w:p w14:paraId="555C5955" w14:textId="77777777" w:rsidR="00C77D0D" w:rsidRPr="00EB1825" w:rsidRDefault="00C77D0D" w:rsidP="00937207">
            <w:pPr>
              <w:pStyle w:val="TableText0"/>
              <w:keepNext w:val="0"/>
              <w:keepLines w:val="0"/>
              <w:widowControl w:val="0"/>
              <w:jc w:val="center"/>
            </w:pPr>
            <w:r w:rsidRPr="00EB1825">
              <w:t>30</w:t>
            </w:r>
          </w:p>
        </w:tc>
        <w:tc>
          <w:tcPr>
            <w:tcW w:w="708" w:type="dxa"/>
            <w:vAlign w:val="center"/>
          </w:tcPr>
          <w:p w14:paraId="52DBEC64" w14:textId="77777777" w:rsidR="00C77D0D" w:rsidRPr="00EB1825" w:rsidRDefault="00C77D0D" w:rsidP="00937207">
            <w:pPr>
              <w:pStyle w:val="TableText0"/>
              <w:keepNext w:val="0"/>
              <w:keepLines w:val="0"/>
              <w:widowControl w:val="0"/>
              <w:jc w:val="center"/>
            </w:pPr>
            <w:r w:rsidRPr="00EB1825">
              <w:t>5</w:t>
            </w:r>
          </w:p>
        </w:tc>
        <w:tc>
          <w:tcPr>
            <w:tcW w:w="1651" w:type="dxa"/>
            <w:vAlign w:val="center"/>
          </w:tcPr>
          <w:p w14:paraId="5A08A25A" w14:textId="77777777" w:rsidR="00C77D0D" w:rsidRPr="00EB1825" w:rsidRDefault="00C77D0D" w:rsidP="00937207">
            <w:pPr>
              <w:pStyle w:val="TableText0"/>
              <w:keepNext w:val="0"/>
              <w:keepLines w:val="0"/>
              <w:widowControl w:val="0"/>
              <w:rPr>
                <w:color w:val="0066FF"/>
              </w:rPr>
            </w:pPr>
            <w:r w:rsidRPr="00EB1825">
              <w:t>VEOZA</w:t>
            </w:r>
          </w:p>
        </w:tc>
      </w:tr>
      <w:tr w:rsidR="00C77D0D" w:rsidRPr="00EB1825" w14:paraId="105E5A3E"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shd w:val="clear" w:color="auto" w:fill="B8CCE4" w:themeFill="accent1" w:themeFillTint="66"/>
          </w:tcPr>
          <w:p w14:paraId="4AF76805" w14:textId="77777777" w:rsidR="00C77D0D" w:rsidRPr="00EB1825" w:rsidRDefault="00C77D0D" w:rsidP="00937207">
            <w:pPr>
              <w:pStyle w:val="TableText0"/>
              <w:keepNext w:val="0"/>
              <w:keepLines w:val="0"/>
              <w:widowControl w:val="0"/>
            </w:pPr>
            <w:r w:rsidRPr="00EB1825">
              <w:rPr>
                <w:b/>
              </w:rPr>
              <w:t xml:space="preserve">Category / Program: </w:t>
            </w:r>
            <w:r w:rsidRPr="00EB1825">
              <w:t>General Schedule</w:t>
            </w:r>
          </w:p>
        </w:tc>
      </w:tr>
      <w:tr w:rsidR="00C77D0D" w:rsidRPr="00EB1825" w14:paraId="5D254E9A"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shd w:val="clear" w:color="auto" w:fill="B8CCE4" w:themeFill="accent1" w:themeFillTint="66"/>
          </w:tcPr>
          <w:p w14:paraId="0EB8A882" w14:textId="77777777" w:rsidR="00C77D0D" w:rsidRPr="00EB1825" w:rsidRDefault="00C77D0D" w:rsidP="00937207">
            <w:pPr>
              <w:pStyle w:val="TableText0"/>
              <w:keepNext w:val="0"/>
              <w:keepLines w:val="0"/>
              <w:widowControl w:val="0"/>
              <w:rPr>
                <w:rFonts w:eastAsia="Times New Roman"/>
              </w:rPr>
            </w:pPr>
            <w:r w:rsidRPr="00EB1825">
              <w:rPr>
                <w:b/>
              </w:rPr>
              <w:t xml:space="preserve">Restriction type: </w:t>
            </w:r>
            <w:r w:rsidRPr="00EB1825">
              <w:rPr>
                <w:rFonts w:eastAsia="Times New Roman"/>
              </w:rPr>
              <w:fldChar w:fldCharType="begin">
                <w:ffData>
                  <w:name w:val=""/>
                  <w:enabled/>
                  <w:calcOnExit w:val="0"/>
                  <w:checkBox>
                    <w:sizeAuto/>
                    <w:default w:val="1"/>
                  </w:checkBox>
                </w:ffData>
              </w:fldChar>
            </w:r>
            <w:r w:rsidRPr="00EB1825">
              <w:rPr>
                <w:rFonts w:eastAsia="Times New Roman"/>
              </w:rPr>
              <w:instrText xml:space="preserve"> FORMCHECKBOX </w:instrText>
            </w:r>
            <w:r w:rsidRPr="00EB1825">
              <w:rPr>
                <w:rFonts w:eastAsia="Times New Roman"/>
              </w:rPr>
            </w:r>
            <w:r w:rsidRPr="00EB1825">
              <w:rPr>
                <w:rFonts w:eastAsia="Times New Roman"/>
              </w:rPr>
              <w:fldChar w:fldCharType="separate"/>
            </w:r>
            <w:r w:rsidRPr="00EB1825">
              <w:rPr>
                <w:rFonts w:eastAsia="Times New Roman"/>
              </w:rPr>
              <w:fldChar w:fldCharType="end"/>
            </w:r>
            <w:r w:rsidRPr="00EB1825">
              <w:rPr>
                <w:rFonts w:eastAsia="Times New Roman"/>
              </w:rPr>
              <w:t xml:space="preserve">Authority Required (STREAMLINED) </w:t>
            </w:r>
          </w:p>
        </w:tc>
      </w:tr>
      <w:tr w:rsidR="00C77D0D" w:rsidRPr="00EB1825" w14:paraId="2F795753"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tcPr>
          <w:p w14:paraId="7B455FCE" w14:textId="77777777" w:rsidR="00C77D0D" w:rsidRPr="00EB1825" w:rsidRDefault="00C77D0D" w:rsidP="00937207">
            <w:pPr>
              <w:pStyle w:val="TableText0"/>
              <w:keepNext w:val="0"/>
              <w:keepLines w:val="0"/>
              <w:widowControl w:val="0"/>
              <w:rPr>
                <w:b/>
              </w:rPr>
            </w:pPr>
            <w:r w:rsidRPr="00EB1825">
              <w:rPr>
                <w:b/>
              </w:rPr>
              <w:t xml:space="preserve">Administrative Advice: </w:t>
            </w:r>
            <w:r w:rsidRPr="00EB1825">
              <w:rPr>
                <w:bCs w:val="0"/>
              </w:rPr>
              <w:t>No increase in the maximum quantity or number of units may be authorised.</w:t>
            </w:r>
          </w:p>
        </w:tc>
      </w:tr>
      <w:tr w:rsidR="00B80ABF" w:rsidRPr="00EB1825" w14:paraId="74CDCC11" w14:textId="77777777" w:rsidTr="009511A6">
        <w:tblPrEx>
          <w:tblCellMar>
            <w:top w:w="15" w:type="dxa"/>
            <w:bottom w:w="15" w:type="dxa"/>
          </w:tblCellMar>
        </w:tblPrEx>
        <w:trPr>
          <w:cantSplit/>
          <w:trHeight w:val="20"/>
        </w:trPr>
        <w:tc>
          <w:tcPr>
            <w:tcW w:w="9017" w:type="dxa"/>
            <w:gridSpan w:val="6"/>
          </w:tcPr>
          <w:p w14:paraId="00B32CE4" w14:textId="78D9F4CD" w:rsidR="00B72002" w:rsidRPr="00B72002" w:rsidRDefault="00B72002" w:rsidP="00937207">
            <w:pPr>
              <w:pStyle w:val="TableText0"/>
              <w:keepNext w:val="0"/>
              <w:keepLines w:val="0"/>
              <w:widowControl w:val="0"/>
              <w:rPr>
                <w:b/>
                <w:bCs w:val="0"/>
                <w:i/>
                <w:iCs/>
              </w:rPr>
            </w:pPr>
            <w:r w:rsidRPr="00B72002">
              <w:rPr>
                <w:b/>
                <w:bCs w:val="0"/>
                <w:i/>
                <w:iCs/>
              </w:rPr>
              <w:t xml:space="preserve">Caution: </w:t>
            </w:r>
          </w:p>
        </w:tc>
      </w:tr>
      <w:tr w:rsidR="00B80ABF" w:rsidRPr="00EB1825" w14:paraId="4CB8BB26" w14:textId="77777777" w:rsidTr="009511A6">
        <w:tblPrEx>
          <w:tblCellMar>
            <w:top w:w="15" w:type="dxa"/>
            <w:bottom w:w="15" w:type="dxa"/>
          </w:tblCellMar>
        </w:tblPrEx>
        <w:trPr>
          <w:cantSplit/>
          <w:trHeight w:val="20"/>
        </w:trPr>
        <w:tc>
          <w:tcPr>
            <w:tcW w:w="9017" w:type="dxa"/>
            <w:gridSpan w:val="6"/>
          </w:tcPr>
          <w:p w14:paraId="5FC96872" w14:textId="5C914CF0" w:rsidR="00B72002" w:rsidRPr="00B72002" w:rsidRDefault="00B72002" w:rsidP="00937207">
            <w:pPr>
              <w:pStyle w:val="TableText0"/>
              <w:keepNext w:val="0"/>
              <w:keepLines w:val="0"/>
              <w:widowControl w:val="0"/>
              <w:rPr>
                <w:b/>
                <w:i/>
                <w:iCs/>
              </w:rPr>
            </w:pPr>
            <w:r w:rsidRPr="00B72002">
              <w:rPr>
                <w:i/>
                <w:iCs/>
              </w:rPr>
              <w:t xml:space="preserve">Baseline hepatic laboratory tests should be performed for all patients before initiating </w:t>
            </w:r>
            <w:proofErr w:type="spellStart"/>
            <w:r w:rsidRPr="00B72002">
              <w:rPr>
                <w:i/>
                <w:iCs/>
              </w:rPr>
              <w:t>fezolinetant</w:t>
            </w:r>
            <w:proofErr w:type="spellEnd"/>
            <w:r w:rsidRPr="00B72002">
              <w:rPr>
                <w:i/>
                <w:iCs/>
              </w:rPr>
              <w:t>. Follow-up hepatic laboratory tests should be performed monthly for the first 3 months, at 6 months and 9 months of therapy.</w:t>
            </w:r>
          </w:p>
        </w:tc>
      </w:tr>
      <w:tr w:rsidR="00C77D0D" w:rsidRPr="00EB1825" w14:paraId="77A4C25C"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tcPr>
          <w:p w14:paraId="5D17DDCC" w14:textId="77777777" w:rsidR="00C77D0D" w:rsidRPr="00EB1825" w:rsidRDefault="00C77D0D" w:rsidP="00937207">
            <w:pPr>
              <w:pStyle w:val="TableText0"/>
              <w:keepNext w:val="0"/>
              <w:keepLines w:val="0"/>
              <w:widowControl w:val="0"/>
              <w:rPr>
                <w:b/>
              </w:rPr>
            </w:pPr>
            <w:r w:rsidRPr="00EB1825">
              <w:rPr>
                <w:b/>
              </w:rPr>
              <w:t xml:space="preserve">Severity: </w:t>
            </w:r>
            <w:r w:rsidRPr="00EB1825">
              <w:rPr>
                <w:bCs w:val="0"/>
              </w:rPr>
              <w:t>Moderate to severe</w:t>
            </w:r>
          </w:p>
        </w:tc>
      </w:tr>
      <w:tr w:rsidR="00C77D0D" w:rsidRPr="00EB1825" w14:paraId="3B47112C"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tcPr>
          <w:p w14:paraId="06C128CE" w14:textId="77777777" w:rsidR="00C77D0D" w:rsidRPr="00EB1825" w:rsidRDefault="00C77D0D" w:rsidP="00937207">
            <w:pPr>
              <w:pStyle w:val="TableText0"/>
              <w:keepNext w:val="0"/>
              <w:keepLines w:val="0"/>
              <w:widowControl w:val="0"/>
              <w:rPr>
                <w:b/>
              </w:rPr>
            </w:pPr>
            <w:r w:rsidRPr="00EB1825">
              <w:rPr>
                <w:b/>
              </w:rPr>
              <w:t xml:space="preserve">Condition: </w:t>
            </w:r>
            <w:r w:rsidRPr="00EB1825">
              <w:rPr>
                <w:bCs w:val="0"/>
              </w:rPr>
              <w:t>Menopause-related vasomotor symptoms (VMS)</w:t>
            </w:r>
          </w:p>
        </w:tc>
      </w:tr>
      <w:tr w:rsidR="00C77D0D" w:rsidRPr="00EB1825" w14:paraId="0336CF08"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hideMark/>
          </w:tcPr>
          <w:p w14:paraId="306A9083" w14:textId="77777777" w:rsidR="00C77D0D" w:rsidRPr="00EB1825" w:rsidRDefault="00C77D0D" w:rsidP="00937207">
            <w:pPr>
              <w:pStyle w:val="TableText0"/>
              <w:keepNext w:val="0"/>
              <w:keepLines w:val="0"/>
              <w:widowControl w:val="0"/>
            </w:pPr>
            <w:r w:rsidRPr="00EB1825">
              <w:rPr>
                <w:b/>
              </w:rPr>
              <w:t>Indication:</w:t>
            </w:r>
            <w:r w:rsidRPr="00EB1825">
              <w:t xml:space="preserve"> Moderate to severe menopause-related vasomotor symptoms (VMS)</w:t>
            </w:r>
          </w:p>
        </w:tc>
      </w:tr>
      <w:tr w:rsidR="00C77D0D" w:rsidRPr="00EB1825" w14:paraId="6A5056FE"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hideMark/>
          </w:tcPr>
          <w:p w14:paraId="68B1066C" w14:textId="77777777" w:rsidR="00C77D0D" w:rsidRPr="00EB1825" w:rsidRDefault="00C77D0D" w:rsidP="00937207">
            <w:pPr>
              <w:pStyle w:val="TableText0"/>
              <w:keepNext w:val="0"/>
              <w:keepLines w:val="0"/>
              <w:widowControl w:val="0"/>
            </w:pPr>
            <w:r w:rsidRPr="00EB1825">
              <w:rPr>
                <w:b/>
              </w:rPr>
              <w:t>Treatment Phase:</w:t>
            </w:r>
            <w:r w:rsidRPr="00EB1825">
              <w:t xml:space="preserve"> </w:t>
            </w:r>
            <w:r w:rsidRPr="00EB1825">
              <w:rPr>
                <w:bCs w:val="0"/>
              </w:rPr>
              <w:t>Initial and continuing</w:t>
            </w:r>
          </w:p>
        </w:tc>
      </w:tr>
      <w:tr w:rsidR="00C77D0D" w:rsidRPr="00EB1825" w14:paraId="02447F84"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hideMark/>
          </w:tcPr>
          <w:p w14:paraId="2726457C" w14:textId="77777777" w:rsidR="00C77D0D" w:rsidRPr="00EB1825" w:rsidRDefault="00C77D0D" w:rsidP="00937207">
            <w:pPr>
              <w:pStyle w:val="TableText0"/>
              <w:keepNext w:val="0"/>
              <w:keepLines w:val="0"/>
              <w:widowControl w:val="0"/>
            </w:pPr>
            <w:r w:rsidRPr="00EB1825">
              <w:rPr>
                <w:b/>
              </w:rPr>
              <w:t>Clinical criteria:</w:t>
            </w:r>
          </w:p>
        </w:tc>
      </w:tr>
      <w:tr w:rsidR="00C77D0D" w:rsidRPr="00EB1825" w14:paraId="62047BA7"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hideMark/>
          </w:tcPr>
          <w:p w14:paraId="18DC99C9" w14:textId="24A44089" w:rsidR="00C77D0D" w:rsidRPr="00EB1825" w:rsidRDefault="00C77D0D" w:rsidP="00937207">
            <w:pPr>
              <w:pStyle w:val="TableText0"/>
              <w:keepNext w:val="0"/>
              <w:keepLines w:val="0"/>
              <w:widowControl w:val="0"/>
            </w:pPr>
            <w:r w:rsidRPr="00EB1825">
              <w:t>Patient must be unsuitable to receive menopausal hormone therapy</w:t>
            </w:r>
            <w:r w:rsidR="00D85489">
              <w:t xml:space="preserve"> </w:t>
            </w:r>
            <w:r w:rsidR="00D85489" w:rsidRPr="00D85489">
              <w:rPr>
                <w:i/>
                <w:iCs/>
              </w:rPr>
              <w:t>(MHT)</w:t>
            </w:r>
            <w:r w:rsidRPr="00EB1825">
              <w:t xml:space="preserve"> due to experiencing at least one of the following:</w:t>
            </w:r>
          </w:p>
        </w:tc>
      </w:tr>
      <w:tr w:rsidR="00EA29B8" w:rsidRPr="00EB1825" w14:paraId="21E34F7A" w14:textId="77777777" w:rsidTr="00BC4C79">
        <w:tblPrEx>
          <w:tblCellMar>
            <w:top w:w="15" w:type="dxa"/>
            <w:left w:w="108" w:type="dxa"/>
            <w:bottom w:w="15" w:type="dxa"/>
            <w:right w:w="108" w:type="dxa"/>
          </w:tblCellMar>
          <w:tblLook w:val="04A0" w:firstRow="1" w:lastRow="0" w:firstColumn="1" w:lastColumn="0" w:noHBand="0" w:noVBand="1"/>
        </w:tblPrEx>
        <w:trPr>
          <w:cantSplit/>
          <w:trHeight w:val="3171"/>
        </w:trPr>
        <w:tc>
          <w:tcPr>
            <w:tcW w:w="9017" w:type="dxa"/>
            <w:gridSpan w:val="6"/>
            <w:vAlign w:val="center"/>
          </w:tcPr>
          <w:p w14:paraId="59B31E93" w14:textId="02571844" w:rsidR="00EA29B8" w:rsidRPr="00275EDB" w:rsidRDefault="00EA29B8" w:rsidP="00937207">
            <w:pPr>
              <w:pStyle w:val="TableText0"/>
              <w:keepNext w:val="0"/>
              <w:keepLines w:val="0"/>
              <w:widowControl w:val="0"/>
              <w:numPr>
                <w:ilvl w:val="0"/>
                <w:numId w:val="9"/>
              </w:numPr>
              <w:ind w:left="451" w:hanging="283"/>
              <w:rPr>
                <w:strike/>
              </w:rPr>
            </w:pPr>
            <w:r w:rsidRPr="00EB1825">
              <w:rPr>
                <w:shd w:val="clear" w:color="auto" w:fill="B8CCE4" w:themeFill="accent1" w:themeFillTint="66"/>
              </w:rPr>
              <w:t xml:space="preserve">has a condition for which </w:t>
            </w:r>
            <w:r w:rsidRPr="00275EDB">
              <w:rPr>
                <w:strike/>
                <w:shd w:val="clear" w:color="auto" w:fill="B8CCE4" w:themeFill="accent1" w:themeFillTint="66"/>
              </w:rPr>
              <w:t>menopausal hormone therapy</w:t>
            </w:r>
            <w:r w:rsidRPr="00EB1825">
              <w:rPr>
                <w:shd w:val="clear" w:color="auto" w:fill="B8CCE4" w:themeFill="accent1" w:themeFillTint="66"/>
              </w:rPr>
              <w:t xml:space="preserve"> </w:t>
            </w:r>
            <w:r w:rsidRPr="00033B30">
              <w:rPr>
                <w:i/>
                <w:iCs/>
              </w:rPr>
              <w:t>MHT</w:t>
            </w:r>
            <w:r>
              <w:rPr>
                <w:shd w:val="clear" w:color="auto" w:fill="B8CCE4" w:themeFill="accent1" w:themeFillTint="66"/>
              </w:rPr>
              <w:t xml:space="preserve"> </w:t>
            </w:r>
            <w:r w:rsidRPr="00EB1825">
              <w:rPr>
                <w:shd w:val="clear" w:color="auto" w:fill="B8CCE4" w:themeFill="accent1" w:themeFillTint="66"/>
              </w:rPr>
              <w:t xml:space="preserve">is contraindicated </w:t>
            </w:r>
            <w:r w:rsidRPr="006F678C">
              <w:rPr>
                <w:strike/>
                <w:shd w:val="clear" w:color="auto" w:fill="B8CCE4" w:themeFill="accent1" w:themeFillTint="66"/>
              </w:rPr>
              <w:t>(refer relevant hormone replacement therapy Product Information for conditions for which therapy is contraindicated</w:t>
            </w:r>
            <w:proofErr w:type="gramStart"/>
            <w:r w:rsidRPr="006F678C">
              <w:rPr>
                <w:strike/>
                <w:shd w:val="clear" w:color="auto" w:fill="B8CCE4" w:themeFill="accent1" w:themeFillTint="66"/>
              </w:rPr>
              <w:t>)</w:t>
            </w:r>
            <w:r w:rsidRPr="006F678C">
              <w:rPr>
                <w:strike/>
              </w:rPr>
              <w:t>,</w:t>
            </w:r>
            <w:r>
              <w:rPr>
                <w:strike/>
              </w:rPr>
              <w:t>.</w:t>
            </w:r>
            <w:proofErr w:type="gramEnd"/>
            <w:r w:rsidRPr="00275EDB">
              <w:rPr>
                <w:b/>
                <w:strike/>
              </w:rPr>
              <w:t>OR</w:t>
            </w:r>
          </w:p>
          <w:p w14:paraId="6989D246" w14:textId="7289D71D" w:rsidR="00EA29B8" w:rsidRPr="00D7699C" w:rsidRDefault="00EA29B8" w:rsidP="00937207">
            <w:pPr>
              <w:pStyle w:val="TableText0"/>
              <w:keepNext w:val="0"/>
              <w:keepLines w:val="0"/>
              <w:widowControl w:val="0"/>
              <w:numPr>
                <w:ilvl w:val="0"/>
                <w:numId w:val="9"/>
              </w:numPr>
              <w:ind w:left="451" w:hanging="283"/>
            </w:pPr>
            <w:r w:rsidRPr="00EB1825">
              <w:rPr>
                <w:shd w:val="clear" w:color="auto" w:fill="B8CCE4" w:themeFill="accent1" w:themeFillTint="66"/>
              </w:rPr>
              <w:t xml:space="preserve">has discontinued </w:t>
            </w:r>
            <w:r w:rsidRPr="00275EDB">
              <w:rPr>
                <w:strike/>
                <w:shd w:val="clear" w:color="auto" w:fill="B8CCE4" w:themeFill="accent1" w:themeFillTint="66"/>
              </w:rPr>
              <w:t>menopausal hormone therapy</w:t>
            </w:r>
            <w:r w:rsidRPr="00EB1825">
              <w:rPr>
                <w:shd w:val="clear" w:color="auto" w:fill="B8CCE4" w:themeFill="accent1" w:themeFillTint="66"/>
              </w:rPr>
              <w:t xml:space="preserve"> </w:t>
            </w:r>
            <w:r w:rsidRPr="00033B30">
              <w:rPr>
                <w:i/>
                <w:iCs/>
              </w:rPr>
              <w:t>MHT</w:t>
            </w:r>
            <w:r>
              <w:rPr>
                <w:shd w:val="clear" w:color="auto" w:fill="B8CCE4" w:themeFill="accent1" w:themeFillTint="66"/>
              </w:rPr>
              <w:t xml:space="preserve"> </w:t>
            </w:r>
            <w:r w:rsidRPr="00EB1825">
              <w:rPr>
                <w:shd w:val="clear" w:color="auto" w:fill="B8CCE4" w:themeFill="accent1" w:themeFillTint="66"/>
              </w:rPr>
              <w:t>due to side effects</w:t>
            </w:r>
            <w:r w:rsidRPr="00033B30">
              <w:rPr>
                <w:i/>
                <w:iCs/>
                <w:shd w:val="clear" w:color="auto" w:fill="B8CCE4" w:themeFill="accent1" w:themeFillTint="66"/>
              </w:rPr>
              <w:t>/</w:t>
            </w:r>
            <w:r w:rsidRPr="00EB1825">
              <w:rPr>
                <w:shd w:val="clear" w:color="auto" w:fill="B8CCE4" w:themeFill="accent1" w:themeFillTint="66"/>
              </w:rPr>
              <w:t xml:space="preserve"> </w:t>
            </w:r>
            <w:r w:rsidRPr="00D7699C">
              <w:rPr>
                <w:strike/>
                <w:shd w:val="clear" w:color="auto" w:fill="B8CCE4" w:themeFill="accent1" w:themeFillTint="66"/>
              </w:rPr>
              <w:t>of the medicine</w:t>
            </w:r>
            <w:r w:rsidRPr="00EB1825">
              <w:t xml:space="preserve"> poor tolerability</w:t>
            </w:r>
            <w:r>
              <w:t xml:space="preserve">. </w:t>
            </w:r>
            <w:r w:rsidRPr="00D7699C">
              <w:rPr>
                <w:strike/>
                <w:shd w:val="clear" w:color="auto" w:fill="B8CCE4" w:themeFill="accent1" w:themeFillTint="66"/>
              </w:rPr>
              <w:t xml:space="preserve">or </w:t>
            </w:r>
          </w:p>
          <w:p w14:paraId="4567A4DF" w14:textId="37D042AD" w:rsidR="00EA29B8" w:rsidRPr="00EA29B8" w:rsidRDefault="00EA29B8" w:rsidP="00937207">
            <w:pPr>
              <w:pStyle w:val="TableText0"/>
              <w:keepNext w:val="0"/>
              <w:keepLines w:val="0"/>
              <w:widowControl w:val="0"/>
              <w:numPr>
                <w:ilvl w:val="0"/>
                <w:numId w:val="9"/>
              </w:numPr>
              <w:ind w:left="451" w:hanging="283"/>
              <w:rPr>
                <w:b/>
                <w:bCs w:val="0"/>
                <w:strike/>
              </w:rPr>
            </w:pPr>
            <w:r w:rsidRPr="008119A3">
              <w:rPr>
                <w:i/>
                <w:iCs/>
              </w:rPr>
              <w:t>has discontinued MHT after at least 3 months of therapy due to</w:t>
            </w:r>
            <w:r w:rsidRPr="00033B30">
              <w:t xml:space="preserve"> </w:t>
            </w:r>
            <w:r w:rsidRPr="008119A3">
              <w:rPr>
                <w:shd w:val="clear" w:color="auto" w:fill="B8CCE4" w:themeFill="accent1" w:themeFillTint="66"/>
              </w:rPr>
              <w:t>lack of efficacy</w:t>
            </w:r>
            <w:r>
              <w:t>.</w:t>
            </w:r>
            <w:r>
              <w:rPr>
                <w:b/>
                <w:bCs w:val="0"/>
                <w:strike/>
              </w:rPr>
              <w:t xml:space="preserve"> </w:t>
            </w:r>
            <w:r w:rsidRPr="00EA29B8">
              <w:rPr>
                <w:b/>
                <w:bCs w:val="0"/>
                <w:strike/>
              </w:rPr>
              <w:t>OR</w:t>
            </w:r>
          </w:p>
          <w:p w14:paraId="342CCF30" w14:textId="77777777" w:rsidR="00EA29B8" w:rsidRPr="0001506E" w:rsidRDefault="00EA29B8" w:rsidP="00937207">
            <w:pPr>
              <w:pStyle w:val="TableText0"/>
              <w:keepNext w:val="0"/>
              <w:keepLines w:val="0"/>
              <w:widowControl w:val="0"/>
              <w:numPr>
                <w:ilvl w:val="0"/>
                <w:numId w:val="9"/>
              </w:numPr>
              <w:ind w:left="451" w:hanging="283"/>
              <w:rPr>
                <w:strike/>
              </w:rPr>
            </w:pPr>
            <w:r w:rsidRPr="0001506E">
              <w:rPr>
                <w:strike/>
              </w:rPr>
              <w:t xml:space="preserve">has underlying medical condition which requires special caution </w:t>
            </w:r>
            <w:proofErr w:type="gramStart"/>
            <w:r w:rsidRPr="0001506E">
              <w:rPr>
                <w:strike/>
              </w:rPr>
              <w:t>in regard to</w:t>
            </w:r>
            <w:proofErr w:type="gramEnd"/>
            <w:r w:rsidRPr="0001506E">
              <w:rPr>
                <w:strike/>
              </w:rPr>
              <w:t xml:space="preserve"> menopausal hormone therapy. This includes: </w:t>
            </w:r>
          </w:p>
          <w:p w14:paraId="3615258D" w14:textId="77777777" w:rsidR="00EA29B8" w:rsidRPr="0001506E" w:rsidRDefault="00EA29B8" w:rsidP="00937207">
            <w:pPr>
              <w:pStyle w:val="TableText0"/>
              <w:keepNext w:val="0"/>
              <w:keepLines w:val="0"/>
              <w:widowControl w:val="0"/>
              <w:numPr>
                <w:ilvl w:val="1"/>
                <w:numId w:val="9"/>
              </w:numPr>
              <w:rPr>
                <w:strike/>
              </w:rPr>
            </w:pPr>
            <w:r w:rsidRPr="0001506E">
              <w:rPr>
                <w:strike/>
              </w:rPr>
              <w:t xml:space="preserve">history of diabetes mellitus, </w:t>
            </w:r>
          </w:p>
          <w:p w14:paraId="644E6624" w14:textId="77777777" w:rsidR="00EA29B8" w:rsidRPr="0001506E" w:rsidRDefault="00EA29B8" w:rsidP="00937207">
            <w:pPr>
              <w:pStyle w:val="TableText0"/>
              <w:keepNext w:val="0"/>
              <w:keepLines w:val="0"/>
              <w:widowControl w:val="0"/>
              <w:numPr>
                <w:ilvl w:val="1"/>
                <w:numId w:val="9"/>
              </w:numPr>
              <w:rPr>
                <w:strike/>
              </w:rPr>
            </w:pPr>
            <w:r w:rsidRPr="0001506E">
              <w:rPr>
                <w:strike/>
              </w:rPr>
              <w:t xml:space="preserve">hyperlipidaemia, </w:t>
            </w:r>
          </w:p>
          <w:p w14:paraId="2EB15DB4" w14:textId="77777777" w:rsidR="00EA29B8" w:rsidRPr="0001506E" w:rsidRDefault="00EA29B8" w:rsidP="00937207">
            <w:pPr>
              <w:pStyle w:val="TableText0"/>
              <w:keepNext w:val="0"/>
              <w:keepLines w:val="0"/>
              <w:widowControl w:val="0"/>
              <w:numPr>
                <w:ilvl w:val="1"/>
                <w:numId w:val="9"/>
              </w:numPr>
              <w:rPr>
                <w:strike/>
              </w:rPr>
            </w:pPr>
            <w:r w:rsidRPr="0001506E">
              <w:rPr>
                <w:strike/>
              </w:rPr>
              <w:t>smoking (current),</w:t>
            </w:r>
          </w:p>
          <w:p w14:paraId="65648812" w14:textId="77777777" w:rsidR="00EA29B8" w:rsidRPr="0001506E" w:rsidRDefault="00EA29B8" w:rsidP="00937207">
            <w:pPr>
              <w:pStyle w:val="TableText0"/>
              <w:keepNext w:val="0"/>
              <w:keepLines w:val="0"/>
              <w:widowControl w:val="0"/>
              <w:numPr>
                <w:ilvl w:val="1"/>
                <w:numId w:val="9"/>
              </w:numPr>
              <w:rPr>
                <w:strike/>
              </w:rPr>
            </w:pPr>
            <w:r w:rsidRPr="0001506E">
              <w:rPr>
                <w:strike/>
              </w:rPr>
              <w:t xml:space="preserve">migraine, </w:t>
            </w:r>
          </w:p>
          <w:p w14:paraId="5CC517E5" w14:textId="77777777" w:rsidR="00EA29B8" w:rsidRPr="0001506E" w:rsidRDefault="00EA29B8" w:rsidP="00937207">
            <w:pPr>
              <w:pStyle w:val="TableText0"/>
              <w:keepNext w:val="0"/>
              <w:keepLines w:val="0"/>
              <w:widowControl w:val="0"/>
              <w:numPr>
                <w:ilvl w:val="1"/>
                <w:numId w:val="9"/>
              </w:numPr>
              <w:rPr>
                <w:strike/>
              </w:rPr>
            </w:pPr>
            <w:r w:rsidRPr="0001506E">
              <w:rPr>
                <w:strike/>
              </w:rPr>
              <w:t xml:space="preserve">obesity (body mass index &gt;29.9 kg/m2), </w:t>
            </w:r>
          </w:p>
          <w:p w14:paraId="1032819D" w14:textId="77777777" w:rsidR="00EA29B8" w:rsidRPr="0001506E" w:rsidRDefault="00EA29B8" w:rsidP="00937207">
            <w:pPr>
              <w:pStyle w:val="TableText0"/>
              <w:keepNext w:val="0"/>
              <w:keepLines w:val="0"/>
              <w:widowControl w:val="0"/>
              <w:numPr>
                <w:ilvl w:val="1"/>
                <w:numId w:val="9"/>
              </w:numPr>
              <w:rPr>
                <w:strike/>
              </w:rPr>
            </w:pPr>
            <w:r w:rsidRPr="0001506E">
              <w:rPr>
                <w:strike/>
              </w:rPr>
              <w:t xml:space="preserve">systemic lupus erythematosus, </w:t>
            </w:r>
          </w:p>
          <w:p w14:paraId="7CA31A34" w14:textId="77777777" w:rsidR="00EA29B8" w:rsidRPr="0001506E" w:rsidRDefault="00EA29B8" w:rsidP="00937207">
            <w:pPr>
              <w:pStyle w:val="TableText0"/>
              <w:keepNext w:val="0"/>
              <w:keepLines w:val="0"/>
              <w:widowControl w:val="0"/>
              <w:numPr>
                <w:ilvl w:val="1"/>
                <w:numId w:val="9"/>
              </w:numPr>
              <w:rPr>
                <w:strike/>
              </w:rPr>
            </w:pPr>
            <w:r w:rsidRPr="0001506E">
              <w:rPr>
                <w:strike/>
              </w:rPr>
              <w:t xml:space="preserve">epilepsy, </w:t>
            </w:r>
          </w:p>
          <w:p w14:paraId="61089905" w14:textId="1831499C" w:rsidR="00EA29B8" w:rsidRPr="00EB1825" w:rsidRDefault="00EA29B8" w:rsidP="00937207">
            <w:pPr>
              <w:pStyle w:val="TableText0"/>
              <w:keepNext w:val="0"/>
              <w:keepLines w:val="0"/>
              <w:widowControl w:val="0"/>
              <w:numPr>
                <w:ilvl w:val="1"/>
                <w:numId w:val="9"/>
              </w:numPr>
            </w:pPr>
            <w:r w:rsidRPr="0001506E">
              <w:rPr>
                <w:strike/>
              </w:rPr>
              <w:t>family history of breast cancer in the first degree relative or mutation of breast cancer gene (BRCA1 and BRCA2)</w:t>
            </w:r>
          </w:p>
        </w:tc>
      </w:tr>
      <w:tr w:rsidR="00C77D0D" w:rsidRPr="00EB1825" w14:paraId="18E869BB" w14:textId="77777777" w:rsidTr="005B27B4">
        <w:tblPrEx>
          <w:tblCellMar>
            <w:top w:w="15" w:type="dxa"/>
            <w:left w:w="108" w:type="dxa"/>
            <w:bottom w:w="15" w:type="dxa"/>
            <w:right w:w="108" w:type="dxa"/>
          </w:tblCellMar>
          <w:tblLook w:val="04A0" w:firstRow="1" w:lastRow="0" w:firstColumn="1" w:lastColumn="0" w:noHBand="0" w:noVBand="1"/>
        </w:tblPrEx>
        <w:trPr>
          <w:cantSplit/>
          <w:trHeight w:val="224"/>
        </w:trPr>
        <w:tc>
          <w:tcPr>
            <w:tcW w:w="9017" w:type="dxa"/>
            <w:gridSpan w:val="6"/>
            <w:vAlign w:val="center"/>
            <w:hideMark/>
          </w:tcPr>
          <w:p w14:paraId="1BDD6E97" w14:textId="2C9159AA" w:rsidR="00C77D0D" w:rsidRPr="00EB1825" w:rsidRDefault="00C77D0D" w:rsidP="00937207">
            <w:pPr>
              <w:pStyle w:val="TableText0"/>
              <w:keepNext w:val="0"/>
              <w:keepLines w:val="0"/>
              <w:widowControl w:val="0"/>
            </w:pPr>
            <w:r w:rsidRPr="005B27B4">
              <w:rPr>
                <w:b/>
                <w:strike/>
              </w:rPr>
              <w:t>Administrative Advice</w:t>
            </w:r>
            <w:r w:rsidR="005B27B4">
              <w:rPr>
                <w:b/>
              </w:rPr>
              <w:t xml:space="preserve"> </w:t>
            </w:r>
            <w:r w:rsidR="005B27B4" w:rsidRPr="005B27B4">
              <w:rPr>
                <w:b/>
                <w:i/>
                <w:iCs/>
              </w:rPr>
              <w:t>Treatment criteria</w:t>
            </w:r>
            <w:r w:rsidRPr="00EB1825">
              <w:rPr>
                <w:b/>
              </w:rPr>
              <w:t xml:space="preserve">: </w:t>
            </w:r>
          </w:p>
        </w:tc>
      </w:tr>
      <w:tr w:rsidR="005B27B4" w:rsidRPr="00EB1825" w14:paraId="4AC3FF65" w14:textId="77777777" w:rsidTr="00AC6C8D">
        <w:tblPrEx>
          <w:tblCellMar>
            <w:top w:w="15" w:type="dxa"/>
            <w:left w:w="108" w:type="dxa"/>
            <w:bottom w:w="15" w:type="dxa"/>
            <w:right w:w="108" w:type="dxa"/>
          </w:tblCellMar>
          <w:tblLook w:val="04A0" w:firstRow="1" w:lastRow="0" w:firstColumn="1" w:lastColumn="0" w:noHBand="0" w:noVBand="1"/>
        </w:tblPrEx>
        <w:trPr>
          <w:cantSplit/>
          <w:trHeight w:val="488"/>
        </w:trPr>
        <w:tc>
          <w:tcPr>
            <w:tcW w:w="9017" w:type="dxa"/>
            <w:gridSpan w:val="6"/>
            <w:vAlign w:val="center"/>
          </w:tcPr>
          <w:p w14:paraId="4A41DBD0" w14:textId="77777777" w:rsidR="005B27B4" w:rsidRPr="00917DA9" w:rsidRDefault="005B27B4" w:rsidP="00937207">
            <w:pPr>
              <w:pStyle w:val="TableText0"/>
              <w:keepNext w:val="0"/>
              <w:keepLines w:val="0"/>
              <w:widowControl w:val="0"/>
              <w:rPr>
                <w:bCs w:val="0"/>
                <w:strike/>
                <w:szCs w:val="20"/>
                <w:shd w:val="clear" w:color="auto" w:fill="B8CCE4" w:themeFill="accent1" w:themeFillTint="66"/>
              </w:rPr>
            </w:pPr>
            <w:r w:rsidRPr="00917DA9">
              <w:rPr>
                <w:bCs w:val="0"/>
                <w:strike/>
                <w:szCs w:val="20"/>
                <w:shd w:val="clear" w:color="auto" w:fill="B8CCE4" w:themeFill="accent1" w:themeFillTint="66"/>
              </w:rPr>
              <w:t>For prescribing by nurse practitioners as continuing therapy only, where the treatment of, and prescribing of medicine for, a patient has been initiated by a medical practitioner.</w:t>
            </w:r>
          </w:p>
          <w:p w14:paraId="199757D9" w14:textId="77777777" w:rsidR="0016123E" w:rsidRPr="00917DA9" w:rsidRDefault="0016123E" w:rsidP="00937207">
            <w:pPr>
              <w:widowControl w:val="0"/>
              <w:rPr>
                <w:rFonts w:ascii="Arial Narrow" w:hAnsi="Arial Narrow"/>
                <w:i/>
                <w:iCs/>
                <w:sz w:val="20"/>
                <w:szCs w:val="20"/>
              </w:rPr>
            </w:pPr>
            <w:r w:rsidRPr="00917DA9">
              <w:rPr>
                <w:rFonts w:ascii="Arial Narrow" w:hAnsi="Arial Narrow"/>
                <w:i/>
                <w:iCs/>
                <w:sz w:val="20"/>
                <w:szCs w:val="20"/>
              </w:rPr>
              <w:t xml:space="preserve">Must be treated by a health practitioner who is any of: </w:t>
            </w:r>
          </w:p>
          <w:p w14:paraId="5E11D70D" w14:textId="77777777" w:rsidR="0016123E" w:rsidRPr="00F84F73" w:rsidRDefault="0016123E" w:rsidP="00580C2F">
            <w:pPr>
              <w:pStyle w:val="ListParagraph"/>
              <w:widowControl w:val="0"/>
              <w:numPr>
                <w:ilvl w:val="0"/>
                <w:numId w:val="40"/>
              </w:numPr>
              <w:spacing w:after="0"/>
              <w:ind w:left="1021" w:hanging="284"/>
              <w:rPr>
                <w:rFonts w:ascii="Arial Narrow" w:hAnsi="Arial Narrow"/>
                <w:i/>
                <w:iCs/>
                <w:sz w:val="20"/>
                <w:szCs w:val="20"/>
              </w:rPr>
            </w:pPr>
            <w:r w:rsidRPr="00F84F73">
              <w:rPr>
                <w:rFonts w:ascii="Arial Narrow" w:hAnsi="Arial Narrow"/>
                <w:i/>
                <w:iCs/>
                <w:sz w:val="20"/>
                <w:szCs w:val="20"/>
              </w:rPr>
              <w:t xml:space="preserve">a medical practitioner, </w:t>
            </w:r>
          </w:p>
          <w:p w14:paraId="0F3DA3DD" w14:textId="6D7408E7" w:rsidR="001E7824" w:rsidRPr="0016123E" w:rsidRDefault="0016123E" w:rsidP="00580C2F">
            <w:pPr>
              <w:pStyle w:val="ListParagraph"/>
              <w:widowControl w:val="0"/>
              <w:numPr>
                <w:ilvl w:val="0"/>
                <w:numId w:val="40"/>
              </w:numPr>
              <w:spacing w:after="0"/>
              <w:ind w:left="1021" w:hanging="284"/>
              <w:rPr>
                <w:b/>
                <w:sz w:val="20"/>
                <w:szCs w:val="20"/>
              </w:rPr>
            </w:pPr>
            <w:r w:rsidRPr="00F84F73">
              <w:rPr>
                <w:rFonts w:ascii="Arial Narrow" w:hAnsi="Arial Narrow"/>
                <w:i/>
                <w:iCs/>
                <w:sz w:val="20"/>
                <w:szCs w:val="20"/>
              </w:rPr>
              <w:t>a nurse practitioner who is continuing treatment with this medicine (of any strength) that was initiated by a medical practitioner as a PBS benefit.</w:t>
            </w:r>
          </w:p>
        </w:tc>
      </w:tr>
      <w:tr w:rsidR="00B80ABF" w:rsidRPr="00EB1825" w14:paraId="65752B24" w14:textId="77777777">
        <w:tblPrEx>
          <w:tblCellMar>
            <w:top w:w="15" w:type="dxa"/>
            <w:bottom w:w="15" w:type="dxa"/>
          </w:tblCellMar>
        </w:tblPrEx>
        <w:trPr>
          <w:cantSplit/>
          <w:trHeight w:val="20"/>
        </w:trPr>
        <w:tc>
          <w:tcPr>
            <w:tcW w:w="9017" w:type="dxa"/>
            <w:gridSpan w:val="6"/>
          </w:tcPr>
          <w:p w14:paraId="44AABF2E" w14:textId="36A3BE70" w:rsidR="007D4FCB" w:rsidRPr="0032592C" w:rsidRDefault="007D4FCB" w:rsidP="00937207">
            <w:pPr>
              <w:pStyle w:val="TableText0"/>
              <w:keepNext w:val="0"/>
              <w:keepLines w:val="0"/>
              <w:widowControl w:val="0"/>
              <w:rPr>
                <w:b/>
                <w:bCs w:val="0"/>
                <w:i/>
                <w:iCs/>
              </w:rPr>
            </w:pPr>
            <w:r w:rsidRPr="0032592C">
              <w:rPr>
                <w:b/>
                <w:bCs w:val="0"/>
                <w:i/>
                <w:iCs/>
              </w:rPr>
              <w:t>Prescribing Instructions:</w:t>
            </w:r>
          </w:p>
        </w:tc>
      </w:tr>
      <w:tr w:rsidR="00B80ABF" w:rsidRPr="00EB1825" w14:paraId="31F0AB61" w14:textId="77777777">
        <w:tblPrEx>
          <w:tblCellMar>
            <w:top w:w="15" w:type="dxa"/>
            <w:bottom w:w="15" w:type="dxa"/>
          </w:tblCellMar>
        </w:tblPrEx>
        <w:trPr>
          <w:cantSplit/>
          <w:trHeight w:val="20"/>
        </w:trPr>
        <w:tc>
          <w:tcPr>
            <w:tcW w:w="9017" w:type="dxa"/>
            <w:gridSpan w:val="6"/>
          </w:tcPr>
          <w:p w14:paraId="7C7BBC38" w14:textId="42CDA12F" w:rsidR="007D4FCB" w:rsidRPr="008234AE" w:rsidRDefault="007D4FCB" w:rsidP="00937207">
            <w:pPr>
              <w:pStyle w:val="TableText0"/>
              <w:keepNext w:val="0"/>
              <w:keepLines w:val="0"/>
              <w:widowControl w:val="0"/>
              <w:rPr>
                <w:b/>
                <w:i/>
                <w:iCs/>
              </w:rPr>
            </w:pPr>
            <w:r w:rsidRPr="008234AE">
              <w:rPr>
                <w:i/>
                <w:iCs/>
              </w:rPr>
              <w:t>For patients with either a contraindication or caution to systemic MHT, transdermal MHT should be considered prior to receiving treatment with this drug.</w:t>
            </w:r>
          </w:p>
        </w:tc>
      </w:tr>
      <w:tr w:rsidR="00C40D96" w:rsidRPr="00EB1825" w14:paraId="65F2811C"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tcPr>
          <w:p w14:paraId="0C66FC87" w14:textId="7EBD7B96" w:rsidR="00C40D96" w:rsidRPr="0032592C" w:rsidRDefault="00F84F73" w:rsidP="00937207">
            <w:pPr>
              <w:pStyle w:val="TableText0"/>
              <w:keepNext w:val="0"/>
              <w:keepLines w:val="0"/>
              <w:widowControl w:val="0"/>
              <w:rPr>
                <w:b/>
                <w:i/>
                <w:iCs/>
              </w:rPr>
            </w:pPr>
            <w:r w:rsidRPr="0032592C">
              <w:rPr>
                <w:b/>
                <w:i/>
                <w:iCs/>
              </w:rPr>
              <w:t>Prescribing Instructions:</w:t>
            </w:r>
          </w:p>
        </w:tc>
      </w:tr>
      <w:tr w:rsidR="00C40D96" w:rsidRPr="00EB1825" w14:paraId="501A56AD"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tcPr>
          <w:p w14:paraId="12FCDC89" w14:textId="77777777" w:rsidR="00F84F73" w:rsidRPr="008234AE" w:rsidRDefault="00F84F73" w:rsidP="00937207">
            <w:pPr>
              <w:pStyle w:val="TableText0"/>
              <w:keepNext w:val="0"/>
              <w:keepLines w:val="0"/>
              <w:widowControl w:val="0"/>
              <w:rPr>
                <w:bCs w:val="0"/>
                <w:i/>
                <w:iCs/>
              </w:rPr>
            </w:pPr>
            <w:r w:rsidRPr="008234AE">
              <w:rPr>
                <w:bCs w:val="0"/>
                <w:i/>
                <w:iCs/>
              </w:rPr>
              <w:t xml:space="preserve">A contraindication to systemic menopausal hormone therapy (MHT) is defined as at least one of the following: </w:t>
            </w:r>
          </w:p>
          <w:p w14:paraId="09A53184" w14:textId="4EF403A9" w:rsidR="00F84F73" w:rsidRPr="008234AE" w:rsidRDefault="00F84F73" w:rsidP="00580C2F">
            <w:pPr>
              <w:pStyle w:val="ListParagraph"/>
              <w:widowControl w:val="0"/>
              <w:numPr>
                <w:ilvl w:val="0"/>
                <w:numId w:val="41"/>
              </w:numPr>
              <w:spacing w:after="0"/>
              <w:ind w:left="1021" w:hanging="284"/>
              <w:rPr>
                <w:rFonts w:ascii="Arial Narrow" w:hAnsi="Arial Narrow"/>
                <w:i/>
                <w:iCs/>
                <w:sz w:val="20"/>
                <w:szCs w:val="20"/>
              </w:rPr>
            </w:pPr>
            <w:r w:rsidRPr="008234AE">
              <w:rPr>
                <w:rFonts w:ascii="Arial Narrow" w:hAnsi="Arial Narrow"/>
                <w:i/>
                <w:iCs/>
                <w:sz w:val="20"/>
                <w:szCs w:val="20"/>
              </w:rPr>
              <w:t>age 60 years or older, (unless already on MHT and reassessed)</w:t>
            </w:r>
          </w:p>
          <w:p w14:paraId="21693BD8" w14:textId="78EF9E3D" w:rsidR="00F84F73" w:rsidRPr="008234AE" w:rsidRDefault="00F84F73" w:rsidP="00580C2F">
            <w:pPr>
              <w:pStyle w:val="ListParagraph"/>
              <w:widowControl w:val="0"/>
              <w:numPr>
                <w:ilvl w:val="0"/>
                <w:numId w:val="41"/>
              </w:numPr>
              <w:spacing w:after="0"/>
              <w:ind w:left="1021" w:hanging="284"/>
              <w:rPr>
                <w:rFonts w:ascii="Arial Narrow" w:hAnsi="Arial Narrow"/>
                <w:i/>
                <w:iCs/>
                <w:sz w:val="20"/>
                <w:szCs w:val="20"/>
              </w:rPr>
            </w:pPr>
            <w:r w:rsidRPr="008234AE">
              <w:rPr>
                <w:rFonts w:ascii="Arial Narrow" w:hAnsi="Arial Narrow"/>
                <w:i/>
                <w:iCs/>
                <w:sz w:val="20"/>
                <w:szCs w:val="20"/>
              </w:rPr>
              <w:t xml:space="preserve">previous venous thromboembolism, </w:t>
            </w:r>
          </w:p>
          <w:p w14:paraId="5D298B5C" w14:textId="74E7F8AA" w:rsidR="00F84F73" w:rsidRPr="008234AE" w:rsidRDefault="00F84F73" w:rsidP="00580C2F">
            <w:pPr>
              <w:pStyle w:val="ListParagraph"/>
              <w:widowControl w:val="0"/>
              <w:numPr>
                <w:ilvl w:val="0"/>
                <w:numId w:val="41"/>
              </w:numPr>
              <w:spacing w:after="0"/>
              <w:ind w:left="1021" w:hanging="284"/>
              <w:rPr>
                <w:rFonts w:ascii="Arial Narrow" w:hAnsi="Arial Narrow"/>
                <w:i/>
                <w:iCs/>
                <w:sz w:val="20"/>
                <w:szCs w:val="20"/>
              </w:rPr>
            </w:pPr>
            <w:r w:rsidRPr="008234AE">
              <w:rPr>
                <w:rFonts w:ascii="Arial Narrow" w:hAnsi="Arial Narrow"/>
                <w:i/>
                <w:iCs/>
                <w:sz w:val="20"/>
                <w:szCs w:val="20"/>
              </w:rPr>
              <w:t xml:space="preserve">previous transient ischaemic attack, stroke or acute myocardial infarction, </w:t>
            </w:r>
          </w:p>
          <w:p w14:paraId="1DD4239D" w14:textId="02959714" w:rsidR="00F84F73" w:rsidRPr="008234AE" w:rsidRDefault="00F84F73" w:rsidP="00580C2F">
            <w:pPr>
              <w:pStyle w:val="ListParagraph"/>
              <w:widowControl w:val="0"/>
              <w:numPr>
                <w:ilvl w:val="0"/>
                <w:numId w:val="41"/>
              </w:numPr>
              <w:spacing w:after="0"/>
              <w:ind w:left="1021" w:hanging="284"/>
              <w:rPr>
                <w:rFonts w:ascii="Arial Narrow" w:hAnsi="Arial Narrow"/>
                <w:i/>
                <w:iCs/>
                <w:sz w:val="20"/>
                <w:szCs w:val="20"/>
              </w:rPr>
            </w:pPr>
            <w:r w:rsidRPr="008234AE">
              <w:rPr>
                <w:rFonts w:ascii="Arial Narrow" w:hAnsi="Arial Narrow"/>
                <w:i/>
                <w:iCs/>
                <w:sz w:val="20"/>
                <w:szCs w:val="20"/>
              </w:rPr>
              <w:t xml:space="preserve">uncontrolled hypertension, </w:t>
            </w:r>
          </w:p>
          <w:p w14:paraId="6E66F3AE" w14:textId="58A5D198" w:rsidR="00F84F73" w:rsidRPr="008234AE" w:rsidRDefault="00F84F73" w:rsidP="00580C2F">
            <w:pPr>
              <w:pStyle w:val="ListParagraph"/>
              <w:widowControl w:val="0"/>
              <w:numPr>
                <w:ilvl w:val="0"/>
                <w:numId w:val="41"/>
              </w:numPr>
              <w:spacing w:after="0"/>
              <w:ind w:left="1021" w:hanging="284"/>
              <w:rPr>
                <w:rFonts w:ascii="Arial Narrow" w:hAnsi="Arial Narrow"/>
                <w:i/>
                <w:iCs/>
                <w:sz w:val="20"/>
                <w:szCs w:val="20"/>
              </w:rPr>
            </w:pPr>
            <w:r w:rsidRPr="008234AE">
              <w:rPr>
                <w:rFonts w:ascii="Arial Narrow" w:hAnsi="Arial Narrow"/>
                <w:i/>
                <w:iCs/>
                <w:sz w:val="20"/>
                <w:szCs w:val="20"/>
              </w:rPr>
              <w:t>estrogen-dependent cancer (e.g., endometrial or breast cancer),</w:t>
            </w:r>
          </w:p>
          <w:p w14:paraId="7E9F5C82" w14:textId="3B7EB66E" w:rsidR="00F84F73" w:rsidRPr="008234AE" w:rsidRDefault="00F84F73" w:rsidP="00580C2F">
            <w:pPr>
              <w:pStyle w:val="ListParagraph"/>
              <w:widowControl w:val="0"/>
              <w:numPr>
                <w:ilvl w:val="0"/>
                <w:numId w:val="41"/>
              </w:numPr>
              <w:spacing w:after="0"/>
              <w:ind w:left="1021" w:hanging="284"/>
              <w:rPr>
                <w:rFonts w:ascii="Arial Narrow" w:hAnsi="Arial Narrow"/>
                <w:i/>
                <w:iCs/>
                <w:sz w:val="20"/>
                <w:szCs w:val="20"/>
              </w:rPr>
            </w:pPr>
            <w:r w:rsidRPr="008234AE">
              <w:rPr>
                <w:rFonts w:ascii="Arial Narrow" w:hAnsi="Arial Narrow"/>
                <w:i/>
                <w:iCs/>
                <w:sz w:val="20"/>
                <w:szCs w:val="20"/>
              </w:rPr>
              <w:t>undiagnosed vaginal bleeding (may include estrogen-dependent cancer),</w:t>
            </w:r>
          </w:p>
          <w:p w14:paraId="42ACE2A2" w14:textId="6C9C9796" w:rsidR="00F84F73" w:rsidRPr="008234AE" w:rsidRDefault="00F84F73" w:rsidP="00580C2F">
            <w:pPr>
              <w:pStyle w:val="ListParagraph"/>
              <w:widowControl w:val="0"/>
              <w:numPr>
                <w:ilvl w:val="0"/>
                <w:numId w:val="41"/>
              </w:numPr>
              <w:spacing w:after="0"/>
              <w:ind w:left="1021" w:hanging="284"/>
              <w:rPr>
                <w:rFonts w:ascii="Arial Narrow" w:hAnsi="Arial Narrow"/>
                <w:i/>
                <w:iCs/>
                <w:sz w:val="20"/>
                <w:szCs w:val="20"/>
              </w:rPr>
            </w:pPr>
            <w:r w:rsidRPr="008234AE">
              <w:rPr>
                <w:rFonts w:ascii="Arial Narrow" w:hAnsi="Arial Narrow"/>
                <w:i/>
                <w:iCs/>
                <w:sz w:val="20"/>
                <w:szCs w:val="20"/>
              </w:rPr>
              <w:t>high risk of breast cancer after individual risk assessment.</w:t>
            </w:r>
          </w:p>
          <w:p w14:paraId="7D7F40FB" w14:textId="0501D627" w:rsidR="00F84F73" w:rsidRPr="008234AE" w:rsidRDefault="00F84F73" w:rsidP="00580C2F">
            <w:pPr>
              <w:pStyle w:val="ListParagraph"/>
              <w:widowControl w:val="0"/>
              <w:numPr>
                <w:ilvl w:val="0"/>
                <w:numId w:val="41"/>
              </w:numPr>
              <w:spacing w:after="0"/>
              <w:ind w:left="1021" w:hanging="284"/>
              <w:rPr>
                <w:rFonts w:ascii="Arial Narrow" w:hAnsi="Arial Narrow"/>
                <w:i/>
                <w:iCs/>
                <w:sz w:val="20"/>
                <w:szCs w:val="20"/>
              </w:rPr>
            </w:pPr>
            <w:r w:rsidRPr="008234AE">
              <w:rPr>
                <w:rFonts w:ascii="Arial Narrow" w:hAnsi="Arial Narrow"/>
                <w:i/>
                <w:iCs/>
                <w:sz w:val="20"/>
                <w:szCs w:val="20"/>
              </w:rPr>
              <w:t xml:space="preserve">significant liver disease, </w:t>
            </w:r>
          </w:p>
          <w:p w14:paraId="2350069C" w14:textId="2C0083B5" w:rsidR="00C40D96" w:rsidRPr="008234AE" w:rsidRDefault="00F84F73" w:rsidP="00580C2F">
            <w:pPr>
              <w:pStyle w:val="ListParagraph"/>
              <w:widowControl w:val="0"/>
              <w:numPr>
                <w:ilvl w:val="0"/>
                <w:numId w:val="41"/>
              </w:numPr>
              <w:spacing w:after="0"/>
              <w:ind w:left="1021" w:hanging="284"/>
              <w:rPr>
                <w:bCs/>
                <w:i/>
                <w:iCs/>
              </w:rPr>
            </w:pPr>
            <w:r w:rsidRPr="008234AE">
              <w:rPr>
                <w:rFonts w:ascii="Arial Narrow" w:hAnsi="Arial Narrow"/>
                <w:i/>
                <w:iCs/>
                <w:sz w:val="20"/>
                <w:szCs w:val="20"/>
              </w:rPr>
              <w:t>porphyria or systemic lupus erythematosus (may be exacerbated by estrogen)</w:t>
            </w:r>
          </w:p>
        </w:tc>
      </w:tr>
      <w:tr w:rsidR="00C77D0D" w:rsidRPr="00EB1825" w14:paraId="7EC1FACC" w14:textId="77777777" w:rsidTr="00AC6C8D">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6"/>
            <w:vAlign w:val="center"/>
            <w:hideMark/>
          </w:tcPr>
          <w:p w14:paraId="272CDA5D" w14:textId="70004A9F" w:rsidR="00C77D0D" w:rsidRPr="00EB1825" w:rsidRDefault="00C77D0D" w:rsidP="00937207">
            <w:pPr>
              <w:pStyle w:val="TableText0"/>
              <w:keepNext w:val="0"/>
              <w:keepLines w:val="0"/>
              <w:widowControl w:val="0"/>
            </w:pPr>
            <w:r w:rsidRPr="00EB1825">
              <w:rPr>
                <w:b/>
              </w:rPr>
              <w:t>Caution:</w:t>
            </w:r>
            <w:r w:rsidRPr="00EB1825">
              <w:rPr>
                <w:bCs w:val="0"/>
              </w:rPr>
              <w:t xml:space="preserve"> </w:t>
            </w:r>
            <w:proofErr w:type="spellStart"/>
            <w:r w:rsidRPr="00EB1825">
              <w:rPr>
                <w:bCs w:val="0"/>
              </w:rPr>
              <w:t>Fezolinetant</w:t>
            </w:r>
            <w:proofErr w:type="spellEnd"/>
            <w:r w:rsidRPr="00EB1825">
              <w:rPr>
                <w:bCs w:val="0"/>
              </w:rPr>
              <w:t xml:space="preserve"> is intended for use in postmenopausal women</w:t>
            </w:r>
          </w:p>
        </w:tc>
      </w:tr>
    </w:tbl>
    <w:p w14:paraId="3160641C" w14:textId="1602A313" w:rsidR="003143CD" w:rsidRPr="00EB1825" w:rsidRDefault="003143CD" w:rsidP="00766C07">
      <w:pPr>
        <w:pStyle w:val="3-BodyText"/>
        <w:numPr>
          <w:ilvl w:val="0"/>
          <w:numId w:val="0"/>
        </w:numPr>
        <w:spacing w:before="0" w:after="0"/>
        <w:ind w:left="720" w:hanging="720"/>
        <w:rPr>
          <w:rFonts w:ascii="Arial Narrow" w:hAnsi="Arial Narrow"/>
          <w:sz w:val="18"/>
          <w:szCs w:val="18"/>
        </w:rPr>
      </w:pPr>
      <w:r w:rsidRPr="00EB1825">
        <w:rPr>
          <w:rFonts w:ascii="Arial Narrow" w:hAnsi="Arial Narrow"/>
          <w:sz w:val="18"/>
          <w:szCs w:val="18"/>
        </w:rPr>
        <w:t>Source: Table 1.4-1, p14</w:t>
      </w:r>
      <w:r w:rsidR="008234AE">
        <w:rPr>
          <w:rFonts w:ascii="Arial Narrow" w:hAnsi="Arial Narrow"/>
          <w:sz w:val="18"/>
          <w:szCs w:val="18"/>
        </w:rPr>
        <w:t xml:space="preserve">, </w:t>
      </w:r>
      <w:r w:rsidRPr="00EB1825">
        <w:rPr>
          <w:rFonts w:ascii="Arial Narrow" w:hAnsi="Arial Narrow"/>
          <w:sz w:val="18"/>
          <w:szCs w:val="18"/>
        </w:rPr>
        <w:t xml:space="preserve">Table ES-2, </w:t>
      </w:r>
      <w:proofErr w:type="spellStart"/>
      <w:r w:rsidRPr="00EB1825">
        <w:rPr>
          <w:rFonts w:ascii="Arial Narrow" w:hAnsi="Arial Narrow"/>
          <w:sz w:val="18"/>
          <w:szCs w:val="18"/>
        </w:rPr>
        <w:t>ppiv</w:t>
      </w:r>
      <w:proofErr w:type="spellEnd"/>
      <w:r w:rsidRPr="00EB1825">
        <w:rPr>
          <w:rFonts w:ascii="Arial Narrow" w:hAnsi="Arial Narrow"/>
          <w:sz w:val="18"/>
          <w:szCs w:val="18"/>
        </w:rPr>
        <w:t>-v of the submission</w:t>
      </w:r>
      <w:r w:rsidR="008234AE">
        <w:rPr>
          <w:rFonts w:ascii="Arial Narrow" w:hAnsi="Arial Narrow"/>
          <w:sz w:val="18"/>
          <w:szCs w:val="18"/>
        </w:rPr>
        <w:t>, and p</w:t>
      </w:r>
      <w:r w:rsidR="006178BD">
        <w:rPr>
          <w:rFonts w:ascii="Arial Narrow" w:hAnsi="Arial Narrow"/>
          <w:sz w:val="18"/>
          <w:szCs w:val="18"/>
        </w:rPr>
        <w:t xml:space="preserve">5 of the </w:t>
      </w:r>
      <w:proofErr w:type="gramStart"/>
      <w:r w:rsidR="006178BD">
        <w:rPr>
          <w:rFonts w:ascii="Arial Narrow" w:hAnsi="Arial Narrow"/>
          <w:sz w:val="18"/>
          <w:szCs w:val="18"/>
        </w:rPr>
        <w:t>Pre-PBAC</w:t>
      </w:r>
      <w:proofErr w:type="gramEnd"/>
      <w:r w:rsidR="006178BD">
        <w:rPr>
          <w:rFonts w:ascii="Arial Narrow" w:hAnsi="Arial Narrow"/>
          <w:sz w:val="18"/>
          <w:szCs w:val="18"/>
        </w:rPr>
        <w:t xml:space="preserve"> response</w:t>
      </w:r>
      <w:r w:rsidRPr="00EB1825">
        <w:rPr>
          <w:rFonts w:ascii="Arial Narrow" w:hAnsi="Arial Narrow"/>
          <w:sz w:val="18"/>
          <w:szCs w:val="18"/>
        </w:rPr>
        <w:t>.</w:t>
      </w:r>
    </w:p>
    <w:p w14:paraId="72BF5C37" w14:textId="77777777" w:rsidR="00C77D0D" w:rsidRPr="006178BD" w:rsidRDefault="00C77D0D" w:rsidP="00766C07">
      <w:pPr>
        <w:pStyle w:val="3-BodyText"/>
        <w:numPr>
          <w:ilvl w:val="0"/>
          <w:numId w:val="0"/>
        </w:numPr>
        <w:spacing w:before="0" w:after="0"/>
        <w:ind w:left="720" w:hanging="720"/>
        <w:rPr>
          <w:b/>
        </w:rPr>
      </w:pPr>
      <w:r w:rsidRPr="00EB1825">
        <w:rPr>
          <w:rStyle w:val="CommentReference"/>
          <w:b w:val="0"/>
          <w:sz w:val="18"/>
          <w:szCs w:val="18"/>
          <w:shd w:val="clear" w:color="auto" w:fill="B8CCE4" w:themeFill="accent1" w:themeFillTint="66"/>
        </w:rPr>
        <w:t xml:space="preserve">Blue </w:t>
      </w:r>
      <w:r w:rsidRPr="00EB1825">
        <w:rPr>
          <w:rStyle w:val="CommentReference"/>
          <w:b w:val="0"/>
          <w:sz w:val="18"/>
          <w:szCs w:val="18"/>
        </w:rPr>
        <w:t xml:space="preserve">shading indicates data previously </w:t>
      </w:r>
      <w:r w:rsidRPr="006178BD">
        <w:rPr>
          <w:rStyle w:val="CommentReference"/>
          <w:b w:val="0"/>
          <w:sz w:val="18"/>
          <w:szCs w:val="18"/>
        </w:rPr>
        <w:t>seen by the PBAC.</w:t>
      </w:r>
    </w:p>
    <w:p w14:paraId="79AC63C5" w14:textId="0513E926" w:rsidR="006178BD" w:rsidRPr="00911005" w:rsidRDefault="006178BD" w:rsidP="00766C07">
      <w:pPr>
        <w:pStyle w:val="3-BodyText"/>
        <w:numPr>
          <w:ilvl w:val="0"/>
          <w:numId w:val="0"/>
        </w:numPr>
        <w:spacing w:before="0" w:after="0"/>
        <w:ind w:left="720" w:hanging="720"/>
        <w:rPr>
          <w:rFonts w:ascii="Arial Narrow" w:hAnsi="Arial Narrow"/>
          <w:sz w:val="18"/>
          <w:szCs w:val="18"/>
        </w:rPr>
      </w:pPr>
      <w:r w:rsidRPr="00911005">
        <w:rPr>
          <w:rFonts w:ascii="Arial Narrow" w:hAnsi="Arial Narrow"/>
          <w:sz w:val="18"/>
          <w:szCs w:val="18"/>
        </w:rPr>
        <w:t xml:space="preserve">Italics indicates additions proposed by the sponsor in the </w:t>
      </w:r>
      <w:proofErr w:type="gramStart"/>
      <w:r w:rsidRPr="00911005">
        <w:rPr>
          <w:rFonts w:ascii="Arial Narrow" w:hAnsi="Arial Narrow"/>
          <w:sz w:val="18"/>
          <w:szCs w:val="18"/>
        </w:rPr>
        <w:t>Pre-PBAC</w:t>
      </w:r>
      <w:proofErr w:type="gramEnd"/>
      <w:r w:rsidRPr="00911005">
        <w:rPr>
          <w:rFonts w:ascii="Arial Narrow" w:hAnsi="Arial Narrow"/>
          <w:sz w:val="18"/>
          <w:szCs w:val="18"/>
        </w:rPr>
        <w:t xml:space="preserve"> response. </w:t>
      </w:r>
    </w:p>
    <w:p w14:paraId="0F8802B8" w14:textId="4D4558E9" w:rsidR="006133D1" w:rsidRDefault="006178BD" w:rsidP="00766C07">
      <w:pPr>
        <w:pStyle w:val="3-BodyText"/>
        <w:numPr>
          <w:ilvl w:val="0"/>
          <w:numId w:val="0"/>
        </w:numPr>
        <w:spacing w:before="0" w:after="0"/>
        <w:ind w:left="720" w:hanging="720"/>
        <w:rPr>
          <w:rFonts w:ascii="Arial Narrow" w:hAnsi="Arial Narrow"/>
          <w:sz w:val="18"/>
          <w:szCs w:val="18"/>
        </w:rPr>
      </w:pPr>
      <w:r w:rsidRPr="00911005">
        <w:rPr>
          <w:rFonts w:ascii="Arial Narrow" w:hAnsi="Arial Narrow"/>
          <w:sz w:val="18"/>
          <w:szCs w:val="18"/>
        </w:rPr>
        <w:t>Strikethrough indicates</w:t>
      </w:r>
      <w:r w:rsidRPr="006178BD">
        <w:rPr>
          <w:rFonts w:ascii="Arial Narrow" w:hAnsi="Arial Narrow"/>
          <w:sz w:val="18"/>
          <w:szCs w:val="18"/>
        </w:rPr>
        <w:t xml:space="preserve"> </w:t>
      </w:r>
      <w:r w:rsidR="00B47BD3">
        <w:rPr>
          <w:rFonts w:ascii="Arial Narrow" w:hAnsi="Arial Narrow"/>
          <w:sz w:val="18"/>
          <w:szCs w:val="18"/>
        </w:rPr>
        <w:t>deletions</w:t>
      </w:r>
      <w:r w:rsidRPr="006178BD">
        <w:rPr>
          <w:rFonts w:ascii="Arial Narrow" w:hAnsi="Arial Narrow"/>
          <w:sz w:val="18"/>
          <w:szCs w:val="18"/>
        </w:rPr>
        <w:t xml:space="preserve"> proposed by the sponsor in the </w:t>
      </w:r>
      <w:proofErr w:type="gramStart"/>
      <w:r w:rsidRPr="006178BD">
        <w:rPr>
          <w:rFonts w:ascii="Arial Narrow" w:hAnsi="Arial Narrow"/>
          <w:sz w:val="18"/>
          <w:szCs w:val="18"/>
        </w:rPr>
        <w:t>Pre-PBAC</w:t>
      </w:r>
      <w:proofErr w:type="gramEnd"/>
      <w:r w:rsidRPr="006178BD">
        <w:rPr>
          <w:rFonts w:ascii="Arial Narrow" w:hAnsi="Arial Narrow"/>
          <w:sz w:val="18"/>
          <w:szCs w:val="18"/>
        </w:rPr>
        <w:t xml:space="preserve"> response. </w:t>
      </w:r>
    </w:p>
    <w:p w14:paraId="524E0DC5" w14:textId="77777777" w:rsidR="0032592C" w:rsidRPr="0032592C" w:rsidRDefault="0032592C" w:rsidP="00766C07">
      <w:pPr>
        <w:pStyle w:val="3-BodyText"/>
        <w:numPr>
          <w:ilvl w:val="0"/>
          <w:numId w:val="0"/>
        </w:numPr>
        <w:spacing w:before="0" w:after="0"/>
        <w:ind w:left="720" w:hanging="720"/>
        <w:rPr>
          <w:rFonts w:ascii="Arial Narrow" w:hAnsi="Arial Narrow"/>
          <w:sz w:val="18"/>
          <w:szCs w:val="18"/>
        </w:rPr>
      </w:pPr>
    </w:p>
    <w:p w14:paraId="12502507" w14:textId="0EAAEC34" w:rsidR="00C77D0D" w:rsidRPr="002E591D" w:rsidRDefault="00C77D0D" w:rsidP="00766C07">
      <w:pPr>
        <w:pStyle w:val="3-BodyText"/>
      </w:pPr>
      <w:r w:rsidRPr="002E591D">
        <w:t xml:space="preserve">The resubmission requested Authority Required (Streamlined) listing of </w:t>
      </w:r>
      <w:proofErr w:type="spellStart"/>
      <w:r w:rsidRPr="002E591D">
        <w:t>fezolinetant</w:t>
      </w:r>
      <w:proofErr w:type="spellEnd"/>
      <w:r w:rsidRPr="002E591D">
        <w:t xml:space="preserve"> 45 mg, consistent with the March 2025 submission. In the March 2025 meeting, the PBAC considered that a written or telephone authority required listing may be more appropriate for initial treatment to ensure that treatment is limited to the intended population (paragraph 7.5, </w:t>
      </w:r>
      <w:proofErr w:type="spellStart"/>
      <w:r w:rsidRPr="002E591D">
        <w:t>fezolinetant</w:t>
      </w:r>
      <w:proofErr w:type="spellEnd"/>
      <w:r w:rsidRPr="002E591D">
        <w:t xml:space="preserve"> </w:t>
      </w:r>
      <w:r w:rsidR="00FC0059" w:rsidRPr="002E591D">
        <w:t>PSD</w:t>
      </w:r>
      <w:r w:rsidRPr="002E591D">
        <w:t xml:space="preserve"> March 2025 PBAC meeting).</w:t>
      </w:r>
    </w:p>
    <w:p w14:paraId="27A94241" w14:textId="6110F8C0" w:rsidR="00C77D0D" w:rsidRPr="002E591D" w:rsidRDefault="00C77D0D" w:rsidP="00766C07">
      <w:pPr>
        <w:pStyle w:val="3-BodyText"/>
      </w:pPr>
      <w:bookmarkStart w:id="17" w:name="_Ref211423934"/>
      <w:r w:rsidRPr="002E591D">
        <w:t xml:space="preserve">The resubmission proposed a Special Pricing Arrangement (SPA) for </w:t>
      </w:r>
      <w:proofErr w:type="spellStart"/>
      <w:r w:rsidRPr="002E591D">
        <w:t>fezolinetant</w:t>
      </w:r>
      <w:proofErr w:type="spellEnd"/>
      <w:r w:rsidRPr="002E591D">
        <w:t>. The proposed effective DPMQ $</w:t>
      </w:r>
      <w:r w:rsidR="00E901B5" w:rsidRPr="00E901B5">
        <w:rPr>
          <w:highlight w:val="black"/>
        </w:rPr>
        <w:t>&amp;&amp;&amp;&amp;</w:t>
      </w:r>
      <w:r w:rsidRPr="002E591D">
        <w:t xml:space="preserve"> (AEMP $</w:t>
      </w:r>
      <w:r w:rsidR="00E901B5" w:rsidRPr="00E901B5">
        <w:rPr>
          <w:highlight w:val="black"/>
        </w:rPr>
        <w:t>&amp;&amp;&amp;&amp;</w:t>
      </w:r>
      <w:r w:rsidRPr="002E591D">
        <w:t xml:space="preserve">) was </w:t>
      </w:r>
      <w:r w:rsidR="00E901B5" w:rsidRPr="00E901B5">
        <w:rPr>
          <w:highlight w:val="black"/>
        </w:rPr>
        <w:t>&amp;&amp;&amp;&amp;</w:t>
      </w:r>
      <w:r w:rsidRPr="002E591D">
        <w:t>% lower than the proposed published DPMQ $</w:t>
      </w:r>
      <w:r w:rsidR="00E901B5" w:rsidRPr="00E901B5">
        <w:rPr>
          <w:highlight w:val="black"/>
        </w:rPr>
        <w:t>&amp;&amp;&amp;&amp;</w:t>
      </w:r>
      <w:r w:rsidRPr="002E591D">
        <w:t xml:space="preserve"> (AEMP $</w:t>
      </w:r>
      <w:r w:rsidR="00E901B5" w:rsidRPr="00E901B5">
        <w:rPr>
          <w:highlight w:val="black"/>
        </w:rPr>
        <w:t>&amp;&amp;&amp;&amp;</w:t>
      </w:r>
      <w:r w:rsidRPr="002E591D">
        <w:t xml:space="preserve">), which was the same proposed price in the March 2025 submission. The PBAC previously considered that the price of </w:t>
      </w:r>
      <w:proofErr w:type="spellStart"/>
      <w:r w:rsidRPr="002E591D">
        <w:t>fezolinetant</w:t>
      </w:r>
      <w:proofErr w:type="spellEnd"/>
      <w:r w:rsidRPr="002E591D">
        <w:t xml:space="preserve"> would need to be substantially reduced to achieve acceptable cost-effectiveness (paragraph 7.11, </w:t>
      </w:r>
      <w:proofErr w:type="spellStart"/>
      <w:r w:rsidRPr="002E591D">
        <w:t>fezolinetant</w:t>
      </w:r>
      <w:proofErr w:type="spellEnd"/>
      <w:r w:rsidRPr="002E591D">
        <w:t xml:space="preserve"> </w:t>
      </w:r>
      <w:r w:rsidR="00FC0059" w:rsidRPr="002E591D">
        <w:t>PSD</w:t>
      </w:r>
      <w:r w:rsidRPr="002E591D">
        <w:t xml:space="preserve"> March 2025 PBAC meeting). </w:t>
      </w:r>
      <w:r w:rsidR="00274B10" w:rsidRPr="002E591D">
        <w:t xml:space="preserve">The </w:t>
      </w:r>
      <w:r w:rsidR="00460051" w:rsidRPr="002E591D">
        <w:t>evaluation</w:t>
      </w:r>
      <w:r w:rsidR="00B84FAA" w:rsidRPr="002E591D">
        <w:t xml:space="preserve"> and the ESC</w:t>
      </w:r>
      <w:r w:rsidR="00274B10" w:rsidRPr="002E591D">
        <w:t xml:space="preserve"> </w:t>
      </w:r>
      <w:r w:rsidRPr="002E591D">
        <w:t>note</w:t>
      </w:r>
      <w:r w:rsidR="00274B10" w:rsidRPr="002E591D">
        <w:t>d that</w:t>
      </w:r>
      <w:r w:rsidRPr="002E591D">
        <w:t xml:space="preserve"> the requested effective DPMQ remains higher than the current private market price for </w:t>
      </w:r>
      <w:proofErr w:type="spellStart"/>
      <w:r w:rsidRPr="002E591D">
        <w:t>fezolinetant</w:t>
      </w:r>
      <w:proofErr w:type="spellEnd"/>
      <w:r w:rsidRPr="002E591D">
        <w:t xml:space="preserve"> 45 mg in Australia ($</w:t>
      </w:r>
      <w:r w:rsidR="00912376">
        <w:t>70</w:t>
      </w:r>
      <w:r w:rsidRPr="00912376">
        <w:rPr>
          <w:rStyle w:val="FootnoteReference"/>
        </w:rPr>
        <w:footnoteReference w:id="2"/>
      </w:r>
      <w:r w:rsidRPr="002E591D">
        <w:t>).</w:t>
      </w:r>
      <w:bookmarkEnd w:id="17"/>
    </w:p>
    <w:p w14:paraId="235F80BF" w14:textId="6A3CD48C" w:rsidR="00C77D0D" w:rsidRPr="002E591D" w:rsidRDefault="004A1306" w:rsidP="00766C07">
      <w:pPr>
        <w:pStyle w:val="3-BodyText"/>
      </w:pPr>
      <w:bookmarkStart w:id="18" w:name="_Ref213946224"/>
      <w:r w:rsidRPr="002E591D">
        <w:t>In the resubmission t</w:t>
      </w:r>
      <w:r w:rsidR="00C77D0D" w:rsidRPr="002E591D">
        <w:t xml:space="preserve">he requested restriction was modified following comments by the PBAC in March 2025 (paragraphs 7.4 and 7.5, </w:t>
      </w:r>
      <w:proofErr w:type="spellStart"/>
      <w:r w:rsidR="00C77D0D" w:rsidRPr="002E591D">
        <w:t>fezolinetant</w:t>
      </w:r>
      <w:proofErr w:type="spellEnd"/>
      <w:r w:rsidR="00C77D0D" w:rsidRPr="002E591D">
        <w:t xml:space="preserve"> </w:t>
      </w:r>
      <w:r w:rsidR="00343CCA" w:rsidRPr="002E591D">
        <w:t>PSD</w:t>
      </w:r>
      <w:r w:rsidR="00C77D0D" w:rsidRPr="002E591D">
        <w:t xml:space="preserve"> March 2025 PBAC meeting). These changes included:</w:t>
      </w:r>
      <w:bookmarkEnd w:id="18"/>
    </w:p>
    <w:p w14:paraId="21DADDA8" w14:textId="77777777" w:rsidR="00C77D0D" w:rsidRPr="00EB1825" w:rsidRDefault="00C77D0D" w:rsidP="00580C2F">
      <w:pPr>
        <w:pStyle w:val="ListParagraph"/>
        <w:ind w:left="1021" w:hanging="284"/>
      </w:pPr>
      <w:r w:rsidRPr="00EB1825">
        <w:t>Clinical criteria wording for patients who discontinued MHT (MHT stoppers) to include “poor tolerability” as a reason for ceasing MHT.</w:t>
      </w:r>
    </w:p>
    <w:p w14:paraId="64762755" w14:textId="77777777" w:rsidR="00C77D0D" w:rsidRPr="00EB1825" w:rsidRDefault="00C77D0D" w:rsidP="00580C2F">
      <w:pPr>
        <w:pStyle w:val="ListParagraph"/>
        <w:ind w:left="1021" w:hanging="284"/>
      </w:pPr>
      <w:r w:rsidRPr="00EB1825">
        <w:t xml:space="preserve">Additional criteria for patients with underlying medical conditions that require special caution </w:t>
      </w:r>
      <w:proofErr w:type="gramStart"/>
      <w:r w:rsidRPr="00EB1825">
        <w:t>in regard to</w:t>
      </w:r>
      <w:proofErr w:type="gramEnd"/>
      <w:r w:rsidRPr="00EB1825">
        <w:t xml:space="preserve"> MHT (MHT caution). This included: history of diabetes mellitus, hyperlipidaemia, current smoker, migraine, obesity, systemic lupus erythematosus, epilepsy and family history of breast cancer in the first degree relative or mutation of breast cancer gene (BRCA1 and BRCA2).</w:t>
      </w:r>
    </w:p>
    <w:p w14:paraId="23CFD5A7" w14:textId="77777777" w:rsidR="00C77D0D" w:rsidRPr="00EB1825" w:rsidRDefault="00C77D0D" w:rsidP="00580C2F">
      <w:pPr>
        <w:pStyle w:val="ListParagraph"/>
        <w:ind w:left="1021" w:hanging="284"/>
      </w:pPr>
      <w:r w:rsidRPr="00EB1825">
        <w:t>Removal of the clinical criteria for patients unwilling to take MHT following education on the risks and benefits of treatment.</w:t>
      </w:r>
    </w:p>
    <w:p w14:paraId="77441F1D" w14:textId="20ED2632" w:rsidR="00C77D0D" w:rsidRPr="00EB1825" w:rsidRDefault="00C77D0D" w:rsidP="00580C2F">
      <w:pPr>
        <w:pStyle w:val="ListParagraph"/>
        <w:ind w:left="1021" w:hanging="284"/>
      </w:pPr>
      <w:r w:rsidRPr="00EB1825">
        <w:t xml:space="preserve">Additional caution wording that </w:t>
      </w:r>
      <w:proofErr w:type="spellStart"/>
      <w:r w:rsidRPr="00EB1825">
        <w:t>fezolinetant</w:t>
      </w:r>
      <w:proofErr w:type="spellEnd"/>
      <w:r w:rsidRPr="00EB1825">
        <w:t xml:space="preserve"> is intended for use in post-menopausal women.</w:t>
      </w:r>
    </w:p>
    <w:p w14:paraId="0B6A8543" w14:textId="5A82CACA" w:rsidR="00C77D0D" w:rsidRPr="004F3EF0" w:rsidRDefault="00C77D0D" w:rsidP="00766C07">
      <w:pPr>
        <w:pStyle w:val="3-BodyText"/>
      </w:pPr>
      <w:bookmarkStart w:id="19" w:name="_Ref211423348"/>
      <w:r w:rsidRPr="004F3EF0">
        <w:t xml:space="preserve">The </w:t>
      </w:r>
      <w:r w:rsidR="00E85BDD" w:rsidRPr="004F3EF0">
        <w:t xml:space="preserve">evaluation </w:t>
      </w:r>
      <w:r w:rsidR="00BA27D8" w:rsidRPr="004F3EF0">
        <w:t xml:space="preserve">and the ESC </w:t>
      </w:r>
      <w:r w:rsidR="00E85BDD" w:rsidRPr="004F3EF0">
        <w:t>considered that w</w:t>
      </w:r>
      <w:r w:rsidRPr="004F3EF0">
        <w:t>hile the restriction limited use to patients who are MHT unsuitable (defined as MHT contraindicated, MHT stopper or MHT cautioned</w:t>
      </w:r>
      <w:r w:rsidR="005F203A" w:rsidRPr="004F3EF0">
        <w:t>,</w:t>
      </w:r>
      <w:r w:rsidRPr="004F3EF0">
        <w:t xml:space="preserve"> and excluding MHT </w:t>
      </w:r>
      <w:proofErr w:type="gramStart"/>
      <w:r w:rsidRPr="004F3EF0">
        <w:t>averse</w:t>
      </w:r>
      <w:proofErr w:type="gramEnd"/>
      <w:r w:rsidRPr="004F3EF0">
        <w:t xml:space="preserve"> patients), the requested restriction criteria would likely permit broader use of </w:t>
      </w:r>
      <w:proofErr w:type="spellStart"/>
      <w:r w:rsidRPr="004F3EF0">
        <w:t>fezolinetant</w:t>
      </w:r>
      <w:proofErr w:type="spellEnd"/>
      <w:r w:rsidRPr="004F3EF0">
        <w:t xml:space="preserve"> than intended. The following issues were noted</w:t>
      </w:r>
      <w:r w:rsidR="00E85BDD" w:rsidRPr="004F3EF0">
        <w:t xml:space="preserve"> by the evaluation</w:t>
      </w:r>
      <w:r w:rsidR="00BA27D8" w:rsidRPr="004F3EF0">
        <w:t xml:space="preserve"> and the ESC</w:t>
      </w:r>
      <w:r w:rsidR="005D5526" w:rsidRPr="004F3EF0">
        <w:t xml:space="preserve"> regarding the </w:t>
      </w:r>
      <w:r w:rsidR="008C38FE" w:rsidRPr="004F3EF0">
        <w:t>restrictions proposed in the resubmission</w:t>
      </w:r>
      <w:r w:rsidR="00C33D76" w:rsidRPr="004F3EF0">
        <w:t xml:space="preserve">. The </w:t>
      </w:r>
      <w:r w:rsidR="00911005" w:rsidRPr="004F3EF0">
        <w:t xml:space="preserve">restriction above includes revisions as proposed in the </w:t>
      </w:r>
      <w:r w:rsidR="00CA7E2C" w:rsidRPr="004F3EF0">
        <w:t>pre-PBAC to address some of these issues</w:t>
      </w:r>
      <w:r w:rsidRPr="004F3EF0">
        <w:t>:</w:t>
      </w:r>
      <w:bookmarkEnd w:id="19"/>
    </w:p>
    <w:p w14:paraId="10871A35" w14:textId="299AE7DB" w:rsidR="00C77D0D" w:rsidRPr="00EB1825" w:rsidRDefault="00C77D0D" w:rsidP="00580C2F">
      <w:pPr>
        <w:pStyle w:val="ListParagraph"/>
        <w:ind w:left="1021" w:hanging="284"/>
      </w:pPr>
      <w:r w:rsidRPr="00EB1825">
        <w:t xml:space="preserve">The requirement for patients to have moderate to severe VMS was not defined. The PBAC previously considered it would be appropriate to define moderate to severe VMS, consistent with the definitions in guidelines (paragraph 7.5, </w:t>
      </w:r>
      <w:proofErr w:type="spellStart"/>
      <w:r w:rsidRPr="00EB1825">
        <w:t>fezolinetant</w:t>
      </w:r>
      <w:proofErr w:type="spellEnd"/>
      <w:r w:rsidRPr="00EB1825">
        <w:t xml:space="preserve"> </w:t>
      </w:r>
      <w:r w:rsidR="00F65CAF" w:rsidRPr="00EB1825">
        <w:t>PSD</w:t>
      </w:r>
      <w:r w:rsidRPr="00EB1825">
        <w:t xml:space="preserve"> March 2025 PBAC meeting). The US Food and Drug Administration (FDA)</w:t>
      </w:r>
      <w:r w:rsidR="00054615" w:rsidRPr="00EB1825">
        <w:rPr>
          <w:rStyle w:val="FootnoteReference"/>
        </w:rPr>
        <w:footnoteReference w:id="3"/>
      </w:r>
      <w:r w:rsidRPr="00EB1825">
        <w:t xml:space="preserve"> defined moderate VMS as </w:t>
      </w:r>
      <w:r w:rsidR="009D2E19" w:rsidRPr="00EB1825">
        <w:t xml:space="preserve">a </w:t>
      </w:r>
      <w:r w:rsidRPr="00EB1825">
        <w:t xml:space="preserve">sensation of heat with sweating, able to continue activity and severe VMS as </w:t>
      </w:r>
      <w:r w:rsidR="009D2E19" w:rsidRPr="00EB1825">
        <w:t xml:space="preserve">a </w:t>
      </w:r>
      <w:r w:rsidRPr="00EB1825">
        <w:t>sensation of heat with sweating, causing cessation of activity.</w:t>
      </w:r>
      <w:r w:rsidR="00C07542" w:rsidRPr="00EB1825">
        <w:t xml:space="preserve"> </w:t>
      </w:r>
      <w:r w:rsidR="00023C00">
        <w:t xml:space="preserve">This was also the definition used in the </w:t>
      </w:r>
      <w:r w:rsidR="00A63144">
        <w:t xml:space="preserve">clinical trials. </w:t>
      </w:r>
      <w:r w:rsidR="00C447F1" w:rsidRPr="00EB1825">
        <w:t xml:space="preserve">The ESC noted that it is unclear whether patients with mild symptoms are likely to seek treatment, though increasing awareness of menopause and </w:t>
      </w:r>
      <w:proofErr w:type="gramStart"/>
      <w:r w:rsidR="00C447F1" w:rsidRPr="00EB1825">
        <w:t>peri-menopause</w:t>
      </w:r>
      <w:proofErr w:type="gramEnd"/>
      <w:r w:rsidR="00C447F1" w:rsidRPr="00EB1825">
        <w:t xml:space="preserve"> </w:t>
      </w:r>
      <w:r w:rsidR="00B53F62" w:rsidRPr="00EB1825">
        <w:t xml:space="preserve">may increase the </w:t>
      </w:r>
      <w:r w:rsidR="00F738E6" w:rsidRPr="00EB1825">
        <w:t>number of patients seeking treatment</w:t>
      </w:r>
      <w:r w:rsidR="00C447F1" w:rsidRPr="00EB1825">
        <w:t xml:space="preserve">. </w:t>
      </w:r>
      <w:r w:rsidR="002919B0">
        <w:t xml:space="preserve">The PBAC noted that input from clinicians provided </w:t>
      </w:r>
      <w:r w:rsidR="00485D0A">
        <w:t xml:space="preserve">as a written statement indicated </w:t>
      </w:r>
      <w:r w:rsidR="001706A3">
        <w:t xml:space="preserve">they were </w:t>
      </w:r>
      <w:r w:rsidR="00485D0A">
        <w:t>supportive of inclusion of a definition of moderate-severe VMS</w:t>
      </w:r>
      <w:r w:rsidR="000B5EC9">
        <w:t xml:space="preserve"> in the restrictions</w:t>
      </w:r>
      <w:r w:rsidR="00887742">
        <w:t xml:space="preserve"> and supportive of the FDA definition</w:t>
      </w:r>
      <w:r w:rsidR="00940100">
        <w:t xml:space="preserve">. These comments suggested </w:t>
      </w:r>
      <w:r w:rsidR="000B5EC9">
        <w:t>the restrictions should include pat</w:t>
      </w:r>
      <w:r w:rsidR="00940100">
        <w:t xml:space="preserve">ients experiencing </w:t>
      </w:r>
      <w:r w:rsidR="00940100" w:rsidRPr="00022976">
        <w:t>an average of ≥ 7 moderate-to-severe hot flushes per day</w:t>
      </w:r>
      <w:r w:rsidR="00940100">
        <w:t>,</w:t>
      </w:r>
      <w:r w:rsidR="00940100" w:rsidRPr="00022976">
        <w:t xml:space="preserve"> as an objective </w:t>
      </w:r>
      <w:r w:rsidR="00940100">
        <w:t xml:space="preserve">measure of </w:t>
      </w:r>
      <w:r w:rsidR="00940100" w:rsidRPr="00022976">
        <w:t>disease</w:t>
      </w:r>
      <w:r w:rsidR="00940100">
        <w:t xml:space="preserve"> </w:t>
      </w:r>
      <w:r w:rsidR="00940100" w:rsidRPr="00022976">
        <w:t>severity</w:t>
      </w:r>
      <w:r w:rsidR="00A63144">
        <w:t>, which was consistent with the inclusion criteria in the trials</w:t>
      </w:r>
      <w:r w:rsidR="00940100">
        <w:t xml:space="preserve">. </w:t>
      </w:r>
    </w:p>
    <w:p w14:paraId="2A0525F1" w14:textId="4F0EF36B" w:rsidR="00C77D0D" w:rsidRDefault="00C77D0D" w:rsidP="00580C2F">
      <w:pPr>
        <w:pStyle w:val="ListParagraph"/>
        <w:ind w:left="1021" w:hanging="284"/>
      </w:pPr>
      <w:r w:rsidRPr="00EB1825">
        <w:t xml:space="preserve">The criteria for patients with conditions that contraindicate MHT were not </w:t>
      </w:r>
      <w:r w:rsidR="008E7190">
        <w:t xml:space="preserve">explicitly </w:t>
      </w:r>
      <w:r w:rsidRPr="00EB1825">
        <w:t>defined</w:t>
      </w:r>
      <w:r w:rsidR="008E7190">
        <w:t xml:space="preserve"> as per </w:t>
      </w:r>
      <w:r w:rsidR="008E7190" w:rsidRPr="00EB1825">
        <w:t xml:space="preserve">previous PBAC </w:t>
      </w:r>
      <w:proofErr w:type="gramStart"/>
      <w:r w:rsidR="008E7190" w:rsidRPr="00EB1825">
        <w:t>consideration</w:t>
      </w:r>
      <w:r w:rsidR="008E7190">
        <w:t>,</w:t>
      </w:r>
      <w:r w:rsidR="008E7190" w:rsidRPr="00EB1825">
        <w:t xml:space="preserve"> </w:t>
      </w:r>
      <w:r w:rsidRPr="00EB1825">
        <w:t>and</w:t>
      </w:r>
      <w:proofErr w:type="gramEnd"/>
      <w:r w:rsidRPr="00EB1825">
        <w:t xml:space="preserve"> were instead based on the PI for MHT. </w:t>
      </w:r>
      <w:r w:rsidR="0027559F" w:rsidRPr="00EB1825">
        <w:t xml:space="preserve">The </w:t>
      </w:r>
      <w:proofErr w:type="gramStart"/>
      <w:r w:rsidR="00B61523">
        <w:t>Pre-PBAC</w:t>
      </w:r>
      <w:proofErr w:type="gramEnd"/>
      <w:r w:rsidR="00B61523">
        <w:t xml:space="preserve"> response </w:t>
      </w:r>
      <w:r w:rsidR="001D416D">
        <w:t>accepted t</w:t>
      </w:r>
      <w:r w:rsidR="0027559F" w:rsidRPr="00EB1825">
        <w:t xml:space="preserve">he additional </w:t>
      </w:r>
      <w:r w:rsidR="00D40FAF" w:rsidRPr="00EB1825">
        <w:t xml:space="preserve">prescribing instruction proposed </w:t>
      </w:r>
      <w:r w:rsidR="001D416D">
        <w:t>by</w:t>
      </w:r>
      <w:r w:rsidR="001D416D" w:rsidRPr="00EB1825">
        <w:t xml:space="preserve"> </w:t>
      </w:r>
      <w:r w:rsidR="00D40FAF" w:rsidRPr="00EB1825">
        <w:t>the Secretariat</w:t>
      </w:r>
      <w:r w:rsidR="0093786F">
        <w:t>, with the addition of an additional point (</w:t>
      </w:r>
      <w:r w:rsidR="000B5AF8">
        <w:t xml:space="preserve">vii) regarding </w:t>
      </w:r>
      <w:r w:rsidR="0014622E">
        <w:t>risk of breast cancer:</w:t>
      </w:r>
    </w:p>
    <w:p w14:paraId="086A836A" w14:textId="393AF2E4" w:rsidR="0093786F" w:rsidRPr="008C15DA" w:rsidRDefault="0014622E" w:rsidP="0025293D">
      <w:pPr>
        <w:ind w:left="737"/>
      </w:pPr>
      <w:r w:rsidRPr="008C15DA">
        <w:t>“</w:t>
      </w:r>
      <w:r w:rsidR="0093786F" w:rsidRPr="008C15DA">
        <w:t xml:space="preserve">A contraindication to systemic menopausal hormone therapy (MHT) is defined as at least one of the following: </w:t>
      </w:r>
    </w:p>
    <w:p w14:paraId="79403812" w14:textId="77777777" w:rsidR="0093786F" w:rsidRPr="008C15DA" w:rsidRDefault="0093786F" w:rsidP="00CE7131">
      <w:pPr>
        <w:pStyle w:val="ListParagraph"/>
        <w:numPr>
          <w:ilvl w:val="0"/>
          <w:numId w:val="45"/>
        </w:numPr>
        <w:spacing w:after="0"/>
        <w:ind w:left="1434" w:hanging="357"/>
      </w:pPr>
      <w:r w:rsidRPr="008C15DA">
        <w:t>age 60 years or older, (unless already on MHT and reassessed)</w:t>
      </w:r>
    </w:p>
    <w:p w14:paraId="2FB3FE14" w14:textId="77777777" w:rsidR="0093786F" w:rsidRPr="008C15DA" w:rsidRDefault="0093786F" w:rsidP="00CE7131">
      <w:pPr>
        <w:pStyle w:val="ListParagraph"/>
        <w:numPr>
          <w:ilvl w:val="0"/>
          <w:numId w:val="45"/>
        </w:numPr>
        <w:spacing w:after="0"/>
        <w:ind w:left="1434" w:hanging="357"/>
      </w:pPr>
      <w:r w:rsidRPr="008C15DA">
        <w:t xml:space="preserve">previous venous thromboembolism, </w:t>
      </w:r>
    </w:p>
    <w:p w14:paraId="272722B4" w14:textId="77777777" w:rsidR="0093786F" w:rsidRPr="008C15DA" w:rsidRDefault="0093786F" w:rsidP="00CE7131">
      <w:pPr>
        <w:pStyle w:val="ListParagraph"/>
        <w:numPr>
          <w:ilvl w:val="0"/>
          <w:numId w:val="45"/>
        </w:numPr>
        <w:spacing w:after="0"/>
        <w:ind w:left="1434" w:hanging="357"/>
      </w:pPr>
      <w:r w:rsidRPr="008C15DA">
        <w:t xml:space="preserve">previous transient ischaemic attack, stroke or acute myocardial infarction, </w:t>
      </w:r>
    </w:p>
    <w:p w14:paraId="236B1A46" w14:textId="77777777" w:rsidR="0093786F" w:rsidRPr="008C15DA" w:rsidRDefault="0093786F" w:rsidP="00CE7131">
      <w:pPr>
        <w:pStyle w:val="ListParagraph"/>
        <w:numPr>
          <w:ilvl w:val="0"/>
          <w:numId w:val="45"/>
        </w:numPr>
        <w:spacing w:after="0"/>
        <w:ind w:left="1434" w:hanging="357"/>
      </w:pPr>
      <w:r w:rsidRPr="008C15DA">
        <w:t xml:space="preserve">uncontrolled hypertension, </w:t>
      </w:r>
    </w:p>
    <w:p w14:paraId="5EDBC2D3" w14:textId="77777777" w:rsidR="0093786F" w:rsidRPr="008C15DA" w:rsidRDefault="0093786F" w:rsidP="00CE7131">
      <w:pPr>
        <w:pStyle w:val="ListParagraph"/>
        <w:numPr>
          <w:ilvl w:val="0"/>
          <w:numId w:val="45"/>
        </w:numPr>
        <w:spacing w:after="0"/>
        <w:ind w:left="1434" w:hanging="357"/>
      </w:pPr>
      <w:r w:rsidRPr="008C15DA">
        <w:t>estrogen-dependent cancer (e.g., endometrial or breast cancer),</w:t>
      </w:r>
    </w:p>
    <w:p w14:paraId="2FCDF8DD" w14:textId="77777777" w:rsidR="0093786F" w:rsidRPr="008C15DA" w:rsidRDefault="0093786F" w:rsidP="00CE7131">
      <w:pPr>
        <w:pStyle w:val="ListParagraph"/>
        <w:numPr>
          <w:ilvl w:val="0"/>
          <w:numId w:val="45"/>
        </w:numPr>
        <w:spacing w:after="0"/>
        <w:ind w:left="1434" w:hanging="357"/>
      </w:pPr>
      <w:r w:rsidRPr="008C15DA">
        <w:t>undiagnosed vaginal bleeding (may include estrogen-dependent cancer),</w:t>
      </w:r>
    </w:p>
    <w:p w14:paraId="0BD0F275" w14:textId="77777777" w:rsidR="0093786F" w:rsidRPr="008C15DA" w:rsidRDefault="0093786F" w:rsidP="00CE7131">
      <w:pPr>
        <w:pStyle w:val="ListParagraph"/>
        <w:numPr>
          <w:ilvl w:val="0"/>
          <w:numId w:val="45"/>
        </w:numPr>
        <w:spacing w:after="0"/>
        <w:ind w:left="1434" w:hanging="357"/>
      </w:pPr>
      <w:r w:rsidRPr="008C15DA">
        <w:t>high risk of breast cancer after individual risk assessment.</w:t>
      </w:r>
    </w:p>
    <w:p w14:paraId="69F22082" w14:textId="77777777" w:rsidR="0093786F" w:rsidRPr="008C15DA" w:rsidRDefault="0093786F" w:rsidP="00CE7131">
      <w:pPr>
        <w:pStyle w:val="ListParagraph"/>
        <w:numPr>
          <w:ilvl w:val="0"/>
          <w:numId w:val="45"/>
        </w:numPr>
        <w:spacing w:after="0"/>
        <w:ind w:left="1434" w:hanging="357"/>
      </w:pPr>
      <w:r w:rsidRPr="008C15DA">
        <w:t xml:space="preserve">significant liver disease, </w:t>
      </w:r>
    </w:p>
    <w:p w14:paraId="0E1881E1" w14:textId="20F9D800" w:rsidR="0093786F" w:rsidRPr="008C15DA" w:rsidRDefault="0093786F" w:rsidP="00EA029A">
      <w:pPr>
        <w:pStyle w:val="ListParagraph"/>
        <w:numPr>
          <w:ilvl w:val="0"/>
          <w:numId w:val="45"/>
        </w:numPr>
        <w:ind w:left="1434" w:hanging="357"/>
      </w:pPr>
      <w:r w:rsidRPr="008C15DA">
        <w:t>porphyria or systemic lupus erythematosus (may be exacerbated by estrogen)</w:t>
      </w:r>
      <w:r w:rsidR="0014622E" w:rsidRPr="008C15DA">
        <w:t>”</w:t>
      </w:r>
    </w:p>
    <w:p w14:paraId="228D5B5B" w14:textId="4D4AA32D" w:rsidR="00C77D0D" w:rsidRPr="00EB1825" w:rsidRDefault="00C77D0D" w:rsidP="00EA029A">
      <w:pPr>
        <w:pStyle w:val="ListParagraph"/>
        <w:ind w:left="1094" w:hanging="357"/>
      </w:pPr>
      <w:r w:rsidRPr="00EB1825">
        <w:t xml:space="preserve">The revised restriction included a note of caution that </w:t>
      </w:r>
      <w:proofErr w:type="spellStart"/>
      <w:r w:rsidRPr="00EB1825">
        <w:t>fezolinetant</w:t>
      </w:r>
      <w:proofErr w:type="spellEnd"/>
      <w:r w:rsidRPr="00EB1825">
        <w:t xml:space="preserve"> is intended for use in post-menopausal women. However, it does not exclude perimenopausal </w:t>
      </w:r>
      <w:r w:rsidR="00040014">
        <w:t>patients</w:t>
      </w:r>
      <w:r w:rsidR="00040014" w:rsidRPr="00EB1825">
        <w:t xml:space="preserve"> </w:t>
      </w:r>
      <w:r w:rsidRPr="00EB1825">
        <w:t xml:space="preserve">experiencing VMS from accessing treatment through the PBS. Since the key trials included only post-menopausal </w:t>
      </w:r>
      <w:r w:rsidR="00040014">
        <w:t>patients</w:t>
      </w:r>
      <w:r w:rsidR="00040014" w:rsidRPr="00EB1825">
        <w:t xml:space="preserve"> </w:t>
      </w:r>
      <w:r w:rsidRPr="00EB1825">
        <w:t xml:space="preserve">and excluded perimenopausal participants, the long-term safety and efficacy of </w:t>
      </w:r>
      <w:proofErr w:type="spellStart"/>
      <w:r w:rsidRPr="00EB1825">
        <w:t>fezolinetant</w:t>
      </w:r>
      <w:proofErr w:type="spellEnd"/>
      <w:r w:rsidRPr="00EB1825">
        <w:t xml:space="preserve"> in perimenopausal </w:t>
      </w:r>
      <w:r w:rsidR="00C70DCB">
        <w:t>patients</w:t>
      </w:r>
      <w:r w:rsidR="00C70DCB" w:rsidRPr="00EB1825">
        <w:t xml:space="preserve"> </w:t>
      </w:r>
      <w:r w:rsidRPr="00EB1825">
        <w:t>remain uncertain.</w:t>
      </w:r>
    </w:p>
    <w:p w14:paraId="2E8992A1" w14:textId="2BF3058A" w:rsidR="008D4826" w:rsidRPr="00EB1825" w:rsidRDefault="004724EC" w:rsidP="00EA029A">
      <w:pPr>
        <w:pStyle w:val="ListParagraph"/>
        <w:ind w:left="1094" w:hanging="357"/>
      </w:pPr>
      <w:r>
        <w:t xml:space="preserve">The </w:t>
      </w:r>
      <w:r w:rsidR="009B33AA">
        <w:t xml:space="preserve">clinical criteria included a criterion for </w:t>
      </w:r>
      <w:r w:rsidR="007339A8">
        <w:t>“</w:t>
      </w:r>
      <w:r w:rsidR="009B33AA" w:rsidRPr="009B33AA">
        <w:t>underlying medical condition which requires special caution in regard to menopausal hormone therap</w:t>
      </w:r>
      <w:r w:rsidR="007339A8">
        <w:t>y</w:t>
      </w:r>
      <w:proofErr w:type="gramStart"/>
      <w:r w:rsidR="007339A8">
        <w:t xml:space="preserve">”, </w:t>
      </w:r>
      <w:r w:rsidR="00426A6D">
        <w:t>but</w:t>
      </w:r>
      <w:proofErr w:type="gramEnd"/>
      <w:r w:rsidR="007339A8">
        <w:t xml:space="preserve"> </w:t>
      </w:r>
      <w:r w:rsidR="008D4826" w:rsidRPr="00EB1825">
        <w:t xml:space="preserve">did not </w:t>
      </w:r>
      <w:r w:rsidR="006E5295" w:rsidRPr="00EB1825">
        <w:t>include</w:t>
      </w:r>
      <w:r w:rsidR="008D4826" w:rsidRPr="00EB1825">
        <w:t xml:space="preserve"> a clinical assessment for the risk to MHT</w:t>
      </w:r>
      <w:r w:rsidR="00426A6D">
        <w:t xml:space="preserve"> or a trial of </w:t>
      </w:r>
      <w:r w:rsidR="006E1A23">
        <w:t>transdermal MHT, as previously</w:t>
      </w:r>
      <w:r w:rsidR="00426A6D">
        <w:t xml:space="preserve"> </w:t>
      </w:r>
      <w:r w:rsidR="006E1A23">
        <w:t xml:space="preserve">recommended by the PBAC </w:t>
      </w:r>
      <w:r w:rsidR="008D4826" w:rsidRPr="00EB1825">
        <w:t xml:space="preserve">(paragraph 7.4, </w:t>
      </w:r>
      <w:proofErr w:type="spellStart"/>
      <w:r w:rsidR="008D4826" w:rsidRPr="00EB1825">
        <w:t>fezolinetant</w:t>
      </w:r>
      <w:proofErr w:type="spellEnd"/>
      <w:r w:rsidR="008D4826" w:rsidRPr="00EB1825">
        <w:t xml:space="preserve"> PSD March 2025 PBAC meeting).</w:t>
      </w:r>
      <w:r w:rsidR="009D701C" w:rsidRPr="00EB1825">
        <w:t xml:space="preserve"> </w:t>
      </w:r>
      <w:r w:rsidR="00045247" w:rsidRPr="00EB1825">
        <w:t xml:space="preserve">The ESC considered that </w:t>
      </w:r>
      <w:r w:rsidR="00DC0897" w:rsidRPr="00EB1825">
        <w:t xml:space="preserve">the inclusion of </w:t>
      </w:r>
      <w:r w:rsidR="0063171D" w:rsidRPr="00EB1825">
        <w:t xml:space="preserve">patients with “MHT caution” would still capture </w:t>
      </w:r>
      <w:proofErr w:type="gramStart"/>
      <w:r w:rsidR="0063171D" w:rsidRPr="00EB1825">
        <w:t>a large number of</w:t>
      </w:r>
      <w:proofErr w:type="gramEnd"/>
      <w:r w:rsidR="0063171D" w:rsidRPr="00EB1825">
        <w:t xml:space="preserve"> patients</w:t>
      </w:r>
      <w:r w:rsidR="00FB330D" w:rsidRPr="00EB1825">
        <w:t xml:space="preserve"> who </w:t>
      </w:r>
      <w:r w:rsidR="00A70BEB" w:rsidRPr="00EB1825">
        <w:t>could</w:t>
      </w:r>
      <w:r w:rsidR="00FB330D" w:rsidRPr="00EB1825">
        <w:t xml:space="preserve"> be appropriately treated with oral or transdermal MHT</w:t>
      </w:r>
      <w:r w:rsidR="00A70BEB" w:rsidRPr="00EB1825">
        <w:t>. The ESC considered</w:t>
      </w:r>
      <w:r w:rsidR="0063171D" w:rsidRPr="00EB1825">
        <w:t xml:space="preserve"> </w:t>
      </w:r>
      <w:r w:rsidR="005676AF" w:rsidRPr="00EB1825">
        <w:t xml:space="preserve">it </w:t>
      </w:r>
      <w:r w:rsidR="00BE175E" w:rsidRPr="00EB1825">
        <w:t>would</w:t>
      </w:r>
      <w:r w:rsidR="005676AF" w:rsidRPr="00EB1825">
        <w:t xml:space="preserve"> be</w:t>
      </w:r>
      <w:r w:rsidR="00032851" w:rsidRPr="00EB1825">
        <w:t xml:space="preserve"> more</w:t>
      </w:r>
      <w:r w:rsidR="005676AF" w:rsidRPr="00EB1825">
        <w:t xml:space="preserve"> appropriate to remove the</w:t>
      </w:r>
      <w:r w:rsidR="00045247" w:rsidRPr="00EB1825">
        <w:t xml:space="preserve"> revised restriction regarding </w:t>
      </w:r>
      <w:r w:rsidR="005676AF" w:rsidRPr="00EB1825">
        <w:t>“MHT caution”</w:t>
      </w:r>
      <w:r w:rsidR="008E1F1C">
        <w:t>, which was agreed in t</w:t>
      </w:r>
      <w:r w:rsidR="00BE7A18">
        <w:t xml:space="preserve">he </w:t>
      </w:r>
      <w:proofErr w:type="gramStart"/>
      <w:r w:rsidR="00BE7A18">
        <w:t>Pre-PBAC</w:t>
      </w:r>
      <w:proofErr w:type="gramEnd"/>
      <w:r w:rsidR="00BE7A18">
        <w:t xml:space="preserve"> response </w:t>
      </w:r>
      <w:r w:rsidR="00A308B9">
        <w:t>.</w:t>
      </w:r>
    </w:p>
    <w:p w14:paraId="23F66C81" w14:textId="12F585C9" w:rsidR="00C77D0D" w:rsidRPr="00C32687" w:rsidRDefault="00C77D0D" w:rsidP="00EA029A">
      <w:pPr>
        <w:pStyle w:val="ListParagraph"/>
        <w:ind w:left="1094" w:hanging="357"/>
      </w:pPr>
      <w:r w:rsidRPr="00C32687">
        <w:t xml:space="preserve">The </w:t>
      </w:r>
      <w:r w:rsidR="00481A66">
        <w:t>resubmission</w:t>
      </w:r>
      <w:r w:rsidR="00481A66" w:rsidRPr="00C32687">
        <w:t xml:space="preserve"> </w:t>
      </w:r>
      <w:r w:rsidRPr="00C32687">
        <w:t xml:space="preserve">restriction did not require patients with caution for MHT, due to risks associated with oral oestrogen, to trial transdermal MHT for at least 3 months before being eligible for </w:t>
      </w:r>
      <w:proofErr w:type="spellStart"/>
      <w:r w:rsidRPr="00C32687">
        <w:t>fezolinetant</w:t>
      </w:r>
      <w:proofErr w:type="spellEnd"/>
      <w:r w:rsidRPr="00C32687">
        <w:t xml:space="preserve"> if their comorbidities have worsened due to MHT.</w:t>
      </w:r>
      <w:r w:rsidR="00B81CFB" w:rsidRPr="00C32687">
        <w:t xml:space="preserve"> The PBAC previously noted that the cautions other than high risk of breast or endometrial cancer are related to oral, rather than transdermal oestrogen (paragraph 7.4, </w:t>
      </w:r>
      <w:proofErr w:type="spellStart"/>
      <w:r w:rsidR="00B81CFB" w:rsidRPr="00C32687">
        <w:t>fezolinetant</w:t>
      </w:r>
      <w:proofErr w:type="spellEnd"/>
      <w:r w:rsidR="00B81CFB" w:rsidRPr="00C32687">
        <w:t xml:space="preserve"> PSD March 2025 PBAC meeting).</w:t>
      </w:r>
      <w:r w:rsidR="00931480" w:rsidRPr="00C32687">
        <w:t xml:space="preserve"> </w:t>
      </w:r>
      <w:r w:rsidR="00A308B9" w:rsidRPr="00C32687">
        <w:t xml:space="preserve">The </w:t>
      </w:r>
      <w:proofErr w:type="gramStart"/>
      <w:r w:rsidR="00A308B9" w:rsidRPr="00C32687">
        <w:t>Pre-PBAC</w:t>
      </w:r>
      <w:proofErr w:type="gramEnd"/>
      <w:r w:rsidR="00A308B9" w:rsidRPr="00C32687">
        <w:t xml:space="preserve"> response included </w:t>
      </w:r>
      <w:r w:rsidR="008E1F1C" w:rsidRPr="00C32687">
        <w:t xml:space="preserve">a new prescribing instruction “For patients with either a contraindication or caution to systemic MHT, transdermal MHT should be considered prior to receiving treatment with this drug”, as proposed by the </w:t>
      </w:r>
      <w:r w:rsidR="00620A59">
        <w:t>S</w:t>
      </w:r>
      <w:r w:rsidR="008E1F1C" w:rsidRPr="00C32687">
        <w:t>ecretariat.</w:t>
      </w:r>
    </w:p>
    <w:p w14:paraId="790BE245" w14:textId="221A6E9B" w:rsidR="00C77D0D" w:rsidRPr="00EB1825" w:rsidRDefault="00C77D0D" w:rsidP="00EA029A">
      <w:pPr>
        <w:pStyle w:val="ListParagraph"/>
        <w:ind w:left="1094" w:hanging="357"/>
      </w:pPr>
      <w:r w:rsidRPr="00EB1825">
        <w:t>The restriction did not specify any assessment or monitoring requirements</w:t>
      </w:r>
      <w:r w:rsidR="00883231">
        <w:t xml:space="preserve">, </w:t>
      </w:r>
      <w:r w:rsidRPr="00EB1825">
        <w:t>argu</w:t>
      </w:r>
      <w:r w:rsidR="00883231">
        <w:t>ing</w:t>
      </w:r>
      <w:r w:rsidRPr="00EB1825">
        <w:t xml:space="preserve"> that monitoring, such as liver function tests (LFTs) and symptom severity assessment post-treatment, would be guided by the</w:t>
      </w:r>
      <w:r w:rsidR="005D585E">
        <w:t xml:space="preserve"> revised</w:t>
      </w:r>
      <w:r w:rsidRPr="00EB1825">
        <w:t xml:space="preserve"> </w:t>
      </w:r>
      <w:proofErr w:type="spellStart"/>
      <w:r w:rsidRPr="00EB1825">
        <w:t>fezolinetant</w:t>
      </w:r>
      <w:proofErr w:type="spellEnd"/>
      <w:r w:rsidRPr="00EB1825">
        <w:t xml:space="preserve"> PI.</w:t>
      </w:r>
      <w:r w:rsidR="007755D6" w:rsidRPr="00EB1825">
        <w:t xml:space="preserve"> </w:t>
      </w:r>
      <w:r w:rsidRPr="00EB1825">
        <w:t xml:space="preserve">However, the PBAC had previously considered that it would be appropriate to add a caution to the restriction regarding hepatotoxicity and recommended LFT monitoring (paragraph 7.5, </w:t>
      </w:r>
      <w:proofErr w:type="spellStart"/>
      <w:r w:rsidRPr="00EB1825">
        <w:t>fezolinetant</w:t>
      </w:r>
      <w:proofErr w:type="spellEnd"/>
      <w:r w:rsidRPr="00EB1825">
        <w:t xml:space="preserve"> </w:t>
      </w:r>
      <w:r w:rsidR="00AA612C" w:rsidRPr="00EB1825">
        <w:t>PSD</w:t>
      </w:r>
      <w:r w:rsidRPr="00EB1825">
        <w:t xml:space="preserve"> March 2025 PBAC meeting).</w:t>
      </w:r>
      <w:r w:rsidR="005B4C42" w:rsidRPr="00EB1825">
        <w:t xml:space="preserve"> The </w:t>
      </w:r>
      <w:proofErr w:type="gramStart"/>
      <w:r w:rsidR="005D585E">
        <w:t>P</w:t>
      </w:r>
      <w:r w:rsidR="00640AD4">
        <w:t>re-PBAC</w:t>
      </w:r>
      <w:proofErr w:type="gramEnd"/>
      <w:r w:rsidR="00640AD4">
        <w:t xml:space="preserve"> response</w:t>
      </w:r>
      <w:r w:rsidR="00F854B4">
        <w:t xml:space="preserve"> </w:t>
      </w:r>
      <w:r w:rsidR="00825C58" w:rsidRPr="00825C58">
        <w:t>support</w:t>
      </w:r>
      <w:r w:rsidR="00825C58">
        <w:t>ed the</w:t>
      </w:r>
      <w:r w:rsidR="00825C58" w:rsidRPr="00825C58">
        <w:t xml:space="preserve"> inclusion of hepatic-monitoring requirements within both the PI and PBS restriction</w:t>
      </w:r>
      <w:r w:rsidR="007C65B2">
        <w:t xml:space="preserve">. The sponsor advised that the TGA PI </w:t>
      </w:r>
      <w:r w:rsidR="003F1F76">
        <w:t xml:space="preserve">had been further revised </w:t>
      </w:r>
      <w:r w:rsidR="00D726A9">
        <w:t xml:space="preserve">with updated monitoring requirements, </w:t>
      </w:r>
      <w:r w:rsidR="004B3A82" w:rsidRPr="004B3A82">
        <w:t>mirror</w:t>
      </w:r>
      <w:r w:rsidR="004B3A82">
        <w:t>ing</w:t>
      </w:r>
      <w:r w:rsidR="004B3A82" w:rsidRPr="004B3A82">
        <w:t xml:space="preserve"> the ESC and Secretariat’s recommended wording</w:t>
      </w:r>
      <w:r w:rsidR="006D1F94">
        <w:t xml:space="preserve">, and added a </w:t>
      </w:r>
      <w:r w:rsidR="00D700D8" w:rsidRPr="00EB1825">
        <w:t xml:space="preserve">caution </w:t>
      </w:r>
      <w:r w:rsidR="006D1F94">
        <w:t xml:space="preserve">to the proposed restriction </w:t>
      </w:r>
      <w:r w:rsidR="00D700D8" w:rsidRPr="00EB1825">
        <w:t xml:space="preserve">with </w:t>
      </w:r>
      <w:r w:rsidR="006D1F94">
        <w:t>gu</w:t>
      </w:r>
      <w:r w:rsidR="00D700D8" w:rsidRPr="00EB1825">
        <w:t>idance on liver function testing</w:t>
      </w:r>
      <w:r w:rsidR="002C7B7B">
        <w:t xml:space="preserve">, as proposed by the </w:t>
      </w:r>
      <w:r w:rsidR="00D73A27">
        <w:t>S</w:t>
      </w:r>
      <w:r w:rsidR="002C7B7B">
        <w:t>ecretariat</w:t>
      </w:r>
      <w:r w:rsidR="00D700D8" w:rsidRPr="00EB1825">
        <w:t>.</w:t>
      </w:r>
    </w:p>
    <w:p w14:paraId="3E2DFBFE" w14:textId="3DCA9AA4" w:rsidR="00DF5B41" w:rsidRPr="00EB1825" w:rsidRDefault="00DF5B41" w:rsidP="00DF5B41">
      <w:pPr>
        <w:ind w:left="720"/>
        <w:rPr>
          <w:i/>
        </w:rPr>
      </w:pPr>
      <w:r w:rsidRPr="00EB1825">
        <w:rPr>
          <w:i/>
        </w:rPr>
        <w:t>For more detail on PBAC’s view, see section 7 PBAC outcome.</w:t>
      </w:r>
    </w:p>
    <w:p w14:paraId="57F46222" w14:textId="77777777" w:rsidR="00C77D0D" w:rsidRPr="00EB1825" w:rsidDel="00195452" w:rsidRDefault="00C77D0D" w:rsidP="00C77D0D">
      <w:pPr>
        <w:pStyle w:val="2-SectionHeading"/>
        <w:numPr>
          <w:ilvl w:val="0"/>
          <w:numId w:val="1"/>
        </w:numPr>
      </w:pPr>
      <w:bookmarkStart w:id="20" w:name="_Toc202884171"/>
      <w:bookmarkStart w:id="21" w:name="_Toc208999801"/>
      <w:r w:rsidRPr="00EB1825" w:rsidDel="00195452">
        <w:t>Population and disease</w:t>
      </w:r>
      <w:bookmarkEnd w:id="20"/>
      <w:bookmarkEnd w:id="21"/>
    </w:p>
    <w:p w14:paraId="55658FF0" w14:textId="4C21B6F3" w:rsidR="00C77D0D" w:rsidRPr="00C42909" w:rsidRDefault="00C77D0D" w:rsidP="00766C07">
      <w:pPr>
        <w:pStyle w:val="3-BodyText"/>
      </w:pPr>
      <w:r w:rsidRPr="00C42909">
        <w:t xml:space="preserve">Menopause occurs when ovulatory and related functions end. This natural process is associated with a decrease in reproductive hormone (e.g. ovarian </w:t>
      </w:r>
      <w:r w:rsidR="00FC0059" w:rsidRPr="00C42909">
        <w:t>o</w:t>
      </w:r>
      <w:r w:rsidRPr="00C42909">
        <w:t>estrogen) production. Menopause onset is traditionally defined as the time of the last menstrual period. In Australia, the median age at which menopause occurs is 51 years, with a normal range of 45 to 55 years. The hormonal changes at menopause have systemic effects, increasing the risk of cardiovascular disease (CVD), diabetes mellitus, cancers associated with central adiposity, reduced neurological health, bone loss and fragility fracture. VMS (hot flushes and night sweats) are the most common symptoms of menopause. Other symptoms may include urogenital symptoms (e.g. vaginal dryness, dyspareunia, dysuria, nocturia) or sleep disturbance, fatigue, musculoskeletal symptoms or psychological symptoms (e.g. memory/concentration problems, anxiety) (Davis 2023b</w:t>
      </w:r>
      <w:r w:rsidRPr="00110374">
        <w:rPr>
          <w:vertAlign w:val="superscript"/>
        </w:rPr>
        <w:footnoteReference w:id="4"/>
      </w:r>
      <w:r w:rsidRPr="00C42909">
        <w:t>).</w:t>
      </w:r>
    </w:p>
    <w:p w14:paraId="344FBF02" w14:textId="77777777" w:rsidR="00C77D0D" w:rsidRPr="00C42909" w:rsidRDefault="00C77D0D" w:rsidP="00766C07">
      <w:pPr>
        <w:pStyle w:val="3-BodyText"/>
      </w:pPr>
      <w:r w:rsidRPr="00C42909">
        <w:t xml:space="preserve">VMS arise from hypothalamic thermoregulatory dysfunction triggered by declining oestrogen levels. This dysfunction is driven by increased activity of </w:t>
      </w:r>
      <w:proofErr w:type="spellStart"/>
      <w:r w:rsidRPr="00C42909">
        <w:t>KNDy</w:t>
      </w:r>
      <w:proofErr w:type="spellEnd"/>
      <w:r w:rsidRPr="00C42909">
        <w:t xml:space="preserve"> neurons (kisspeptin–neurokinin B–dynorphin), which disrupts temperature regulation through overstimulation of the thermoregulatory centre. VMS typically begin during the perimenopausal years, peak during early post-menopause, and may persist for a decade or more. The median duration of moderate to severe VMS is between 4 and 7 years, with some women continuing to experience symptoms well into their 70s. Moderate to severe VMS are associated with impaired sleep, concentration, psychological and general wellbeing and overall quality of life.</w:t>
      </w:r>
    </w:p>
    <w:p w14:paraId="725F7AE0" w14:textId="235EF093" w:rsidR="00C77D0D" w:rsidRPr="00C42909" w:rsidRDefault="00C77D0D" w:rsidP="00766C07">
      <w:pPr>
        <w:pStyle w:val="3-BodyText"/>
      </w:pPr>
      <w:proofErr w:type="spellStart"/>
      <w:r w:rsidRPr="00C42909">
        <w:t>Fezolinetant</w:t>
      </w:r>
      <w:proofErr w:type="spellEnd"/>
      <w:r w:rsidRPr="00C42909">
        <w:t xml:space="preserve"> is a non-hormonal selective neurokinin 3 (NK3) receptor antagonist that blocks neurokinin B (NKB) binding on </w:t>
      </w:r>
      <w:proofErr w:type="spellStart"/>
      <w:r w:rsidRPr="00C42909">
        <w:t>KNDy</w:t>
      </w:r>
      <w:proofErr w:type="spellEnd"/>
      <w:r w:rsidRPr="00C42909">
        <w:t xml:space="preserve"> neurons to modulate neuronal activity in the thermoregulatory centre. The recommended dose of </w:t>
      </w:r>
      <w:proofErr w:type="spellStart"/>
      <w:r w:rsidRPr="00C42909">
        <w:t>fezolinetant</w:t>
      </w:r>
      <w:proofErr w:type="spellEnd"/>
      <w:r w:rsidRPr="00C42909">
        <w:t xml:space="preserve"> is 45 mg once daily at about the same time each day. </w:t>
      </w:r>
    </w:p>
    <w:p w14:paraId="53F9EAB2" w14:textId="692B4B12" w:rsidR="00C77D0D" w:rsidRPr="00C42909" w:rsidRDefault="002C20C5" w:rsidP="00766C07">
      <w:pPr>
        <w:pStyle w:val="3-BodyText"/>
      </w:pPr>
      <w:r w:rsidRPr="00C42909">
        <w:t xml:space="preserve">The PBAC previously noted that MHT, which is less costly than </w:t>
      </w:r>
      <w:proofErr w:type="spellStart"/>
      <w:r w:rsidRPr="00C42909">
        <w:t>fezolinetant</w:t>
      </w:r>
      <w:proofErr w:type="spellEnd"/>
      <w:r w:rsidRPr="00C42909">
        <w:t xml:space="preserve">, is the most effective and current mainstay treatment for VMS and other symptoms associated with menopause. </w:t>
      </w:r>
      <w:r w:rsidR="00C77D0D" w:rsidRPr="00C42909">
        <w:t>Guidelines consistently recommend MHT as the most effective treatment for moderate to severe VMS, menopause-associated mood disturbance, urogenital symptoms and prevention of bone loss and fracture (</w:t>
      </w:r>
      <w:proofErr w:type="spellStart"/>
      <w:r w:rsidR="00C77D0D" w:rsidRPr="00C42909">
        <w:t>Hamachandra</w:t>
      </w:r>
      <w:proofErr w:type="spellEnd"/>
      <w:r w:rsidR="00C77D0D" w:rsidRPr="00C42909">
        <w:t xml:space="preserve"> 2024</w:t>
      </w:r>
      <w:r w:rsidR="00C77D0D" w:rsidRPr="00C42909">
        <w:rPr>
          <w:rStyle w:val="FootnoteReference"/>
          <w:vertAlign w:val="baseline"/>
        </w:rPr>
        <w:footnoteReference w:id="5"/>
      </w:r>
      <w:r w:rsidR="00C77D0D" w:rsidRPr="00C42909">
        <w:t>). Factors affecting choice of MHT include menopausal stage (perimenopause or post-menopause), contraindications, risks versus benefits of treatment, indication (e.g. hysterectomy) or preferences for specific formulations (Therapeutic guidelines Australia 2023</w:t>
      </w:r>
      <w:r w:rsidR="00C77D0D" w:rsidRPr="00110374">
        <w:rPr>
          <w:rStyle w:val="FootnoteReference"/>
        </w:rPr>
        <w:footnoteReference w:id="6"/>
      </w:r>
      <w:r w:rsidR="00C77D0D" w:rsidRPr="00C42909">
        <w:t>, Davis 2023a</w:t>
      </w:r>
      <w:r w:rsidR="00C77D0D" w:rsidRPr="00110374">
        <w:rPr>
          <w:rStyle w:val="FootnoteReference"/>
        </w:rPr>
        <w:footnoteReference w:id="7"/>
      </w:r>
      <w:r w:rsidR="00C77D0D" w:rsidRPr="00C42909">
        <w:t xml:space="preserve">). </w:t>
      </w:r>
    </w:p>
    <w:p w14:paraId="35AD8A4D" w14:textId="6F58EBC1" w:rsidR="00C77D0D" w:rsidRPr="00C42909" w:rsidRDefault="00C77D0D" w:rsidP="00766C07">
      <w:pPr>
        <w:pStyle w:val="3-BodyText"/>
      </w:pPr>
      <w:r w:rsidRPr="00C42909">
        <w:t xml:space="preserve">The PBAC also </w:t>
      </w:r>
      <w:r w:rsidR="002C20C5" w:rsidRPr="00C42909">
        <w:t xml:space="preserve">previously </w:t>
      </w:r>
      <w:r w:rsidRPr="00C42909">
        <w:t xml:space="preserve">noted </w:t>
      </w:r>
      <w:proofErr w:type="gramStart"/>
      <w:r w:rsidRPr="00C42909">
        <w:t>a number of</w:t>
      </w:r>
      <w:proofErr w:type="gramEnd"/>
      <w:r w:rsidRPr="00C42909">
        <w:t xml:space="preserve"> viable (off-label) non-hormonal treatments that reduce menopause-related VMS, are less costly than </w:t>
      </w:r>
      <w:proofErr w:type="spellStart"/>
      <w:r w:rsidRPr="00C42909">
        <w:t>fezolinetant</w:t>
      </w:r>
      <w:proofErr w:type="spellEnd"/>
      <w:r w:rsidRPr="00C42909">
        <w:t xml:space="preserve">, and are in established use for women with contraindications to </w:t>
      </w:r>
      <w:r w:rsidR="00FC0059" w:rsidRPr="00C42909">
        <w:t>o</w:t>
      </w:r>
      <w:r w:rsidRPr="00C42909">
        <w:t xml:space="preserve">estrogen based MHT are available (paragraph 7.1, </w:t>
      </w:r>
      <w:proofErr w:type="spellStart"/>
      <w:r w:rsidRPr="00C42909">
        <w:t>fezolinetant</w:t>
      </w:r>
      <w:proofErr w:type="spellEnd"/>
      <w:r w:rsidRPr="00C42909">
        <w:t xml:space="preserve"> </w:t>
      </w:r>
      <w:r w:rsidR="00BE76C8" w:rsidRPr="00C42909">
        <w:t>PSD</w:t>
      </w:r>
      <w:r w:rsidRPr="00C42909">
        <w:t xml:space="preserve"> March 2025 PBAC meeting).</w:t>
      </w:r>
    </w:p>
    <w:p w14:paraId="5D9F8B6E" w14:textId="64B8F08A" w:rsidR="00C77D0D" w:rsidRPr="00C42909" w:rsidRDefault="00C77D0D" w:rsidP="00766C07">
      <w:pPr>
        <w:pStyle w:val="3-BodyText"/>
      </w:pPr>
      <w:r w:rsidRPr="00C42909">
        <w:t>The proposed clinical management algorithm was changed from the March 2025 submission</w:t>
      </w:r>
      <w:r w:rsidR="00E33A0B" w:rsidRPr="00C42909">
        <w:t xml:space="preserve"> so that </w:t>
      </w:r>
      <w:r w:rsidRPr="00C42909">
        <w:t xml:space="preserve">the requested PBS restriction for MHT unsuitable </w:t>
      </w:r>
      <w:r w:rsidR="00E33A0B" w:rsidRPr="00C42909">
        <w:t>no longer included “</w:t>
      </w:r>
      <w:r w:rsidRPr="00C42909">
        <w:t>MHT averse</w:t>
      </w:r>
      <w:r w:rsidR="00E33A0B" w:rsidRPr="00C42909">
        <w:t>”</w:t>
      </w:r>
      <w:r w:rsidRPr="00C42909">
        <w:t xml:space="preserve"> patients. The resubmission stated that MHT remains the first-line treatment for moderate to severe VMS in women suitable for </w:t>
      </w:r>
      <w:proofErr w:type="gramStart"/>
      <w:r w:rsidRPr="00C42909">
        <w:t>MHT</w:t>
      </w:r>
      <w:r w:rsidR="00FC797B" w:rsidRPr="00C42909">
        <w:t>, but</w:t>
      </w:r>
      <w:proofErr w:type="gramEnd"/>
      <w:r w:rsidR="00FC797B" w:rsidRPr="00C42909">
        <w:t xml:space="preserve"> </w:t>
      </w:r>
      <w:r w:rsidRPr="00C42909">
        <w:t xml:space="preserve">positioned </w:t>
      </w:r>
      <w:proofErr w:type="spellStart"/>
      <w:r w:rsidRPr="00C42909">
        <w:t>fezolinetant</w:t>
      </w:r>
      <w:proofErr w:type="spellEnd"/>
      <w:r w:rsidRPr="00C42909">
        <w:t xml:space="preserve"> as an alternative first-line treatment to MHT, determined by patients’ unsuitability for MHT. The resubmission noted that the efficacy and safety of </w:t>
      </w:r>
      <w:proofErr w:type="spellStart"/>
      <w:r w:rsidRPr="00C42909">
        <w:t>fezolinetant</w:t>
      </w:r>
      <w:proofErr w:type="spellEnd"/>
      <w:r w:rsidRPr="00C42909">
        <w:t xml:space="preserve"> in the following patient populations is unknown: aged &gt;65 years; current or previous breast cancer or other </w:t>
      </w:r>
      <w:r w:rsidR="00FC0059" w:rsidRPr="00C42909">
        <w:t>o</w:t>
      </w:r>
      <w:r w:rsidRPr="00C42909">
        <w:t xml:space="preserve">estrogen-dependent tumours; or pharmacologically induced menopause. </w:t>
      </w:r>
    </w:p>
    <w:p w14:paraId="4CB4E489" w14:textId="5B8D543D" w:rsidR="00C77D0D" w:rsidRPr="00C42909" w:rsidRDefault="00C77D0D" w:rsidP="00766C07">
      <w:pPr>
        <w:pStyle w:val="3-BodyText"/>
      </w:pPr>
      <w:r w:rsidRPr="00C42909">
        <w:t xml:space="preserve">The proposed clinical management algorithm was inclusive of </w:t>
      </w:r>
      <w:r w:rsidR="00C42909" w:rsidRPr="00C42909">
        <w:t xml:space="preserve">patients </w:t>
      </w:r>
      <w:r w:rsidRPr="00C42909">
        <w:t>in all menopausal stages (peri-</w:t>
      </w:r>
      <w:r w:rsidR="00C26C28" w:rsidRPr="00C42909">
        <w:t xml:space="preserve"> and</w:t>
      </w:r>
      <w:r w:rsidRPr="00C42909">
        <w:t xml:space="preserve"> post-menopausal) who experienced moderate to severe menopausal symptoms. At the March 2025 PBAC meeting, it was noted that guidelines state that MHT is safe to use for most peri- and post-menopausal individuals (younger than 60yrs /10yrs after onset of menopause), whereas the long-term safety and efficacy of </w:t>
      </w:r>
      <w:proofErr w:type="spellStart"/>
      <w:r w:rsidRPr="00C42909">
        <w:t>fezolinetant</w:t>
      </w:r>
      <w:proofErr w:type="spellEnd"/>
      <w:r w:rsidRPr="00C42909">
        <w:t xml:space="preserve"> for perimenopausal </w:t>
      </w:r>
      <w:r w:rsidR="00686BA0">
        <w:t>patients</w:t>
      </w:r>
      <w:r w:rsidR="00C42909" w:rsidRPr="00C42909">
        <w:t xml:space="preserve"> </w:t>
      </w:r>
      <w:r w:rsidRPr="00C42909">
        <w:t xml:space="preserve">has not been well-established (paragraph 5.6, </w:t>
      </w:r>
      <w:proofErr w:type="spellStart"/>
      <w:r w:rsidRPr="00C42909">
        <w:t>fezolinetant</w:t>
      </w:r>
      <w:proofErr w:type="spellEnd"/>
      <w:r w:rsidRPr="00C42909">
        <w:t xml:space="preserve"> </w:t>
      </w:r>
      <w:r w:rsidR="00F65CAF" w:rsidRPr="00C42909">
        <w:t>PSD</w:t>
      </w:r>
      <w:r w:rsidRPr="00C42909">
        <w:t xml:space="preserve"> March 2025 PBAC meeting). </w:t>
      </w:r>
      <w:r w:rsidR="00FE24B2" w:rsidRPr="00C42909">
        <w:t>W</w:t>
      </w:r>
      <w:r w:rsidRPr="00C42909">
        <w:t xml:space="preserve">hile the restriction would not exclude perimenopausal </w:t>
      </w:r>
      <w:r w:rsidR="00C42909" w:rsidRPr="00C42909">
        <w:t xml:space="preserve">patients </w:t>
      </w:r>
      <w:r w:rsidRPr="00C42909">
        <w:t xml:space="preserve">who experience VMS from accessing treatment on the PBS, only </w:t>
      </w:r>
      <w:r w:rsidR="00C42909" w:rsidRPr="00C42909">
        <w:t xml:space="preserve">those who were </w:t>
      </w:r>
      <w:r w:rsidRPr="00C42909">
        <w:t xml:space="preserve">post-menopausal were enrolled in the key trials. The resubmission also assumed that only post-menopausal </w:t>
      </w:r>
      <w:r w:rsidR="00C42909" w:rsidRPr="00C42909">
        <w:t xml:space="preserve">patients </w:t>
      </w:r>
      <w:r w:rsidRPr="00C42909">
        <w:t xml:space="preserve">would be treated with </w:t>
      </w:r>
      <w:proofErr w:type="spellStart"/>
      <w:r w:rsidRPr="00C42909">
        <w:t>fezolinetant</w:t>
      </w:r>
      <w:proofErr w:type="spellEnd"/>
      <w:r w:rsidRPr="00C42909">
        <w:t xml:space="preserve"> in the modelled economic evaluation and the financial estimates.</w:t>
      </w:r>
    </w:p>
    <w:p w14:paraId="1C34A26E" w14:textId="39AFEE74" w:rsidR="00DF5B41" w:rsidRPr="00EB1825" w:rsidRDefault="00DF5B41" w:rsidP="00766C07">
      <w:pPr>
        <w:pStyle w:val="3-BodyText"/>
        <w:numPr>
          <w:ilvl w:val="0"/>
          <w:numId w:val="0"/>
        </w:numPr>
        <w:ind w:left="720" w:hanging="720"/>
        <w:rPr>
          <w:i/>
          <w:iCs/>
        </w:rPr>
      </w:pPr>
      <w:r w:rsidRPr="00EB1825">
        <w:rPr>
          <w:i/>
          <w:iCs/>
        </w:rPr>
        <w:t>For more detail on PBAC’s view, see section 7 PBAC outcome.</w:t>
      </w:r>
    </w:p>
    <w:p w14:paraId="52B032FC" w14:textId="77777777" w:rsidR="00C77D0D" w:rsidRPr="00EB1825" w:rsidRDefault="00C77D0D" w:rsidP="00C77D0D">
      <w:pPr>
        <w:pStyle w:val="2-SectionHeading"/>
        <w:numPr>
          <w:ilvl w:val="0"/>
          <w:numId w:val="1"/>
        </w:numPr>
      </w:pPr>
      <w:bookmarkStart w:id="22" w:name="_Toc202884172"/>
      <w:bookmarkStart w:id="23" w:name="_Toc208999802"/>
      <w:r w:rsidRPr="00EB1825">
        <w:t>Comparator</w:t>
      </w:r>
      <w:bookmarkEnd w:id="22"/>
      <w:bookmarkEnd w:id="23"/>
    </w:p>
    <w:p w14:paraId="4CA0D7DF" w14:textId="110D95E4" w:rsidR="00C77D0D" w:rsidRPr="004F3EF0" w:rsidRDefault="00F0524D" w:rsidP="00766C07">
      <w:pPr>
        <w:pStyle w:val="3-BodyText"/>
      </w:pPr>
      <w:r w:rsidRPr="004F3EF0">
        <w:t xml:space="preserve">Previously, the PBAC considered that the nomination of ‘no treatment’ was not appropriate for patients who are contraindicated to MHT or who have discontinued MHT due to adverse effects (AEs), given the availability of several non-hormonal medicines currently used off-label in Australian clinical practice for the treatment of VMS (paragraph 7.6, </w:t>
      </w:r>
      <w:proofErr w:type="spellStart"/>
      <w:r w:rsidRPr="004F3EF0">
        <w:t>fezolinetant</w:t>
      </w:r>
      <w:proofErr w:type="spellEnd"/>
      <w:r w:rsidRPr="004F3EF0">
        <w:t xml:space="preserve"> PSD March 2025 PBAC meeting). </w:t>
      </w:r>
      <w:r w:rsidR="00C77D0D" w:rsidRPr="004F3EF0">
        <w:t xml:space="preserve">The resubmission maintained no treatment (represented by placebo in the clinical trials) was the main comparator for </w:t>
      </w:r>
      <w:proofErr w:type="spellStart"/>
      <w:r w:rsidR="00C77D0D" w:rsidRPr="004F3EF0">
        <w:t>fezolinetant</w:t>
      </w:r>
      <w:proofErr w:type="spellEnd"/>
      <w:r w:rsidR="0042233F" w:rsidRPr="004F3EF0">
        <w:t xml:space="preserve">, </w:t>
      </w:r>
      <w:r w:rsidR="00C77D0D" w:rsidRPr="004F3EF0">
        <w:t>argu</w:t>
      </w:r>
      <w:r w:rsidR="0042233F" w:rsidRPr="004F3EF0">
        <w:t>ing</w:t>
      </w:r>
      <w:r w:rsidR="00C77D0D" w:rsidRPr="004F3EF0">
        <w:t xml:space="preserve"> that:</w:t>
      </w:r>
    </w:p>
    <w:p w14:paraId="5186562F" w14:textId="3571D4CA" w:rsidR="00C77D0D" w:rsidRPr="00EB1825" w:rsidRDefault="00C77D0D" w:rsidP="00CE7131">
      <w:pPr>
        <w:pStyle w:val="ListParagraph"/>
      </w:pPr>
      <w:r w:rsidRPr="00EB1825">
        <w:t>Real-world prescribing data from Australia, along with a clinical advisory board consensus statement</w:t>
      </w:r>
      <w:r w:rsidR="009377C3" w:rsidRPr="00EB1825">
        <w:rPr>
          <w:rStyle w:val="FootnoteReference"/>
        </w:rPr>
        <w:footnoteReference w:id="8"/>
      </w:r>
      <w:r w:rsidRPr="00EB1825">
        <w:t xml:space="preserve">, indicate that non-hormonal treatment options, e.g., SSRI/SNRI, </w:t>
      </w:r>
      <w:proofErr w:type="spellStart"/>
      <w:r w:rsidRPr="00EB1825">
        <w:t>gabapentinoid</w:t>
      </w:r>
      <w:proofErr w:type="spellEnd"/>
      <w:r w:rsidRPr="00EB1825">
        <w:t>, oxybutynin and clonidine are</w:t>
      </w:r>
      <w:r w:rsidR="00EC08BE" w:rsidRPr="00EB1825">
        <w:t xml:space="preserve"> </w:t>
      </w:r>
      <w:r w:rsidRPr="00EB1825">
        <w:t>infrequently prescribed</w:t>
      </w:r>
      <w:r w:rsidR="0071296F" w:rsidRPr="00EB1825">
        <w:t xml:space="preserve"> for VMS</w:t>
      </w:r>
      <w:r w:rsidRPr="00EB1825">
        <w:t xml:space="preserve">, have tolerability concerns, and </w:t>
      </w:r>
      <w:proofErr w:type="gramStart"/>
      <w:r w:rsidRPr="00EB1825">
        <w:t>with the exception of</w:t>
      </w:r>
      <w:proofErr w:type="gramEnd"/>
      <w:r w:rsidRPr="00EB1825">
        <w:t xml:space="preserve"> clonidine are not PBS-listed or TGA-approved for this indication.</w:t>
      </w:r>
      <w:r w:rsidR="00204F81" w:rsidRPr="00EB1825">
        <w:t xml:space="preserve"> </w:t>
      </w:r>
    </w:p>
    <w:p w14:paraId="29A5308D" w14:textId="77777777" w:rsidR="00C77D0D" w:rsidRPr="00EB1825" w:rsidRDefault="00C77D0D" w:rsidP="00CE7131">
      <w:pPr>
        <w:pStyle w:val="ListParagraph"/>
      </w:pPr>
      <w:r w:rsidRPr="00EB1825">
        <w:t xml:space="preserve">Placebo (no active treatment) was the control arm in the </w:t>
      </w:r>
      <w:proofErr w:type="spellStart"/>
      <w:r w:rsidRPr="00EB1825">
        <w:t>fezolinetant</w:t>
      </w:r>
      <w:proofErr w:type="spellEnd"/>
      <w:r w:rsidRPr="00EB1825">
        <w:t xml:space="preserve"> trials (DAYLIGHT, SKYLIGHT 1 and SKYLIGHT 2).</w:t>
      </w:r>
    </w:p>
    <w:p w14:paraId="7AB70049" w14:textId="179809F2" w:rsidR="001A2DD0" w:rsidRPr="004F3EF0" w:rsidRDefault="001A2DD0" w:rsidP="00766C07">
      <w:pPr>
        <w:pStyle w:val="3-BodyText"/>
      </w:pPr>
      <w:r w:rsidRPr="004F3EF0">
        <w:t xml:space="preserve">The ESC noted that the consensus statement advised that non-MHT pharmacologic therapies are infrequently prescribed in general practice, and when offered, are often declined by patients due to concerns about tolerability and off-label use. </w:t>
      </w:r>
      <w:r w:rsidR="00E93868" w:rsidRPr="004F3EF0">
        <w:t xml:space="preserve">The consensus statement advised that non-MHT pharmacologic therapies </w:t>
      </w:r>
      <w:r w:rsidRPr="004F3EF0">
        <w:t xml:space="preserve">do not represent routine standard care for </w:t>
      </w:r>
      <w:r w:rsidR="0054128A">
        <w:t>patients</w:t>
      </w:r>
      <w:r w:rsidR="0054128A" w:rsidRPr="004F3EF0">
        <w:t xml:space="preserve"> </w:t>
      </w:r>
      <w:r w:rsidRPr="004F3EF0">
        <w:t xml:space="preserve">unsuitable for treatment with MHT and </w:t>
      </w:r>
      <w:r w:rsidR="0054128A">
        <w:t>patients</w:t>
      </w:r>
      <w:r w:rsidR="0054128A" w:rsidRPr="004F3EF0">
        <w:t xml:space="preserve"> </w:t>
      </w:r>
      <w:r w:rsidRPr="004F3EF0">
        <w:t xml:space="preserve">who are unsuitable for treatment with MHT are most often left untreated in typical general practice. </w:t>
      </w:r>
    </w:p>
    <w:p w14:paraId="41446525" w14:textId="3117B7D4" w:rsidR="00C77D0D" w:rsidRPr="004F3EF0" w:rsidRDefault="00472934" w:rsidP="00766C07">
      <w:pPr>
        <w:pStyle w:val="3-BodyText"/>
      </w:pPr>
      <w:r w:rsidRPr="004F3EF0">
        <w:t>T</w:t>
      </w:r>
      <w:r w:rsidR="00C77D0D" w:rsidRPr="004F3EF0">
        <w:t xml:space="preserve">he </w:t>
      </w:r>
      <w:r w:rsidRPr="004F3EF0">
        <w:t xml:space="preserve">real-world prescribing data presented in the </w:t>
      </w:r>
      <w:r w:rsidR="00C77D0D" w:rsidRPr="004F3EF0">
        <w:t xml:space="preserve">resubmission </w:t>
      </w:r>
      <w:r w:rsidRPr="004F3EF0">
        <w:t>was</w:t>
      </w:r>
      <w:r w:rsidR="001D6289" w:rsidRPr="004F3EF0">
        <w:t xml:space="preserve"> commissioned </w:t>
      </w:r>
      <w:r w:rsidRPr="004F3EF0">
        <w:t>by the sponsor</w:t>
      </w:r>
      <w:r w:rsidR="005211FD" w:rsidRPr="004F3EF0">
        <w:t xml:space="preserve"> as </w:t>
      </w:r>
      <w:r w:rsidR="004C4E35" w:rsidRPr="004F3EF0">
        <w:t xml:space="preserve">an </w:t>
      </w:r>
      <w:r w:rsidR="001D6289" w:rsidRPr="004F3EF0">
        <w:t>analysis of real-world data us</w:t>
      </w:r>
      <w:r w:rsidR="004C4E35" w:rsidRPr="004F3EF0">
        <w:t>ing</w:t>
      </w:r>
      <w:r w:rsidR="001D6289" w:rsidRPr="004F3EF0">
        <w:t xml:space="preserve"> primary care electronic records to compare the treatments prescribed for two cohorts (before and after launch of </w:t>
      </w:r>
      <w:proofErr w:type="spellStart"/>
      <w:r w:rsidR="001D6289" w:rsidRPr="004F3EF0">
        <w:t>fezolinetant</w:t>
      </w:r>
      <w:proofErr w:type="spellEnd"/>
      <w:r w:rsidR="001D6289" w:rsidRPr="004F3EF0">
        <w:t xml:space="preserve"> in April 2024) of women aged 45-65 years with diagnosis/symptoms related to VMS. The analysis excluded patients with </w:t>
      </w:r>
      <w:r w:rsidR="004C4E35" w:rsidRPr="004F3EF0">
        <w:t xml:space="preserve">a </w:t>
      </w:r>
      <w:r w:rsidR="001D6289" w:rsidRPr="004F3EF0">
        <w:t xml:space="preserve">diagnosis of depression, anxiety, PTSD, epilepsy, hypertension, </w:t>
      </w:r>
      <w:r w:rsidR="004C4E35" w:rsidRPr="004F3EF0">
        <w:t xml:space="preserve">or </w:t>
      </w:r>
      <w:r w:rsidR="001D6289" w:rsidRPr="004F3EF0">
        <w:t xml:space="preserve">urinary incontinence. </w:t>
      </w:r>
      <w:r w:rsidR="006E09A6" w:rsidRPr="004F3EF0">
        <w:t>The real-world prescribing data showed that of the women who initiate treatment for VMS</w:t>
      </w:r>
      <w:r w:rsidR="005D70E0" w:rsidRPr="004F3EF0">
        <w:t xml:space="preserve"> in general practice</w:t>
      </w:r>
      <w:r w:rsidR="006E09A6" w:rsidRPr="004F3EF0">
        <w:t xml:space="preserve">, approximately 21-28% were treated with non-hormonal therapies (including 6% on </w:t>
      </w:r>
      <w:proofErr w:type="spellStart"/>
      <w:r w:rsidR="006E09A6" w:rsidRPr="004F3EF0">
        <w:t>fezolinetant</w:t>
      </w:r>
      <w:proofErr w:type="spellEnd"/>
      <w:r w:rsidR="006E09A6" w:rsidRPr="004F3EF0">
        <w:t xml:space="preserve"> in Cohort 2)</w:t>
      </w:r>
      <w:r w:rsidR="001D6289" w:rsidRPr="004F3EF0">
        <w:t>.</w:t>
      </w:r>
      <w:r w:rsidR="00D12FCC" w:rsidRPr="004F3EF0">
        <w:t xml:space="preserve"> However, the ESC noted that these sources do not provide details on the treatment patterns </w:t>
      </w:r>
      <w:r w:rsidR="00874745" w:rsidRPr="004F3EF0">
        <w:t xml:space="preserve">specifically </w:t>
      </w:r>
      <w:r w:rsidR="00D12FCC" w:rsidRPr="004F3EF0">
        <w:t>for the eligible PBS patient subgroups</w:t>
      </w:r>
      <w:r w:rsidR="009A2B9D" w:rsidRPr="004F3EF0">
        <w:t xml:space="preserve"> and do not capture prescribing in treatment settings other than primary care</w:t>
      </w:r>
      <w:r w:rsidR="00D12FCC" w:rsidRPr="004F3EF0">
        <w:t xml:space="preserve">. </w:t>
      </w:r>
    </w:p>
    <w:p w14:paraId="77E900B3" w14:textId="10342FE6" w:rsidR="00C77D0D" w:rsidRPr="004F3EF0" w:rsidRDefault="002921CD" w:rsidP="00766C07">
      <w:pPr>
        <w:pStyle w:val="3-BodyText"/>
      </w:pPr>
      <w:r w:rsidRPr="004F3EF0">
        <w:t xml:space="preserve">The </w:t>
      </w:r>
      <w:r w:rsidR="006660F8" w:rsidRPr="004F3EF0">
        <w:t>ESC</w:t>
      </w:r>
      <w:r w:rsidRPr="004F3EF0">
        <w:t xml:space="preserve"> considered that nomination of placebo as a comparator </w:t>
      </w:r>
      <w:r w:rsidR="001973A6" w:rsidRPr="004F3EF0">
        <w:t>would be</w:t>
      </w:r>
      <w:r w:rsidRPr="004F3EF0">
        <w:t xml:space="preserve"> reasonable, </w:t>
      </w:r>
      <w:r w:rsidR="001973A6" w:rsidRPr="004F3EF0">
        <w:t>if</w:t>
      </w:r>
      <w:r w:rsidRPr="004F3EF0">
        <w:t xml:space="preserve"> the amended circumstance of use for </w:t>
      </w:r>
      <w:proofErr w:type="spellStart"/>
      <w:r w:rsidRPr="004F3EF0">
        <w:t>fezolinetant</w:t>
      </w:r>
      <w:proofErr w:type="spellEnd"/>
      <w:r w:rsidRPr="004F3EF0">
        <w:t xml:space="preserve"> genuinely positions it as a second-line treatment after MHT </w:t>
      </w:r>
      <w:r w:rsidR="000354BF" w:rsidRPr="004F3EF0">
        <w:t>or in patients with a medical contraindication to MHT</w:t>
      </w:r>
      <w:r w:rsidR="003C68F3" w:rsidRPr="004F3EF0">
        <w:t xml:space="preserve"> (including transdermal MHT)</w:t>
      </w:r>
      <w:r w:rsidR="000354BF" w:rsidRPr="004F3EF0">
        <w:t xml:space="preserve">. </w:t>
      </w:r>
      <w:r w:rsidRPr="004F3EF0">
        <w:t xml:space="preserve"> </w:t>
      </w:r>
      <w:r w:rsidR="00C77D0D" w:rsidRPr="004F3EF0">
        <w:t xml:space="preserve">The PBAC previously considered </w:t>
      </w:r>
      <w:proofErr w:type="spellStart"/>
      <w:r w:rsidR="00C77D0D" w:rsidRPr="004F3EF0">
        <w:t>fezolinetant</w:t>
      </w:r>
      <w:proofErr w:type="spellEnd"/>
      <w:r w:rsidR="00C77D0D" w:rsidRPr="004F3EF0">
        <w:t xml:space="preserve"> to be a second-line treatment following a minimum of 3 months trial of transdermal MHT (paragraph 7.4, </w:t>
      </w:r>
      <w:proofErr w:type="spellStart"/>
      <w:r w:rsidR="00C77D0D" w:rsidRPr="004F3EF0">
        <w:t>fezolinetant</w:t>
      </w:r>
      <w:proofErr w:type="spellEnd"/>
      <w:r w:rsidR="00C77D0D" w:rsidRPr="004F3EF0">
        <w:t xml:space="preserve"> </w:t>
      </w:r>
      <w:r w:rsidR="001554C1" w:rsidRPr="004F3EF0">
        <w:t>PSD</w:t>
      </w:r>
      <w:r w:rsidR="00C77D0D" w:rsidRPr="004F3EF0">
        <w:t xml:space="preserve"> March 2025 PBAC meeting). </w:t>
      </w:r>
      <w:r w:rsidR="00B7383E" w:rsidRPr="004F3EF0">
        <w:t xml:space="preserve">The ESC considered that </w:t>
      </w:r>
      <w:r w:rsidR="000C1EF6" w:rsidRPr="004F3EF0">
        <w:t xml:space="preserve">non-hormonal treatments were also relevant comparators in </w:t>
      </w:r>
      <w:r w:rsidR="0067719C" w:rsidRPr="004F3EF0">
        <w:t>up to a third</w:t>
      </w:r>
      <w:r w:rsidR="00B95F6F" w:rsidRPr="004F3EF0">
        <w:t xml:space="preserve"> of patients</w:t>
      </w:r>
      <w:r w:rsidR="0067719C" w:rsidRPr="004F3EF0">
        <w:t xml:space="preserve"> </w:t>
      </w:r>
      <w:r w:rsidR="0082741D" w:rsidRPr="004F3EF0">
        <w:t>unsuitable for treatment with MHT</w:t>
      </w:r>
      <w:r w:rsidR="00796B44" w:rsidRPr="004F3EF0">
        <w:t xml:space="preserve"> and considered that this issue was not adequately addressed in the resubmission</w:t>
      </w:r>
      <w:r w:rsidR="0082741D" w:rsidRPr="004F3EF0">
        <w:t xml:space="preserve">. </w:t>
      </w:r>
      <w:r w:rsidR="001A719D" w:rsidRPr="004F3EF0">
        <w:t xml:space="preserve">The Pre-PBAC response </w:t>
      </w:r>
      <w:r w:rsidR="001D6EE5" w:rsidRPr="004F3EF0">
        <w:t xml:space="preserve">acknowledged that some clinicians may prescribe off-label non-hormonal medicines (e.g. SSRIs/SNRIs, gabapentin, clonidine, oxybutynin) for women who are unsuitable for MHT, but reiterated that </w:t>
      </w:r>
      <w:r w:rsidR="00F03F4B" w:rsidRPr="004F3EF0">
        <w:t>t</w:t>
      </w:r>
      <w:r w:rsidR="001D6EE5" w:rsidRPr="004F3EF0">
        <w:t xml:space="preserve">hese agents have variable efficacy, </w:t>
      </w:r>
      <w:r w:rsidR="006E0B47" w:rsidRPr="004F3EF0">
        <w:t xml:space="preserve">are frequently limited by tolerability or interaction, and </w:t>
      </w:r>
      <w:r w:rsidR="001D6EE5" w:rsidRPr="004F3EF0">
        <w:t xml:space="preserve">are not TGA-approved for </w:t>
      </w:r>
      <w:r w:rsidR="00F03F4B" w:rsidRPr="004F3EF0">
        <w:t>VMS</w:t>
      </w:r>
      <w:r w:rsidR="001D6EE5" w:rsidRPr="004F3EF0">
        <w:t xml:space="preserve">, </w:t>
      </w:r>
      <w:r w:rsidR="006E0B47" w:rsidRPr="004F3EF0">
        <w:t>meaning that women who are unsuitable for MHT are most often left untreated in typical general practice</w:t>
      </w:r>
      <w:r w:rsidR="001D6EE5" w:rsidRPr="004F3EF0">
        <w:t>.</w:t>
      </w:r>
    </w:p>
    <w:p w14:paraId="09CB130C" w14:textId="11AC11D1" w:rsidR="00C77D0D" w:rsidRPr="004F3EF0" w:rsidRDefault="00C77D0D" w:rsidP="00766C07">
      <w:pPr>
        <w:pStyle w:val="3-BodyText"/>
      </w:pPr>
      <w:r w:rsidRPr="004F3EF0">
        <w:t xml:space="preserve">In addition to existing alternatives, future emerging treatments include non-hormonal </w:t>
      </w:r>
      <w:proofErr w:type="spellStart"/>
      <w:r w:rsidRPr="004F3EF0">
        <w:t>elinzanetant</w:t>
      </w:r>
      <w:proofErr w:type="spellEnd"/>
      <w:r w:rsidRPr="004F3EF0">
        <w:t xml:space="preserve">, a dual neurokinin-1 and neurokinin-3 receptor antagonist. </w:t>
      </w:r>
      <w:proofErr w:type="spellStart"/>
      <w:r w:rsidRPr="004F3EF0">
        <w:t>Elinzanetant</w:t>
      </w:r>
      <w:proofErr w:type="spellEnd"/>
      <w:r w:rsidRPr="004F3EF0">
        <w:t xml:space="preserve"> is currently under review by the TGA</w:t>
      </w:r>
      <w:r w:rsidRPr="00425735">
        <w:rPr>
          <w:rStyle w:val="FootnoteReference"/>
        </w:rPr>
        <w:footnoteReference w:id="9"/>
      </w:r>
      <w:r w:rsidRPr="00425735">
        <w:rPr>
          <w:vertAlign w:val="superscript"/>
        </w:rPr>
        <w:t xml:space="preserve"> </w:t>
      </w:r>
      <w:r w:rsidRPr="004F3EF0">
        <w:t xml:space="preserve">for the treatment of moderate to severe hot flashes and night sweats (i.e. VMS) associated with menopause. </w:t>
      </w:r>
    </w:p>
    <w:p w14:paraId="2E7D81C0" w14:textId="22A2362D" w:rsidR="00DF5B41" w:rsidRPr="00EB1825" w:rsidRDefault="00DF5B41" w:rsidP="00766C07">
      <w:pPr>
        <w:pStyle w:val="3-BodyText"/>
        <w:numPr>
          <w:ilvl w:val="0"/>
          <w:numId w:val="0"/>
        </w:numPr>
        <w:ind w:left="720" w:hanging="720"/>
        <w:rPr>
          <w:i/>
          <w:iCs/>
        </w:rPr>
      </w:pPr>
      <w:r w:rsidRPr="00EB1825">
        <w:rPr>
          <w:i/>
          <w:iCs/>
        </w:rPr>
        <w:t>For more detail on PBAC’s view, see section 7 PBAC outcome.</w:t>
      </w:r>
    </w:p>
    <w:p w14:paraId="4EA6705A" w14:textId="77777777" w:rsidR="00C77D0D" w:rsidRPr="00EB1825" w:rsidRDefault="00C77D0D" w:rsidP="00C77D0D">
      <w:pPr>
        <w:pStyle w:val="2-SectionHeading"/>
        <w:numPr>
          <w:ilvl w:val="0"/>
          <w:numId w:val="1"/>
        </w:numPr>
      </w:pPr>
      <w:bookmarkStart w:id="24" w:name="_Toc202884173"/>
      <w:bookmarkStart w:id="25" w:name="_Toc208999803"/>
      <w:r w:rsidRPr="00EB1825">
        <w:t>Consideration of the evidence</w:t>
      </w:r>
      <w:bookmarkEnd w:id="24"/>
      <w:bookmarkEnd w:id="25"/>
    </w:p>
    <w:p w14:paraId="3C39D9D6" w14:textId="77777777" w:rsidR="00EC3743" w:rsidRPr="00EB1825" w:rsidRDefault="00EC3743" w:rsidP="00AA566D">
      <w:pPr>
        <w:pStyle w:val="4-SubsectionHeading"/>
      </w:pPr>
      <w:bookmarkStart w:id="26" w:name="_Hlk76375935"/>
      <w:bookmarkStart w:id="27" w:name="_Toc202884174"/>
      <w:bookmarkStart w:id="28" w:name="_Toc208999804"/>
      <w:r w:rsidRPr="00EB1825">
        <w:t>Sponsor hearing</w:t>
      </w:r>
    </w:p>
    <w:p w14:paraId="0819E6C8" w14:textId="00882FF0" w:rsidR="00EC3743" w:rsidRPr="00022976" w:rsidRDefault="00EC3743" w:rsidP="00766C07">
      <w:pPr>
        <w:pStyle w:val="3-BodyText"/>
        <w:rPr>
          <w:snapToGrid w:val="0"/>
        </w:rPr>
      </w:pPr>
      <w:r w:rsidRPr="008A5641">
        <w:rPr>
          <w:snapToGrid w:val="0"/>
        </w:rPr>
        <w:t>There was no hearing for this item</w:t>
      </w:r>
      <w:r w:rsidR="00507F34">
        <w:rPr>
          <w:snapToGrid w:val="0"/>
        </w:rPr>
        <w:t xml:space="preserve">, however the sponsor provided a written statement from </w:t>
      </w:r>
      <w:r w:rsidR="00516499">
        <w:rPr>
          <w:snapToGrid w:val="0"/>
        </w:rPr>
        <w:t xml:space="preserve">eight practising clinicians and contributors to the </w:t>
      </w:r>
      <w:r w:rsidR="00080376">
        <w:rPr>
          <w:snapToGrid w:val="0"/>
        </w:rPr>
        <w:t>consensus statement provided with the resubmission</w:t>
      </w:r>
      <w:r w:rsidR="002413ED">
        <w:rPr>
          <w:snapToGrid w:val="0"/>
        </w:rPr>
        <w:t xml:space="preserve">, providing </w:t>
      </w:r>
      <w:r w:rsidR="002413ED" w:rsidRPr="002413ED">
        <w:rPr>
          <w:snapToGrid w:val="0"/>
        </w:rPr>
        <w:t xml:space="preserve">clarification on the practical clinical context in which </w:t>
      </w:r>
      <w:proofErr w:type="spellStart"/>
      <w:r w:rsidR="002413ED" w:rsidRPr="002413ED">
        <w:rPr>
          <w:snapToGrid w:val="0"/>
        </w:rPr>
        <w:t>fezolinetant</w:t>
      </w:r>
      <w:proofErr w:type="spellEnd"/>
      <w:r w:rsidR="002413ED" w:rsidRPr="002413ED">
        <w:rPr>
          <w:snapToGrid w:val="0"/>
        </w:rPr>
        <w:t xml:space="preserve"> would be prescribed in Australia</w:t>
      </w:r>
      <w:r w:rsidRPr="008A5641">
        <w:rPr>
          <w:snapToGrid w:val="0"/>
        </w:rPr>
        <w:t>.</w:t>
      </w:r>
      <w:r w:rsidR="002413ED">
        <w:rPr>
          <w:snapToGrid w:val="0"/>
        </w:rPr>
        <w:t xml:space="preserve"> </w:t>
      </w:r>
      <w:r w:rsidR="004E21AB">
        <w:rPr>
          <w:snapToGrid w:val="0"/>
        </w:rPr>
        <w:t xml:space="preserve">The comments </w:t>
      </w:r>
      <w:r w:rsidR="00062501">
        <w:rPr>
          <w:snapToGrid w:val="0"/>
        </w:rPr>
        <w:t>affirmed</w:t>
      </w:r>
      <w:r w:rsidR="004E21AB">
        <w:rPr>
          <w:snapToGrid w:val="0"/>
        </w:rPr>
        <w:t xml:space="preserve"> the </w:t>
      </w:r>
      <w:r w:rsidR="00930F9E">
        <w:rPr>
          <w:snapToGrid w:val="0"/>
        </w:rPr>
        <w:t xml:space="preserve">proposed </w:t>
      </w:r>
      <w:r w:rsidR="004E21AB">
        <w:rPr>
          <w:snapToGrid w:val="0"/>
        </w:rPr>
        <w:t xml:space="preserve">clinical place for </w:t>
      </w:r>
      <w:proofErr w:type="spellStart"/>
      <w:r w:rsidR="004E21AB">
        <w:rPr>
          <w:snapToGrid w:val="0"/>
        </w:rPr>
        <w:t>fezolinetant</w:t>
      </w:r>
      <w:proofErr w:type="spellEnd"/>
      <w:r w:rsidR="004E21AB">
        <w:rPr>
          <w:snapToGrid w:val="0"/>
        </w:rPr>
        <w:t>, consistent with the revised population</w:t>
      </w:r>
      <w:r w:rsidR="00127142">
        <w:rPr>
          <w:snapToGrid w:val="0"/>
        </w:rPr>
        <w:t xml:space="preserve"> (</w:t>
      </w:r>
      <w:r w:rsidR="00E46A69">
        <w:rPr>
          <w:snapToGrid w:val="0"/>
        </w:rPr>
        <w:t>limited to patients with a contraindication to</w:t>
      </w:r>
      <w:r w:rsidR="00376790">
        <w:rPr>
          <w:snapToGrid w:val="0"/>
        </w:rPr>
        <w:t xml:space="preserve"> MHT</w:t>
      </w:r>
      <w:r w:rsidR="00E46A69">
        <w:rPr>
          <w:snapToGrid w:val="0"/>
        </w:rPr>
        <w:t xml:space="preserve">, </w:t>
      </w:r>
      <w:r w:rsidR="008E4D8A">
        <w:rPr>
          <w:snapToGrid w:val="0"/>
        </w:rPr>
        <w:t xml:space="preserve">and patients who have discontinued MHT due to </w:t>
      </w:r>
      <w:r w:rsidR="00E46A69">
        <w:rPr>
          <w:snapToGrid w:val="0"/>
        </w:rPr>
        <w:t xml:space="preserve">adverse events or </w:t>
      </w:r>
      <w:r w:rsidR="00376790">
        <w:rPr>
          <w:snapToGrid w:val="0"/>
        </w:rPr>
        <w:t>insufficient response</w:t>
      </w:r>
      <w:r w:rsidR="00127142">
        <w:rPr>
          <w:snapToGrid w:val="0"/>
        </w:rPr>
        <w:t>)</w:t>
      </w:r>
      <w:r w:rsidR="004E21AB">
        <w:rPr>
          <w:snapToGrid w:val="0"/>
        </w:rPr>
        <w:t xml:space="preserve">. The PBAC noted that the </w:t>
      </w:r>
      <w:r w:rsidR="00CC3129">
        <w:rPr>
          <w:snapToGrid w:val="0"/>
        </w:rPr>
        <w:t xml:space="preserve">statement was also supportive of inclusion of </w:t>
      </w:r>
      <w:r w:rsidR="00B10B2B">
        <w:rPr>
          <w:snapToGrid w:val="0"/>
        </w:rPr>
        <w:t>a</w:t>
      </w:r>
      <w:r w:rsidR="00CC3129">
        <w:rPr>
          <w:snapToGrid w:val="0"/>
        </w:rPr>
        <w:t xml:space="preserve"> definition of </w:t>
      </w:r>
      <w:r w:rsidR="00354D79">
        <w:rPr>
          <w:snapToGrid w:val="0"/>
        </w:rPr>
        <w:t xml:space="preserve">moderate to severe VMS </w:t>
      </w:r>
      <w:r w:rsidR="00022976">
        <w:rPr>
          <w:snapToGrid w:val="0"/>
        </w:rPr>
        <w:t>in the restrictions</w:t>
      </w:r>
      <w:r w:rsidR="000D6872" w:rsidRPr="000D6872">
        <w:rPr>
          <w:snapToGrid w:val="0"/>
        </w:rPr>
        <w:t xml:space="preserve"> </w:t>
      </w:r>
      <w:r w:rsidR="000D6872" w:rsidRPr="00022976">
        <w:rPr>
          <w:snapToGrid w:val="0"/>
        </w:rPr>
        <w:t xml:space="preserve">as an objective </w:t>
      </w:r>
      <w:r w:rsidR="000D6872">
        <w:rPr>
          <w:snapToGrid w:val="0"/>
        </w:rPr>
        <w:t xml:space="preserve">measure of </w:t>
      </w:r>
      <w:r w:rsidR="000D6872" w:rsidRPr="00022976">
        <w:rPr>
          <w:snapToGrid w:val="0"/>
        </w:rPr>
        <w:t>disease</w:t>
      </w:r>
      <w:r w:rsidR="000D6872">
        <w:rPr>
          <w:snapToGrid w:val="0"/>
        </w:rPr>
        <w:t xml:space="preserve"> </w:t>
      </w:r>
      <w:r w:rsidR="000D6872" w:rsidRPr="00022976">
        <w:rPr>
          <w:snapToGrid w:val="0"/>
        </w:rPr>
        <w:t>severity</w:t>
      </w:r>
      <w:r w:rsidR="00022976">
        <w:rPr>
          <w:snapToGrid w:val="0"/>
        </w:rPr>
        <w:t xml:space="preserve">, as was </w:t>
      </w:r>
      <w:r w:rsidR="00354D79">
        <w:rPr>
          <w:snapToGrid w:val="0"/>
        </w:rPr>
        <w:t>used in the pivotal studies</w:t>
      </w:r>
      <w:r w:rsidR="000D6872">
        <w:rPr>
          <w:snapToGrid w:val="0"/>
        </w:rPr>
        <w:t>;</w:t>
      </w:r>
      <w:r w:rsidR="00354D79">
        <w:rPr>
          <w:snapToGrid w:val="0"/>
        </w:rPr>
        <w:t xml:space="preserve"> patients experiencing </w:t>
      </w:r>
      <w:r w:rsidR="00022976" w:rsidRPr="00022976">
        <w:rPr>
          <w:snapToGrid w:val="0"/>
        </w:rPr>
        <w:t>an average of ≥ 7 moderate-to-severe hot flushes per day</w:t>
      </w:r>
      <w:r w:rsidR="00022976">
        <w:rPr>
          <w:snapToGrid w:val="0"/>
        </w:rPr>
        <w:t>.</w:t>
      </w:r>
      <w:r w:rsidR="00022976" w:rsidRPr="00022976">
        <w:rPr>
          <w:snapToGrid w:val="0"/>
        </w:rPr>
        <w:t xml:space="preserve"> </w:t>
      </w:r>
    </w:p>
    <w:p w14:paraId="666E82CE" w14:textId="77777777" w:rsidR="00EC3743" w:rsidRPr="00295ACD" w:rsidRDefault="00EC3743" w:rsidP="00AA566D">
      <w:pPr>
        <w:pStyle w:val="4-SubsectionHeading"/>
      </w:pPr>
      <w:r w:rsidRPr="00EB1825">
        <w:t xml:space="preserve">Consumer </w:t>
      </w:r>
      <w:r w:rsidRPr="00295ACD">
        <w:t>comments</w:t>
      </w:r>
    </w:p>
    <w:p w14:paraId="3C0BAC5E" w14:textId="2EF950EA" w:rsidR="000A26F0" w:rsidRPr="00A93295" w:rsidRDefault="00EC3743" w:rsidP="00766C07">
      <w:pPr>
        <w:pStyle w:val="3-BodyText"/>
        <w:rPr>
          <w:snapToGrid w:val="0"/>
        </w:rPr>
      </w:pPr>
      <w:bookmarkStart w:id="29" w:name="_Hlk76382618"/>
      <w:r w:rsidRPr="00295ACD">
        <w:rPr>
          <w:snapToGrid w:val="0"/>
        </w:rPr>
        <w:t xml:space="preserve">The PBAC noted and welcomed the input </w:t>
      </w:r>
      <w:r w:rsidR="00180172" w:rsidRPr="00295ACD">
        <w:rPr>
          <w:snapToGrid w:val="0"/>
        </w:rPr>
        <w:t xml:space="preserve">on the resubmission </w:t>
      </w:r>
      <w:r w:rsidRPr="00295ACD">
        <w:rPr>
          <w:snapToGrid w:val="0"/>
        </w:rPr>
        <w:t>from individuals (</w:t>
      </w:r>
      <w:r w:rsidR="004B29BF" w:rsidRPr="00295ACD">
        <w:rPr>
          <w:snapToGrid w:val="0"/>
        </w:rPr>
        <w:t>26</w:t>
      </w:r>
      <w:r w:rsidRPr="00295ACD">
        <w:rPr>
          <w:snapToGrid w:val="0"/>
        </w:rPr>
        <w:t>), health care professionals (</w:t>
      </w:r>
      <w:r w:rsidR="004B29BF" w:rsidRPr="00295ACD">
        <w:rPr>
          <w:snapToGrid w:val="0"/>
        </w:rPr>
        <w:t>45</w:t>
      </w:r>
      <w:r w:rsidRPr="00295ACD">
        <w:rPr>
          <w:snapToGrid w:val="0"/>
        </w:rPr>
        <w:t>) and organisations (</w:t>
      </w:r>
      <w:r w:rsidR="00CC70A1" w:rsidRPr="00295ACD">
        <w:rPr>
          <w:snapToGrid w:val="0"/>
        </w:rPr>
        <w:t>4</w:t>
      </w:r>
      <w:r w:rsidRPr="00295ACD">
        <w:rPr>
          <w:snapToGrid w:val="0"/>
        </w:rPr>
        <w:t>) via the Consumer Comments facility on the PBS website</w:t>
      </w:r>
      <w:r w:rsidR="00AF3FD7" w:rsidRPr="00295ACD">
        <w:rPr>
          <w:snapToGrid w:val="0"/>
        </w:rPr>
        <w:t xml:space="preserve">, </w:t>
      </w:r>
      <w:r w:rsidR="0079441B" w:rsidRPr="00295ACD">
        <w:rPr>
          <w:snapToGrid w:val="0"/>
        </w:rPr>
        <w:t>in addition to comments previously received on the original submission (</w:t>
      </w:r>
      <w:r w:rsidR="00295ACD" w:rsidRPr="00295ACD">
        <w:t xml:space="preserve">paragraph 6.2, </w:t>
      </w:r>
      <w:proofErr w:type="spellStart"/>
      <w:r w:rsidR="00295ACD" w:rsidRPr="00295ACD">
        <w:t>fezolinetant</w:t>
      </w:r>
      <w:proofErr w:type="spellEnd"/>
      <w:r w:rsidR="00295ACD" w:rsidRPr="00295ACD">
        <w:t xml:space="preserve"> PSD March 2025 PBAC meeting)</w:t>
      </w:r>
      <w:r w:rsidRPr="00295ACD">
        <w:rPr>
          <w:snapToGrid w:val="0"/>
        </w:rPr>
        <w:t xml:space="preserve">. </w:t>
      </w:r>
      <w:r w:rsidR="00EB4654">
        <w:rPr>
          <w:snapToGrid w:val="0"/>
        </w:rPr>
        <w:t xml:space="preserve">The PBAC noted that comments highlighted the importance of using inclusive language in the </w:t>
      </w:r>
      <w:r w:rsidR="00941772">
        <w:rPr>
          <w:snapToGrid w:val="0"/>
        </w:rPr>
        <w:t xml:space="preserve">restrictions for </w:t>
      </w:r>
      <w:proofErr w:type="spellStart"/>
      <w:r w:rsidR="00941772">
        <w:rPr>
          <w:snapToGrid w:val="0"/>
        </w:rPr>
        <w:t>fezolinetant</w:t>
      </w:r>
      <w:proofErr w:type="spellEnd"/>
      <w:r w:rsidR="00941772">
        <w:rPr>
          <w:snapToGrid w:val="0"/>
        </w:rPr>
        <w:t>.</w:t>
      </w:r>
      <w:r w:rsidR="00F45D6F">
        <w:rPr>
          <w:snapToGrid w:val="0"/>
        </w:rPr>
        <w:t xml:space="preserve"> </w:t>
      </w:r>
      <w:r w:rsidRPr="00295ACD">
        <w:rPr>
          <w:snapToGrid w:val="0"/>
        </w:rPr>
        <w:t xml:space="preserve">The comments described </w:t>
      </w:r>
      <w:r w:rsidR="005145B4" w:rsidRPr="00295ACD">
        <w:rPr>
          <w:snapToGrid w:val="0"/>
        </w:rPr>
        <w:t xml:space="preserve">the </w:t>
      </w:r>
      <w:r w:rsidR="00FC1664" w:rsidRPr="00295ACD">
        <w:rPr>
          <w:snapToGrid w:val="0"/>
        </w:rPr>
        <w:t xml:space="preserve">debilitating </w:t>
      </w:r>
      <w:r w:rsidR="005145B4" w:rsidRPr="00295ACD">
        <w:rPr>
          <w:snapToGrid w:val="0"/>
        </w:rPr>
        <w:t>impacts of VMS on quality of life</w:t>
      </w:r>
      <w:r w:rsidR="00FC1664" w:rsidRPr="00295ACD">
        <w:rPr>
          <w:snapToGrid w:val="0"/>
        </w:rPr>
        <w:t>, and</w:t>
      </w:r>
      <w:r w:rsidR="005145B4" w:rsidRPr="00295ACD">
        <w:rPr>
          <w:snapToGrid w:val="0"/>
        </w:rPr>
        <w:t xml:space="preserve"> </w:t>
      </w:r>
      <w:r w:rsidRPr="00295ACD">
        <w:rPr>
          <w:snapToGrid w:val="0"/>
        </w:rPr>
        <w:t xml:space="preserve">a range of benefits of treatment with </w:t>
      </w:r>
      <w:proofErr w:type="spellStart"/>
      <w:r w:rsidR="000D5937" w:rsidRPr="00295ACD">
        <w:rPr>
          <w:snapToGrid w:val="0"/>
        </w:rPr>
        <w:t>fezolinetant</w:t>
      </w:r>
      <w:proofErr w:type="spellEnd"/>
      <w:r w:rsidR="00FC1664" w:rsidRPr="00295ACD">
        <w:rPr>
          <w:snapToGrid w:val="0"/>
        </w:rPr>
        <w:t xml:space="preserve">, </w:t>
      </w:r>
      <w:proofErr w:type="gramStart"/>
      <w:r w:rsidR="00FC1664" w:rsidRPr="00295ACD">
        <w:rPr>
          <w:snapToGrid w:val="0"/>
        </w:rPr>
        <w:t>in particular its</w:t>
      </w:r>
      <w:proofErr w:type="gramEnd"/>
      <w:r w:rsidR="00FC1664" w:rsidRPr="00295ACD">
        <w:rPr>
          <w:snapToGrid w:val="0"/>
        </w:rPr>
        <w:t xml:space="preserve"> suitability for </w:t>
      </w:r>
      <w:r w:rsidR="008A5641" w:rsidRPr="00295ACD">
        <w:rPr>
          <w:snapToGrid w:val="0"/>
        </w:rPr>
        <w:t xml:space="preserve">treating VMS in </w:t>
      </w:r>
      <w:r w:rsidR="000D6D5F" w:rsidRPr="00295ACD">
        <w:rPr>
          <w:snapToGrid w:val="0"/>
        </w:rPr>
        <w:t xml:space="preserve">women and those assigned female at birth (AFAB) </w:t>
      </w:r>
      <w:r w:rsidR="00391E4E" w:rsidRPr="00295ACD">
        <w:rPr>
          <w:snapToGrid w:val="0"/>
        </w:rPr>
        <w:t xml:space="preserve">who are contraindicated to MHT </w:t>
      </w:r>
      <w:r w:rsidR="00AF3FD7" w:rsidRPr="00295ACD">
        <w:rPr>
          <w:snapToGrid w:val="0"/>
        </w:rPr>
        <w:t xml:space="preserve">and have no suitable </w:t>
      </w:r>
      <w:r w:rsidR="00AF3FD7" w:rsidRPr="00A93295">
        <w:rPr>
          <w:snapToGrid w:val="0"/>
        </w:rPr>
        <w:t>PBS funded treatment option</w:t>
      </w:r>
      <w:r w:rsidR="0005721C">
        <w:rPr>
          <w:snapToGrid w:val="0"/>
        </w:rPr>
        <w:t>s</w:t>
      </w:r>
      <w:r w:rsidR="00AF3FD7" w:rsidRPr="00A93295">
        <w:rPr>
          <w:snapToGrid w:val="0"/>
        </w:rPr>
        <w:t xml:space="preserve">. </w:t>
      </w:r>
    </w:p>
    <w:p w14:paraId="44269227" w14:textId="2B5600BA" w:rsidR="000B73E4" w:rsidRPr="00C87057" w:rsidRDefault="000A187F" w:rsidP="00766C07">
      <w:pPr>
        <w:pStyle w:val="3-BodyText"/>
        <w:rPr>
          <w:snapToGrid w:val="0"/>
        </w:rPr>
      </w:pPr>
      <w:r w:rsidRPr="00F45D6F">
        <w:rPr>
          <w:snapToGrid w:val="0"/>
        </w:rPr>
        <w:t xml:space="preserve">Health professionals </w:t>
      </w:r>
      <w:r w:rsidR="00C964C2" w:rsidRPr="00F45D6F">
        <w:rPr>
          <w:snapToGrid w:val="0"/>
        </w:rPr>
        <w:t>described VMS as debilitating and significantly impacting quality of life</w:t>
      </w:r>
      <w:r w:rsidR="00296403" w:rsidRPr="00F45D6F">
        <w:rPr>
          <w:snapToGrid w:val="0"/>
        </w:rPr>
        <w:t xml:space="preserve">, and </w:t>
      </w:r>
      <w:r w:rsidR="00BC4D47" w:rsidRPr="00F45D6F">
        <w:rPr>
          <w:snapToGrid w:val="0"/>
        </w:rPr>
        <w:t>noted that c</w:t>
      </w:r>
      <w:r w:rsidR="00C964C2" w:rsidRPr="00F45D6F">
        <w:rPr>
          <w:snapToGrid w:val="0"/>
        </w:rPr>
        <w:t>urrent</w:t>
      </w:r>
      <w:r w:rsidR="00BC4D47" w:rsidRPr="00F45D6F">
        <w:rPr>
          <w:snapToGrid w:val="0"/>
        </w:rPr>
        <w:t>ly</w:t>
      </w:r>
      <w:r w:rsidR="00C964C2" w:rsidRPr="00F45D6F">
        <w:rPr>
          <w:snapToGrid w:val="0"/>
        </w:rPr>
        <w:t xml:space="preserve"> non-hormonal treatments (clonidine, venlafaxine, oxybutynin, gabapentin, SSRIs/SNRIs) are being used </w:t>
      </w:r>
      <w:proofErr w:type="gramStart"/>
      <w:r w:rsidR="00C964C2" w:rsidRPr="00F45D6F">
        <w:rPr>
          <w:snapToGrid w:val="0"/>
        </w:rPr>
        <w:t>off-label</w:t>
      </w:r>
      <w:proofErr w:type="gramEnd"/>
      <w:r w:rsidR="00465E35" w:rsidRPr="00F45D6F">
        <w:rPr>
          <w:snapToGrid w:val="0"/>
        </w:rPr>
        <w:t>,</w:t>
      </w:r>
      <w:r w:rsidR="00C964C2" w:rsidRPr="00F45D6F">
        <w:rPr>
          <w:snapToGrid w:val="0"/>
        </w:rPr>
        <w:t xml:space="preserve"> with </w:t>
      </w:r>
      <w:r w:rsidR="00365462" w:rsidRPr="00F45D6F">
        <w:rPr>
          <w:snapToGrid w:val="0"/>
        </w:rPr>
        <w:t>varying success and</w:t>
      </w:r>
      <w:r w:rsidR="00465E35" w:rsidRPr="00F45D6F">
        <w:rPr>
          <w:snapToGrid w:val="0"/>
        </w:rPr>
        <w:t xml:space="preserve"> sometimes </w:t>
      </w:r>
      <w:r w:rsidR="006F7C3B" w:rsidRPr="00F45D6F">
        <w:rPr>
          <w:snapToGrid w:val="0"/>
        </w:rPr>
        <w:t>debilitating or intolerable</w:t>
      </w:r>
      <w:r w:rsidR="00365462" w:rsidRPr="00F45D6F">
        <w:rPr>
          <w:snapToGrid w:val="0"/>
        </w:rPr>
        <w:t xml:space="preserve"> side effects</w:t>
      </w:r>
      <w:r w:rsidR="00C964C2" w:rsidRPr="00F45D6F">
        <w:rPr>
          <w:snapToGrid w:val="0"/>
        </w:rPr>
        <w:t>. Input note</w:t>
      </w:r>
      <w:r w:rsidR="00E40773" w:rsidRPr="00F45D6F">
        <w:rPr>
          <w:snapToGrid w:val="0"/>
        </w:rPr>
        <w:t>d</w:t>
      </w:r>
      <w:r w:rsidR="00C964C2" w:rsidRPr="00F45D6F">
        <w:rPr>
          <w:snapToGrid w:val="0"/>
        </w:rPr>
        <w:t xml:space="preserve"> </w:t>
      </w:r>
      <w:r w:rsidR="006F7C3B" w:rsidRPr="00F45D6F">
        <w:rPr>
          <w:snapToGrid w:val="0"/>
        </w:rPr>
        <w:t>MHT</w:t>
      </w:r>
      <w:r w:rsidR="00C964C2" w:rsidRPr="00F45D6F">
        <w:rPr>
          <w:snapToGrid w:val="0"/>
        </w:rPr>
        <w:t xml:space="preserve"> is effective</w:t>
      </w:r>
      <w:r w:rsidR="006F7C3B" w:rsidRPr="00F45D6F">
        <w:rPr>
          <w:snapToGrid w:val="0"/>
        </w:rPr>
        <w:t>,</w:t>
      </w:r>
      <w:r w:rsidR="00C964C2" w:rsidRPr="00F45D6F">
        <w:rPr>
          <w:snapToGrid w:val="0"/>
        </w:rPr>
        <w:t xml:space="preserve"> but not suitable for all women, especially those with contraindications (e.g., breast cancer survivors).</w:t>
      </w:r>
      <w:r w:rsidR="00E60546" w:rsidRPr="00F45D6F">
        <w:rPr>
          <w:snapToGrid w:val="0"/>
        </w:rPr>
        <w:t xml:space="preserve"> </w:t>
      </w:r>
      <w:r w:rsidR="00A87D65" w:rsidRPr="00F45D6F">
        <w:rPr>
          <w:snapToGrid w:val="0"/>
        </w:rPr>
        <w:t xml:space="preserve">Health professionals </w:t>
      </w:r>
      <w:r w:rsidR="00D04331" w:rsidRPr="00F45D6F">
        <w:rPr>
          <w:snapToGrid w:val="0"/>
        </w:rPr>
        <w:t xml:space="preserve">considered </w:t>
      </w:r>
      <w:r w:rsidR="000C7224" w:rsidRPr="00F45D6F">
        <w:rPr>
          <w:snapToGrid w:val="0"/>
        </w:rPr>
        <w:t xml:space="preserve">there is a place in therapy for </w:t>
      </w:r>
      <w:proofErr w:type="spellStart"/>
      <w:r w:rsidR="000C7224" w:rsidRPr="00F45D6F">
        <w:rPr>
          <w:snapToGrid w:val="0"/>
        </w:rPr>
        <w:t>fezolinetant</w:t>
      </w:r>
      <w:proofErr w:type="spellEnd"/>
      <w:r w:rsidR="000C7224" w:rsidRPr="00F45D6F">
        <w:rPr>
          <w:snapToGrid w:val="0"/>
        </w:rPr>
        <w:t xml:space="preserve"> as an </w:t>
      </w:r>
      <w:r w:rsidR="00D04331" w:rsidRPr="00F45D6F">
        <w:rPr>
          <w:snapToGrid w:val="0"/>
        </w:rPr>
        <w:t>effective, and well-tolerated non-hormonal option</w:t>
      </w:r>
      <w:r w:rsidR="003F47FF" w:rsidRPr="00F45D6F">
        <w:rPr>
          <w:snapToGrid w:val="0"/>
        </w:rPr>
        <w:t xml:space="preserve"> </w:t>
      </w:r>
      <w:r w:rsidR="00D04331" w:rsidRPr="00F45D6F">
        <w:rPr>
          <w:snapToGrid w:val="0"/>
        </w:rPr>
        <w:t xml:space="preserve">for women who </w:t>
      </w:r>
      <w:r w:rsidR="00433578" w:rsidRPr="00F45D6F">
        <w:rPr>
          <w:snapToGrid w:val="0"/>
        </w:rPr>
        <w:t xml:space="preserve">truly </w:t>
      </w:r>
      <w:r w:rsidR="00D04331" w:rsidRPr="00F45D6F">
        <w:rPr>
          <w:snapToGrid w:val="0"/>
        </w:rPr>
        <w:t xml:space="preserve">cannot use </w:t>
      </w:r>
      <w:r w:rsidR="000C7224" w:rsidRPr="00F45D6F">
        <w:rPr>
          <w:snapToGrid w:val="0"/>
        </w:rPr>
        <w:t>MHT</w:t>
      </w:r>
      <w:r w:rsidR="003F47FF" w:rsidRPr="00F45D6F">
        <w:rPr>
          <w:snapToGrid w:val="0"/>
        </w:rPr>
        <w:t xml:space="preserve"> (</w:t>
      </w:r>
      <w:proofErr w:type="spellStart"/>
      <w:r w:rsidR="003F47FF" w:rsidRPr="00F45D6F">
        <w:rPr>
          <w:snapToGrid w:val="0"/>
        </w:rPr>
        <w:t>eg</w:t>
      </w:r>
      <w:proofErr w:type="spellEnd"/>
      <w:r w:rsidR="003F47FF" w:rsidRPr="00F45D6F">
        <w:rPr>
          <w:snapToGrid w:val="0"/>
        </w:rPr>
        <w:t xml:space="preserve"> those with a history of breast cancer)</w:t>
      </w:r>
      <w:r w:rsidR="000A27FB" w:rsidRPr="00F45D6F">
        <w:rPr>
          <w:snapToGrid w:val="0"/>
        </w:rPr>
        <w:t xml:space="preserve">, and </w:t>
      </w:r>
      <w:r w:rsidR="00433578" w:rsidRPr="00F45D6F">
        <w:rPr>
          <w:snapToGrid w:val="0"/>
        </w:rPr>
        <w:t xml:space="preserve">considered </w:t>
      </w:r>
      <w:r w:rsidR="000A27FB" w:rsidRPr="00F45D6F">
        <w:rPr>
          <w:snapToGrid w:val="0"/>
        </w:rPr>
        <w:t xml:space="preserve">that </w:t>
      </w:r>
      <w:r w:rsidR="00A65F71" w:rsidRPr="00F45D6F">
        <w:rPr>
          <w:snapToGrid w:val="0"/>
        </w:rPr>
        <w:t>side-effects are rare</w:t>
      </w:r>
      <w:r w:rsidR="000A27FB" w:rsidRPr="00F45D6F">
        <w:rPr>
          <w:snapToGrid w:val="0"/>
        </w:rPr>
        <w:t xml:space="preserve"> but </w:t>
      </w:r>
      <w:r w:rsidR="00433578" w:rsidRPr="00F45D6F">
        <w:rPr>
          <w:snapToGrid w:val="0"/>
        </w:rPr>
        <w:t xml:space="preserve">mostly </w:t>
      </w:r>
      <w:r w:rsidR="00AC5252" w:rsidRPr="00F45D6F">
        <w:rPr>
          <w:snapToGrid w:val="0"/>
        </w:rPr>
        <w:t>self-limiting</w:t>
      </w:r>
      <w:r w:rsidR="00433578" w:rsidRPr="00F45D6F">
        <w:rPr>
          <w:snapToGrid w:val="0"/>
        </w:rPr>
        <w:t xml:space="preserve">, </w:t>
      </w:r>
      <w:proofErr w:type="spellStart"/>
      <w:r w:rsidR="00433578" w:rsidRPr="00F45D6F">
        <w:rPr>
          <w:snapToGrid w:val="0"/>
        </w:rPr>
        <w:t>eg</w:t>
      </w:r>
      <w:proofErr w:type="spellEnd"/>
      <w:r w:rsidR="00AC5252" w:rsidRPr="00F45D6F">
        <w:rPr>
          <w:snapToGrid w:val="0"/>
        </w:rPr>
        <w:t xml:space="preserve"> </w:t>
      </w:r>
      <w:r w:rsidR="00A65F71" w:rsidRPr="00F45D6F">
        <w:rPr>
          <w:snapToGrid w:val="0"/>
        </w:rPr>
        <w:t xml:space="preserve">nausea and </w:t>
      </w:r>
      <w:r w:rsidR="00AC5252" w:rsidRPr="00F45D6F">
        <w:rPr>
          <w:snapToGrid w:val="0"/>
        </w:rPr>
        <w:t xml:space="preserve">reversible </w:t>
      </w:r>
      <w:r w:rsidR="00A65F71" w:rsidRPr="00F45D6F">
        <w:rPr>
          <w:snapToGrid w:val="0"/>
        </w:rPr>
        <w:t>liver function test abnormalities.</w:t>
      </w:r>
      <w:r w:rsidR="008C394F" w:rsidRPr="00F45D6F">
        <w:rPr>
          <w:snapToGrid w:val="0"/>
        </w:rPr>
        <w:t xml:space="preserve"> </w:t>
      </w:r>
      <w:r w:rsidR="00873331" w:rsidRPr="00F45D6F">
        <w:rPr>
          <w:snapToGrid w:val="0"/>
        </w:rPr>
        <w:t xml:space="preserve">The PBAC noted that </w:t>
      </w:r>
      <w:r w:rsidR="00F45D6F" w:rsidRPr="00F45D6F">
        <w:rPr>
          <w:snapToGrid w:val="0"/>
        </w:rPr>
        <w:t xml:space="preserve">health care providers </w:t>
      </w:r>
      <w:r w:rsidR="00F45D6F">
        <w:rPr>
          <w:snapToGrid w:val="0"/>
        </w:rPr>
        <w:t>described</w:t>
      </w:r>
      <w:r w:rsidR="00F45D6F" w:rsidRPr="00F45D6F">
        <w:rPr>
          <w:snapToGrid w:val="0"/>
        </w:rPr>
        <w:t xml:space="preserve"> the monitoring of liver function tests in the first three months of commencing treatment as onerous and costly</w:t>
      </w:r>
      <w:r w:rsidR="00F45D6F">
        <w:rPr>
          <w:snapToGrid w:val="0"/>
        </w:rPr>
        <w:t xml:space="preserve">. </w:t>
      </w:r>
      <w:r w:rsidR="00BB080A" w:rsidRPr="00C87057">
        <w:rPr>
          <w:snapToGrid w:val="0"/>
        </w:rPr>
        <w:t>Individuals described VMS as debilitating, and the associated night sweats as severely impacting sleep and quality of life</w:t>
      </w:r>
      <w:r w:rsidR="002F53CE" w:rsidRPr="00C87057">
        <w:rPr>
          <w:snapToGrid w:val="0"/>
        </w:rPr>
        <w:t xml:space="preserve">, including </w:t>
      </w:r>
      <w:r w:rsidR="00BB080A" w:rsidRPr="00C87057">
        <w:rPr>
          <w:snapToGrid w:val="0"/>
        </w:rPr>
        <w:t>exhaustion</w:t>
      </w:r>
      <w:r w:rsidR="0070237F" w:rsidRPr="00C87057">
        <w:rPr>
          <w:snapToGrid w:val="0"/>
        </w:rPr>
        <w:t xml:space="preserve"> and associated impact on mood and relationships. </w:t>
      </w:r>
      <w:proofErr w:type="gramStart"/>
      <w:r w:rsidR="0045716D" w:rsidRPr="00C87057">
        <w:rPr>
          <w:snapToGrid w:val="0"/>
        </w:rPr>
        <w:t>A number of</w:t>
      </w:r>
      <w:proofErr w:type="gramEnd"/>
      <w:r w:rsidR="0045716D" w:rsidRPr="00C87057">
        <w:rPr>
          <w:snapToGrid w:val="0"/>
        </w:rPr>
        <w:t xml:space="preserve"> i</w:t>
      </w:r>
      <w:r w:rsidR="00270C21" w:rsidRPr="00C87057">
        <w:rPr>
          <w:snapToGrid w:val="0"/>
        </w:rPr>
        <w:t xml:space="preserve">ndividuals </w:t>
      </w:r>
      <w:r w:rsidR="0018793E" w:rsidRPr="00C87057">
        <w:rPr>
          <w:snapToGrid w:val="0"/>
        </w:rPr>
        <w:t>described their experiences with a</w:t>
      </w:r>
      <w:r w:rsidR="00BB080A" w:rsidRPr="00C87057">
        <w:rPr>
          <w:snapToGrid w:val="0"/>
        </w:rPr>
        <w:t xml:space="preserve">lternative </w:t>
      </w:r>
      <w:r w:rsidR="0018793E" w:rsidRPr="00C87057">
        <w:rPr>
          <w:snapToGrid w:val="0"/>
        </w:rPr>
        <w:t xml:space="preserve">non-hormonal </w:t>
      </w:r>
      <w:r w:rsidR="00BB080A" w:rsidRPr="00C87057">
        <w:rPr>
          <w:snapToGrid w:val="0"/>
        </w:rPr>
        <w:t xml:space="preserve">treatment options </w:t>
      </w:r>
      <w:r w:rsidR="0070237F" w:rsidRPr="00C87057">
        <w:rPr>
          <w:snapToGrid w:val="0"/>
        </w:rPr>
        <w:t>including</w:t>
      </w:r>
      <w:r w:rsidR="00BB080A" w:rsidRPr="00C87057">
        <w:rPr>
          <w:snapToGrid w:val="0"/>
        </w:rPr>
        <w:t xml:space="preserve"> oxybutynin, desvenlafaxine and venlafaxine, </w:t>
      </w:r>
      <w:r w:rsidR="00F2166D" w:rsidRPr="00C87057">
        <w:rPr>
          <w:snapToGrid w:val="0"/>
        </w:rPr>
        <w:t>often noting side-effect</w:t>
      </w:r>
      <w:r w:rsidR="002B39EC" w:rsidRPr="00C87057">
        <w:rPr>
          <w:snapToGrid w:val="0"/>
        </w:rPr>
        <w:t xml:space="preserve">s or lack of efficacy in </w:t>
      </w:r>
      <w:r w:rsidR="00BB080A" w:rsidRPr="00C87057">
        <w:rPr>
          <w:snapToGrid w:val="0"/>
        </w:rPr>
        <w:t xml:space="preserve">relieving </w:t>
      </w:r>
      <w:r w:rsidR="002B39EC" w:rsidRPr="00C87057">
        <w:rPr>
          <w:snapToGrid w:val="0"/>
        </w:rPr>
        <w:t>their VMS</w:t>
      </w:r>
      <w:r w:rsidR="00BB080A" w:rsidRPr="00C87057">
        <w:rPr>
          <w:snapToGrid w:val="0"/>
        </w:rPr>
        <w:t>.</w:t>
      </w:r>
      <w:r w:rsidR="007B583B" w:rsidRPr="00C87057">
        <w:rPr>
          <w:snapToGrid w:val="0"/>
        </w:rPr>
        <w:t xml:space="preserve"> </w:t>
      </w:r>
      <w:r w:rsidR="00C87057" w:rsidRPr="00C87057">
        <w:rPr>
          <w:snapToGrid w:val="0"/>
        </w:rPr>
        <w:t xml:space="preserve">Individuals also noted the cost </w:t>
      </w:r>
      <w:r w:rsidR="00C87057">
        <w:rPr>
          <w:snapToGrid w:val="0"/>
        </w:rPr>
        <w:t xml:space="preserve">of </w:t>
      </w:r>
      <w:proofErr w:type="spellStart"/>
      <w:r w:rsidR="00C87057">
        <w:rPr>
          <w:snapToGrid w:val="0"/>
        </w:rPr>
        <w:t>fezolinetant</w:t>
      </w:r>
      <w:proofErr w:type="spellEnd"/>
      <w:r w:rsidR="00C87057">
        <w:rPr>
          <w:snapToGrid w:val="0"/>
        </w:rPr>
        <w:t xml:space="preserve"> on the private market</w:t>
      </w:r>
      <w:r w:rsidR="00C87057" w:rsidRPr="00C87057">
        <w:rPr>
          <w:snapToGrid w:val="0"/>
        </w:rPr>
        <w:t xml:space="preserve"> as a barrier to access and equity</w:t>
      </w:r>
      <w:r w:rsidR="00C87057">
        <w:rPr>
          <w:snapToGrid w:val="0"/>
        </w:rPr>
        <w:t>.</w:t>
      </w:r>
    </w:p>
    <w:p w14:paraId="785305CD" w14:textId="2EAC4EE6" w:rsidR="00EC3743" w:rsidRPr="00446C19" w:rsidRDefault="00EC3743" w:rsidP="00766C07">
      <w:pPr>
        <w:pStyle w:val="3-BodyText"/>
        <w:rPr>
          <w:snapToGrid w:val="0"/>
        </w:rPr>
      </w:pPr>
      <w:r w:rsidRPr="00446C19">
        <w:rPr>
          <w:snapToGrid w:val="0"/>
        </w:rPr>
        <w:t xml:space="preserve">The PBAC noted the advice received from </w:t>
      </w:r>
      <w:r w:rsidR="00A776A3" w:rsidRPr="00446C19">
        <w:rPr>
          <w:snapToGrid w:val="0"/>
        </w:rPr>
        <w:t xml:space="preserve">The Australian Menopause Society, </w:t>
      </w:r>
      <w:proofErr w:type="spellStart"/>
      <w:r w:rsidR="00EA5A5F" w:rsidRPr="00446C19">
        <w:rPr>
          <w:rFonts w:eastAsia="Times New Roman" w:cs="Arial"/>
          <w:snapToGrid w:val="0"/>
          <w:szCs w:val="24"/>
        </w:rPr>
        <w:t>WellFemme</w:t>
      </w:r>
      <w:proofErr w:type="spellEnd"/>
      <w:r w:rsidR="00EA5A5F" w:rsidRPr="00446C19">
        <w:rPr>
          <w:rFonts w:eastAsia="Times New Roman" w:cs="Arial"/>
          <w:snapToGrid w:val="0"/>
          <w:szCs w:val="24"/>
        </w:rPr>
        <w:t xml:space="preserve"> Telehealth Menopause Clinic</w:t>
      </w:r>
      <w:r w:rsidR="000E48B2" w:rsidRPr="00446C19">
        <w:rPr>
          <w:rFonts w:eastAsia="Times New Roman" w:cs="Arial"/>
          <w:snapToGrid w:val="0"/>
          <w:szCs w:val="24"/>
        </w:rPr>
        <w:t xml:space="preserve">, </w:t>
      </w:r>
      <w:r w:rsidR="00EA5A5F" w:rsidRPr="00446C19">
        <w:rPr>
          <w:rFonts w:eastAsia="Times New Roman" w:cs="Arial"/>
          <w:snapToGrid w:val="0"/>
          <w:szCs w:val="24"/>
        </w:rPr>
        <w:t>Royal Australian and New Zealand College of Obstetricians and Gynaecologists</w:t>
      </w:r>
      <w:r w:rsidR="000E48B2" w:rsidRPr="00446C19">
        <w:rPr>
          <w:rFonts w:eastAsia="Times New Roman" w:cs="Arial"/>
          <w:snapToGrid w:val="0"/>
          <w:szCs w:val="24"/>
        </w:rPr>
        <w:t xml:space="preserve">, and </w:t>
      </w:r>
      <w:r w:rsidR="00EA5A5F" w:rsidRPr="00446C19">
        <w:rPr>
          <w:rFonts w:eastAsia="Times New Roman" w:cs="Arial"/>
          <w:snapToGrid w:val="0"/>
          <w:szCs w:val="24"/>
        </w:rPr>
        <w:t>Inherited Cancers Australia</w:t>
      </w:r>
      <w:r w:rsidRPr="00446C19">
        <w:rPr>
          <w:snapToGrid w:val="0"/>
        </w:rPr>
        <w:t xml:space="preserve"> clarifying the likely use of </w:t>
      </w:r>
      <w:proofErr w:type="spellStart"/>
      <w:r w:rsidR="000E48B2" w:rsidRPr="00446C19">
        <w:rPr>
          <w:snapToGrid w:val="0"/>
        </w:rPr>
        <w:t>fezolinetant</w:t>
      </w:r>
      <w:proofErr w:type="spellEnd"/>
      <w:r w:rsidRPr="00446C19">
        <w:rPr>
          <w:snapToGrid w:val="0"/>
        </w:rPr>
        <w:t xml:space="preserve"> in clinical practice</w:t>
      </w:r>
      <w:r w:rsidR="002308B2" w:rsidRPr="00446C19">
        <w:rPr>
          <w:snapToGrid w:val="0"/>
        </w:rPr>
        <w:t>, expressing support for its use in patients contraindicated to MHT</w:t>
      </w:r>
      <w:r w:rsidRPr="00446C19">
        <w:rPr>
          <w:snapToGrid w:val="0"/>
        </w:rPr>
        <w:t xml:space="preserve">.  </w:t>
      </w:r>
      <w:r w:rsidR="00CA5F19">
        <w:rPr>
          <w:snapToGrid w:val="0"/>
        </w:rPr>
        <w:t xml:space="preserve">In addition to </w:t>
      </w:r>
      <w:r w:rsidR="001D717C">
        <w:rPr>
          <w:snapToGrid w:val="0"/>
        </w:rPr>
        <w:t>points noted above the i</w:t>
      </w:r>
      <w:r w:rsidR="0092325E" w:rsidRPr="00F45D6F">
        <w:rPr>
          <w:snapToGrid w:val="0"/>
        </w:rPr>
        <w:t xml:space="preserve">nput noted that patients who </w:t>
      </w:r>
      <w:r w:rsidR="00C30E40">
        <w:rPr>
          <w:snapToGrid w:val="0"/>
        </w:rPr>
        <w:t>enter</w:t>
      </w:r>
      <w:r w:rsidR="0092325E" w:rsidRPr="00F45D6F">
        <w:rPr>
          <w:snapToGrid w:val="0"/>
        </w:rPr>
        <w:t xml:space="preserve"> menopause suddenly for medical reasons </w:t>
      </w:r>
      <w:r w:rsidR="00C30E40">
        <w:rPr>
          <w:snapToGrid w:val="0"/>
        </w:rPr>
        <w:t xml:space="preserve">are frequently young and </w:t>
      </w:r>
      <w:r w:rsidR="0092325E" w:rsidRPr="00F45D6F">
        <w:rPr>
          <w:snapToGrid w:val="0"/>
        </w:rPr>
        <w:t xml:space="preserve">often experience the earliest, worst, and most prolonged symptoms, yet are often contraindicated to MHT. </w:t>
      </w:r>
    </w:p>
    <w:bookmarkEnd w:id="26"/>
    <w:bookmarkEnd w:id="29"/>
    <w:p w14:paraId="623100FD" w14:textId="77777777" w:rsidR="00C77D0D" w:rsidRPr="00EB1825" w:rsidRDefault="00C77D0D" w:rsidP="00C77D0D">
      <w:pPr>
        <w:pStyle w:val="4-SubsectionHeading"/>
      </w:pPr>
      <w:r w:rsidRPr="00EB1825">
        <w:t>Clinical trials</w:t>
      </w:r>
      <w:bookmarkEnd w:id="27"/>
      <w:bookmarkEnd w:id="28"/>
    </w:p>
    <w:p w14:paraId="0CFFD104" w14:textId="70593C57" w:rsidR="00C77D0D" w:rsidRPr="00554C89" w:rsidRDefault="00C77D0D" w:rsidP="00766C07">
      <w:pPr>
        <w:pStyle w:val="3-BodyText"/>
      </w:pPr>
      <w:r w:rsidRPr="00554C89">
        <w:t xml:space="preserve">The clinical data presented in the resubmission were largely unchanged from the March 2025 submission, </w:t>
      </w:r>
      <w:proofErr w:type="gramStart"/>
      <w:r w:rsidRPr="00554C89">
        <w:t>with the exception of</w:t>
      </w:r>
      <w:proofErr w:type="gramEnd"/>
      <w:r w:rsidRPr="00554C89">
        <w:t xml:space="preserve"> </w:t>
      </w:r>
      <w:r w:rsidR="00F505DA" w:rsidRPr="00554C89">
        <w:t xml:space="preserve">an </w:t>
      </w:r>
      <w:r w:rsidRPr="00554C89">
        <w:t>additional post hoc analysis in the revised PBS population, who are MHT unsuitable, defined as MHT contraindicated, MHT stopper and MHT cautioned (excluding MHT averse from the previous submission).</w:t>
      </w:r>
    </w:p>
    <w:p w14:paraId="4D023788" w14:textId="77777777" w:rsidR="00C77D0D" w:rsidRPr="00554C89" w:rsidRDefault="00C77D0D" w:rsidP="00766C07">
      <w:pPr>
        <w:pStyle w:val="3-BodyText"/>
      </w:pPr>
      <w:r w:rsidRPr="00554C89">
        <w:t xml:space="preserve">The clinical evidence was based on four randomised controlled trials (RCTs) comparing </w:t>
      </w:r>
      <w:proofErr w:type="spellStart"/>
      <w:r w:rsidRPr="00554C89">
        <w:t>fezolinetant</w:t>
      </w:r>
      <w:proofErr w:type="spellEnd"/>
      <w:r w:rsidRPr="00554C89">
        <w:t xml:space="preserve"> versus placebo (DAYLIGHT, SKYLIGHT 1, SKYLIGHT 2 and SKYLIGHT 4) for treatment of moderate to severe VMS. Details of the trials presented in the submission are provided in Table 3 below.</w:t>
      </w:r>
    </w:p>
    <w:p w14:paraId="69193545" w14:textId="032E6055" w:rsidR="00C77D0D" w:rsidRPr="00EB1825" w:rsidRDefault="00C77D0D" w:rsidP="006F7A9F">
      <w:pPr>
        <w:pStyle w:val="Caption"/>
        <w:jc w:val="left"/>
      </w:pPr>
      <w:r w:rsidRPr="00EB1825">
        <w:t xml:space="preserve">Table </w:t>
      </w:r>
      <w:r w:rsidRPr="00EB1825">
        <w:fldChar w:fldCharType="begin"/>
      </w:r>
      <w:r w:rsidRPr="00EB1825">
        <w:instrText>SEQ Table \* ARABIC</w:instrText>
      </w:r>
      <w:r w:rsidRPr="00EB1825">
        <w:fldChar w:fldCharType="separate"/>
      </w:r>
      <w:r w:rsidR="00946DF5">
        <w:rPr>
          <w:noProof/>
        </w:rPr>
        <w:t>3</w:t>
      </w:r>
      <w:r w:rsidRPr="00EB1825">
        <w:fldChar w:fldCharType="end"/>
      </w:r>
      <w:r w:rsidRPr="00EB1825">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272"/>
        <w:gridCol w:w="6095"/>
        <w:gridCol w:w="1650"/>
      </w:tblGrid>
      <w:tr w:rsidR="00C77D0D" w:rsidRPr="00EB1825" w14:paraId="0BF20157" w14:textId="77777777" w:rsidTr="006F7A9F">
        <w:trPr>
          <w:tblHeader/>
        </w:trPr>
        <w:tc>
          <w:tcPr>
            <w:tcW w:w="705" w:type="pct"/>
            <w:vAlign w:val="center"/>
          </w:tcPr>
          <w:p w14:paraId="071D823E" w14:textId="77777777" w:rsidR="00C77D0D" w:rsidRPr="00EB1825" w:rsidRDefault="00C77D0D" w:rsidP="006F7A9F">
            <w:pPr>
              <w:pStyle w:val="In-tableHeading"/>
              <w:rPr>
                <w:lang w:val="en-AU"/>
              </w:rPr>
            </w:pPr>
            <w:r w:rsidRPr="00EB1825">
              <w:rPr>
                <w:lang w:val="en-AU"/>
              </w:rPr>
              <w:t>Trial ID</w:t>
            </w:r>
          </w:p>
        </w:tc>
        <w:tc>
          <w:tcPr>
            <w:tcW w:w="3380" w:type="pct"/>
            <w:vAlign w:val="center"/>
          </w:tcPr>
          <w:p w14:paraId="121A46C3" w14:textId="77777777" w:rsidR="00C77D0D" w:rsidRPr="00EB1825" w:rsidRDefault="00C77D0D" w:rsidP="006F7A9F">
            <w:pPr>
              <w:pStyle w:val="In-tableHeading"/>
              <w:rPr>
                <w:lang w:val="en-AU"/>
              </w:rPr>
            </w:pPr>
            <w:r w:rsidRPr="00EB1825">
              <w:rPr>
                <w:lang w:val="en-AU"/>
              </w:rPr>
              <w:t>Protocol title/ Publication title</w:t>
            </w:r>
          </w:p>
        </w:tc>
        <w:tc>
          <w:tcPr>
            <w:tcW w:w="915" w:type="pct"/>
            <w:vAlign w:val="center"/>
          </w:tcPr>
          <w:p w14:paraId="15197033" w14:textId="77777777" w:rsidR="00C77D0D" w:rsidRPr="00EB1825" w:rsidRDefault="00C77D0D" w:rsidP="006F7A9F">
            <w:pPr>
              <w:pStyle w:val="In-tableHeading"/>
              <w:rPr>
                <w:lang w:val="en-AU"/>
              </w:rPr>
            </w:pPr>
            <w:r w:rsidRPr="00EB1825">
              <w:rPr>
                <w:lang w:val="en-AU"/>
              </w:rPr>
              <w:t>Publication citation</w:t>
            </w:r>
          </w:p>
        </w:tc>
      </w:tr>
      <w:tr w:rsidR="00C77D0D" w:rsidRPr="00EB1825" w14:paraId="306ED742" w14:textId="77777777" w:rsidTr="006F7A9F">
        <w:tc>
          <w:tcPr>
            <w:tcW w:w="705" w:type="pct"/>
            <w:vMerge w:val="restart"/>
            <w:shd w:val="clear" w:color="auto" w:fill="B8CCE4" w:themeFill="accent1" w:themeFillTint="66"/>
            <w:vAlign w:val="center"/>
          </w:tcPr>
          <w:p w14:paraId="5E2A0B8B" w14:textId="77777777" w:rsidR="00C77D0D" w:rsidRPr="00EB1825" w:rsidRDefault="00C77D0D" w:rsidP="006F7A9F">
            <w:pPr>
              <w:pStyle w:val="TableText0"/>
            </w:pPr>
            <w:r w:rsidRPr="00EB1825">
              <w:t>DAYLIGHT</w:t>
            </w:r>
          </w:p>
          <w:p w14:paraId="0E09C265" w14:textId="77777777" w:rsidR="00C77D0D" w:rsidRPr="00EB1825" w:rsidRDefault="00C77D0D" w:rsidP="006F7A9F">
            <w:pPr>
              <w:pStyle w:val="TableText0"/>
            </w:pPr>
            <w:r w:rsidRPr="00EB1825">
              <w:t>(NCT05033886)</w:t>
            </w:r>
          </w:p>
        </w:tc>
        <w:tc>
          <w:tcPr>
            <w:tcW w:w="3380" w:type="pct"/>
            <w:tcBorders>
              <w:bottom w:val="nil"/>
            </w:tcBorders>
            <w:shd w:val="clear" w:color="auto" w:fill="B8CCE4" w:themeFill="accent1" w:themeFillTint="66"/>
            <w:vAlign w:val="center"/>
          </w:tcPr>
          <w:p w14:paraId="27734993" w14:textId="77777777" w:rsidR="00C77D0D" w:rsidRPr="00EB1825" w:rsidRDefault="00C77D0D" w:rsidP="006F7A9F">
            <w:pPr>
              <w:pStyle w:val="TableText0"/>
              <w:rPr>
                <w:szCs w:val="18"/>
              </w:rPr>
            </w:pPr>
            <w:r w:rsidRPr="00EB1825">
              <w:rPr>
                <w:szCs w:val="18"/>
              </w:rPr>
              <w:t xml:space="preserve">A Phase 3b, Randomised, Double-blind, Placebo-controlled, 24-week Study to Assess the Efficacy and Safety of </w:t>
            </w:r>
            <w:proofErr w:type="spellStart"/>
            <w:r w:rsidRPr="00EB1825">
              <w:rPr>
                <w:szCs w:val="18"/>
              </w:rPr>
              <w:t>Fezolinetant</w:t>
            </w:r>
            <w:proofErr w:type="spellEnd"/>
            <w:r w:rsidRPr="00EB1825">
              <w:rPr>
                <w:szCs w:val="18"/>
              </w:rPr>
              <w:t xml:space="preserve"> in Menopausal Women Suffering from Moderate to Severe Vasomotor Symptoms (Hot Flashes) and Considered Unsuitable for Hormone Replacement Therapy.</w:t>
            </w:r>
          </w:p>
        </w:tc>
        <w:tc>
          <w:tcPr>
            <w:tcW w:w="915" w:type="pct"/>
            <w:tcBorders>
              <w:bottom w:val="nil"/>
            </w:tcBorders>
            <w:shd w:val="clear" w:color="auto" w:fill="B8CCE4" w:themeFill="accent1" w:themeFillTint="66"/>
            <w:vAlign w:val="center"/>
          </w:tcPr>
          <w:p w14:paraId="0CDA5EAD" w14:textId="77777777" w:rsidR="00C77D0D" w:rsidRPr="00EB1825" w:rsidRDefault="00C77D0D" w:rsidP="006F7A9F">
            <w:pPr>
              <w:pStyle w:val="TableText0"/>
            </w:pPr>
            <w:r w:rsidRPr="00EB1825">
              <w:t>27 Jun 2024</w:t>
            </w:r>
          </w:p>
        </w:tc>
      </w:tr>
      <w:tr w:rsidR="00C77D0D" w:rsidRPr="00EB1825" w14:paraId="526DBEDA" w14:textId="77777777" w:rsidTr="006F7A9F">
        <w:tc>
          <w:tcPr>
            <w:tcW w:w="705" w:type="pct"/>
            <w:vMerge/>
            <w:shd w:val="clear" w:color="auto" w:fill="B8CCE4" w:themeFill="accent1" w:themeFillTint="66"/>
            <w:vAlign w:val="center"/>
          </w:tcPr>
          <w:p w14:paraId="2744D299" w14:textId="77777777" w:rsidR="00C77D0D" w:rsidRPr="00EB1825" w:rsidRDefault="00C77D0D" w:rsidP="006F7A9F">
            <w:pPr>
              <w:pStyle w:val="TableText0"/>
            </w:pPr>
          </w:p>
        </w:tc>
        <w:tc>
          <w:tcPr>
            <w:tcW w:w="3380" w:type="pct"/>
            <w:tcBorders>
              <w:top w:val="nil"/>
              <w:bottom w:val="nil"/>
            </w:tcBorders>
            <w:shd w:val="clear" w:color="auto" w:fill="B8CCE4" w:themeFill="accent1" w:themeFillTint="66"/>
            <w:vAlign w:val="center"/>
          </w:tcPr>
          <w:p w14:paraId="16500656" w14:textId="77777777" w:rsidR="00C77D0D" w:rsidRPr="00EB1825" w:rsidRDefault="00C77D0D" w:rsidP="006F7A9F">
            <w:pPr>
              <w:pStyle w:val="TableText0"/>
              <w:rPr>
                <w:iCs/>
                <w:szCs w:val="18"/>
              </w:rPr>
            </w:pPr>
            <w:proofErr w:type="spellStart"/>
            <w:r w:rsidRPr="00EB1825">
              <w:rPr>
                <w:iCs/>
                <w:szCs w:val="18"/>
              </w:rPr>
              <w:t>Schaudig</w:t>
            </w:r>
            <w:proofErr w:type="spellEnd"/>
            <w:r w:rsidRPr="00EB1825">
              <w:rPr>
                <w:iCs/>
                <w:szCs w:val="18"/>
              </w:rPr>
              <w:t xml:space="preserve"> K, Wang X, Bouchard C, Hirschberg AL, </w:t>
            </w:r>
            <w:proofErr w:type="spellStart"/>
            <w:r w:rsidRPr="00EB1825">
              <w:rPr>
                <w:iCs/>
                <w:szCs w:val="18"/>
              </w:rPr>
              <w:t>Cano</w:t>
            </w:r>
            <w:proofErr w:type="spellEnd"/>
            <w:r w:rsidRPr="00EB1825">
              <w:rPr>
                <w:iCs/>
                <w:szCs w:val="18"/>
              </w:rPr>
              <w:t xml:space="preserve"> A, Shapiro CMM, Stute P, Wu X, </w:t>
            </w:r>
            <w:proofErr w:type="spellStart"/>
            <w:r w:rsidRPr="00EB1825">
              <w:rPr>
                <w:iCs/>
                <w:szCs w:val="18"/>
              </w:rPr>
              <w:t>Miyazki</w:t>
            </w:r>
            <w:proofErr w:type="spellEnd"/>
            <w:r w:rsidRPr="00EB1825">
              <w:rPr>
                <w:iCs/>
                <w:szCs w:val="18"/>
              </w:rPr>
              <w:t xml:space="preserve"> K, </w:t>
            </w:r>
            <w:proofErr w:type="spellStart"/>
            <w:r w:rsidRPr="00EB1825">
              <w:rPr>
                <w:iCs/>
                <w:szCs w:val="18"/>
              </w:rPr>
              <w:t>Scrine</w:t>
            </w:r>
            <w:proofErr w:type="spellEnd"/>
            <w:r w:rsidRPr="00EB1825">
              <w:rPr>
                <w:iCs/>
                <w:szCs w:val="18"/>
              </w:rPr>
              <w:t xml:space="preserve"> L, Nappi RE. Efficacy and safety of </w:t>
            </w:r>
            <w:proofErr w:type="spellStart"/>
            <w:r w:rsidRPr="00EB1825">
              <w:rPr>
                <w:iCs/>
                <w:szCs w:val="18"/>
              </w:rPr>
              <w:t>fezolinetant</w:t>
            </w:r>
            <w:proofErr w:type="spellEnd"/>
            <w:r w:rsidRPr="00EB1825">
              <w:rPr>
                <w:iCs/>
                <w:szCs w:val="18"/>
              </w:rPr>
              <w:t xml:space="preserve"> for moderate-severe vasomotor symptoms associated with menopause in individuals unsuitable for hormone therapy: phase 3b randomised controlled trial </w:t>
            </w:r>
          </w:p>
        </w:tc>
        <w:tc>
          <w:tcPr>
            <w:tcW w:w="915" w:type="pct"/>
            <w:tcBorders>
              <w:top w:val="nil"/>
              <w:bottom w:val="nil"/>
            </w:tcBorders>
            <w:shd w:val="clear" w:color="auto" w:fill="B8CCE4" w:themeFill="accent1" w:themeFillTint="66"/>
            <w:vAlign w:val="center"/>
          </w:tcPr>
          <w:p w14:paraId="170FC10D" w14:textId="77777777" w:rsidR="00C77D0D" w:rsidRPr="00EB1825" w:rsidRDefault="00C77D0D" w:rsidP="006F7A9F">
            <w:pPr>
              <w:pStyle w:val="TableText0"/>
              <w:rPr>
                <w:iCs/>
                <w:szCs w:val="18"/>
              </w:rPr>
            </w:pPr>
            <w:r w:rsidRPr="00EB1825">
              <w:rPr>
                <w:iCs/>
                <w:szCs w:val="18"/>
              </w:rPr>
              <w:t>BMJ 2024; 387:e079525</w:t>
            </w:r>
          </w:p>
        </w:tc>
      </w:tr>
      <w:tr w:rsidR="00C77D0D" w:rsidRPr="00EB1825" w14:paraId="00D1F6A6" w14:textId="77777777" w:rsidTr="006F7A9F">
        <w:tc>
          <w:tcPr>
            <w:tcW w:w="705" w:type="pct"/>
            <w:vMerge w:val="restart"/>
            <w:shd w:val="clear" w:color="auto" w:fill="B8CCE4" w:themeFill="accent1" w:themeFillTint="66"/>
            <w:vAlign w:val="center"/>
          </w:tcPr>
          <w:p w14:paraId="573F94B3" w14:textId="77777777" w:rsidR="00C77D0D" w:rsidRPr="00EB1825" w:rsidRDefault="00C77D0D" w:rsidP="006F7A9F">
            <w:pPr>
              <w:pStyle w:val="TableText0"/>
            </w:pPr>
            <w:r w:rsidRPr="00EB1825">
              <w:t>SKYLIGHT 1</w:t>
            </w:r>
          </w:p>
          <w:p w14:paraId="3D387942" w14:textId="77777777" w:rsidR="00C77D0D" w:rsidRPr="00EB1825" w:rsidRDefault="00C77D0D" w:rsidP="006F7A9F">
            <w:pPr>
              <w:pStyle w:val="TableText0"/>
            </w:pPr>
            <w:r w:rsidRPr="00EB1825">
              <w:t>(NCT04003155)</w:t>
            </w:r>
          </w:p>
        </w:tc>
        <w:tc>
          <w:tcPr>
            <w:tcW w:w="3380" w:type="pct"/>
            <w:tcBorders>
              <w:bottom w:val="nil"/>
            </w:tcBorders>
            <w:shd w:val="clear" w:color="auto" w:fill="B8CCE4" w:themeFill="accent1" w:themeFillTint="66"/>
            <w:vAlign w:val="center"/>
          </w:tcPr>
          <w:p w14:paraId="3A90B7D6" w14:textId="77777777" w:rsidR="00C77D0D" w:rsidRPr="00EB1825" w:rsidRDefault="00C77D0D" w:rsidP="006F7A9F">
            <w:pPr>
              <w:pStyle w:val="TableText0"/>
            </w:pPr>
            <w:r w:rsidRPr="00EB1825">
              <w:t xml:space="preserve">A Phase 3, Randomised, Placebo-controlled, 12-week Double-blind Study, followed by a Non-Controlled Extension Treatment Period, to Assess the Efficacy and Safety of </w:t>
            </w:r>
            <w:proofErr w:type="spellStart"/>
            <w:r w:rsidRPr="00EB1825">
              <w:t>Fezolinetant</w:t>
            </w:r>
            <w:proofErr w:type="spellEnd"/>
            <w:r w:rsidRPr="00EB1825">
              <w:t xml:space="preserve"> in Women Suffering from Moderate to Severe Vasomotor Symptoms (Hot Flashes) Associated with Menopause.</w:t>
            </w:r>
          </w:p>
        </w:tc>
        <w:tc>
          <w:tcPr>
            <w:tcW w:w="915" w:type="pct"/>
            <w:tcBorders>
              <w:bottom w:val="nil"/>
            </w:tcBorders>
            <w:shd w:val="clear" w:color="auto" w:fill="B8CCE4" w:themeFill="accent1" w:themeFillTint="66"/>
            <w:vAlign w:val="center"/>
          </w:tcPr>
          <w:p w14:paraId="5CE964EE" w14:textId="77777777" w:rsidR="00C77D0D" w:rsidRPr="00EB1825" w:rsidRDefault="00C77D0D" w:rsidP="006F7A9F">
            <w:pPr>
              <w:pStyle w:val="TableText0"/>
            </w:pPr>
            <w:r w:rsidRPr="00EB1825">
              <w:t>24 Feb 2022</w:t>
            </w:r>
          </w:p>
        </w:tc>
      </w:tr>
      <w:tr w:rsidR="00C77D0D" w:rsidRPr="00EB1825" w14:paraId="1FFAD531" w14:textId="77777777" w:rsidTr="006F7A9F">
        <w:tc>
          <w:tcPr>
            <w:tcW w:w="705" w:type="pct"/>
            <w:vMerge/>
            <w:shd w:val="clear" w:color="auto" w:fill="B8CCE4" w:themeFill="accent1" w:themeFillTint="66"/>
            <w:vAlign w:val="center"/>
          </w:tcPr>
          <w:p w14:paraId="11EFFF45" w14:textId="77777777" w:rsidR="00C77D0D" w:rsidRPr="00EB1825" w:rsidRDefault="00C77D0D" w:rsidP="006F7A9F">
            <w:pPr>
              <w:pStyle w:val="TableText0"/>
            </w:pPr>
          </w:p>
        </w:tc>
        <w:tc>
          <w:tcPr>
            <w:tcW w:w="3380" w:type="pct"/>
            <w:tcBorders>
              <w:top w:val="nil"/>
              <w:bottom w:val="nil"/>
            </w:tcBorders>
            <w:shd w:val="clear" w:color="auto" w:fill="B8CCE4" w:themeFill="accent1" w:themeFillTint="66"/>
            <w:vAlign w:val="center"/>
          </w:tcPr>
          <w:p w14:paraId="3F20C00D" w14:textId="77777777" w:rsidR="00C77D0D" w:rsidRPr="00EB1825" w:rsidRDefault="00C77D0D" w:rsidP="006F7A9F">
            <w:pPr>
              <w:pStyle w:val="TableText0"/>
              <w:rPr>
                <w:szCs w:val="18"/>
              </w:rPr>
            </w:pPr>
            <w:r w:rsidRPr="00EB1825">
              <w:rPr>
                <w:szCs w:val="18"/>
              </w:rPr>
              <w:t xml:space="preserve">Lederman S, Ottery FD, </w:t>
            </w:r>
            <w:proofErr w:type="spellStart"/>
            <w:r w:rsidRPr="00EB1825">
              <w:rPr>
                <w:szCs w:val="18"/>
              </w:rPr>
              <w:t>Cano</w:t>
            </w:r>
            <w:proofErr w:type="spellEnd"/>
            <w:r w:rsidRPr="00EB1825">
              <w:rPr>
                <w:szCs w:val="18"/>
              </w:rPr>
              <w:t xml:space="preserve"> A, Santoro N, Shapiro M, Stute P, Thurston RC, English M, Franklin C, Lee M, Neal-Perry G. </w:t>
            </w:r>
            <w:proofErr w:type="spellStart"/>
            <w:r w:rsidRPr="00EB1825">
              <w:rPr>
                <w:szCs w:val="18"/>
              </w:rPr>
              <w:t>Fezolinetant</w:t>
            </w:r>
            <w:proofErr w:type="spellEnd"/>
            <w:r w:rsidRPr="00EB1825">
              <w:rPr>
                <w:szCs w:val="18"/>
              </w:rPr>
              <w:t xml:space="preserve"> for treatment of moderate-to-severe vasomotor symptoms associated with menopause (SKYLIGHT 1): a phase 3 randomised controlled study.</w:t>
            </w:r>
          </w:p>
        </w:tc>
        <w:tc>
          <w:tcPr>
            <w:tcW w:w="915" w:type="pct"/>
            <w:tcBorders>
              <w:top w:val="nil"/>
              <w:bottom w:val="single" w:sz="4" w:space="0" w:color="auto"/>
            </w:tcBorders>
            <w:shd w:val="clear" w:color="auto" w:fill="B8CCE4" w:themeFill="accent1" w:themeFillTint="66"/>
            <w:vAlign w:val="center"/>
          </w:tcPr>
          <w:p w14:paraId="66748AB9" w14:textId="77777777" w:rsidR="00C77D0D" w:rsidRPr="00EB1825" w:rsidRDefault="00C77D0D" w:rsidP="006F7A9F">
            <w:pPr>
              <w:pStyle w:val="TableText0"/>
              <w:rPr>
                <w:i/>
              </w:rPr>
            </w:pPr>
            <w:r w:rsidRPr="00EB1825">
              <w:rPr>
                <w:szCs w:val="18"/>
              </w:rPr>
              <w:t>Lancet. 2023; 401(10382):1091-1102</w:t>
            </w:r>
          </w:p>
        </w:tc>
      </w:tr>
      <w:tr w:rsidR="00C77D0D" w:rsidRPr="00EB1825" w14:paraId="5F7D53C2" w14:textId="77777777" w:rsidTr="006F7A9F">
        <w:tc>
          <w:tcPr>
            <w:tcW w:w="705" w:type="pct"/>
            <w:vMerge w:val="restart"/>
            <w:shd w:val="clear" w:color="auto" w:fill="B8CCE4" w:themeFill="accent1" w:themeFillTint="66"/>
            <w:vAlign w:val="center"/>
          </w:tcPr>
          <w:p w14:paraId="74D1878C" w14:textId="77777777" w:rsidR="00C77D0D" w:rsidRPr="00EB1825" w:rsidRDefault="00C77D0D" w:rsidP="006F7A9F">
            <w:pPr>
              <w:pStyle w:val="TableText0"/>
            </w:pPr>
            <w:r w:rsidRPr="00EB1825">
              <w:t>SKYLIGHT 2</w:t>
            </w:r>
          </w:p>
          <w:p w14:paraId="254A0264" w14:textId="77777777" w:rsidR="00C77D0D" w:rsidRPr="00EB1825" w:rsidRDefault="00C77D0D" w:rsidP="006F7A9F">
            <w:pPr>
              <w:pStyle w:val="TableText0"/>
            </w:pPr>
            <w:r w:rsidRPr="00EB1825">
              <w:t>(NCT04003142)</w:t>
            </w:r>
          </w:p>
        </w:tc>
        <w:tc>
          <w:tcPr>
            <w:tcW w:w="3380" w:type="pct"/>
            <w:tcBorders>
              <w:bottom w:val="nil"/>
            </w:tcBorders>
            <w:shd w:val="clear" w:color="auto" w:fill="B8CCE4" w:themeFill="accent1" w:themeFillTint="66"/>
            <w:vAlign w:val="center"/>
          </w:tcPr>
          <w:p w14:paraId="234A8BF9" w14:textId="77777777" w:rsidR="00C77D0D" w:rsidRPr="00EB1825" w:rsidRDefault="00C77D0D" w:rsidP="006F7A9F">
            <w:pPr>
              <w:pStyle w:val="TableText0"/>
              <w:rPr>
                <w:szCs w:val="18"/>
              </w:rPr>
            </w:pPr>
            <w:r w:rsidRPr="00EB1825">
              <w:rPr>
                <w:szCs w:val="18"/>
              </w:rPr>
              <w:t xml:space="preserve">A Phase 3, Randomised, Placebo-controlled, 12-week Double-blind Study, followed by a Non-Controlled Extension Treatment Period, to Assess the Efficacy and Safety of </w:t>
            </w:r>
            <w:proofErr w:type="spellStart"/>
            <w:r w:rsidRPr="00EB1825">
              <w:rPr>
                <w:szCs w:val="18"/>
              </w:rPr>
              <w:t>Fezolinetant</w:t>
            </w:r>
            <w:proofErr w:type="spellEnd"/>
            <w:r w:rsidRPr="00EB1825">
              <w:rPr>
                <w:szCs w:val="18"/>
              </w:rPr>
              <w:t xml:space="preserve"> in Women Suffering from Moderate to Severe Vasomotor Symptoms (Hot Flashes) Associated with Menopause.</w:t>
            </w:r>
          </w:p>
        </w:tc>
        <w:tc>
          <w:tcPr>
            <w:tcW w:w="915" w:type="pct"/>
            <w:tcBorders>
              <w:bottom w:val="nil"/>
            </w:tcBorders>
            <w:shd w:val="clear" w:color="auto" w:fill="B8CCE4" w:themeFill="accent1" w:themeFillTint="66"/>
            <w:vAlign w:val="center"/>
          </w:tcPr>
          <w:p w14:paraId="7DE89A88" w14:textId="77777777" w:rsidR="00C77D0D" w:rsidRPr="00EB1825" w:rsidRDefault="00C77D0D" w:rsidP="006F7A9F">
            <w:pPr>
              <w:pStyle w:val="TableText0"/>
            </w:pPr>
            <w:r w:rsidRPr="00EB1825">
              <w:t>23 Feb 2022</w:t>
            </w:r>
          </w:p>
        </w:tc>
      </w:tr>
      <w:tr w:rsidR="00C77D0D" w:rsidRPr="00EB1825" w14:paraId="745753FF" w14:textId="77777777" w:rsidTr="006F7A9F">
        <w:tc>
          <w:tcPr>
            <w:tcW w:w="705" w:type="pct"/>
            <w:vMerge/>
            <w:tcBorders>
              <w:bottom w:val="nil"/>
            </w:tcBorders>
            <w:shd w:val="clear" w:color="auto" w:fill="B8CCE4" w:themeFill="accent1" w:themeFillTint="66"/>
            <w:vAlign w:val="center"/>
          </w:tcPr>
          <w:p w14:paraId="66031928" w14:textId="77777777" w:rsidR="00C77D0D" w:rsidRPr="00EB1825" w:rsidRDefault="00C77D0D" w:rsidP="006F7A9F">
            <w:pPr>
              <w:pStyle w:val="TableText0"/>
            </w:pPr>
          </w:p>
        </w:tc>
        <w:tc>
          <w:tcPr>
            <w:tcW w:w="3380" w:type="pct"/>
            <w:tcBorders>
              <w:top w:val="nil"/>
              <w:bottom w:val="nil"/>
            </w:tcBorders>
            <w:shd w:val="clear" w:color="auto" w:fill="B8CCE4" w:themeFill="accent1" w:themeFillTint="66"/>
            <w:vAlign w:val="center"/>
          </w:tcPr>
          <w:p w14:paraId="1FE91203" w14:textId="77777777" w:rsidR="00C77D0D" w:rsidRPr="00EB1825" w:rsidRDefault="00C77D0D" w:rsidP="006F7A9F">
            <w:pPr>
              <w:pStyle w:val="TableText0"/>
              <w:rPr>
                <w:szCs w:val="18"/>
              </w:rPr>
            </w:pPr>
            <w:r w:rsidRPr="00EB1825">
              <w:rPr>
                <w:szCs w:val="18"/>
              </w:rPr>
              <w:t xml:space="preserve">Johnson KA, Martin N, Nappi RE, Neal-Perry G, Shapiro M, Stute P, Thurston RC, Wolfman W, English M, Franklin C, Lee M, Santoro N. Efficacy and Safety of </w:t>
            </w:r>
            <w:proofErr w:type="spellStart"/>
            <w:r w:rsidRPr="00EB1825">
              <w:rPr>
                <w:szCs w:val="18"/>
              </w:rPr>
              <w:t>Fezolinetant</w:t>
            </w:r>
            <w:proofErr w:type="spellEnd"/>
            <w:r w:rsidRPr="00EB1825">
              <w:rPr>
                <w:szCs w:val="18"/>
              </w:rPr>
              <w:t xml:space="preserve"> in Moderate to Severe Vasomotor Symptoms Associated </w:t>
            </w:r>
            <w:proofErr w:type="gramStart"/>
            <w:r w:rsidRPr="00EB1825">
              <w:rPr>
                <w:szCs w:val="18"/>
              </w:rPr>
              <w:t>With</w:t>
            </w:r>
            <w:proofErr w:type="gramEnd"/>
            <w:r w:rsidRPr="00EB1825">
              <w:rPr>
                <w:szCs w:val="18"/>
              </w:rPr>
              <w:t xml:space="preserve"> Menopause: A Phase 3 RCT.</w:t>
            </w:r>
          </w:p>
        </w:tc>
        <w:tc>
          <w:tcPr>
            <w:tcW w:w="915" w:type="pct"/>
            <w:tcBorders>
              <w:top w:val="nil"/>
              <w:bottom w:val="nil"/>
            </w:tcBorders>
            <w:shd w:val="clear" w:color="auto" w:fill="B8CCE4" w:themeFill="accent1" w:themeFillTint="66"/>
            <w:vAlign w:val="center"/>
          </w:tcPr>
          <w:p w14:paraId="4B64C7F1" w14:textId="77777777" w:rsidR="00C77D0D" w:rsidRPr="00EB1825" w:rsidRDefault="00C77D0D" w:rsidP="006F7A9F">
            <w:pPr>
              <w:pStyle w:val="TableText0"/>
            </w:pPr>
            <w:r w:rsidRPr="00EB1825">
              <w:rPr>
                <w:szCs w:val="18"/>
              </w:rPr>
              <w:t>J Clin Endocrinol Metab. 2023; 108(8):1981-1997</w:t>
            </w:r>
          </w:p>
        </w:tc>
      </w:tr>
      <w:tr w:rsidR="00C77D0D" w:rsidRPr="00EB1825" w14:paraId="240996CD" w14:textId="77777777" w:rsidTr="006F7A9F">
        <w:tc>
          <w:tcPr>
            <w:tcW w:w="705" w:type="pct"/>
            <w:vMerge w:val="restart"/>
            <w:shd w:val="clear" w:color="auto" w:fill="B8CCE4" w:themeFill="accent1" w:themeFillTint="66"/>
            <w:vAlign w:val="center"/>
          </w:tcPr>
          <w:p w14:paraId="553E499C" w14:textId="77777777" w:rsidR="00C77D0D" w:rsidRPr="00EB1825" w:rsidRDefault="00C77D0D" w:rsidP="006F7A9F">
            <w:pPr>
              <w:pStyle w:val="TableText0"/>
            </w:pPr>
            <w:r w:rsidRPr="00EB1825">
              <w:t>SKYLIGHT 4</w:t>
            </w:r>
          </w:p>
          <w:p w14:paraId="519AB5C5" w14:textId="77777777" w:rsidR="00C77D0D" w:rsidRPr="00EB1825" w:rsidRDefault="00C77D0D" w:rsidP="006F7A9F">
            <w:pPr>
              <w:pStyle w:val="TableText0"/>
            </w:pPr>
            <w:r w:rsidRPr="00EB1825">
              <w:t>(NCT04003389)</w:t>
            </w:r>
          </w:p>
        </w:tc>
        <w:tc>
          <w:tcPr>
            <w:tcW w:w="3380" w:type="pct"/>
            <w:tcBorders>
              <w:bottom w:val="nil"/>
            </w:tcBorders>
            <w:shd w:val="clear" w:color="auto" w:fill="B8CCE4" w:themeFill="accent1" w:themeFillTint="66"/>
            <w:vAlign w:val="center"/>
          </w:tcPr>
          <w:p w14:paraId="373C2713" w14:textId="77777777" w:rsidR="00C77D0D" w:rsidRPr="00EB1825" w:rsidRDefault="00C77D0D" w:rsidP="006F7A9F">
            <w:pPr>
              <w:pStyle w:val="TableText0"/>
            </w:pPr>
            <w:r w:rsidRPr="00EB1825">
              <w:t xml:space="preserve">A Randomised, Placebo-Controlled, Double-Blind Phase 3 Clinical Study to Investigate the Long-Term Safety of </w:t>
            </w:r>
            <w:proofErr w:type="spellStart"/>
            <w:r w:rsidRPr="00EB1825">
              <w:t>Fezolinetant</w:t>
            </w:r>
            <w:proofErr w:type="spellEnd"/>
            <w:r w:rsidRPr="00EB1825">
              <w:t xml:space="preserve"> in Women Suffering </w:t>
            </w:r>
            <w:proofErr w:type="gramStart"/>
            <w:r w:rsidRPr="00EB1825">
              <w:t>From</w:t>
            </w:r>
            <w:proofErr w:type="gramEnd"/>
            <w:r w:rsidRPr="00EB1825">
              <w:t xml:space="preserve"> Vasomotor Symptoms (Hot Flashes) Associated with Menopause.</w:t>
            </w:r>
          </w:p>
        </w:tc>
        <w:tc>
          <w:tcPr>
            <w:tcW w:w="915" w:type="pct"/>
            <w:tcBorders>
              <w:bottom w:val="nil"/>
            </w:tcBorders>
            <w:shd w:val="clear" w:color="auto" w:fill="B8CCE4" w:themeFill="accent1" w:themeFillTint="66"/>
            <w:vAlign w:val="center"/>
          </w:tcPr>
          <w:p w14:paraId="19B3DBF2" w14:textId="77777777" w:rsidR="00C77D0D" w:rsidRPr="00EB1825" w:rsidRDefault="00C77D0D" w:rsidP="006F7A9F">
            <w:pPr>
              <w:pStyle w:val="TableText0"/>
            </w:pPr>
            <w:r w:rsidRPr="00EB1825">
              <w:t>16 May 2022</w:t>
            </w:r>
          </w:p>
        </w:tc>
      </w:tr>
      <w:tr w:rsidR="00C77D0D" w:rsidRPr="00EB1825" w14:paraId="6B458025" w14:textId="77777777" w:rsidTr="006F7A9F">
        <w:tc>
          <w:tcPr>
            <w:tcW w:w="705" w:type="pct"/>
            <w:vMerge/>
            <w:tcBorders>
              <w:bottom w:val="single" w:sz="4" w:space="0" w:color="auto"/>
            </w:tcBorders>
            <w:shd w:val="clear" w:color="auto" w:fill="B8CCE4" w:themeFill="accent1" w:themeFillTint="66"/>
            <w:vAlign w:val="center"/>
          </w:tcPr>
          <w:p w14:paraId="1EEAFFAE" w14:textId="77777777" w:rsidR="00C77D0D" w:rsidRPr="00EB1825" w:rsidRDefault="00C77D0D" w:rsidP="006F7A9F">
            <w:pPr>
              <w:pStyle w:val="TableText0"/>
            </w:pPr>
          </w:p>
        </w:tc>
        <w:tc>
          <w:tcPr>
            <w:tcW w:w="3380" w:type="pct"/>
            <w:tcBorders>
              <w:top w:val="nil"/>
              <w:bottom w:val="single" w:sz="4" w:space="0" w:color="auto"/>
            </w:tcBorders>
            <w:shd w:val="clear" w:color="auto" w:fill="B8CCE4" w:themeFill="accent1" w:themeFillTint="66"/>
            <w:vAlign w:val="center"/>
          </w:tcPr>
          <w:p w14:paraId="385F7B72" w14:textId="77777777" w:rsidR="00C77D0D" w:rsidRPr="00EB1825" w:rsidRDefault="00C77D0D" w:rsidP="006F7A9F">
            <w:pPr>
              <w:pStyle w:val="TableText0"/>
              <w:rPr>
                <w:szCs w:val="18"/>
              </w:rPr>
            </w:pPr>
            <w:r w:rsidRPr="00EB1825">
              <w:rPr>
                <w:szCs w:val="18"/>
              </w:rPr>
              <w:t xml:space="preserve">Neal-Perry G, </w:t>
            </w:r>
            <w:proofErr w:type="spellStart"/>
            <w:r w:rsidRPr="00EB1825">
              <w:rPr>
                <w:szCs w:val="18"/>
              </w:rPr>
              <w:t>Cano</w:t>
            </w:r>
            <w:proofErr w:type="spellEnd"/>
            <w:r w:rsidRPr="00EB1825">
              <w:rPr>
                <w:szCs w:val="18"/>
              </w:rPr>
              <w:t xml:space="preserve"> A, Lederman S, Nappi RE, Santoro N, Wolfman W, English M, Franklin C, Valluri U, Ottery FD. Safety of </w:t>
            </w:r>
            <w:proofErr w:type="spellStart"/>
            <w:r w:rsidRPr="00EB1825">
              <w:rPr>
                <w:szCs w:val="18"/>
              </w:rPr>
              <w:t>fezolinetant</w:t>
            </w:r>
            <w:proofErr w:type="spellEnd"/>
            <w:r w:rsidRPr="00EB1825">
              <w:rPr>
                <w:szCs w:val="18"/>
              </w:rPr>
              <w:t xml:space="preserve"> for vasomotor symptoms associated with menopause: a randomised controlled trial. </w:t>
            </w:r>
          </w:p>
        </w:tc>
        <w:tc>
          <w:tcPr>
            <w:tcW w:w="915" w:type="pct"/>
            <w:tcBorders>
              <w:top w:val="nil"/>
              <w:bottom w:val="single" w:sz="4" w:space="0" w:color="auto"/>
            </w:tcBorders>
            <w:shd w:val="clear" w:color="auto" w:fill="B8CCE4" w:themeFill="accent1" w:themeFillTint="66"/>
            <w:vAlign w:val="center"/>
          </w:tcPr>
          <w:p w14:paraId="420F97F6" w14:textId="77777777" w:rsidR="00C77D0D" w:rsidRPr="00EB1825" w:rsidRDefault="00C77D0D" w:rsidP="006F7A9F">
            <w:pPr>
              <w:pStyle w:val="TableText0"/>
            </w:pPr>
            <w:r w:rsidRPr="00EB1825">
              <w:rPr>
                <w:szCs w:val="18"/>
              </w:rPr>
              <w:t xml:space="preserve">Obstetrics &amp; </w:t>
            </w:r>
            <w:proofErr w:type="spellStart"/>
            <w:r w:rsidRPr="00EB1825">
              <w:rPr>
                <w:szCs w:val="18"/>
              </w:rPr>
              <w:t>Gynecology</w:t>
            </w:r>
            <w:proofErr w:type="spellEnd"/>
            <w:r w:rsidRPr="00EB1825">
              <w:rPr>
                <w:szCs w:val="18"/>
              </w:rPr>
              <w:t>. 2023; 141(4):737-747</w:t>
            </w:r>
          </w:p>
        </w:tc>
      </w:tr>
    </w:tbl>
    <w:p w14:paraId="64520C17" w14:textId="77777777" w:rsidR="00C77D0D" w:rsidRPr="00EB1825" w:rsidRDefault="00C77D0D" w:rsidP="006F7A9F">
      <w:pPr>
        <w:pStyle w:val="TableFigureFooter"/>
        <w:keepNext/>
        <w:spacing w:after="0"/>
        <w:rPr>
          <w:rStyle w:val="CommentReference"/>
          <w:b w:val="0"/>
          <w:sz w:val="18"/>
          <w:szCs w:val="18"/>
        </w:rPr>
      </w:pPr>
      <w:r w:rsidRPr="00EB1825">
        <w:rPr>
          <w:rStyle w:val="CommentReference"/>
          <w:b w:val="0"/>
          <w:sz w:val="18"/>
          <w:szCs w:val="18"/>
          <w:shd w:val="clear" w:color="auto" w:fill="B8CCE4" w:themeFill="accent1" w:themeFillTint="66"/>
        </w:rPr>
        <w:t xml:space="preserve">Blue </w:t>
      </w:r>
      <w:r w:rsidRPr="00EB1825">
        <w:rPr>
          <w:rStyle w:val="CommentReference"/>
          <w:b w:val="0"/>
          <w:sz w:val="18"/>
          <w:szCs w:val="18"/>
        </w:rPr>
        <w:t>shading indicates data previously seen by the PBAC.</w:t>
      </w:r>
    </w:p>
    <w:p w14:paraId="3AA6C9EA" w14:textId="77777777" w:rsidR="00C77D0D" w:rsidRPr="00EB1825" w:rsidRDefault="00C77D0D" w:rsidP="006F7A9F">
      <w:pPr>
        <w:pStyle w:val="FooterTableFigure"/>
        <w:keepNext/>
        <w:keepLines/>
        <w:rPr>
          <w:sz w:val="20"/>
        </w:rPr>
      </w:pPr>
      <w:r w:rsidRPr="00EB1825">
        <w:t>Source: Table 2.2-1, pp23-24 of the resubmission.</w:t>
      </w:r>
    </w:p>
    <w:p w14:paraId="2B9CDDA4" w14:textId="77777777" w:rsidR="00C77D0D" w:rsidRPr="00554C89" w:rsidRDefault="00C77D0D" w:rsidP="00766C07">
      <w:pPr>
        <w:pStyle w:val="3-BodyText"/>
      </w:pPr>
      <w:r w:rsidRPr="00554C89">
        <w:t>The key features of the included trials are summarised in Table 4.</w:t>
      </w:r>
    </w:p>
    <w:p w14:paraId="3BEFA8EE" w14:textId="3DBC235A" w:rsidR="00C77D0D" w:rsidRPr="00EB1825" w:rsidRDefault="00C77D0D" w:rsidP="00C77D0D">
      <w:pPr>
        <w:pStyle w:val="Caption"/>
      </w:pPr>
      <w:r w:rsidRPr="00EB1825">
        <w:t xml:space="preserve">Table </w:t>
      </w:r>
      <w:r w:rsidRPr="00EB1825">
        <w:fldChar w:fldCharType="begin"/>
      </w:r>
      <w:r w:rsidRPr="00EB1825">
        <w:instrText>SEQ Table \* ARABIC</w:instrText>
      </w:r>
      <w:r w:rsidRPr="00EB1825">
        <w:fldChar w:fldCharType="separate"/>
      </w:r>
      <w:r w:rsidR="00946DF5">
        <w:rPr>
          <w:noProof/>
        </w:rPr>
        <w:t>4</w:t>
      </w:r>
      <w:r w:rsidRPr="00EB1825">
        <w:fldChar w:fldCharType="end"/>
      </w:r>
      <w:r w:rsidRPr="00EB1825">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1119"/>
        <w:gridCol w:w="436"/>
        <w:gridCol w:w="1702"/>
        <w:gridCol w:w="424"/>
        <w:gridCol w:w="1582"/>
        <w:gridCol w:w="1839"/>
        <w:gridCol w:w="1553"/>
        <w:gridCol w:w="362"/>
      </w:tblGrid>
      <w:tr w:rsidR="00C77D0D" w:rsidRPr="00EB1825" w14:paraId="04DBE982" w14:textId="77777777" w:rsidTr="00AC6C8D">
        <w:trPr>
          <w:cantSplit/>
          <w:tblHeader/>
        </w:trPr>
        <w:tc>
          <w:tcPr>
            <w:tcW w:w="620" w:type="pct"/>
            <w:vAlign w:val="center"/>
          </w:tcPr>
          <w:p w14:paraId="74308FD2" w14:textId="77777777" w:rsidR="00C77D0D" w:rsidRPr="00EB1825" w:rsidRDefault="00C77D0D" w:rsidP="00AC6C8D">
            <w:pPr>
              <w:pStyle w:val="In-tableHeading"/>
              <w:rPr>
                <w:lang w:val="en-AU"/>
              </w:rPr>
            </w:pPr>
            <w:r w:rsidRPr="00EB1825">
              <w:rPr>
                <w:lang w:val="en-AU"/>
              </w:rPr>
              <w:t>Trial</w:t>
            </w:r>
          </w:p>
        </w:tc>
        <w:tc>
          <w:tcPr>
            <w:tcW w:w="242" w:type="pct"/>
            <w:vAlign w:val="center"/>
          </w:tcPr>
          <w:p w14:paraId="060A5192" w14:textId="77777777" w:rsidR="00C77D0D" w:rsidRPr="00EB1825" w:rsidRDefault="00C77D0D" w:rsidP="00AC6C8D">
            <w:pPr>
              <w:pStyle w:val="In-tableHeading"/>
              <w:jc w:val="center"/>
              <w:rPr>
                <w:lang w:val="en-AU"/>
              </w:rPr>
            </w:pPr>
            <w:r w:rsidRPr="00EB1825">
              <w:rPr>
                <w:lang w:val="en-AU"/>
              </w:rPr>
              <w:t>N</w:t>
            </w:r>
          </w:p>
        </w:tc>
        <w:tc>
          <w:tcPr>
            <w:tcW w:w="944" w:type="pct"/>
            <w:vAlign w:val="center"/>
          </w:tcPr>
          <w:p w14:paraId="54E7FF44" w14:textId="77777777" w:rsidR="00C77D0D" w:rsidRPr="00EB1825" w:rsidRDefault="00C77D0D" w:rsidP="00AC6C8D">
            <w:pPr>
              <w:pStyle w:val="In-tableHeading"/>
              <w:jc w:val="center"/>
              <w:rPr>
                <w:lang w:val="en-AU"/>
              </w:rPr>
            </w:pPr>
            <w:r w:rsidRPr="00EB1825">
              <w:rPr>
                <w:lang w:val="en-AU"/>
              </w:rPr>
              <w:t>Design/ duration</w:t>
            </w:r>
          </w:p>
        </w:tc>
        <w:tc>
          <w:tcPr>
            <w:tcW w:w="235" w:type="pct"/>
            <w:vAlign w:val="center"/>
          </w:tcPr>
          <w:p w14:paraId="6338BA81" w14:textId="77777777" w:rsidR="00C77D0D" w:rsidRPr="00EB1825" w:rsidRDefault="00C77D0D" w:rsidP="00AC6C8D">
            <w:pPr>
              <w:pStyle w:val="In-tableHeading"/>
              <w:jc w:val="center"/>
              <w:rPr>
                <w:lang w:val="en-AU"/>
              </w:rPr>
            </w:pPr>
            <w:r w:rsidRPr="00EB1825">
              <w:rPr>
                <w:lang w:val="en-AU"/>
              </w:rPr>
              <w:t>Bias</w:t>
            </w:r>
          </w:p>
        </w:tc>
        <w:tc>
          <w:tcPr>
            <w:tcW w:w="877" w:type="pct"/>
            <w:vAlign w:val="center"/>
          </w:tcPr>
          <w:p w14:paraId="1257C8CC" w14:textId="77777777" w:rsidR="00C77D0D" w:rsidRPr="00EB1825" w:rsidRDefault="00C77D0D" w:rsidP="00AC6C8D">
            <w:pPr>
              <w:pStyle w:val="In-tableHeading"/>
              <w:jc w:val="center"/>
              <w:rPr>
                <w:lang w:val="en-AU"/>
              </w:rPr>
            </w:pPr>
            <w:r w:rsidRPr="00EB1825">
              <w:rPr>
                <w:lang w:val="en-AU"/>
              </w:rPr>
              <w:t>Treatment</w:t>
            </w:r>
          </w:p>
        </w:tc>
        <w:tc>
          <w:tcPr>
            <w:tcW w:w="1020" w:type="pct"/>
            <w:vAlign w:val="center"/>
          </w:tcPr>
          <w:p w14:paraId="4CBEFD18" w14:textId="77777777" w:rsidR="00C77D0D" w:rsidRPr="00EB1825" w:rsidRDefault="00C77D0D" w:rsidP="00AC6C8D">
            <w:pPr>
              <w:pStyle w:val="In-tableHeading"/>
              <w:jc w:val="center"/>
              <w:rPr>
                <w:lang w:val="en-AU"/>
              </w:rPr>
            </w:pPr>
            <w:r w:rsidRPr="00EB1825">
              <w:rPr>
                <w:lang w:val="en-AU"/>
              </w:rPr>
              <w:t>Population</w:t>
            </w:r>
          </w:p>
        </w:tc>
        <w:tc>
          <w:tcPr>
            <w:tcW w:w="861" w:type="pct"/>
            <w:vAlign w:val="center"/>
          </w:tcPr>
          <w:p w14:paraId="56006A64" w14:textId="77777777" w:rsidR="00C77D0D" w:rsidRPr="00EB1825" w:rsidRDefault="00C77D0D" w:rsidP="00AC6C8D">
            <w:pPr>
              <w:pStyle w:val="In-tableHeading"/>
              <w:jc w:val="center"/>
              <w:rPr>
                <w:lang w:val="en-AU"/>
              </w:rPr>
            </w:pPr>
            <w:r w:rsidRPr="00EB1825">
              <w:rPr>
                <w:lang w:val="en-AU"/>
              </w:rPr>
              <w:t>Outcome(s)</w:t>
            </w:r>
          </w:p>
        </w:tc>
        <w:tc>
          <w:tcPr>
            <w:tcW w:w="201" w:type="pct"/>
            <w:vAlign w:val="center"/>
          </w:tcPr>
          <w:p w14:paraId="68FE7503" w14:textId="77777777" w:rsidR="00C77D0D" w:rsidRPr="00EB1825" w:rsidRDefault="00C77D0D" w:rsidP="00AC6C8D">
            <w:pPr>
              <w:pStyle w:val="In-tableHeading"/>
              <w:jc w:val="center"/>
              <w:rPr>
                <w:lang w:val="en-AU"/>
              </w:rPr>
            </w:pPr>
            <w:r w:rsidRPr="00EB1825">
              <w:rPr>
                <w:lang w:val="en-AU"/>
              </w:rPr>
              <w:t>S3</w:t>
            </w:r>
          </w:p>
        </w:tc>
      </w:tr>
      <w:tr w:rsidR="00C77D0D" w:rsidRPr="00EB1825" w14:paraId="3D3C2A81" w14:textId="77777777" w:rsidTr="00AC6C8D">
        <w:trPr>
          <w:cantSplit/>
        </w:trPr>
        <w:tc>
          <w:tcPr>
            <w:tcW w:w="5000" w:type="pct"/>
            <w:gridSpan w:val="8"/>
            <w:shd w:val="clear" w:color="auto" w:fill="B8CCE4" w:themeFill="accent1" w:themeFillTint="66"/>
            <w:vAlign w:val="center"/>
          </w:tcPr>
          <w:p w14:paraId="0399C58B" w14:textId="77777777" w:rsidR="00C77D0D" w:rsidRPr="00EB1825" w:rsidRDefault="00C77D0D" w:rsidP="00AC6C8D">
            <w:pPr>
              <w:pStyle w:val="In-tableHeading"/>
              <w:rPr>
                <w:lang w:val="en-AU"/>
              </w:rPr>
            </w:pPr>
            <w:proofErr w:type="spellStart"/>
            <w:r w:rsidRPr="00EB1825">
              <w:rPr>
                <w:lang w:val="en-AU"/>
              </w:rPr>
              <w:t>Fezolinetant</w:t>
            </w:r>
            <w:proofErr w:type="spellEnd"/>
            <w:r w:rsidRPr="00EB1825">
              <w:rPr>
                <w:lang w:val="en-AU"/>
              </w:rPr>
              <w:t xml:space="preserve"> vs PBO</w:t>
            </w:r>
          </w:p>
        </w:tc>
      </w:tr>
      <w:tr w:rsidR="00C77D0D" w:rsidRPr="00EB1825" w14:paraId="70FB762D" w14:textId="77777777" w:rsidTr="00AC6C8D">
        <w:trPr>
          <w:cantSplit/>
        </w:trPr>
        <w:tc>
          <w:tcPr>
            <w:tcW w:w="620" w:type="pct"/>
            <w:shd w:val="clear" w:color="auto" w:fill="B8CCE4" w:themeFill="accent1" w:themeFillTint="66"/>
            <w:vAlign w:val="center"/>
          </w:tcPr>
          <w:p w14:paraId="48377BDE" w14:textId="77777777" w:rsidR="00C77D0D" w:rsidRPr="00EB1825" w:rsidRDefault="00C77D0D" w:rsidP="00AC6C8D">
            <w:pPr>
              <w:pStyle w:val="TableText0"/>
            </w:pPr>
            <w:r w:rsidRPr="00EB1825">
              <w:t>DAYLIGHT</w:t>
            </w:r>
          </w:p>
        </w:tc>
        <w:tc>
          <w:tcPr>
            <w:tcW w:w="242" w:type="pct"/>
            <w:shd w:val="clear" w:color="auto" w:fill="B8CCE4" w:themeFill="accent1" w:themeFillTint="66"/>
            <w:vAlign w:val="center"/>
          </w:tcPr>
          <w:p w14:paraId="1397C7CC" w14:textId="77777777" w:rsidR="00C77D0D" w:rsidRPr="00EB1825" w:rsidRDefault="00C77D0D" w:rsidP="00AC6C8D">
            <w:pPr>
              <w:pStyle w:val="TableText0"/>
              <w:jc w:val="center"/>
            </w:pPr>
            <w:r w:rsidRPr="00EB1825">
              <w:t>452</w:t>
            </w:r>
          </w:p>
        </w:tc>
        <w:tc>
          <w:tcPr>
            <w:tcW w:w="944" w:type="pct"/>
            <w:shd w:val="clear" w:color="auto" w:fill="B8CCE4" w:themeFill="accent1" w:themeFillTint="66"/>
            <w:vAlign w:val="center"/>
          </w:tcPr>
          <w:p w14:paraId="40D88FE9" w14:textId="77777777" w:rsidR="00C77D0D" w:rsidRPr="005579DB" w:rsidRDefault="00C77D0D" w:rsidP="00AC6C8D">
            <w:pPr>
              <w:pStyle w:val="TableText0"/>
              <w:jc w:val="center"/>
              <w:rPr>
                <w:lang w:val="pt-PT"/>
              </w:rPr>
            </w:pPr>
            <w:r w:rsidRPr="005579DB">
              <w:rPr>
                <w:lang w:val="pt-PT"/>
              </w:rPr>
              <w:t>P3, MC, R, DB, PC,</w:t>
            </w:r>
          </w:p>
          <w:p w14:paraId="4F15BD54" w14:textId="77777777" w:rsidR="00C77D0D" w:rsidRPr="005579DB" w:rsidRDefault="00C77D0D" w:rsidP="00AC6C8D">
            <w:pPr>
              <w:pStyle w:val="TableText0"/>
              <w:jc w:val="center"/>
              <w:rPr>
                <w:lang w:val="pt-PT"/>
              </w:rPr>
            </w:pPr>
            <w:r w:rsidRPr="005579DB">
              <w:rPr>
                <w:lang w:val="pt-PT"/>
              </w:rPr>
              <w:t>24 wks</w:t>
            </w:r>
          </w:p>
        </w:tc>
        <w:tc>
          <w:tcPr>
            <w:tcW w:w="235" w:type="pct"/>
            <w:shd w:val="clear" w:color="auto" w:fill="B8CCE4" w:themeFill="accent1" w:themeFillTint="66"/>
            <w:vAlign w:val="center"/>
          </w:tcPr>
          <w:p w14:paraId="100D17A2" w14:textId="77777777" w:rsidR="00C77D0D" w:rsidRPr="00EB1825" w:rsidRDefault="00C77D0D" w:rsidP="00AC6C8D">
            <w:pPr>
              <w:pStyle w:val="TableText0"/>
              <w:jc w:val="center"/>
              <w:rPr>
                <w:i/>
              </w:rPr>
            </w:pPr>
            <w:r w:rsidRPr="00EB1825">
              <w:rPr>
                <w:i/>
              </w:rPr>
              <w:t>Low</w:t>
            </w:r>
          </w:p>
        </w:tc>
        <w:tc>
          <w:tcPr>
            <w:tcW w:w="877" w:type="pct"/>
            <w:shd w:val="clear" w:color="auto" w:fill="B8CCE4" w:themeFill="accent1" w:themeFillTint="66"/>
            <w:vAlign w:val="center"/>
          </w:tcPr>
          <w:p w14:paraId="61506CB4" w14:textId="77777777" w:rsidR="00C77D0D" w:rsidRPr="00EB1825" w:rsidRDefault="00C77D0D" w:rsidP="00AC6C8D">
            <w:pPr>
              <w:pStyle w:val="TableText0"/>
              <w:jc w:val="center"/>
            </w:pPr>
            <w:proofErr w:type="spellStart"/>
            <w:r w:rsidRPr="00EB1825">
              <w:t>Fezolinetant</w:t>
            </w:r>
            <w:proofErr w:type="spellEnd"/>
            <w:r w:rsidRPr="00EB1825">
              <w:t xml:space="preserve"> 45 </w:t>
            </w:r>
            <w:proofErr w:type="spellStart"/>
            <w:r w:rsidRPr="00EB1825">
              <w:t>mg</w:t>
            </w:r>
            <w:r w:rsidRPr="00EB1825">
              <w:rPr>
                <w:vertAlign w:val="superscript"/>
              </w:rPr>
              <w:t>c</w:t>
            </w:r>
            <w:proofErr w:type="spellEnd"/>
          </w:p>
          <w:p w14:paraId="656720D6" w14:textId="77777777" w:rsidR="00C77D0D" w:rsidRPr="00EB1825" w:rsidRDefault="00C77D0D" w:rsidP="00AC6C8D">
            <w:pPr>
              <w:pStyle w:val="TableText0"/>
              <w:jc w:val="center"/>
            </w:pPr>
            <w:r w:rsidRPr="00EB1825">
              <w:t>PBO</w:t>
            </w:r>
          </w:p>
        </w:tc>
        <w:tc>
          <w:tcPr>
            <w:tcW w:w="1020" w:type="pct"/>
            <w:shd w:val="clear" w:color="auto" w:fill="B8CCE4" w:themeFill="accent1" w:themeFillTint="66"/>
            <w:vAlign w:val="center"/>
          </w:tcPr>
          <w:p w14:paraId="40639DB7" w14:textId="77777777" w:rsidR="00C77D0D" w:rsidRPr="00EB1825" w:rsidRDefault="00C77D0D" w:rsidP="00AC6C8D">
            <w:pPr>
              <w:pStyle w:val="TableText0"/>
              <w:jc w:val="center"/>
            </w:pPr>
            <w:r w:rsidRPr="00EB1825">
              <w:t>Aged 40-65,</w:t>
            </w:r>
          </w:p>
          <w:p w14:paraId="48A64581" w14:textId="77777777" w:rsidR="00C77D0D" w:rsidRPr="00EB1825" w:rsidRDefault="00C77D0D" w:rsidP="00AC6C8D">
            <w:pPr>
              <w:pStyle w:val="TableText0"/>
              <w:jc w:val="center"/>
            </w:pPr>
            <w:r w:rsidRPr="00EB1825">
              <w:t>Moderate-severe VMS,</w:t>
            </w:r>
          </w:p>
          <w:p w14:paraId="2DC53F67" w14:textId="77777777" w:rsidR="00C77D0D" w:rsidRPr="00EB1825" w:rsidRDefault="00C77D0D" w:rsidP="00AC6C8D">
            <w:pPr>
              <w:pStyle w:val="TableText0"/>
              <w:jc w:val="center"/>
            </w:pPr>
            <w:r w:rsidRPr="00EB1825">
              <w:t xml:space="preserve">MHT </w:t>
            </w:r>
            <w:proofErr w:type="spellStart"/>
            <w:r w:rsidRPr="00EB1825">
              <w:t>unsuitable</w:t>
            </w:r>
            <w:r w:rsidRPr="00EB1825">
              <w:rPr>
                <w:vertAlign w:val="superscript"/>
              </w:rPr>
              <w:t>a</w:t>
            </w:r>
            <w:proofErr w:type="spellEnd"/>
          </w:p>
        </w:tc>
        <w:tc>
          <w:tcPr>
            <w:tcW w:w="861" w:type="pct"/>
            <w:shd w:val="clear" w:color="auto" w:fill="B8CCE4" w:themeFill="accent1" w:themeFillTint="66"/>
            <w:vAlign w:val="center"/>
          </w:tcPr>
          <w:p w14:paraId="031E2E95" w14:textId="77777777" w:rsidR="00C77D0D" w:rsidRPr="00EB1825" w:rsidRDefault="00C77D0D" w:rsidP="00AC6C8D">
            <w:pPr>
              <w:pStyle w:val="TableText0"/>
              <w:jc w:val="center"/>
            </w:pPr>
            <w:r w:rsidRPr="00EB1825">
              <w:t>1°: VMS frequency</w:t>
            </w:r>
          </w:p>
          <w:p w14:paraId="37EDCDA4" w14:textId="77777777" w:rsidR="00C77D0D" w:rsidRPr="00EB1825" w:rsidRDefault="00C77D0D" w:rsidP="00AC6C8D">
            <w:pPr>
              <w:pStyle w:val="TableText0"/>
              <w:jc w:val="center"/>
            </w:pPr>
            <w:r w:rsidRPr="00EB1825">
              <w:t>2°: VMS severity, sleep disturbance</w:t>
            </w:r>
          </w:p>
        </w:tc>
        <w:tc>
          <w:tcPr>
            <w:tcW w:w="201" w:type="pct"/>
            <w:shd w:val="clear" w:color="auto" w:fill="B8CCE4" w:themeFill="accent1" w:themeFillTint="66"/>
            <w:vAlign w:val="center"/>
          </w:tcPr>
          <w:p w14:paraId="38F6D94F" w14:textId="77777777" w:rsidR="00C77D0D" w:rsidRPr="00EB1825" w:rsidRDefault="00C77D0D" w:rsidP="00AC6C8D">
            <w:pPr>
              <w:pStyle w:val="TableText0"/>
              <w:jc w:val="center"/>
            </w:pPr>
            <w:r w:rsidRPr="00EB1825">
              <w:rPr>
                <w:rFonts w:ascii="Wingdings" w:eastAsia="Wingdings" w:hAnsi="Wingdings" w:cs="Wingdings"/>
              </w:rPr>
              <w:t></w:t>
            </w:r>
          </w:p>
        </w:tc>
      </w:tr>
      <w:tr w:rsidR="00C77D0D" w:rsidRPr="00EB1825" w14:paraId="6122D760" w14:textId="77777777" w:rsidTr="00AC6C8D">
        <w:trPr>
          <w:cantSplit/>
        </w:trPr>
        <w:tc>
          <w:tcPr>
            <w:tcW w:w="620" w:type="pct"/>
            <w:shd w:val="clear" w:color="auto" w:fill="B8CCE4" w:themeFill="accent1" w:themeFillTint="66"/>
            <w:vAlign w:val="center"/>
          </w:tcPr>
          <w:p w14:paraId="79F18B50" w14:textId="77777777" w:rsidR="00C77D0D" w:rsidRPr="00EB1825" w:rsidRDefault="00C77D0D" w:rsidP="00AC6C8D">
            <w:pPr>
              <w:pStyle w:val="TableText0"/>
            </w:pPr>
            <w:r w:rsidRPr="00EB1825">
              <w:t>SKYLIGHT 1</w:t>
            </w:r>
          </w:p>
        </w:tc>
        <w:tc>
          <w:tcPr>
            <w:tcW w:w="242" w:type="pct"/>
            <w:shd w:val="clear" w:color="auto" w:fill="B8CCE4" w:themeFill="accent1" w:themeFillTint="66"/>
            <w:vAlign w:val="center"/>
          </w:tcPr>
          <w:p w14:paraId="427A7CB7" w14:textId="77777777" w:rsidR="00C77D0D" w:rsidRPr="00EB1825" w:rsidRDefault="00C77D0D" w:rsidP="00AC6C8D">
            <w:pPr>
              <w:pStyle w:val="TableText0"/>
              <w:jc w:val="center"/>
            </w:pPr>
            <w:r w:rsidRPr="00EB1825">
              <w:t>522</w:t>
            </w:r>
          </w:p>
        </w:tc>
        <w:tc>
          <w:tcPr>
            <w:tcW w:w="944" w:type="pct"/>
            <w:shd w:val="clear" w:color="auto" w:fill="B8CCE4" w:themeFill="accent1" w:themeFillTint="66"/>
            <w:vAlign w:val="center"/>
          </w:tcPr>
          <w:p w14:paraId="700F4DAC" w14:textId="77777777" w:rsidR="00C77D0D" w:rsidRPr="00EB1825" w:rsidRDefault="00C77D0D" w:rsidP="00AC6C8D">
            <w:pPr>
              <w:pStyle w:val="TableText0"/>
              <w:jc w:val="center"/>
            </w:pPr>
            <w:r w:rsidRPr="00EB1825">
              <w:t>P3, MC, R, DB, PC,</w:t>
            </w:r>
          </w:p>
          <w:p w14:paraId="1623AD7B" w14:textId="77777777" w:rsidR="00C77D0D" w:rsidRPr="00EB1825" w:rsidRDefault="00C77D0D" w:rsidP="00AC6C8D">
            <w:pPr>
              <w:pStyle w:val="TableText0"/>
              <w:jc w:val="center"/>
            </w:pPr>
            <w:r w:rsidRPr="00EB1825">
              <w:t xml:space="preserve">12 </w:t>
            </w:r>
            <w:proofErr w:type="spellStart"/>
            <w:r w:rsidRPr="00EB1825">
              <w:t>wks</w:t>
            </w:r>
            <w:proofErr w:type="spellEnd"/>
            <w:r w:rsidRPr="00EB1825">
              <w:t xml:space="preserve"> / 40 </w:t>
            </w:r>
            <w:proofErr w:type="spellStart"/>
            <w:r w:rsidRPr="00EB1825">
              <w:t>wks</w:t>
            </w:r>
            <w:proofErr w:type="spellEnd"/>
            <w:r w:rsidRPr="00EB1825">
              <w:t xml:space="preserve"> active </w:t>
            </w:r>
            <w:proofErr w:type="spellStart"/>
            <w:r w:rsidRPr="00EB1825">
              <w:t>extension</w:t>
            </w:r>
            <w:r w:rsidRPr="00EB1825">
              <w:rPr>
                <w:vertAlign w:val="superscript"/>
              </w:rPr>
              <w:t>b</w:t>
            </w:r>
            <w:proofErr w:type="spellEnd"/>
          </w:p>
        </w:tc>
        <w:tc>
          <w:tcPr>
            <w:tcW w:w="235" w:type="pct"/>
            <w:shd w:val="clear" w:color="auto" w:fill="B8CCE4" w:themeFill="accent1" w:themeFillTint="66"/>
            <w:vAlign w:val="center"/>
          </w:tcPr>
          <w:p w14:paraId="71C31408" w14:textId="77777777" w:rsidR="00C77D0D" w:rsidRPr="00EB1825" w:rsidRDefault="00C77D0D" w:rsidP="00AC6C8D">
            <w:pPr>
              <w:pStyle w:val="TableText0"/>
              <w:jc w:val="center"/>
              <w:rPr>
                <w:i/>
              </w:rPr>
            </w:pPr>
            <w:r w:rsidRPr="00EB1825">
              <w:rPr>
                <w:i/>
              </w:rPr>
              <w:t>Low</w:t>
            </w:r>
          </w:p>
        </w:tc>
        <w:tc>
          <w:tcPr>
            <w:tcW w:w="877" w:type="pct"/>
            <w:shd w:val="clear" w:color="auto" w:fill="B8CCE4" w:themeFill="accent1" w:themeFillTint="66"/>
            <w:vAlign w:val="center"/>
          </w:tcPr>
          <w:p w14:paraId="63E47AA1" w14:textId="77777777" w:rsidR="00C77D0D" w:rsidRPr="00EB1825" w:rsidRDefault="00C77D0D" w:rsidP="00AC6C8D">
            <w:pPr>
              <w:pStyle w:val="TableText0"/>
              <w:jc w:val="center"/>
            </w:pPr>
            <w:proofErr w:type="spellStart"/>
            <w:r w:rsidRPr="00EB1825">
              <w:t>Fezolinetant</w:t>
            </w:r>
            <w:proofErr w:type="spellEnd"/>
            <w:r w:rsidRPr="00EB1825">
              <w:t xml:space="preserve"> 30 mg</w:t>
            </w:r>
          </w:p>
          <w:p w14:paraId="4F4158EA" w14:textId="77777777" w:rsidR="00C77D0D" w:rsidRPr="00EB1825" w:rsidRDefault="00C77D0D" w:rsidP="00AC6C8D">
            <w:pPr>
              <w:pStyle w:val="TableText0"/>
              <w:jc w:val="center"/>
            </w:pPr>
            <w:proofErr w:type="spellStart"/>
            <w:r w:rsidRPr="00EB1825">
              <w:t>Fezolinetant</w:t>
            </w:r>
            <w:proofErr w:type="spellEnd"/>
            <w:r w:rsidRPr="00EB1825">
              <w:t xml:space="preserve"> 45 </w:t>
            </w:r>
            <w:proofErr w:type="spellStart"/>
            <w:r w:rsidRPr="00EB1825">
              <w:t>mg</w:t>
            </w:r>
            <w:r w:rsidRPr="00EB1825">
              <w:rPr>
                <w:vertAlign w:val="superscript"/>
              </w:rPr>
              <w:t>c</w:t>
            </w:r>
            <w:proofErr w:type="spellEnd"/>
          </w:p>
          <w:p w14:paraId="18FCEE77" w14:textId="77777777" w:rsidR="00C77D0D" w:rsidRPr="00EB1825" w:rsidRDefault="00C77D0D" w:rsidP="00AC6C8D">
            <w:pPr>
              <w:pStyle w:val="TableText0"/>
              <w:jc w:val="center"/>
            </w:pPr>
            <w:r w:rsidRPr="00EB1825">
              <w:t>PBO</w:t>
            </w:r>
          </w:p>
        </w:tc>
        <w:tc>
          <w:tcPr>
            <w:tcW w:w="1020" w:type="pct"/>
            <w:shd w:val="clear" w:color="auto" w:fill="B8CCE4" w:themeFill="accent1" w:themeFillTint="66"/>
            <w:vAlign w:val="center"/>
          </w:tcPr>
          <w:p w14:paraId="3A54FC76" w14:textId="77777777" w:rsidR="00C77D0D" w:rsidRPr="00EB1825" w:rsidRDefault="00C77D0D" w:rsidP="00AC6C8D">
            <w:pPr>
              <w:pStyle w:val="TableText0"/>
              <w:jc w:val="center"/>
            </w:pPr>
            <w:r w:rsidRPr="00EB1825">
              <w:t>Aged 40-65,</w:t>
            </w:r>
          </w:p>
          <w:p w14:paraId="6965FB4E" w14:textId="77777777" w:rsidR="00C77D0D" w:rsidRPr="00EB1825" w:rsidRDefault="00C77D0D" w:rsidP="00AC6C8D">
            <w:pPr>
              <w:pStyle w:val="TableText0"/>
              <w:jc w:val="center"/>
            </w:pPr>
            <w:r w:rsidRPr="00EB1825">
              <w:t>Moderate-severe VMS</w:t>
            </w:r>
          </w:p>
        </w:tc>
        <w:tc>
          <w:tcPr>
            <w:tcW w:w="861" w:type="pct"/>
            <w:shd w:val="clear" w:color="auto" w:fill="B8CCE4" w:themeFill="accent1" w:themeFillTint="66"/>
            <w:vAlign w:val="center"/>
          </w:tcPr>
          <w:p w14:paraId="0866C145" w14:textId="77777777" w:rsidR="00C77D0D" w:rsidRPr="00EB1825" w:rsidRDefault="00C77D0D" w:rsidP="00AC6C8D">
            <w:pPr>
              <w:pStyle w:val="TableText0"/>
              <w:jc w:val="center"/>
            </w:pPr>
            <w:r w:rsidRPr="00EB1825">
              <w:t>1°: VMS frequency, VMS severity</w:t>
            </w:r>
          </w:p>
          <w:p w14:paraId="6911370D" w14:textId="77777777" w:rsidR="00C77D0D" w:rsidRPr="00EB1825" w:rsidRDefault="00C77D0D" w:rsidP="00AC6C8D">
            <w:pPr>
              <w:pStyle w:val="TableText0"/>
              <w:jc w:val="center"/>
            </w:pPr>
            <w:r w:rsidRPr="00EB1825">
              <w:t>2°: sleep disturbance</w:t>
            </w:r>
          </w:p>
        </w:tc>
        <w:tc>
          <w:tcPr>
            <w:tcW w:w="201" w:type="pct"/>
            <w:shd w:val="clear" w:color="auto" w:fill="B8CCE4" w:themeFill="accent1" w:themeFillTint="66"/>
            <w:vAlign w:val="center"/>
          </w:tcPr>
          <w:p w14:paraId="5479D666" w14:textId="77777777" w:rsidR="00C77D0D" w:rsidRPr="00EB1825" w:rsidRDefault="00C77D0D" w:rsidP="00AC6C8D">
            <w:pPr>
              <w:pStyle w:val="TableText0"/>
              <w:jc w:val="center"/>
            </w:pPr>
            <w:r w:rsidRPr="00EB1825">
              <w:t>-</w:t>
            </w:r>
          </w:p>
        </w:tc>
      </w:tr>
      <w:tr w:rsidR="00C77D0D" w:rsidRPr="00EB1825" w14:paraId="63D5DE85" w14:textId="77777777" w:rsidTr="00AC6C8D">
        <w:trPr>
          <w:cantSplit/>
        </w:trPr>
        <w:tc>
          <w:tcPr>
            <w:tcW w:w="620" w:type="pct"/>
            <w:shd w:val="clear" w:color="auto" w:fill="B8CCE4" w:themeFill="accent1" w:themeFillTint="66"/>
            <w:vAlign w:val="center"/>
          </w:tcPr>
          <w:p w14:paraId="10AD734A" w14:textId="77777777" w:rsidR="00C77D0D" w:rsidRPr="00EB1825" w:rsidRDefault="00C77D0D" w:rsidP="00AC6C8D">
            <w:pPr>
              <w:pStyle w:val="TableText0"/>
            </w:pPr>
            <w:r w:rsidRPr="00EB1825">
              <w:t>SKYLIGHT 2</w:t>
            </w:r>
          </w:p>
        </w:tc>
        <w:tc>
          <w:tcPr>
            <w:tcW w:w="242" w:type="pct"/>
            <w:shd w:val="clear" w:color="auto" w:fill="B8CCE4" w:themeFill="accent1" w:themeFillTint="66"/>
            <w:vAlign w:val="center"/>
          </w:tcPr>
          <w:p w14:paraId="692CA98F" w14:textId="77777777" w:rsidR="00C77D0D" w:rsidRPr="00EB1825" w:rsidRDefault="00C77D0D" w:rsidP="00AC6C8D">
            <w:pPr>
              <w:pStyle w:val="TableText0"/>
              <w:jc w:val="center"/>
            </w:pPr>
            <w:r w:rsidRPr="00EB1825">
              <w:t>500</w:t>
            </w:r>
          </w:p>
        </w:tc>
        <w:tc>
          <w:tcPr>
            <w:tcW w:w="944" w:type="pct"/>
            <w:shd w:val="clear" w:color="auto" w:fill="B8CCE4" w:themeFill="accent1" w:themeFillTint="66"/>
            <w:vAlign w:val="center"/>
          </w:tcPr>
          <w:p w14:paraId="7171BE52" w14:textId="77777777" w:rsidR="00C77D0D" w:rsidRPr="00EB1825" w:rsidRDefault="00C77D0D" w:rsidP="00AC6C8D">
            <w:pPr>
              <w:pStyle w:val="TableText0"/>
              <w:jc w:val="center"/>
            </w:pPr>
            <w:r w:rsidRPr="00EB1825">
              <w:t>P3, MC, R, DB, PC,</w:t>
            </w:r>
          </w:p>
          <w:p w14:paraId="339F34CB" w14:textId="77777777" w:rsidR="00C77D0D" w:rsidRPr="00EB1825" w:rsidRDefault="00C77D0D" w:rsidP="00AC6C8D">
            <w:pPr>
              <w:pStyle w:val="TableText0"/>
              <w:jc w:val="center"/>
            </w:pPr>
            <w:r w:rsidRPr="00EB1825">
              <w:t xml:space="preserve">12 </w:t>
            </w:r>
            <w:proofErr w:type="spellStart"/>
            <w:r w:rsidRPr="00EB1825">
              <w:t>wks</w:t>
            </w:r>
            <w:proofErr w:type="spellEnd"/>
            <w:r w:rsidRPr="00EB1825">
              <w:t xml:space="preserve"> / 40 </w:t>
            </w:r>
            <w:proofErr w:type="spellStart"/>
            <w:r w:rsidRPr="00EB1825">
              <w:t>wks</w:t>
            </w:r>
            <w:proofErr w:type="spellEnd"/>
            <w:r w:rsidRPr="00EB1825">
              <w:t xml:space="preserve"> active </w:t>
            </w:r>
            <w:proofErr w:type="spellStart"/>
            <w:r w:rsidRPr="00EB1825">
              <w:t>extension</w:t>
            </w:r>
            <w:r w:rsidRPr="00EB1825">
              <w:rPr>
                <w:vertAlign w:val="superscript"/>
              </w:rPr>
              <w:t>b</w:t>
            </w:r>
            <w:proofErr w:type="spellEnd"/>
          </w:p>
        </w:tc>
        <w:tc>
          <w:tcPr>
            <w:tcW w:w="235" w:type="pct"/>
            <w:shd w:val="clear" w:color="auto" w:fill="B8CCE4" w:themeFill="accent1" w:themeFillTint="66"/>
            <w:vAlign w:val="center"/>
          </w:tcPr>
          <w:p w14:paraId="7DB923E3" w14:textId="77777777" w:rsidR="00C77D0D" w:rsidRPr="00EB1825" w:rsidRDefault="00C77D0D" w:rsidP="00AC6C8D">
            <w:pPr>
              <w:pStyle w:val="TableText0"/>
              <w:jc w:val="center"/>
              <w:rPr>
                <w:i/>
              </w:rPr>
            </w:pPr>
            <w:r w:rsidRPr="00EB1825">
              <w:rPr>
                <w:i/>
              </w:rPr>
              <w:t>Low</w:t>
            </w:r>
          </w:p>
        </w:tc>
        <w:tc>
          <w:tcPr>
            <w:tcW w:w="877" w:type="pct"/>
            <w:shd w:val="clear" w:color="auto" w:fill="B8CCE4" w:themeFill="accent1" w:themeFillTint="66"/>
            <w:vAlign w:val="center"/>
          </w:tcPr>
          <w:p w14:paraId="42A2BAFE" w14:textId="77777777" w:rsidR="00C77D0D" w:rsidRPr="00EB1825" w:rsidRDefault="00C77D0D" w:rsidP="00AC6C8D">
            <w:pPr>
              <w:pStyle w:val="TableText0"/>
              <w:jc w:val="center"/>
            </w:pPr>
            <w:proofErr w:type="spellStart"/>
            <w:r w:rsidRPr="00EB1825">
              <w:t>Fezolinetant</w:t>
            </w:r>
            <w:proofErr w:type="spellEnd"/>
            <w:r w:rsidRPr="00EB1825">
              <w:t xml:space="preserve"> 30 mg</w:t>
            </w:r>
          </w:p>
          <w:p w14:paraId="77EC821B" w14:textId="77777777" w:rsidR="00C77D0D" w:rsidRPr="00EB1825" w:rsidRDefault="00C77D0D" w:rsidP="00AC6C8D">
            <w:pPr>
              <w:pStyle w:val="TableText0"/>
              <w:jc w:val="center"/>
            </w:pPr>
            <w:proofErr w:type="spellStart"/>
            <w:r w:rsidRPr="00EB1825">
              <w:t>Fezolinetant</w:t>
            </w:r>
            <w:proofErr w:type="spellEnd"/>
            <w:r w:rsidRPr="00EB1825">
              <w:t xml:space="preserve"> 45 </w:t>
            </w:r>
            <w:proofErr w:type="spellStart"/>
            <w:r w:rsidRPr="00EB1825">
              <w:t>mg</w:t>
            </w:r>
            <w:r w:rsidRPr="00EB1825">
              <w:rPr>
                <w:vertAlign w:val="superscript"/>
              </w:rPr>
              <w:t>c</w:t>
            </w:r>
            <w:proofErr w:type="spellEnd"/>
          </w:p>
          <w:p w14:paraId="47482BDC" w14:textId="77777777" w:rsidR="00C77D0D" w:rsidRPr="00EB1825" w:rsidRDefault="00C77D0D" w:rsidP="00AC6C8D">
            <w:pPr>
              <w:pStyle w:val="TableText0"/>
              <w:jc w:val="center"/>
            </w:pPr>
            <w:r w:rsidRPr="00EB1825">
              <w:t>PBO</w:t>
            </w:r>
          </w:p>
        </w:tc>
        <w:tc>
          <w:tcPr>
            <w:tcW w:w="1020" w:type="pct"/>
            <w:shd w:val="clear" w:color="auto" w:fill="B8CCE4" w:themeFill="accent1" w:themeFillTint="66"/>
            <w:vAlign w:val="center"/>
          </w:tcPr>
          <w:p w14:paraId="36C7800C" w14:textId="77777777" w:rsidR="00C77D0D" w:rsidRPr="00EB1825" w:rsidRDefault="00C77D0D" w:rsidP="00AC6C8D">
            <w:pPr>
              <w:pStyle w:val="TableText0"/>
              <w:jc w:val="center"/>
            </w:pPr>
            <w:r w:rsidRPr="00EB1825">
              <w:t>Aged 40-65,</w:t>
            </w:r>
          </w:p>
          <w:p w14:paraId="1E882022" w14:textId="77777777" w:rsidR="00C77D0D" w:rsidRPr="00EB1825" w:rsidRDefault="00C77D0D" w:rsidP="00AC6C8D">
            <w:pPr>
              <w:pStyle w:val="TableText0"/>
              <w:jc w:val="center"/>
            </w:pPr>
            <w:r w:rsidRPr="00EB1825">
              <w:t>Moderate-severe VMS</w:t>
            </w:r>
          </w:p>
        </w:tc>
        <w:tc>
          <w:tcPr>
            <w:tcW w:w="861" w:type="pct"/>
            <w:shd w:val="clear" w:color="auto" w:fill="B8CCE4" w:themeFill="accent1" w:themeFillTint="66"/>
            <w:vAlign w:val="center"/>
          </w:tcPr>
          <w:p w14:paraId="67456EAC" w14:textId="77777777" w:rsidR="00C77D0D" w:rsidRPr="00EB1825" w:rsidRDefault="00C77D0D" w:rsidP="00AC6C8D">
            <w:pPr>
              <w:pStyle w:val="TableText0"/>
              <w:jc w:val="center"/>
            </w:pPr>
            <w:r w:rsidRPr="00EB1825">
              <w:t>1°: VMS frequency, VMS severity</w:t>
            </w:r>
          </w:p>
          <w:p w14:paraId="6DB3B0C5" w14:textId="77777777" w:rsidR="00C77D0D" w:rsidRPr="00EB1825" w:rsidRDefault="00C77D0D" w:rsidP="00AC6C8D">
            <w:pPr>
              <w:pStyle w:val="TableText0"/>
              <w:jc w:val="center"/>
            </w:pPr>
            <w:r w:rsidRPr="00EB1825">
              <w:t>2°: sleep disturbance</w:t>
            </w:r>
          </w:p>
        </w:tc>
        <w:tc>
          <w:tcPr>
            <w:tcW w:w="201" w:type="pct"/>
            <w:shd w:val="clear" w:color="auto" w:fill="B8CCE4" w:themeFill="accent1" w:themeFillTint="66"/>
            <w:vAlign w:val="center"/>
          </w:tcPr>
          <w:p w14:paraId="2191722D" w14:textId="77777777" w:rsidR="00C77D0D" w:rsidRPr="00EB1825" w:rsidRDefault="00C77D0D" w:rsidP="00AC6C8D">
            <w:pPr>
              <w:pStyle w:val="TableText0"/>
              <w:jc w:val="center"/>
            </w:pPr>
            <w:r w:rsidRPr="00EB1825">
              <w:t>-</w:t>
            </w:r>
          </w:p>
        </w:tc>
      </w:tr>
      <w:tr w:rsidR="00C77D0D" w:rsidRPr="00EB1825" w14:paraId="63A27DB9" w14:textId="77777777" w:rsidTr="00AC6C8D">
        <w:trPr>
          <w:cantSplit/>
        </w:trPr>
        <w:tc>
          <w:tcPr>
            <w:tcW w:w="620" w:type="pct"/>
            <w:shd w:val="clear" w:color="auto" w:fill="B8CCE4" w:themeFill="accent1" w:themeFillTint="66"/>
            <w:vAlign w:val="center"/>
          </w:tcPr>
          <w:p w14:paraId="1EC67AAC" w14:textId="77777777" w:rsidR="00C77D0D" w:rsidRPr="00EB1825" w:rsidRDefault="00C77D0D" w:rsidP="00AC6C8D">
            <w:pPr>
              <w:pStyle w:val="TableText0"/>
            </w:pPr>
            <w:r w:rsidRPr="00EB1825">
              <w:t>SKYLIGHT 4</w:t>
            </w:r>
          </w:p>
        </w:tc>
        <w:tc>
          <w:tcPr>
            <w:tcW w:w="242" w:type="pct"/>
            <w:shd w:val="clear" w:color="auto" w:fill="B8CCE4" w:themeFill="accent1" w:themeFillTint="66"/>
            <w:vAlign w:val="center"/>
          </w:tcPr>
          <w:p w14:paraId="3F5CD09B" w14:textId="77777777" w:rsidR="00C77D0D" w:rsidRPr="00EB1825" w:rsidRDefault="00C77D0D" w:rsidP="00AC6C8D">
            <w:pPr>
              <w:pStyle w:val="TableText0"/>
              <w:jc w:val="center"/>
            </w:pPr>
            <w:r w:rsidRPr="00EB1825">
              <w:t>1830</w:t>
            </w:r>
          </w:p>
        </w:tc>
        <w:tc>
          <w:tcPr>
            <w:tcW w:w="944" w:type="pct"/>
            <w:shd w:val="clear" w:color="auto" w:fill="B8CCE4" w:themeFill="accent1" w:themeFillTint="66"/>
            <w:vAlign w:val="center"/>
          </w:tcPr>
          <w:p w14:paraId="66BBA605" w14:textId="77777777" w:rsidR="00C77D0D" w:rsidRPr="005579DB" w:rsidRDefault="00C77D0D" w:rsidP="00AC6C8D">
            <w:pPr>
              <w:pStyle w:val="TableText0"/>
              <w:jc w:val="center"/>
              <w:rPr>
                <w:lang w:val="pt-PT"/>
              </w:rPr>
            </w:pPr>
            <w:r w:rsidRPr="005579DB">
              <w:rPr>
                <w:lang w:val="pt-PT"/>
              </w:rPr>
              <w:t>P3, MC, R, DB, PC,</w:t>
            </w:r>
          </w:p>
          <w:p w14:paraId="47DCF43E" w14:textId="77777777" w:rsidR="00C77D0D" w:rsidRPr="005579DB" w:rsidRDefault="00C77D0D" w:rsidP="00AC6C8D">
            <w:pPr>
              <w:pStyle w:val="TableText0"/>
              <w:jc w:val="center"/>
              <w:rPr>
                <w:lang w:val="pt-PT"/>
              </w:rPr>
            </w:pPr>
            <w:r w:rsidRPr="005579DB">
              <w:rPr>
                <w:lang w:val="pt-PT"/>
              </w:rPr>
              <w:t>52 wks</w:t>
            </w:r>
          </w:p>
        </w:tc>
        <w:tc>
          <w:tcPr>
            <w:tcW w:w="235" w:type="pct"/>
            <w:shd w:val="clear" w:color="auto" w:fill="B8CCE4" w:themeFill="accent1" w:themeFillTint="66"/>
            <w:vAlign w:val="center"/>
          </w:tcPr>
          <w:p w14:paraId="0292D3FB" w14:textId="77777777" w:rsidR="00C77D0D" w:rsidRPr="00EB1825" w:rsidRDefault="00C77D0D" w:rsidP="00AC6C8D">
            <w:pPr>
              <w:pStyle w:val="TableText0"/>
              <w:jc w:val="center"/>
              <w:rPr>
                <w:i/>
              </w:rPr>
            </w:pPr>
            <w:r w:rsidRPr="00EB1825">
              <w:rPr>
                <w:i/>
              </w:rPr>
              <w:t>Low</w:t>
            </w:r>
          </w:p>
        </w:tc>
        <w:tc>
          <w:tcPr>
            <w:tcW w:w="877" w:type="pct"/>
            <w:shd w:val="clear" w:color="auto" w:fill="B8CCE4" w:themeFill="accent1" w:themeFillTint="66"/>
            <w:vAlign w:val="center"/>
          </w:tcPr>
          <w:p w14:paraId="55DAF569" w14:textId="77777777" w:rsidR="00C77D0D" w:rsidRPr="00EB1825" w:rsidRDefault="00C77D0D" w:rsidP="00AC6C8D">
            <w:pPr>
              <w:pStyle w:val="TableText0"/>
              <w:jc w:val="center"/>
            </w:pPr>
            <w:proofErr w:type="spellStart"/>
            <w:r w:rsidRPr="00EB1825">
              <w:t>Fezolinetant</w:t>
            </w:r>
            <w:proofErr w:type="spellEnd"/>
            <w:r w:rsidRPr="00EB1825">
              <w:t xml:space="preserve"> 30 mg</w:t>
            </w:r>
          </w:p>
          <w:p w14:paraId="4C05A3F3" w14:textId="77777777" w:rsidR="00C77D0D" w:rsidRPr="00EB1825" w:rsidRDefault="00C77D0D" w:rsidP="00AC6C8D">
            <w:pPr>
              <w:pStyle w:val="TableText0"/>
              <w:jc w:val="center"/>
            </w:pPr>
            <w:proofErr w:type="spellStart"/>
            <w:r w:rsidRPr="00EB1825">
              <w:t>Fezolinetant</w:t>
            </w:r>
            <w:proofErr w:type="spellEnd"/>
            <w:r w:rsidRPr="00EB1825">
              <w:t xml:space="preserve"> 45 </w:t>
            </w:r>
            <w:proofErr w:type="spellStart"/>
            <w:r w:rsidRPr="00EB1825">
              <w:t>mg</w:t>
            </w:r>
            <w:r w:rsidRPr="00EB1825">
              <w:rPr>
                <w:vertAlign w:val="superscript"/>
              </w:rPr>
              <w:t>c</w:t>
            </w:r>
            <w:proofErr w:type="spellEnd"/>
          </w:p>
          <w:p w14:paraId="0F6F73DA" w14:textId="77777777" w:rsidR="00C77D0D" w:rsidRPr="00EB1825" w:rsidRDefault="00C77D0D" w:rsidP="00AC6C8D">
            <w:pPr>
              <w:pStyle w:val="TableText0"/>
              <w:jc w:val="center"/>
            </w:pPr>
            <w:r w:rsidRPr="00EB1825">
              <w:t>PBO</w:t>
            </w:r>
          </w:p>
        </w:tc>
        <w:tc>
          <w:tcPr>
            <w:tcW w:w="1020" w:type="pct"/>
            <w:shd w:val="clear" w:color="auto" w:fill="B8CCE4" w:themeFill="accent1" w:themeFillTint="66"/>
            <w:vAlign w:val="center"/>
          </w:tcPr>
          <w:p w14:paraId="41BC2C1D" w14:textId="77777777" w:rsidR="00C77D0D" w:rsidRPr="00EB1825" w:rsidRDefault="00C77D0D" w:rsidP="00AC6C8D">
            <w:pPr>
              <w:pStyle w:val="TableText0"/>
              <w:jc w:val="center"/>
            </w:pPr>
            <w:r w:rsidRPr="00EB1825">
              <w:t>Aged 40-65,</w:t>
            </w:r>
          </w:p>
          <w:p w14:paraId="6AF53E08" w14:textId="77777777" w:rsidR="00C77D0D" w:rsidRPr="00EB1825" w:rsidRDefault="00C77D0D" w:rsidP="00AC6C8D">
            <w:pPr>
              <w:pStyle w:val="TableText0"/>
              <w:jc w:val="center"/>
            </w:pPr>
            <w:r w:rsidRPr="00EB1825">
              <w:t>Menopausal VMS</w:t>
            </w:r>
          </w:p>
        </w:tc>
        <w:tc>
          <w:tcPr>
            <w:tcW w:w="861" w:type="pct"/>
            <w:shd w:val="clear" w:color="auto" w:fill="B8CCE4" w:themeFill="accent1" w:themeFillTint="66"/>
            <w:vAlign w:val="center"/>
          </w:tcPr>
          <w:p w14:paraId="5D59AF84" w14:textId="77777777" w:rsidR="00C77D0D" w:rsidRPr="00EB1825" w:rsidRDefault="00C77D0D" w:rsidP="00AC6C8D">
            <w:pPr>
              <w:pStyle w:val="TableText0"/>
              <w:jc w:val="center"/>
            </w:pPr>
            <w:r w:rsidRPr="00EB1825">
              <w:t>1°: safety</w:t>
            </w:r>
          </w:p>
        </w:tc>
        <w:tc>
          <w:tcPr>
            <w:tcW w:w="201" w:type="pct"/>
            <w:shd w:val="clear" w:color="auto" w:fill="B8CCE4" w:themeFill="accent1" w:themeFillTint="66"/>
            <w:vAlign w:val="center"/>
          </w:tcPr>
          <w:p w14:paraId="54AF4979" w14:textId="77777777" w:rsidR="00C77D0D" w:rsidRPr="00EB1825" w:rsidRDefault="00C77D0D" w:rsidP="00AC6C8D">
            <w:pPr>
              <w:pStyle w:val="TableText0"/>
              <w:jc w:val="center"/>
            </w:pPr>
            <w:r w:rsidRPr="00EB1825">
              <w:t>-</w:t>
            </w:r>
          </w:p>
        </w:tc>
      </w:tr>
    </w:tbl>
    <w:p w14:paraId="746F5387" w14:textId="77777777" w:rsidR="00C77D0D" w:rsidRPr="00EB1825" w:rsidRDefault="00C77D0D" w:rsidP="00C77D0D">
      <w:pPr>
        <w:pStyle w:val="TableFigureFooter"/>
        <w:keepNext/>
      </w:pPr>
      <w:r w:rsidRPr="00EB1825">
        <w:t>Source: Table 2.4-1, p28 of the resubmission.</w:t>
      </w:r>
    </w:p>
    <w:p w14:paraId="6DE44745" w14:textId="77777777" w:rsidR="00C77D0D" w:rsidRPr="00EB1825" w:rsidRDefault="00C77D0D" w:rsidP="00C77D0D">
      <w:pPr>
        <w:pStyle w:val="TableFigureFooter"/>
        <w:keepNext/>
      </w:pPr>
      <w:r w:rsidRPr="00EB1825">
        <w:t xml:space="preserve">DB=double blind; MC=multi-centre; MHT=menopausal hormone therapy; OL=open label; PBO=placebo; PC=placebo controlled; P3=Phase 3; R = randomised; S3=Section 3 (Economic Evaluation); </w:t>
      </w:r>
      <w:proofErr w:type="spellStart"/>
      <w:r w:rsidRPr="00EB1825">
        <w:t>wks</w:t>
      </w:r>
      <w:proofErr w:type="spellEnd"/>
      <w:r w:rsidRPr="00EB1825">
        <w:t xml:space="preserve"> = weeks.</w:t>
      </w:r>
    </w:p>
    <w:p w14:paraId="698F0B30" w14:textId="77777777" w:rsidR="00C77D0D" w:rsidRPr="00EB1825" w:rsidRDefault="00C77D0D" w:rsidP="00C77D0D">
      <w:pPr>
        <w:pStyle w:val="TableFigureFooter"/>
        <w:keepNext/>
        <w:ind w:left="165" w:hanging="165"/>
      </w:pPr>
      <w:r w:rsidRPr="00EB1825">
        <w:t>a</w:t>
      </w:r>
      <w:r w:rsidRPr="00EB1825">
        <w:tab/>
        <w:t>Categories for MHT unsuitability defined based on contraindicated; caution (based on medical history); stoppers (previous discontinuation of hormone therapy owing to lack of efficacy, side effects, or medical advice); or averse (informed choice not to use hormone therapy after discussion with a clinician).</w:t>
      </w:r>
    </w:p>
    <w:p w14:paraId="2FAD2AA6" w14:textId="77777777" w:rsidR="00C77D0D" w:rsidRPr="00EB1825" w:rsidRDefault="00C77D0D" w:rsidP="00C77D0D">
      <w:pPr>
        <w:pStyle w:val="TableFigureFooter"/>
        <w:keepNext/>
        <w:ind w:left="165" w:hanging="165"/>
      </w:pPr>
      <w:r w:rsidRPr="00EB1825">
        <w:t>b</w:t>
      </w:r>
      <w:r w:rsidRPr="00EB1825">
        <w:tab/>
        <w:t xml:space="preserve">After completing 12 weeks of treatment, patients in placebo were re-randomised to </w:t>
      </w:r>
      <w:proofErr w:type="spellStart"/>
      <w:r w:rsidRPr="00EB1825">
        <w:t>fezolinetant</w:t>
      </w:r>
      <w:proofErr w:type="spellEnd"/>
      <w:r w:rsidRPr="00EB1825">
        <w:t xml:space="preserve"> 30 mg or 45 mg in the active treatment extension period (without placebo control) through end of study. Patients already on an active treatment continued their assigned dose for the remaining 40 weeks of treatment. The extension period remained blinded to the site personnel and patients.</w:t>
      </w:r>
    </w:p>
    <w:p w14:paraId="67011A4D" w14:textId="77777777" w:rsidR="00390809" w:rsidRPr="00EB1825" w:rsidRDefault="00C77D0D" w:rsidP="00390809">
      <w:pPr>
        <w:pStyle w:val="TableFigureFooter"/>
        <w:keepNext/>
        <w:ind w:left="165" w:hanging="165"/>
      </w:pPr>
      <w:r w:rsidRPr="00EB1825">
        <w:t>c</w:t>
      </w:r>
      <w:r w:rsidRPr="00EB1825">
        <w:tab/>
      </w:r>
      <w:proofErr w:type="spellStart"/>
      <w:r w:rsidRPr="00EB1825">
        <w:t>Fezolinetant</w:t>
      </w:r>
      <w:proofErr w:type="spellEnd"/>
      <w:r w:rsidRPr="00EB1825">
        <w:t xml:space="preserve"> 45mg comprised of one 30 mg and one 15 mg tablet.</w:t>
      </w:r>
    </w:p>
    <w:p w14:paraId="12EE8E94" w14:textId="224BBC01" w:rsidR="00390809" w:rsidRPr="00EB1825" w:rsidRDefault="00390809" w:rsidP="00390809">
      <w:pPr>
        <w:pStyle w:val="TableFigureFooter"/>
        <w:keepNext/>
        <w:ind w:left="165" w:hanging="165"/>
      </w:pPr>
      <w:r w:rsidRPr="00EB1825">
        <w:rPr>
          <w:rStyle w:val="CommentReference"/>
          <w:b w:val="0"/>
          <w:sz w:val="18"/>
          <w:szCs w:val="18"/>
          <w:shd w:val="clear" w:color="auto" w:fill="B8CCE4" w:themeFill="accent1" w:themeFillTint="66"/>
        </w:rPr>
        <w:t xml:space="preserve">Blue </w:t>
      </w:r>
      <w:r w:rsidRPr="00EB1825">
        <w:rPr>
          <w:rStyle w:val="CommentReference"/>
          <w:b w:val="0"/>
          <w:sz w:val="18"/>
          <w:szCs w:val="18"/>
        </w:rPr>
        <w:t>shading indicates data previously seen by the PBAC.</w:t>
      </w:r>
    </w:p>
    <w:p w14:paraId="2A13BA63" w14:textId="2AB95BAF" w:rsidR="00C77D0D" w:rsidRPr="00554C89" w:rsidRDefault="00C77D0D" w:rsidP="00766C07">
      <w:pPr>
        <w:pStyle w:val="3-BodyText"/>
      </w:pPr>
      <w:r w:rsidRPr="00554C89">
        <w:t xml:space="preserve">Details of DAYLIGHT, SKYLIGHT 1, SKYLIGHT 2 and SKYLIGHT 4 were unchanged from the March 2025 submission. The four RCTs were all multicentre (none in Australia), double-blind and placebo-controlled, comparing </w:t>
      </w:r>
      <w:proofErr w:type="spellStart"/>
      <w:r w:rsidRPr="00554C89">
        <w:t>fezolinetant</w:t>
      </w:r>
      <w:proofErr w:type="spellEnd"/>
      <w:r w:rsidRPr="00554C89">
        <w:t xml:space="preserve"> (45 or 30 mg) versus placebo for treatment of moderate to severe VMS. SKYLIGHT 1 and SKYLIGHT 2 included an extension where patients in the placebo-controlled arm received </w:t>
      </w:r>
      <w:proofErr w:type="spellStart"/>
      <w:r w:rsidRPr="00554C89">
        <w:t>fezolinetant</w:t>
      </w:r>
      <w:proofErr w:type="spellEnd"/>
      <w:r w:rsidRPr="00554C89">
        <w:t xml:space="preserve"> (45 mg or 30 mg) after the initial 12-week double-blind period. The resubmission </w:t>
      </w:r>
      <w:r w:rsidR="001F6F8D" w:rsidRPr="00554C89">
        <w:t>sought</w:t>
      </w:r>
      <w:r w:rsidRPr="00554C89">
        <w:t xml:space="preserve"> PBS listing for </w:t>
      </w:r>
      <w:proofErr w:type="spellStart"/>
      <w:r w:rsidRPr="00554C89">
        <w:t>fezolinetant</w:t>
      </w:r>
      <w:proofErr w:type="spellEnd"/>
      <w:r w:rsidRPr="00554C89">
        <w:t xml:space="preserve"> 45 mg, which is the dosage registered with the TGA for treatment of VMS. </w:t>
      </w:r>
    </w:p>
    <w:p w14:paraId="51E23E95" w14:textId="7816A241" w:rsidR="00C77D0D" w:rsidRPr="00554C89" w:rsidRDefault="00CA0CEB" w:rsidP="00766C07">
      <w:pPr>
        <w:pStyle w:val="3-BodyText"/>
      </w:pPr>
      <w:r w:rsidRPr="00554C89">
        <w:t>The resubmission presented u</w:t>
      </w:r>
      <w:r w:rsidR="00C77D0D" w:rsidRPr="00554C89">
        <w:t xml:space="preserve">pdated baseline characteristics in the revised PBS population who are MHT unsuitable (excluding MHT averse) in DAYLIGHT (n=285; 151 in placebo and 134 in </w:t>
      </w:r>
      <w:proofErr w:type="spellStart"/>
      <w:r w:rsidR="00C77D0D" w:rsidRPr="00554C89">
        <w:t>fezolinetant</w:t>
      </w:r>
      <w:proofErr w:type="spellEnd"/>
      <w:r w:rsidR="00C77D0D" w:rsidRPr="00554C89">
        <w:t xml:space="preserve"> 45 mg), SKYLIGHT 1 and SKYLIGHT 2 pooled (n=458; 229 in placebo and 229 in </w:t>
      </w:r>
      <w:proofErr w:type="spellStart"/>
      <w:r w:rsidR="00C77D0D" w:rsidRPr="00554C89">
        <w:t>fezolinetant</w:t>
      </w:r>
      <w:proofErr w:type="spellEnd"/>
      <w:r w:rsidR="00C77D0D" w:rsidRPr="00554C89">
        <w:t xml:space="preserve"> 45 mg) and SKYLIGHT 1, SKYLIGHT 2 and SKYLIGHT 4 pooled for safety (n=1316; 655 in placebo and 661 in </w:t>
      </w:r>
      <w:proofErr w:type="spellStart"/>
      <w:r w:rsidR="00C77D0D" w:rsidRPr="00554C89">
        <w:t>fezolinetant</w:t>
      </w:r>
      <w:proofErr w:type="spellEnd"/>
      <w:r w:rsidR="00C77D0D" w:rsidRPr="00554C89">
        <w:t xml:space="preserve"> 45 mg). In DAYLIGHT, the MHT stopper subgroup was broadly defined as patients who discontinued MHT due to lack of efficacy, MHT-related side effects, advised by healthcare provider to stop due to length of time on MHT or due to age ≥ 60 years. Whereas in the post hoc analyses of SKYLIGHT 1, SKYLIGHT 2 and SKYLIGHT 4, the MHT unsuitable patients included those who stopped MHT due to ‘medical concerns’ (undefined).</w:t>
      </w:r>
    </w:p>
    <w:p w14:paraId="6F87B311" w14:textId="30B954A4" w:rsidR="00C77D0D" w:rsidRPr="00554C89" w:rsidRDefault="00C77D0D" w:rsidP="00766C07">
      <w:pPr>
        <w:pStyle w:val="3-BodyText"/>
      </w:pPr>
      <w:r w:rsidRPr="00554C89">
        <w:t xml:space="preserve">Baseline characteristics were generally balanced between treatment arms in the included trials, except in DAYLIGHT more patients in the </w:t>
      </w:r>
      <w:proofErr w:type="spellStart"/>
      <w:r w:rsidRPr="00554C89">
        <w:t>fezolinetant</w:t>
      </w:r>
      <w:proofErr w:type="spellEnd"/>
      <w:r w:rsidRPr="00554C89">
        <w:t xml:space="preserve"> arm had prior hysterectomy compared to placebo (20.3% vs 10.6%). Across the trials, while patients’ baseline characteristics were broadly similar, </w:t>
      </w:r>
      <w:r w:rsidR="00005C31" w:rsidRPr="00554C89">
        <w:t xml:space="preserve">the evaluation noted some </w:t>
      </w:r>
      <w:r w:rsidRPr="00554C89">
        <w:t>differences, including:</w:t>
      </w:r>
    </w:p>
    <w:p w14:paraId="43ED8451" w14:textId="77777777" w:rsidR="00C77D0D" w:rsidRPr="00EB1825" w:rsidRDefault="00C77D0D" w:rsidP="00EA029A">
      <w:pPr>
        <w:pStyle w:val="ListParagraph"/>
      </w:pPr>
      <w:r w:rsidRPr="00EB1825">
        <w:t>Race: more Caucasian patients in DAYLIGHT (96.2-98.0%) compared to other trials (75.9-80.6%)</w:t>
      </w:r>
    </w:p>
    <w:p w14:paraId="09F9FC0F" w14:textId="77777777" w:rsidR="00C77D0D" w:rsidRPr="00EB1825" w:rsidRDefault="00C77D0D" w:rsidP="00EA029A">
      <w:pPr>
        <w:pStyle w:val="ListParagraph"/>
      </w:pPr>
      <w:r w:rsidRPr="00EB1825">
        <w:t>Medical history of hysterectomy and oophorectomy: fewer patients in DAYLIGHT had previous hysterectomy (10.6-20.3%) and oophorectomy (10.6-12.8%) compared to other trials (27.0-36.8% hysterectomy; 18.9-25.4% oophorectomy)</w:t>
      </w:r>
    </w:p>
    <w:p w14:paraId="56477CC0" w14:textId="77777777" w:rsidR="00C77D0D" w:rsidRPr="00EB1825" w:rsidRDefault="00C77D0D" w:rsidP="00EA029A">
      <w:pPr>
        <w:pStyle w:val="ListParagraph"/>
      </w:pPr>
      <w:r w:rsidRPr="00EB1825">
        <w:t>MHT history: fewer patients in DAYLIGHT were MHT caution (32.7-40.3%)</w:t>
      </w:r>
    </w:p>
    <w:p w14:paraId="0F89BF86" w14:textId="50F0E68D" w:rsidR="00C77D0D" w:rsidRPr="00554C89" w:rsidRDefault="00331954" w:rsidP="00766C07">
      <w:pPr>
        <w:pStyle w:val="3-BodyText"/>
      </w:pPr>
      <w:r w:rsidRPr="00554C89">
        <w:t>The evaluation considered that a</w:t>
      </w:r>
      <w:r w:rsidR="00C77D0D" w:rsidRPr="00554C89">
        <w:t>cross the trials, the baseline demographic and disease characteristics in the revised patient subgroup who are MHT unsuitable (excluding MHT averse) were generally similar to the overall population.</w:t>
      </w:r>
    </w:p>
    <w:p w14:paraId="32852F21" w14:textId="77777777" w:rsidR="00C77D0D" w:rsidRPr="00EB1825" w:rsidRDefault="00C77D0D" w:rsidP="00C77D0D">
      <w:pPr>
        <w:pStyle w:val="4-SubsectionHeading"/>
      </w:pPr>
      <w:bookmarkStart w:id="30" w:name="_Toc202884175"/>
      <w:bookmarkStart w:id="31" w:name="_Toc208999805"/>
      <w:r w:rsidRPr="00EB1825">
        <w:t>Comparative effectiveness</w:t>
      </w:r>
      <w:bookmarkEnd w:id="30"/>
      <w:bookmarkEnd w:id="31"/>
    </w:p>
    <w:p w14:paraId="3A6DC859" w14:textId="77777777" w:rsidR="00C77D0D" w:rsidRPr="00554C89" w:rsidRDefault="00C77D0D" w:rsidP="00766C07">
      <w:pPr>
        <w:pStyle w:val="3-BodyText"/>
      </w:pPr>
      <w:proofErr w:type="gramStart"/>
      <w:r w:rsidRPr="00554C89">
        <w:t>With the exception of</w:t>
      </w:r>
      <w:proofErr w:type="gramEnd"/>
      <w:r w:rsidRPr="00554C89">
        <w:t xml:space="preserve"> SKYLIGHT 4, all trials presented changes in frequency and severity of moderate to severe VMS as the primary or secondary outcome after 12/24 weeks of treatment. The primary outcome of SKYLIGHT 4 was the long-term safety of </w:t>
      </w:r>
      <w:proofErr w:type="spellStart"/>
      <w:r w:rsidRPr="00554C89">
        <w:t>fezolinetant</w:t>
      </w:r>
      <w:proofErr w:type="spellEnd"/>
      <w:r w:rsidRPr="00554C89">
        <w:t xml:space="preserve"> to Week 52.</w:t>
      </w:r>
    </w:p>
    <w:p w14:paraId="20ABE37D" w14:textId="2C241E20" w:rsidR="00C77D0D" w:rsidRPr="00554C89" w:rsidRDefault="00C77D0D" w:rsidP="00766C07">
      <w:pPr>
        <w:pStyle w:val="3-BodyText"/>
      </w:pPr>
      <w:r w:rsidRPr="00554C89">
        <w:t>The resubmission re</w:t>
      </w:r>
      <w:r w:rsidR="00645F0D" w:rsidRPr="00554C89">
        <w:t>-</w:t>
      </w:r>
      <w:r w:rsidRPr="00554C89">
        <w:t>presented the results of the discrete choice experiment (DCE) of patient preferences for the attributes of treatment for moderate to severe VMS. The DCE found that improvement in VMS frequency is the most important factor for preference; VMS severity improvement was less important; sleep disturbance improvement was similar in importance to VMS severity; and the risk of side effects appeared to be the least important factor for preference. The DCE target population sample was Australian women (N=120) aged 40-65 years with menopause and current or previous episodes of moderate to severe VMS (≥7 hot flushes, sensations of heat with sweating over a 24-hour period).</w:t>
      </w:r>
    </w:p>
    <w:p w14:paraId="7D42EE20" w14:textId="77777777" w:rsidR="00C77D0D" w:rsidRPr="00554C89" w:rsidRDefault="00C77D0D" w:rsidP="00766C07">
      <w:pPr>
        <w:pStyle w:val="3-BodyText"/>
      </w:pPr>
      <w:r w:rsidRPr="00554C89">
        <w:t>The resubmission stated that the DCE study did not sample women based on the criteria for MHT unsuitable because it was not practical or reliable to recruit for market research based on these criteria without medical records or physician information. The resubmission also stated that the reason the attributes used for frequency (reduced by at least half) and severity of VMS (number of days reduced with severe and interrupting hot flushes) in the DCE was inconsistent with the trial definition for change in VMS frequency and severity was for “appropriate communication to survey respondents”, whereas the trial definitions were “abstract”. In the trials, VMS frequency was defined as the change from baseline in the average daily number of moderate or severe VMS, and VMS severity was defined as the weighted average of the daily number of VMS by severity (mild, moderate and severe) over a total daily number of VMS.</w:t>
      </w:r>
    </w:p>
    <w:p w14:paraId="0BB638EA" w14:textId="5B5B5318" w:rsidR="00C77D0D" w:rsidRPr="00554C89" w:rsidRDefault="00C77D0D" w:rsidP="00766C07">
      <w:pPr>
        <w:pStyle w:val="3-BodyText"/>
      </w:pPr>
      <w:r w:rsidRPr="00554C89">
        <w:t xml:space="preserve">The resubmission nominated a minimally clinically important difference (MCID) for improvement in VMS frequency as a reduction of ≥2 moderate to severe VMS episodes per day. The resubmission noted that the FDA and EMA indicated the results from SKYLIGHT 1 and SKYLIGHT 2 showed statistically significant and clinically meaningful (≥ 2 hot flashes over 24 hours) reduction from baseline in the frequency of moderate to severe VMS for </w:t>
      </w:r>
      <w:proofErr w:type="spellStart"/>
      <w:r w:rsidRPr="00554C89">
        <w:t>fezolinetant</w:t>
      </w:r>
      <w:proofErr w:type="spellEnd"/>
      <w:r w:rsidRPr="00554C89">
        <w:t xml:space="preserve"> 45 mg compared to placebo at Weeks 4 and 12. This was consistent with the sponsor's claims in the March 2025 pre-PBAC response. The resubmission did not nominate a MCID for improvement in VMS severity, however, </w:t>
      </w:r>
      <w:r w:rsidR="00A80307" w:rsidRPr="00554C89">
        <w:t xml:space="preserve">the evaluation noted that </w:t>
      </w:r>
      <w:r w:rsidRPr="00554C89">
        <w:t>published studies indicate a reduction &gt;0.225 points at Week 12 on a three-point scale from 1 (mild) to 3 (severe) may be meaningful to post-menopausal women (Constantine 2020</w:t>
      </w:r>
      <w:r w:rsidRPr="00645D92">
        <w:rPr>
          <w:vertAlign w:val="superscript"/>
        </w:rPr>
        <w:footnoteReference w:id="10"/>
      </w:r>
      <w:r w:rsidRPr="00554C89">
        <w:t xml:space="preserve">). The PBAC previously considered that the impact of reductions in VMS severity and frequency is influenced by </w:t>
      </w:r>
      <w:proofErr w:type="gramStart"/>
      <w:r w:rsidRPr="00554C89">
        <w:t>a number of</w:t>
      </w:r>
      <w:proofErr w:type="gramEnd"/>
      <w:r w:rsidRPr="00554C89">
        <w:t xml:space="preserve"> factors specific to each individual and their circumstances (e.g. environment and activities being undertaken) (paragraph 7.8, </w:t>
      </w:r>
      <w:proofErr w:type="spellStart"/>
      <w:r w:rsidRPr="00554C89">
        <w:t>fezolinetant</w:t>
      </w:r>
      <w:proofErr w:type="spellEnd"/>
      <w:r w:rsidRPr="00554C89">
        <w:t xml:space="preserve"> </w:t>
      </w:r>
      <w:r w:rsidR="00885A56" w:rsidRPr="00554C89">
        <w:t>PSD</w:t>
      </w:r>
      <w:r w:rsidRPr="00554C89">
        <w:t xml:space="preserve"> March 2025 PBAC meeting).</w:t>
      </w:r>
    </w:p>
    <w:p w14:paraId="68B22313" w14:textId="77777777" w:rsidR="00C77D0D" w:rsidRPr="00EB1825" w:rsidRDefault="00C77D0D" w:rsidP="00C77D0D">
      <w:pPr>
        <w:pStyle w:val="5-SubsectionSubheading"/>
        <w:rPr>
          <w:bCs/>
        </w:rPr>
      </w:pPr>
      <w:bookmarkStart w:id="32" w:name="_Toc208999806"/>
      <w:r w:rsidRPr="00EB1825">
        <w:t>Trial results</w:t>
      </w:r>
      <w:bookmarkEnd w:id="32"/>
    </w:p>
    <w:p w14:paraId="14F88757" w14:textId="18B525B9" w:rsidR="00C77D0D" w:rsidRPr="00EB1825" w:rsidRDefault="00C77D0D" w:rsidP="00766C07">
      <w:pPr>
        <w:pStyle w:val="3-BodyText"/>
        <w:numPr>
          <w:ilvl w:val="1"/>
          <w:numId w:val="1"/>
        </w:numPr>
        <w:ind w:left="720"/>
      </w:pPr>
      <w:r w:rsidRPr="00EB1825">
        <w:t xml:space="preserve">Table 5 and Figure 1 present the change from baseline in VMS (frequency and severity) at Week 12/24 (double-blind) to Week 52 (active extension) in the </w:t>
      </w:r>
      <w:proofErr w:type="spellStart"/>
      <w:r w:rsidRPr="00EB1825">
        <w:t>fezolinetant</w:t>
      </w:r>
      <w:proofErr w:type="spellEnd"/>
      <w:r w:rsidRPr="00EB1825">
        <w:t xml:space="preserve"> trials. Results below are for the </w:t>
      </w:r>
      <w:proofErr w:type="spellStart"/>
      <w:r w:rsidRPr="00EB1825">
        <w:t>fezolinetant</w:t>
      </w:r>
      <w:proofErr w:type="spellEnd"/>
      <w:r w:rsidRPr="00EB1825">
        <w:t xml:space="preserve"> 45 mg and placebo arms.</w:t>
      </w:r>
      <w:r w:rsidR="00DB7F80" w:rsidRPr="00EB1825">
        <w:t xml:space="preserve"> </w:t>
      </w:r>
    </w:p>
    <w:p w14:paraId="1D6CDC9D" w14:textId="77777777" w:rsidR="00C77D0D" w:rsidRPr="00EB1825" w:rsidRDefault="00C77D0D" w:rsidP="00766C07">
      <w:pPr>
        <w:pStyle w:val="3-BodyText"/>
        <w:numPr>
          <w:ilvl w:val="0"/>
          <w:numId w:val="0"/>
        </w:numPr>
        <w:ind w:left="720" w:hanging="720"/>
      </w:pPr>
    </w:p>
    <w:p w14:paraId="74583BDD" w14:textId="3A080FF1" w:rsidR="00C77D0D" w:rsidRPr="00EB1825" w:rsidRDefault="00C77D0D" w:rsidP="00C77D0D">
      <w:pPr>
        <w:pStyle w:val="Caption"/>
      </w:pPr>
      <w:bookmarkStart w:id="33" w:name="_Ref205455763"/>
      <w:r w:rsidRPr="00EB1825">
        <w:t xml:space="preserve">Table </w:t>
      </w:r>
      <w:r w:rsidRPr="00EB1825">
        <w:fldChar w:fldCharType="begin"/>
      </w:r>
      <w:r w:rsidRPr="00EB1825">
        <w:instrText>SEQ Table \* ARABIC</w:instrText>
      </w:r>
      <w:r w:rsidRPr="00EB1825">
        <w:fldChar w:fldCharType="separate"/>
      </w:r>
      <w:r w:rsidR="00946DF5">
        <w:rPr>
          <w:noProof/>
        </w:rPr>
        <w:t>5</w:t>
      </w:r>
      <w:r w:rsidRPr="00EB1825">
        <w:fldChar w:fldCharType="end"/>
      </w:r>
      <w:bookmarkEnd w:id="33"/>
      <w:r w:rsidRPr="00EB1825">
        <w:t xml:space="preserve">: Change from baseline in moderate to severe VMS (frequency and severity) at Week 12/24 in the included </w:t>
      </w:r>
      <w:proofErr w:type="spellStart"/>
      <w:r w:rsidRPr="00EB1825">
        <w:t>fezolinetant</w:t>
      </w:r>
      <w:proofErr w:type="spellEnd"/>
      <w:r w:rsidRPr="00EB1825">
        <w:t xml:space="preserve"> trials (double-blind period)</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Change from baseline in moderate to severe VMS (frequency and severity) at Week 12/24 in the included fezolinetant trials (double-blind period)"/>
      </w:tblPr>
      <w:tblGrid>
        <w:gridCol w:w="4808"/>
        <w:gridCol w:w="1165"/>
        <w:gridCol w:w="1277"/>
        <w:gridCol w:w="1767"/>
      </w:tblGrid>
      <w:tr w:rsidR="00C77D0D" w:rsidRPr="00EB1825" w14:paraId="4AB506B6" w14:textId="77777777" w:rsidTr="004679F4">
        <w:tc>
          <w:tcPr>
            <w:tcW w:w="2666" w:type="pct"/>
          </w:tcPr>
          <w:p w14:paraId="77FD7C67" w14:textId="77777777" w:rsidR="00C77D0D" w:rsidRPr="00EB1825" w:rsidRDefault="00C77D0D" w:rsidP="00AC6C8D">
            <w:pPr>
              <w:keepNext/>
              <w:keepLines/>
              <w:rPr>
                <w:rFonts w:ascii="Arial Narrow" w:hAnsi="Arial Narrow"/>
                <w:b/>
                <w:sz w:val="20"/>
                <w:szCs w:val="20"/>
              </w:rPr>
            </w:pPr>
            <w:r w:rsidRPr="00EB1825">
              <w:rPr>
                <w:rFonts w:ascii="Arial Narrow" w:hAnsi="Arial Narrow"/>
                <w:b/>
                <w:sz w:val="20"/>
                <w:szCs w:val="20"/>
              </w:rPr>
              <w:t>Outcome</w:t>
            </w:r>
          </w:p>
        </w:tc>
        <w:tc>
          <w:tcPr>
            <w:tcW w:w="646" w:type="pct"/>
            <w:vAlign w:val="center"/>
          </w:tcPr>
          <w:p w14:paraId="529A63A4"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FEZ 45 mg</w:t>
            </w:r>
          </w:p>
        </w:tc>
        <w:tc>
          <w:tcPr>
            <w:tcW w:w="708" w:type="pct"/>
            <w:vAlign w:val="center"/>
          </w:tcPr>
          <w:p w14:paraId="07ED7DE6"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PBO</w:t>
            </w:r>
          </w:p>
        </w:tc>
        <w:tc>
          <w:tcPr>
            <w:tcW w:w="980" w:type="pct"/>
            <w:vAlign w:val="center"/>
          </w:tcPr>
          <w:p w14:paraId="3D038293"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Difference (95%CI)</w:t>
            </w:r>
          </w:p>
        </w:tc>
      </w:tr>
      <w:tr w:rsidR="00C77D0D" w:rsidRPr="00EB1825" w14:paraId="35086083" w14:textId="77777777" w:rsidTr="004679F4">
        <w:tc>
          <w:tcPr>
            <w:tcW w:w="5000" w:type="pct"/>
            <w:gridSpan w:val="4"/>
            <w:vAlign w:val="center"/>
          </w:tcPr>
          <w:p w14:paraId="1DCF4EA2" w14:textId="77777777" w:rsidR="00C77D0D" w:rsidRPr="00EB1825" w:rsidRDefault="00C77D0D" w:rsidP="00AC6C8D">
            <w:pPr>
              <w:keepNext/>
              <w:keepLines/>
              <w:jc w:val="left"/>
              <w:rPr>
                <w:rFonts w:ascii="Arial Narrow" w:hAnsi="Arial Narrow"/>
                <w:b/>
                <w:sz w:val="20"/>
                <w:szCs w:val="20"/>
              </w:rPr>
            </w:pPr>
            <w:r w:rsidRPr="00EB1825">
              <w:rPr>
                <w:rFonts w:ascii="Arial Narrow" w:hAnsi="Arial Narrow"/>
                <w:b/>
                <w:sz w:val="20"/>
                <w:szCs w:val="20"/>
              </w:rPr>
              <w:t>LS mean (SE) change from baseline in mean frequency of moderate-severe VMS per 24h</w:t>
            </w:r>
            <w:r w:rsidRPr="00EB1825">
              <w:rPr>
                <w:rFonts w:ascii="Arial Narrow" w:hAnsi="Arial Narrow"/>
                <w:b/>
                <w:sz w:val="20"/>
                <w:szCs w:val="20"/>
                <w:vertAlign w:val="superscript"/>
              </w:rPr>
              <w:t>h</w:t>
            </w:r>
          </w:p>
        </w:tc>
      </w:tr>
      <w:tr w:rsidR="00C77D0D" w:rsidRPr="00EB1825" w14:paraId="146C7691" w14:textId="77777777" w:rsidTr="004679F4">
        <w:tc>
          <w:tcPr>
            <w:tcW w:w="2666" w:type="pct"/>
            <w:shd w:val="clear" w:color="auto" w:fill="B8CCE4" w:themeFill="accent1" w:themeFillTint="66"/>
          </w:tcPr>
          <w:p w14:paraId="1D6B5C41"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SKYLIGHT 1,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r w:rsidRPr="00EB1825">
              <w:rPr>
                <w:rFonts w:ascii="Arial Narrow" w:hAnsi="Arial Narrow"/>
                <w:sz w:val="20"/>
                <w:szCs w:val="20"/>
                <w:vertAlign w:val="superscript"/>
              </w:rPr>
              <w:t>g</w:t>
            </w:r>
          </w:p>
        </w:tc>
        <w:tc>
          <w:tcPr>
            <w:tcW w:w="646" w:type="pct"/>
            <w:shd w:val="clear" w:color="auto" w:fill="B8CCE4" w:themeFill="accent1" w:themeFillTint="66"/>
            <w:vAlign w:val="center"/>
          </w:tcPr>
          <w:p w14:paraId="3ABEFB36"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-6.44 (0.31)</w:t>
            </w:r>
          </w:p>
        </w:tc>
        <w:tc>
          <w:tcPr>
            <w:tcW w:w="708" w:type="pct"/>
            <w:shd w:val="clear" w:color="auto" w:fill="B8CCE4" w:themeFill="accent1" w:themeFillTint="66"/>
            <w:vAlign w:val="center"/>
          </w:tcPr>
          <w:p w14:paraId="4BB8190A"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-3.90 (0.31)</w:t>
            </w:r>
          </w:p>
        </w:tc>
        <w:tc>
          <w:tcPr>
            <w:tcW w:w="980" w:type="pct"/>
            <w:shd w:val="clear" w:color="auto" w:fill="B8CCE4" w:themeFill="accent1" w:themeFillTint="66"/>
            <w:vAlign w:val="center"/>
          </w:tcPr>
          <w:p w14:paraId="70A566FA"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-2.55 (-3.40, -1.70)</w:t>
            </w:r>
          </w:p>
        </w:tc>
      </w:tr>
      <w:tr w:rsidR="00C77D0D" w:rsidRPr="00EB1825" w14:paraId="5FC0C15A" w14:textId="77777777" w:rsidTr="004679F4">
        <w:tc>
          <w:tcPr>
            <w:tcW w:w="2666" w:type="pct"/>
            <w:shd w:val="clear" w:color="auto" w:fill="B8CCE4" w:themeFill="accent1" w:themeFillTint="66"/>
          </w:tcPr>
          <w:p w14:paraId="200D41F7"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SKYLIGHT 2,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r w:rsidRPr="00EB1825">
              <w:rPr>
                <w:rFonts w:ascii="Arial Narrow" w:hAnsi="Arial Narrow"/>
                <w:sz w:val="20"/>
                <w:szCs w:val="20"/>
                <w:vertAlign w:val="superscript"/>
              </w:rPr>
              <w:t>g</w:t>
            </w:r>
          </w:p>
        </w:tc>
        <w:tc>
          <w:tcPr>
            <w:tcW w:w="646" w:type="pct"/>
            <w:shd w:val="clear" w:color="auto" w:fill="B8CCE4" w:themeFill="accent1" w:themeFillTint="66"/>
            <w:vAlign w:val="center"/>
          </w:tcPr>
          <w:p w14:paraId="37A8576E"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-7.50 (0.39)</w:t>
            </w:r>
          </w:p>
        </w:tc>
        <w:tc>
          <w:tcPr>
            <w:tcW w:w="708" w:type="pct"/>
            <w:shd w:val="clear" w:color="auto" w:fill="B8CCE4" w:themeFill="accent1" w:themeFillTint="66"/>
            <w:vAlign w:val="center"/>
          </w:tcPr>
          <w:p w14:paraId="502EE15D"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-4.97 (0.39)</w:t>
            </w:r>
          </w:p>
        </w:tc>
        <w:tc>
          <w:tcPr>
            <w:tcW w:w="980" w:type="pct"/>
            <w:shd w:val="clear" w:color="auto" w:fill="B8CCE4" w:themeFill="accent1" w:themeFillTint="66"/>
            <w:vAlign w:val="center"/>
          </w:tcPr>
          <w:p w14:paraId="318894C9"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-2.53 (-3.60, -1.46)</w:t>
            </w:r>
          </w:p>
        </w:tc>
      </w:tr>
      <w:tr w:rsidR="00C77D0D" w:rsidRPr="00EB1825" w14:paraId="40B3D747" w14:textId="77777777" w:rsidTr="004679F4">
        <w:tc>
          <w:tcPr>
            <w:tcW w:w="2666" w:type="pct"/>
            <w:shd w:val="clear" w:color="auto" w:fill="B8CCE4" w:themeFill="accent1" w:themeFillTint="66"/>
          </w:tcPr>
          <w:p w14:paraId="00C68DD7"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SKYLIGHT 1 &amp; 2 pooled,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646" w:type="pct"/>
            <w:shd w:val="clear" w:color="auto" w:fill="B8CCE4" w:themeFill="accent1" w:themeFillTint="66"/>
            <w:vAlign w:val="center"/>
          </w:tcPr>
          <w:p w14:paraId="5C3C130C"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NR</w:t>
            </w:r>
          </w:p>
        </w:tc>
        <w:tc>
          <w:tcPr>
            <w:tcW w:w="708" w:type="pct"/>
            <w:shd w:val="clear" w:color="auto" w:fill="B8CCE4" w:themeFill="accent1" w:themeFillTint="66"/>
            <w:vAlign w:val="center"/>
          </w:tcPr>
          <w:p w14:paraId="07B39811"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NR</w:t>
            </w:r>
          </w:p>
        </w:tc>
        <w:tc>
          <w:tcPr>
            <w:tcW w:w="980" w:type="pct"/>
            <w:shd w:val="clear" w:color="auto" w:fill="B8CCE4" w:themeFill="accent1" w:themeFillTint="66"/>
            <w:vAlign w:val="center"/>
          </w:tcPr>
          <w:p w14:paraId="0FDD87EA"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-2.51 (-3.20, -1.82)</w:t>
            </w:r>
          </w:p>
        </w:tc>
      </w:tr>
      <w:tr w:rsidR="00C77D0D" w:rsidRPr="00EB1825" w14:paraId="3C054912" w14:textId="77777777" w:rsidTr="004679F4">
        <w:tc>
          <w:tcPr>
            <w:tcW w:w="2666" w:type="pct"/>
            <w:shd w:val="clear" w:color="auto" w:fill="B8CCE4" w:themeFill="accent1" w:themeFillTint="66"/>
          </w:tcPr>
          <w:p w14:paraId="4E568C45"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DAYLIGHT,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b</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646" w:type="pct"/>
            <w:shd w:val="clear" w:color="auto" w:fill="B8CCE4" w:themeFill="accent1" w:themeFillTint="66"/>
            <w:vAlign w:val="center"/>
          </w:tcPr>
          <w:p w14:paraId="695005DC"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-7.65 (0.25)</w:t>
            </w:r>
          </w:p>
        </w:tc>
        <w:tc>
          <w:tcPr>
            <w:tcW w:w="708" w:type="pct"/>
            <w:shd w:val="clear" w:color="auto" w:fill="B8CCE4" w:themeFill="accent1" w:themeFillTint="66"/>
            <w:vAlign w:val="center"/>
          </w:tcPr>
          <w:p w14:paraId="3DFDBE1C"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-5.69 (0.25)</w:t>
            </w:r>
          </w:p>
        </w:tc>
        <w:tc>
          <w:tcPr>
            <w:tcW w:w="980" w:type="pct"/>
            <w:shd w:val="clear" w:color="auto" w:fill="B8CCE4" w:themeFill="accent1" w:themeFillTint="66"/>
            <w:vAlign w:val="center"/>
          </w:tcPr>
          <w:p w14:paraId="4A73154F"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-1.96 (-2.65, -1.26)</w:t>
            </w:r>
          </w:p>
        </w:tc>
      </w:tr>
      <w:tr w:rsidR="00C77D0D" w:rsidRPr="00EB1825" w14:paraId="56D24155" w14:textId="77777777" w:rsidTr="004679F4">
        <w:tc>
          <w:tcPr>
            <w:tcW w:w="2666" w:type="pct"/>
            <w:shd w:val="clear" w:color="auto" w:fill="B8CCE4" w:themeFill="accent1" w:themeFillTint="66"/>
          </w:tcPr>
          <w:p w14:paraId="31D11B6B"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DAYLIGHT,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b</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24</w:t>
            </w:r>
            <w:r w:rsidRPr="00EB1825">
              <w:rPr>
                <w:rFonts w:ascii="Arial Narrow" w:hAnsi="Arial Narrow"/>
                <w:sz w:val="20"/>
                <w:szCs w:val="20"/>
                <w:vertAlign w:val="superscript"/>
              </w:rPr>
              <w:t>g</w:t>
            </w:r>
          </w:p>
        </w:tc>
        <w:tc>
          <w:tcPr>
            <w:tcW w:w="646" w:type="pct"/>
            <w:shd w:val="clear" w:color="auto" w:fill="B8CCE4" w:themeFill="accent1" w:themeFillTint="66"/>
            <w:vAlign w:val="center"/>
          </w:tcPr>
          <w:p w14:paraId="3E15B695"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-6.20 (0.26)</w:t>
            </w:r>
          </w:p>
        </w:tc>
        <w:tc>
          <w:tcPr>
            <w:tcW w:w="708" w:type="pct"/>
            <w:shd w:val="clear" w:color="auto" w:fill="B8CCE4" w:themeFill="accent1" w:themeFillTint="66"/>
            <w:vAlign w:val="center"/>
          </w:tcPr>
          <w:p w14:paraId="620A3C62"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-8.13 (0.25)</w:t>
            </w:r>
          </w:p>
        </w:tc>
        <w:tc>
          <w:tcPr>
            <w:tcW w:w="980" w:type="pct"/>
            <w:shd w:val="clear" w:color="auto" w:fill="B8CCE4" w:themeFill="accent1" w:themeFillTint="66"/>
            <w:vAlign w:val="center"/>
          </w:tcPr>
          <w:p w14:paraId="3DBB55AA" w14:textId="2D7AF68C"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-1.93 (-2.64, -1.22)</w:t>
            </w:r>
          </w:p>
        </w:tc>
      </w:tr>
      <w:tr w:rsidR="00C77D0D" w:rsidRPr="00EB1825" w14:paraId="497D70D2" w14:textId="77777777" w:rsidTr="004679F4">
        <w:tc>
          <w:tcPr>
            <w:tcW w:w="2666" w:type="pct"/>
          </w:tcPr>
          <w:p w14:paraId="5B214D44"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DAYLIGHT, MHT unsuitable (excluding MHT averse)</w:t>
            </w:r>
            <w:r w:rsidRPr="00EB1825">
              <w:rPr>
                <w:rFonts w:ascii="Arial Narrow" w:hAnsi="Arial Narrow"/>
                <w:sz w:val="20"/>
                <w:szCs w:val="20"/>
                <w:vertAlign w:val="superscript"/>
              </w:rPr>
              <w:t>d</w:t>
            </w:r>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24 (post hoc)</w:t>
            </w:r>
          </w:p>
        </w:tc>
        <w:tc>
          <w:tcPr>
            <w:tcW w:w="646" w:type="pct"/>
            <w:vAlign w:val="center"/>
          </w:tcPr>
          <w:p w14:paraId="279E1F6B"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-8.04 (0.34)</w:t>
            </w:r>
          </w:p>
        </w:tc>
        <w:tc>
          <w:tcPr>
            <w:tcW w:w="708" w:type="pct"/>
            <w:vAlign w:val="center"/>
          </w:tcPr>
          <w:p w14:paraId="78280D0E"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-6.17 (0.33)</w:t>
            </w:r>
          </w:p>
        </w:tc>
        <w:tc>
          <w:tcPr>
            <w:tcW w:w="980" w:type="pct"/>
            <w:vAlign w:val="center"/>
          </w:tcPr>
          <w:p w14:paraId="3389D357"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-1.87 (-2.79, -0.94)</w:t>
            </w:r>
          </w:p>
        </w:tc>
      </w:tr>
      <w:tr w:rsidR="00C77D0D" w:rsidRPr="00EB1825" w14:paraId="5968C04D" w14:textId="77777777" w:rsidTr="004679F4">
        <w:tc>
          <w:tcPr>
            <w:tcW w:w="2666" w:type="pct"/>
            <w:shd w:val="clear" w:color="auto" w:fill="B8CCE4" w:themeFill="accent1" w:themeFillTint="66"/>
          </w:tcPr>
          <w:p w14:paraId="6C5DF550"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SKYLIGHT 1 &amp; 2 pooled,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c</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646" w:type="pct"/>
            <w:shd w:val="clear" w:color="auto" w:fill="B8CCE4" w:themeFill="accent1" w:themeFillTint="66"/>
            <w:vAlign w:val="center"/>
          </w:tcPr>
          <w:p w14:paraId="6B98F3C6"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-6.97 (0.27)</w:t>
            </w:r>
          </w:p>
        </w:tc>
        <w:tc>
          <w:tcPr>
            <w:tcW w:w="708" w:type="pct"/>
            <w:shd w:val="clear" w:color="auto" w:fill="B8CCE4" w:themeFill="accent1" w:themeFillTint="66"/>
            <w:vAlign w:val="center"/>
          </w:tcPr>
          <w:p w14:paraId="65CCDA8E"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-4.42 (0.27)</w:t>
            </w:r>
          </w:p>
        </w:tc>
        <w:tc>
          <w:tcPr>
            <w:tcW w:w="980" w:type="pct"/>
            <w:shd w:val="clear" w:color="auto" w:fill="B8CCE4" w:themeFill="accent1" w:themeFillTint="66"/>
            <w:vAlign w:val="center"/>
          </w:tcPr>
          <w:p w14:paraId="7EE95B84"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-2.55 (-3.29, -1.80)</w:t>
            </w:r>
          </w:p>
        </w:tc>
      </w:tr>
      <w:tr w:rsidR="00C77D0D" w:rsidRPr="00EB1825" w14:paraId="52087D4F" w14:textId="77777777" w:rsidTr="004679F4">
        <w:tc>
          <w:tcPr>
            <w:tcW w:w="2666" w:type="pct"/>
          </w:tcPr>
          <w:p w14:paraId="22A632CD"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SKYLIGHT 1 &amp; 2 pooled, MHT unsuitable (excluding MHT averse)</w:t>
            </w:r>
            <w:r w:rsidRPr="00EB1825">
              <w:rPr>
                <w:rFonts w:ascii="Arial Narrow" w:hAnsi="Arial Narrow"/>
                <w:sz w:val="20"/>
                <w:szCs w:val="20"/>
                <w:vertAlign w:val="superscript"/>
              </w:rPr>
              <w:t>d</w:t>
            </w:r>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646" w:type="pct"/>
            <w:vAlign w:val="center"/>
          </w:tcPr>
          <w:p w14:paraId="5CF79A5E"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-6.97 (0.30)</w:t>
            </w:r>
          </w:p>
        </w:tc>
        <w:tc>
          <w:tcPr>
            <w:tcW w:w="708" w:type="pct"/>
            <w:vAlign w:val="center"/>
          </w:tcPr>
          <w:p w14:paraId="21E9F552"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-4.22 (0.30)</w:t>
            </w:r>
          </w:p>
        </w:tc>
        <w:tc>
          <w:tcPr>
            <w:tcW w:w="980" w:type="pct"/>
            <w:vAlign w:val="center"/>
          </w:tcPr>
          <w:p w14:paraId="27751738"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-2.75 (-3.59, -1.91)</w:t>
            </w:r>
          </w:p>
        </w:tc>
      </w:tr>
      <w:tr w:rsidR="00C77D0D" w:rsidRPr="00EB1825" w14:paraId="78291051" w14:textId="77777777" w:rsidTr="004679F4">
        <w:tc>
          <w:tcPr>
            <w:tcW w:w="2666" w:type="pct"/>
            <w:shd w:val="clear" w:color="auto" w:fill="B8CCE4" w:themeFill="accent1" w:themeFillTint="66"/>
          </w:tcPr>
          <w:p w14:paraId="2ABC21DB"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DAYLIGHT, SKYLIGHT 1 &amp; 2 pooled, MHT unsuitable,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646" w:type="pct"/>
            <w:shd w:val="clear" w:color="auto" w:fill="B8CCE4" w:themeFill="accent1" w:themeFillTint="66"/>
            <w:vAlign w:val="center"/>
          </w:tcPr>
          <w:p w14:paraId="0E6BA674"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-7.16 (4.56)</w:t>
            </w:r>
            <w:r w:rsidRPr="00EB1825">
              <w:rPr>
                <w:rFonts w:ascii="Arial Narrow" w:hAnsi="Arial Narrow"/>
                <w:sz w:val="20"/>
                <w:szCs w:val="20"/>
                <w:vertAlign w:val="superscript"/>
              </w:rPr>
              <w:t>e</w:t>
            </w:r>
          </w:p>
        </w:tc>
        <w:tc>
          <w:tcPr>
            <w:tcW w:w="708" w:type="pct"/>
            <w:shd w:val="clear" w:color="auto" w:fill="B8CCE4" w:themeFill="accent1" w:themeFillTint="66"/>
            <w:vAlign w:val="center"/>
          </w:tcPr>
          <w:p w14:paraId="52DD6617"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-4.89 (4.39)</w:t>
            </w:r>
            <w:r w:rsidRPr="00EB1825">
              <w:rPr>
                <w:rFonts w:ascii="Arial Narrow" w:hAnsi="Arial Narrow"/>
                <w:sz w:val="20"/>
                <w:szCs w:val="20"/>
                <w:vertAlign w:val="superscript"/>
              </w:rPr>
              <w:t>e</w:t>
            </w:r>
          </w:p>
        </w:tc>
        <w:tc>
          <w:tcPr>
            <w:tcW w:w="980" w:type="pct"/>
            <w:shd w:val="clear" w:color="auto" w:fill="B8CCE4" w:themeFill="accent1" w:themeFillTint="66"/>
            <w:vAlign w:val="center"/>
          </w:tcPr>
          <w:p w14:paraId="12A251CE"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-2.27 (-2.82, -1.72)</w:t>
            </w:r>
            <w:r w:rsidRPr="00EB1825">
              <w:rPr>
                <w:rFonts w:ascii="Arial Narrow" w:hAnsi="Arial Narrow"/>
                <w:b/>
                <w:sz w:val="20"/>
                <w:szCs w:val="20"/>
                <w:vertAlign w:val="superscript"/>
              </w:rPr>
              <w:t>f</w:t>
            </w:r>
          </w:p>
        </w:tc>
      </w:tr>
      <w:tr w:rsidR="00C77D0D" w:rsidRPr="00EB1825" w14:paraId="47A2F7F1" w14:textId="77777777" w:rsidTr="004679F4">
        <w:tc>
          <w:tcPr>
            <w:tcW w:w="5000" w:type="pct"/>
            <w:gridSpan w:val="4"/>
            <w:vAlign w:val="center"/>
          </w:tcPr>
          <w:p w14:paraId="5A63F460" w14:textId="77777777" w:rsidR="00C77D0D" w:rsidRPr="00EB1825" w:rsidRDefault="00C77D0D" w:rsidP="00AC6C8D">
            <w:pPr>
              <w:keepNext/>
              <w:keepLines/>
              <w:jc w:val="left"/>
              <w:rPr>
                <w:rFonts w:ascii="Arial Narrow" w:hAnsi="Arial Narrow"/>
                <w:b/>
                <w:sz w:val="20"/>
                <w:szCs w:val="20"/>
              </w:rPr>
            </w:pPr>
            <w:r w:rsidRPr="00EB1825">
              <w:rPr>
                <w:rFonts w:ascii="Arial Narrow" w:hAnsi="Arial Narrow"/>
                <w:b/>
                <w:sz w:val="20"/>
                <w:szCs w:val="20"/>
              </w:rPr>
              <w:t xml:space="preserve">LS mean (SE) change from baseline in mean severity of moderate-severe </w:t>
            </w:r>
            <w:proofErr w:type="spellStart"/>
            <w:r w:rsidRPr="00EB1825">
              <w:rPr>
                <w:rFonts w:ascii="Arial Narrow" w:hAnsi="Arial Narrow"/>
                <w:b/>
                <w:sz w:val="20"/>
                <w:szCs w:val="20"/>
              </w:rPr>
              <w:t>VMS</w:t>
            </w:r>
            <w:r w:rsidRPr="00EB1825">
              <w:rPr>
                <w:rFonts w:ascii="Arial Narrow" w:hAnsi="Arial Narrow"/>
                <w:b/>
                <w:sz w:val="20"/>
                <w:szCs w:val="20"/>
                <w:vertAlign w:val="superscript"/>
              </w:rPr>
              <w:t>i</w:t>
            </w:r>
            <w:proofErr w:type="spellEnd"/>
            <w:r w:rsidRPr="00EB1825">
              <w:rPr>
                <w:rFonts w:ascii="Arial Narrow" w:hAnsi="Arial Narrow"/>
                <w:b/>
                <w:sz w:val="20"/>
                <w:szCs w:val="20"/>
              </w:rPr>
              <w:t xml:space="preserve"> per 24h</w:t>
            </w:r>
            <w:r w:rsidRPr="00EB1825">
              <w:rPr>
                <w:rFonts w:ascii="Arial Narrow" w:hAnsi="Arial Narrow"/>
                <w:b/>
                <w:sz w:val="20"/>
                <w:szCs w:val="20"/>
                <w:vertAlign w:val="superscript"/>
              </w:rPr>
              <w:t>h</w:t>
            </w:r>
          </w:p>
        </w:tc>
      </w:tr>
      <w:tr w:rsidR="00C77D0D" w:rsidRPr="00EB1825" w14:paraId="2B63676C" w14:textId="77777777" w:rsidTr="004679F4">
        <w:tc>
          <w:tcPr>
            <w:tcW w:w="2666" w:type="pct"/>
            <w:shd w:val="clear" w:color="auto" w:fill="B8CCE4" w:themeFill="accent1" w:themeFillTint="66"/>
          </w:tcPr>
          <w:p w14:paraId="520EB60F"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SKYLIGHT 1,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r w:rsidRPr="00EB1825">
              <w:rPr>
                <w:rFonts w:ascii="Arial Narrow" w:hAnsi="Arial Narrow"/>
                <w:sz w:val="20"/>
                <w:szCs w:val="20"/>
                <w:vertAlign w:val="superscript"/>
              </w:rPr>
              <w:t>g</w:t>
            </w:r>
          </w:p>
        </w:tc>
        <w:tc>
          <w:tcPr>
            <w:tcW w:w="646" w:type="pct"/>
            <w:shd w:val="clear" w:color="auto" w:fill="B8CCE4" w:themeFill="accent1" w:themeFillTint="66"/>
            <w:vAlign w:val="center"/>
          </w:tcPr>
          <w:p w14:paraId="196B51AA"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-0.57 (0.05)</w:t>
            </w:r>
          </w:p>
        </w:tc>
        <w:tc>
          <w:tcPr>
            <w:tcW w:w="708" w:type="pct"/>
            <w:shd w:val="clear" w:color="auto" w:fill="B8CCE4" w:themeFill="accent1" w:themeFillTint="66"/>
            <w:vAlign w:val="center"/>
          </w:tcPr>
          <w:p w14:paraId="4528B608"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-0.37 (0.05)</w:t>
            </w:r>
          </w:p>
        </w:tc>
        <w:tc>
          <w:tcPr>
            <w:tcW w:w="980" w:type="pct"/>
            <w:shd w:val="clear" w:color="auto" w:fill="B8CCE4" w:themeFill="accent1" w:themeFillTint="66"/>
            <w:vAlign w:val="center"/>
          </w:tcPr>
          <w:p w14:paraId="45DC317D"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-0.20 (-0.35, -0.06)</w:t>
            </w:r>
          </w:p>
        </w:tc>
      </w:tr>
      <w:tr w:rsidR="00C77D0D" w:rsidRPr="00EB1825" w14:paraId="0F94F2CD" w14:textId="77777777" w:rsidTr="004679F4">
        <w:tc>
          <w:tcPr>
            <w:tcW w:w="2666" w:type="pct"/>
            <w:shd w:val="clear" w:color="auto" w:fill="B8CCE4" w:themeFill="accent1" w:themeFillTint="66"/>
          </w:tcPr>
          <w:p w14:paraId="1F835A00"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SKYLIGHT 2,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r w:rsidRPr="00EB1825">
              <w:rPr>
                <w:rFonts w:ascii="Arial Narrow" w:hAnsi="Arial Narrow"/>
                <w:sz w:val="20"/>
                <w:szCs w:val="20"/>
                <w:vertAlign w:val="superscript"/>
              </w:rPr>
              <w:t>g</w:t>
            </w:r>
          </w:p>
        </w:tc>
        <w:tc>
          <w:tcPr>
            <w:tcW w:w="646" w:type="pct"/>
            <w:shd w:val="clear" w:color="auto" w:fill="B8CCE4" w:themeFill="accent1" w:themeFillTint="66"/>
            <w:vAlign w:val="center"/>
          </w:tcPr>
          <w:p w14:paraId="0D207B95"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-0.77 (0.06)</w:t>
            </w:r>
          </w:p>
        </w:tc>
        <w:tc>
          <w:tcPr>
            <w:tcW w:w="708" w:type="pct"/>
            <w:shd w:val="clear" w:color="auto" w:fill="B8CCE4" w:themeFill="accent1" w:themeFillTint="66"/>
            <w:vAlign w:val="center"/>
          </w:tcPr>
          <w:p w14:paraId="3231C4D8"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-0.48 (0.06)</w:t>
            </w:r>
          </w:p>
        </w:tc>
        <w:tc>
          <w:tcPr>
            <w:tcW w:w="980" w:type="pct"/>
            <w:shd w:val="clear" w:color="auto" w:fill="B8CCE4" w:themeFill="accent1" w:themeFillTint="66"/>
            <w:vAlign w:val="center"/>
          </w:tcPr>
          <w:p w14:paraId="3A595169"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-0.29 (-0.45, -0.13)</w:t>
            </w:r>
          </w:p>
        </w:tc>
      </w:tr>
      <w:tr w:rsidR="00C77D0D" w:rsidRPr="00EB1825" w14:paraId="25805483" w14:textId="77777777" w:rsidTr="004679F4">
        <w:tc>
          <w:tcPr>
            <w:tcW w:w="2666" w:type="pct"/>
            <w:shd w:val="clear" w:color="auto" w:fill="B8CCE4" w:themeFill="accent1" w:themeFillTint="66"/>
          </w:tcPr>
          <w:p w14:paraId="60336B27"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SKYLIGHT 1 &amp; 2 pooled,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646" w:type="pct"/>
            <w:shd w:val="clear" w:color="auto" w:fill="B8CCE4" w:themeFill="accent1" w:themeFillTint="66"/>
            <w:vAlign w:val="center"/>
          </w:tcPr>
          <w:p w14:paraId="2FA2985A"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NR</w:t>
            </w:r>
          </w:p>
        </w:tc>
        <w:tc>
          <w:tcPr>
            <w:tcW w:w="708" w:type="pct"/>
            <w:shd w:val="clear" w:color="auto" w:fill="B8CCE4" w:themeFill="accent1" w:themeFillTint="66"/>
            <w:vAlign w:val="center"/>
          </w:tcPr>
          <w:p w14:paraId="0BBB7EBA"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NR</w:t>
            </w:r>
          </w:p>
        </w:tc>
        <w:tc>
          <w:tcPr>
            <w:tcW w:w="980" w:type="pct"/>
            <w:shd w:val="clear" w:color="auto" w:fill="B8CCE4" w:themeFill="accent1" w:themeFillTint="66"/>
            <w:vAlign w:val="center"/>
          </w:tcPr>
          <w:p w14:paraId="32F96ABB"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-0.24 (-0.35, -0.13)</w:t>
            </w:r>
          </w:p>
        </w:tc>
      </w:tr>
      <w:tr w:rsidR="00C77D0D" w:rsidRPr="00EB1825" w14:paraId="08E39F06" w14:textId="77777777" w:rsidTr="004679F4">
        <w:tc>
          <w:tcPr>
            <w:tcW w:w="2666" w:type="pct"/>
            <w:shd w:val="clear" w:color="auto" w:fill="B8CCE4" w:themeFill="accent1" w:themeFillTint="66"/>
          </w:tcPr>
          <w:p w14:paraId="4736F17E"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DAYLIGHT,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b</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646" w:type="pct"/>
            <w:shd w:val="clear" w:color="auto" w:fill="B8CCE4" w:themeFill="accent1" w:themeFillTint="66"/>
            <w:vAlign w:val="center"/>
          </w:tcPr>
          <w:p w14:paraId="21DB48B1"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-0.87 (0.05)</w:t>
            </w:r>
          </w:p>
        </w:tc>
        <w:tc>
          <w:tcPr>
            <w:tcW w:w="708" w:type="pct"/>
            <w:shd w:val="clear" w:color="auto" w:fill="B8CCE4" w:themeFill="accent1" w:themeFillTint="66"/>
            <w:vAlign w:val="center"/>
          </w:tcPr>
          <w:p w14:paraId="74806093"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-0.57 (0.06)</w:t>
            </w:r>
          </w:p>
        </w:tc>
        <w:tc>
          <w:tcPr>
            <w:tcW w:w="980" w:type="pct"/>
            <w:shd w:val="clear" w:color="auto" w:fill="B8CCE4" w:themeFill="accent1" w:themeFillTint="66"/>
            <w:vAlign w:val="center"/>
          </w:tcPr>
          <w:p w14:paraId="7C05E308"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-0.30 (-0.45, -0.15)</w:t>
            </w:r>
          </w:p>
        </w:tc>
      </w:tr>
      <w:tr w:rsidR="00C77D0D" w:rsidRPr="00EB1825" w14:paraId="2F972A25" w14:textId="77777777" w:rsidTr="004679F4">
        <w:tc>
          <w:tcPr>
            <w:tcW w:w="2666" w:type="pct"/>
            <w:shd w:val="clear" w:color="auto" w:fill="B8CCE4" w:themeFill="accent1" w:themeFillTint="66"/>
          </w:tcPr>
          <w:p w14:paraId="1F585910"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DAYLIGHT,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b</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24</w:t>
            </w:r>
          </w:p>
        </w:tc>
        <w:tc>
          <w:tcPr>
            <w:tcW w:w="646" w:type="pct"/>
            <w:shd w:val="clear" w:color="auto" w:fill="B8CCE4" w:themeFill="accent1" w:themeFillTint="66"/>
            <w:vAlign w:val="center"/>
          </w:tcPr>
          <w:p w14:paraId="1B5D70EA"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-1.01 (0.06)</w:t>
            </w:r>
          </w:p>
        </w:tc>
        <w:tc>
          <w:tcPr>
            <w:tcW w:w="708" w:type="pct"/>
            <w:shd w:val="clear" w:color="auto" w:fill="B8CCE4" w:themeFill="accent1" w:themeFillTint="66"/>
            <w:vAlign w:val="center"/>
          </w:tcPr>
          <w:p w14:paraId="6AC17A07"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-0.62 (0.06)</w:t>
            </w:r>
          </w:p>
        </w:tc>
        <w:tc>
          <w:tcPr>
            <w:tcW w:w="980" w:type="pct"/>
            <w:shd w:val="clear" w:color="auto" w:fill="B8CCE4" w:themeFill="accent1" w:themeFillTint="66"/>
            <w:vAlign w:val="center"/>
          </w:tcPr>
          <w:p w14:paraId="1B734127"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-0.39 (-0.57, -0.21)</w:t>
            </w:r>
          </w:p>
        </w:tc>
      </w:tr>
      <w:tr w:rsidR="00C77D0D" w:rsidRPr="00EB1825" w14:paraId="1B48FBE4" w14:textId="77777777" w:rsidTr="004679F4">
        <w:tc>
          <w:tcPr>
            <w:tcW w:w="2666" w:type="pct"/>
          </w:tcPr>
          <w:p w14:paraId="55389107"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DAYLIGHT, MHT unsuitable (excluding MHT averse)</w:t>
            </w:r>
            <w:r w:rsidRPr="00EB1825">
              <w:rPr>
                <w:rFonts w:ascii="Arial Narrow" w:hAnsi="Arial Narrow"/>
                <w:sz w:val="20"/>
                <w:szCs w:val="20"/>
                <w:vertAlign w:val="superscript"/>
              </w:rPr>
              <w:t>d</w:t>
            </w:r>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24 (post hoc)</w:t>
            </w:r>
          </w:p>
        </w:tc>
        <w:tc>
          <w:tcPr>
            <w:tcW w:w="646" w:type="pct"/>
            <w:vAlign w:val="center"/>
          </w:tcPr>
          <w:p w14:paraId="76208D3C"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-0.99 (0.06)</w:t>
            </w:r>
          </w:p>
        </w:tc>
        <w:tc>
          <w:tcPr>
            <w:tcW w:w="708" w:type="pct"/>
            <w:vAlign w:val="center"/>
          </w:tcPr>
          <w:p w14:paraId="59D732E0"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-0.55 (0.06)</w:t>
            </w:r>
          </w:p>
        </w:tc>
        <w:tc>
          <w:tcPr>
            <w:tcW w:w="980" w:type="pct"/>
            <w:vAlign w:val="center"/>
          </w:tcPr>
          <w:p w14:paraId="2FC7B3C9"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-0.44 (-0.61, -0.26)</w:t>
            </w:r>
          </w:p>
        </w:tc>
      </w:tr>
      <w:tr w:rsidR="00C77D0D" w:rsidRPr="00EB1825" w14:paraId="023289A4" w14:textId="77777777" w:rsidTr="004679F4">
        <w:tc>
          <w:tcPr>
            <w:tcW w:w="2666" w:type="pct"/>
            <w:shd w:val="clear" w:color="auto" w:fill="B8CCE4" w:themeFill="accent1" w:themeFillTint="66"/>
          </w:tcPr>
          <w:p w14:paraId="59F41372" w14:textId="21A689EE"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SKYLIGHT 1 &amp; 2 pooled,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c</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w:t>
            </w:r>
            <w:r w:rsidR="00A52BAE" w:rsidRPr="00EB1825">
              <w:rPr>
                <w:rFonts w:ascii="Arial Narrow" w:hAnsi="Arial Narrow"/>
                <w:sz w:val="20"/>
                <w:szCs w:val="20"/>
              </w:rPr>
              <w:t xml:space="preserve"> </w:t>
            </w:r>
            <w:r w:rsidRPr="00EB1825">
              <w:rPr>
                <w:rFonts w:ascii="Arial Narrow" w:hAnsi="Arial Narrow"/>
                <w:sz w:val="20"/>
                <w:szCs w:val="20"/>
              </w:rPr>
              <w:t>hoc)</w:t>
            </w:r>
          </w:p>
        </w:tc>
        <w:tc>
          <w:tcPr>
            <w:tcW w:w="646" w:type="pct"/>
            <w:shd w:val="clear" w:color="auto" w:fill="B8CCE4" w:themeFill="accent1" w:themeFillTint="66"/>
            <w:vAlign w:val="center"/>
          </w:tcPr>
          <w:p w14:paraId="039AF068"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-0.71 (0.04)</w:t>
            </w:r>
          </w:p>
        </w:tc>
        <w:tc>
          <w:tcPr>
            <w:tcW w:w="708" w:type="pct"/>
            <w:shd w:val="clear" w:color="auto" w:fill="B8CCE4" w:themeFill="accent1" w:themeFillTint="66"/>
            <w:vAlign w:val="center"/>
          </w:tcPr>
          <w:p w14:paraId="6A058026"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-0.43 (0.04)</w:t>
            </w:r>
          </w:p>
        </w:tc>
        <w:tc>
          <w:tcPr>
            <w:tcW w:w="980" w:type="pct"/>
            <w:shd w:val="clear" w:color="auto" w:fill="B8CCE4" w:themeFill="accent1" w:themeFillTint="66"/>
            <w:vAlign w:val="center"/>
          </w:tcPr>
          <w:p w14:paraId="70121EBF"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-0.27 (-0.39, -0.15)</w:t>
            </w:r>
          </w:p>
        </w:tc>
      </w:tr>
      <w:tr w:rsidR="00C77D0D" w:rsidRPr="00EB1825" w14:paraId="2E82768D" w14:textId="77777777" w:rsidTr="004679F4">
        <w:tc>
          <w:tcPr>
            <w:tcW w:w="2666" w:type="pct"/>
          </w:tcPr>
          <w:p w14:paraId="67D6FC9E"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SKYLIGHT 1 &amp; 2 pooled, MHT unsuitable (excluding MHT averse)</w:t>
            </w:r>
            <w:r w:rsidRPr="00EB1825">
              <w:rPr>
                <w:rFonts w:ascii="Arial Narrow" w:hAnsi="Arial Narrow"/>
                <w:sz w:val="20"/>
                <w:szCs w:val="20"/>
                <w:vertAlign w:val="superscript"/>
              </w:rPr>
              <w:t>d</w:t>
            </w:r>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646" w:type="pct"/>
            <w:vAlign w:val="center"/>
          </w:tcPr>
          <w:p w14:paraId="3DA62167"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-0.72 (0.05)</w:t>
            </w:r>
          </w:p>
        </w:tc>
        <w:tc>
          <w:tcPr>
            <w:tcW w:w="708" w:type="pct"/>
            <w:vAlign w:val="center"/>
          </w:tcPr>
          <w:p w14:paraId="295C3B65"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-0.41 (0.05)</w:t>
            </w:r>
          </w:p>
        </w:tc>
        <w:tc>
          <w:tcPr>
            <w:tcW w:w="980" w:type="pct"/>
            <w:vAlign w:val="center"/>
          </w:tcPr>
          <w:p w14:paraId="525F5666"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-0.31 (-0.45, -0.18)</w:t>
            </w:r>
          </w:p>
        </w:tc>
      </w:tr>
      <w:tr w:rsidR="00C77D0D" w:rsidRPr="00EB1825" w14:paraId="674F5CF8" w14:textId="77777777" w:rsidTr="004679F4">
        <w:tc>
          <w:tcPr>
            <w:tcW w:w="2666" w:type="pct"/>
            <w:shd w:val="clear" w:color="auto" w:fill="B8CCE4" w:themeFill="accent1" w:themeFillTint="66"/>
          </w:tcPr>
          <w:p w14:paraId="5E0ABD7D" w14:textId="77777777" w:rsidR="00C77D0D" w:rsidRPr="00EB1825" w:rsidRDefault="00C77D0D" w:rsidP="00AC6C8D">
            <w:pPr>
              <w:keepNext/>
              <w:keepLines/>
              <w:rPr>
                <w:rFonts w:ascii="Arial Narrow" w:hAnsi="Arial Narrow"/>
                <w:sz w:val="20"/>
                <w:szCs w:val="20"/>
              </w:rPr>
            </w:pPr>
            <w:r w:rsidRPr="00EB1825">
              <w:rPr>
                <w:rFonts w:ascii="Arial Narrow" w:hAnsi="Arial Narrow"/>
                <w:sz w:val="20"/>
                <w:szCs w:val="20"/>
              </w:rPr>
              <w:t xml:space="preserve">DAYLIGHT, SKYLIGHT 1 &amp; 2 pooled, MHT unsuitable,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646" w:type="pct"/>
            <w:shd w:val="clear" w:color="auto" w:fill="B8CCE4" w:themeFill="accent1" w:themeFillTint="66"/>
            <w:vAlign w:val="center"/>
          </w:tcPr>
          <w:p w14:paraId="5D143C13"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-0.81 (0.93)</w:t>
            </w:r>
            <w:r w:rsidRPr="00EB1825">
              <w:rPr>
                <w:rFonts w:ascii="Arial Narrow" w:hAnsi="Arial Narrow"/>
                <w:sz w:val="20"/>
                <w:szCs w:val="20"/>
                <w:vertAlign w:val="superscript"/>
              </w:rPr>
              <w:t>e</w:t>
            </w:r>
          </w:p>
        </w:tc>
        <w:tc>
          <w:tcPr>
            <w:tcW w:w="708" w:type="pct"/>
            <w:shd w:val="clear" w:color="auto" w:fill="B8CCE4" w:themeFill="accent1" w:themeFillTint="66"/>
            <w:vAlign w:val="center"/>
          </w:tcPr>
          <w:p w14:paraId="6C5192AB"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-0.46 (0.79)</w:t>
            </w:r>
            <w:r w:rsidRPr="00EB1825">
              <w:rPr>
                <w:rFonts w:ascii="Arial Narrow" w:hAnsi="Arial Narrow"/>
                <w:sz w:val="20"/>
                <w:szCs w:val="20"/>
                <w:vertAlign w:val="superscript"/>
              </w:rPr>
              <w:t>e</w:t>
            </w:r>
          </w:p>
        </w:tc>
        <w:tc>
          <w:tcPr>
            <w:tcW w:w="980" w:type="pct"/>
            <w:shd w:val="clear" w:color="auto" w:fill="B8CCE4" w:themeFill="accent1" w:themeFillTint="66"/>
            <w:vAlign w:val="center"/>
          </w:tcPr>
          <w:p w14:paraId="1074AE4C"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b/>
                <w:sz w:val="20"/>
                <w:szCs w:val="20"/>
              </w:rPr>
              <w:t>-0.35 (-0.47, -0.23)</w:t>
            </w:r>
            <w:r w:rsidRPr="00EB1825">
              <w:rPr>
                <w:rFonts w:ascii="Arial Narrow" w:hAnsi="Arial Narrow"/>
                <w:b/>
                <w:sz w:val="20"/>
                <w:szCs w:val="20"/>
                <w:vertAlign w:val="superscript"/>
              </w:rPr>
              <w:t>f</w:t>
            </w:r>
          </w:p>
        </w:tc>
      </w:tr>
    </w:tbl>
    <w:p w14:paraId="1B475805" w14:textId="067497C1" w:rsidR="00C77D0D" w:rsidRPr="00EB1825" w:rsidRDefault="00C77D0D" w:rsidP="00C77D0D">
      <w:pPr>
        <w:keepNext/>
        <w:keepLines/>
        <w:rPr>
          <w:rFonts w:ascii="Arial Narrow" w:hAnsi="Arial Narrow"/>
          <w:sz w:val="18"/>
          <w:szCs w:val="18"/>
        </w:rPr>
      </w:pPr>
      <w:r w:rsidRPr="00EB1825">
        <w:rPr>
          <w:rFonts w:ascii="Arial Narrow" w:hAnsi="Arial Narrow"/>
          <w:sz w:val="18"/>
          <w:szCs w:val="18"/>
        </w:rPr>
        <w:t xml:space="preserve">Source: Tables 2.5-1 and 2.5-2, pp34-36, Table 2.8-1, p65, Table 2.5-9, pp45-46, Table 2.5-11, pp47-48 of the resubmission, Table 9.3.2.3, p273, Table 9.3.2.4, p279 of Attachment 07 – DAYLIGHT CSR.pdf, Tables 11 and 12, pp43-45 of Attachment 07 – SKYLIGHT 1 CSR.pdf, Tables 11 and 12, pp45-47 of </w:t>
      </w:r>
      <w:r w:rsidR="009015A1" w:rsidRPr="00EB1825">
        <w:rPr>
          <w:rFonts w:ascii="Arial Narrow" w:hAnsi="Arial Narrow"/>
          <w:sz w:val="18"/>
          <w:szCs w:val="18"/>
        </w:rPr>
        <w:t>Attachment</w:t>
      </w:r>
      <w:r w:rsidRPr="00EB1825">
        <w:rPr>
          <w:rFonts w:ascii="Arial Narrow" w:hAnsi="Arial Narrow"/>
          <w:sz w:val="18"/>
          <w:szCs w:val="18"/>
        </w:rPr>
        <w:t xml:space="preserve"> 07 - SKYLIGHT 2 CSR.pdf, Table 4 of Santoro 2025 (SKYLIGHT 1 and SKYLIGHT 2 pooled).</w:t>
      </w:r>
    </w:p>
    <w:p w14:paraId="1B0871E3" w14:textId="77777777" w:rsidR="00C77D0D" w:rsidRPr="00EB1825" w:rsidRDefault="00C77D0D" w:rsidP="00C77D0D">
      <w:pPr>
        <w:keepNext/>
        <w:keepLines/>
        <w:rPr>
          <w:rFonts w:ascii="Arial Narrow" w:hAnsi="Arial Narrow"/>
          <w:sz w:val="18"/>
          <w:szCs w:val="18"/>
        </w:rPr>
      </w:pPr>
      <w:r w:rsidRPr="00EB1825">
        <w:rPr>
          <w:rFonts w:ascii="Arial Narrow" w:hAnsi="Arial Narrow"/>
          <w:sz w:val="18"/>
          <w:szCs w:val="18"/>
        </w:rPr>
        <w:t>CI=confidence interval; FEZ=</w:t>
      </w:r>
      <w:proofErr w:type="spellStart"/>
      <w:r w:rsidRPr="00EB1825">
        <w:rPr>
          <w:rFonts w:ascii="Arial Narrow" w:hAnsi="Arial Narrow"/>
          <w:sz w:val="18"/>
          <w:szCs w:val="18"/>
        </w:rPr>
        <w:t>fezolinetant</w:t>
      </w:r>
      <w:proofErr w:type="spellEnd"/>
      <w:r w:rsidRPr="00EB1825">
        <w:rPr>
          <w:rFonts w:ascii="Arial Narrow" w:hAnsi="Arial Narrow"/>
          <w:sz w:val="18"/>
          <w:szCs w:val="18"/>
        </w:rPr>
        <w:t xml:space="preserve">; LS=least squares; MHT=menopausal hormone therapy; NR=not reported; PBO=placebo; SE=standard error; VMS=vasomotor symptoms; </w:t>
      </w:r>
      <w:proofErr w:type="spellStart"/>
      <w:r w:rsidRPr="00EB1825">
        <w:rPr>
          <w:rFonts w:ascii="Arial Narrow" w:hAnsi="Arial Narrow"/>
          <w:sz w:val="18"/>
          <w:szCs w:val="18"/>
        </w:rPr>
        <w:t>Wk</w:t>
      </w:r>
      <w:proofErr w:type="spellEnd"/>
      <w:r w:rsidRPr="00EB1825">
        <w:rPr>
          <w:rFonts w:ascii="Arial Narrow" w:hAnsi="Arial Narrow"/>
          <w:sz w:val="18"/>
          <w:szCs w:val="18"/>
        </w:rPr>
        <w:t>=</w:t>
      </w:r>
      <w:proofErr w:type="gramStart"/>
      <w:r w:rsidRPr="00EB1825">
        <w:rPr>
          <w:rFonts w:ascii="Arial Narrow" w:hAnsi="Arial Narrow"/>
          <w:sz w:val="18"/>
          <w:szCs w:val="18"/>
        </w:rPr>
        <w:t>week;</w:t>
      </w:r>
      <w:proofErr w:type="gramEnd"/>
    </w:p>
    <w:p w14:paraId="2E05E28A" w14:textId="77777777" w:rsidR="00C77D0D" w:rsidRPr="00EB1825" w:rsidRDefault="00C77D0D" w:rsidP="00C77D0D">
      <w:pPr>
        <w:keepNext/>
        <w:keepLines/>
        <w:ind w:left="165" w:hanging="165"/>
        <w:rPr>
          <w:rFonts w:ascii="Arial Narrow" w:hAnsi="Arial Narrow"/>
          <w:sz w:val="18"/>
          <w:szCs w:val="18"/>
        </w:rPr>
      </w:pPr>
      <w:proofErr w:type="spellStart"/>
      <w:r w:rsidRPr="00EB1825">
        <w:rPr>
          <w:rFonts w:ascii="Arial Narrow" w:hAnsi="Arial Narrow"/>
          <w:sz w:val="18"/>
          <w:szCs w:val="18"/>
        </w:rPr>
        <w:t>a</w:t>
      </w:r>
      <w:proofErr w:type="spellEnd"/>
      <w:r w:rsidRPr="00EB1825">
        <w:rPr>
          <w:rFonts w:ascii="Arial Narrow" w:hAnsi="Arial Narrow"/>
          <w:sz w:val="18"/>
          <w:szCs w:val="18"/>
        </w:rPr>
        <w:tab/>
        <w:t xml:space="preserve">In SKYLIGHT 1 and SKYLIGHT 2 patients were not enrolled based on criteria for suitability/unsuitability to receive MHT. Eligible patients had moderate to severe VMS associated with menopause seeking treatment for VMS. </w:t>
      </w:r>
    </w:p>
    <w:p w14:paraId="32D09024" w14:textId="77777777" w:rsidR="00C77D0D" w:rsidRPr="00EB1825" w:rsidRDefault="00C77D0D" w:rsidP="00C77D0D">
      <w:pPr>
        <w:keepNext/>
        <w:keepLines/>
        <w:ind w:left="165" w:hanging="165"/>
        <w:rPr>
          <w:rFonts w:ascii="Arial Narrow" w:hAnsi="Arial Narrow"/>
          <w:sz w:val="18"/>
          <w:szCs w:val="18"/>
        </w:rPr>
      </w:pPr>
      <w:r w:rsidRPr="00EB1825">
        <w:rPr>
          <w:rFonts w:ascii="Arial Narrow" w:hAnsi="Arial Narrow"/>
          <w:sz w:val="18"/>
          <w:szCs w:val="18"/>
        </w:rPr>
        <w:t>b</w:t>
      </w:r>
      <w:r w:rsidRPr="00EB1825">
        <w:rPr>
          <w:rFonts w:ascii="Arial Narrow" w:hAnsi="Arial Narrow"/>
          <w:sz w:val="18"/>
          <w:szCs w:val="18"/>
        </w:rPr>
        <w:tab/>
      </w:r>
      <w:proofErr w:type="gramStart"/>
      <w:r w:rsidRPr="00EB1825">
        <w:rPr>
          <w:rFonts w:ascii="Arial Narrow" w:hAnsi="Arial Narrow"/>
          <w:sz w:val="18"/>
          <w:szCs w:val="18"/>
        </w:rPr>
        <w:t>In</w:t>
      </w:r>
      <w:proofErr w:type="gramEnd"/>
      <w:r w:rsidRPr="00EB1825">
        <w:rPr>
          <w:rFonts w:ascii="Arial Narrow" w:hAnsi="Arial Narrow"/>
          <w:sz w:val="18"/>
          <w:szCs w:val="18"/>
        </w:rPr>
        <w:t xml:space="preserve"> DAYLIGHT, enrolled patients were MHT unsuitable defined as contraindicated; caution (based on medical history); stoppers (previous discontinuation due to lack of efficacy, side effects or medical advice); or averse (choice not to use MHT after discussion with clinician).</w:t>
      </w:r>
    </w:p>
    <w:p w14:paraId="06367DEA" w14:textId="205F4CA2" w:rsidR="00C77D0D" w:rsidRPr="00EB1825" w:rsidRDefault="00C77D0D" w:rsidP="00C77D0D">
      <w:pPr>
        <w:keepNext/>
        <w:keepLines/>
        <w:ind w:left="165" w:hanging="165"/>
        <w:rPr>
          <w:rFonts w:ascii="Arial Narrow" w:hAnsi="Arial Narrow"/>
          <w:sz w:val="18"/>
          <w:szCs w:val="18"/>
        </w:rPr>
      </w:pPr>
      <w:r w:rsidRPr="00EB1825">
        <w:rPr>
          <w:rFonts w:ascii="Arial Narrow" w:hAnsi="Arial Narrow"/>
          <w:sz w:val="18"/>
          <w:szCs w:val="18"/>
        </w:rPr>
        <w:t>c</w:t>
      </w:r>
      <w:r w:rsidRPr="00EB1825">
        <w:rPr>
          <w:rFonts w:ascii="Arial Narrow" w:hAnsi="Arial Narrow"/>
          <w:sz w:val="18"/>
          <w:szCs w:val="18"/>
        </w:rPr>
        <w:tab/>
      </w:r>
      <w:proofErr w:type="gramStart"/>
      <w:r w:rsidRPr="00EB1825">
        <w:rPr>
          <w:rFonts w:ascii="Arial Narrow" w:hAnsi="Arial Narrow"/>
          <w:sz w:val="18"/>
          <w:szCs w:val="18"/>
        </w:rPr>
        <w:t>In</w:t>
      </w:r>
      <w:proofErr w:type="gramEnd"/>
      <w:r w:rsidRPr="00EB1825">
        <w:rPr>
          <w:rFonts w:ascii="Arial Narrow" w:hAnsi="Arial Narrow"/>
          <w:sz w:val="18"/>
          <w:szCs w:val="18"/>
        </w:rPr>
        <w:t xml:space="preserve"> the post</w:t>
      </w:r>
      <w:r w:rsidR="00C26C28" w:rsidRPr="00EB1825">
        <w:rPr>
          <w:rFonts w:ascii="Arial Narrow" w:hAnsi="Arial Narrow"/>
          <w:sz w:val="18"/>
          <w:szCs w:val="18"/>
        </w:rPr>
        <w:t xml:space="preserve"> </w:t>
      </w:r>
      <w:r w:rsidRPr="00EB1825">
        <w:rPr>
          <w:rFonts w:ascii="Arial Narrow" w:hAnsi="Arial Narrow"/>
          <w:sz w:val="18"/>
          <w:szCs w:val="18"/>
        </w:rPr>
        <w:t xml:space="preserve">hoc analysis of SKYLIGHT 1 and SKYLIGHT 2, MHT history subgroups were mutually exclusive and categorised with the following hierarchy: contraindicated; caution; stopped for medical concerns; averse; naïve/willing. MHT unsuitable group comprised </w:t>
      </w:r>
      <w:proofErr w:type="gramStart"/>
      <w:r w:rsidRPr="00EB1825">
        <w:rPr>
          <w:rFonts w:ascii="Arial Narrow" w:hAnsi="Arial Narrow"/>
          <w:sz w:val="18"/>
          <w:szCs w:val="18"/>
        </w:rPr>
        <w:t>of:</w:t>
      </w:r>
      <w:proofErr w:type="gramEnd"/>
      <w:r w:rsidRPr="00EB1825">
        <w:rPr>
          <w:rFonts w:ascii="Arial Narrow" w:hAnsi="Arial Narrow"/>
          <w:sz w:val="18"/>
          <w:szCs w:val="18"/>
        </w:rPr>
        <w:t xml:space="preserve"> contraindicated, caution, stopped for medical concerns or </w:t>
      </w:r>
      <w:proofErr w:type="gramStart"/>
      <w:r w:rsidRPr="00EB1825">
        <w:rPr>
          <w:rFonts w:ascii="Arial Narrow" w:hAnsi="Arial Narrow"/>
          <w:sz w:val="18"/>
          <w:szCs w:val="18"/>
        </w:rPr>
        <w:t>averse</w:t>
      </w:r>
      <w:proofErr w:type="gramEnd"/>
      <w:r w:rsidRPr="00EB1825">
        <w:rPr>
          <w:rFonts w:ascii="Arial Narrow" w:hAnsi="Arial Narrow"/>
          <w:sz w:val="18"/>
          <w:szCs w:val="18"/>
        </w:rPr>
        <w:t xml:space="preserve"> subgroups.</w:t>
      </w:r>
    </w:p>
    <w:p w14:paraId="73891C66" w14:textId="77777777" w:rsidR="00C77D0D" w:rsidRPr="00EB1825" w:rsidRDefault="00C77D0D" w:rsidP="00C77D0D">
      <w:pPr>
        <w:keepNext/>
        <w:keepLines/>
        <w:ind w:left="165" w:hanging="165"/>
        <w:rPr>
          <w:rFonts w:ascii="Arial Narrow" w:hAnsi="Arial Narrow"/>
          <w:sz w:val="18"/>
          <w:szCs w:val="18"/>
        </w:rPr>
      </w:pPr>
      <w:r w:rsidRPr="00EB1825">
        <w:rPr>
          <w:rFonts w:ascii="Arial Narrow" w:hAnsi="Arial Narrow"/>
          <w:sz w:val="18"/>
          <w:szCs w:val="18"/>
        </w:rPr>
        <w:t>d</w:t>
      </w:r>
      <w:r w:rsidRPr="00EB1825">
        <w:rPr>
          <w:rFonts w:ascii="Arial Narrow" w:hAnsi="Arial Narrow"/>
          <w:sz w:val="18"/>
          <w:szCs w:val="18"/>
        </w:rPr>
        <w:tab/>
        <w:t>Post hoc subgroup who are MHT unsuitable (included MHT contraindicated, MHT cautioned and MHT stoppers). In DAYLIGHT, the MHT stopper subgroup was broadly defined as patients who discontinued MHT due to lack of efficacy, MHT-related side effects, advised by healthcare provider to stop due to length of time on MHT or due to age ≥ 60 years. For the post hoc analysis of the SKYLIGHT trials, MHT unsuitable included those who stopped MHT due to medical concerns (undefined; without contraindication/caution).</w:t>
      </w:r>
    </w:p>
    <w:p w14:paraId="6E135D34" w14:textId="77777777" w:rsidR="00C77D0D" w:rsidRPr="00EB1825" w:rsidRDefault="00C77D0D" w:rsidP="00C77D0D">
      <w:pPr>
        <w:keepNext/>
        <w:keepLines/>
        <w:ind w:left="165" w:hanging="165"/>
        <w:rPr>
          <w:rFonts w:ascii="Arial Narrow" w:hAnsi="Arial Narrow"/>
          <w:sz w:val="18"/>
          <w:szCs w:val="18"/>
        </w:rPr>
      </w:pPr>
      <w:r w:rsidRPr="00EB1825">
        <w:rPr>
          <w:rFonts w:ascii="Arial Narrow" w:hAnsi="Arial Narrow"/>
          <w:sz w:val="18"/>
          <w:szCs w:val="18"/>
        </w:rPr>
        <w:t>e</w:t>
      </w:r>
      <w:r w:rsidRPr="00EB1825">
        <w:rPr>
          <w:rFonts w:ascii="Arial Narrow" w:hAnsi="Arial Narrow"/>
          <w:sz w:val="18"/>
          <w:szCs w:val="18"/>
        </w:rPr>
        <w:tab/>
        <w:t>Reported as mean (SD) change from baseline.</w:t>
      </w:r>
    </w:p>
    <w:p w14:paraId="77EB804F" w14:textId="77777777" w:rsidR="00C77D0D" w:rsidRPr="00EB1825" w:rsidRDefault="00C77D0D" w:rsidP="00C77D0D">
      <w:pPr>
        <w:keepNext/>
        <w:keepLines/>
        <w:ind w:left="165" w:hanging="165"/>
        <w:rPr>
          <w:rFonts w:ascii="Arial Narrow" w:hAnsi="Arial Narrow"/>
          <w:sz w:val="18"/>
          <w:szCs w:val="18"/>
        </w:rPr>
      </w:pPr>
      <w:r w:rsidRPr="00EB1825">
        <w:rPr>
          <w:rFonts w:ascii="Arial Narrow" w:hAnsi="Arial Narrow"/>
          <w:sz w:val="18"/>
          <w:szCs w:val="18"/>
        </w:rPr>
        <w:t>f</w:t>
      </w:r>
      <w:r w:rsidRPr="00EB1825">
        <w:rPr>
          <w:rFonts w:ascii="Arial Narrow" w:hAnsi="Arial Narrow"/>
          <w:sz w:val="18"/>
          <w:szCs w:val="18"/>
        </w:rPr>
        <w:tab/>
        <w:t xml:space="preserve">Mean difference calculated during the evaluation using </w:t>
      </w:r>
      <w:proofErr w:type="spellStart"/>
      <w:r w:rsidRPr="00EB1825">
        <w:rPr>
          <w:rFonts w:ascii="Arial Narrow" w:hAnsi="Arial Narrow"/>
          <w:sz w:val="18"/>
          <w:szCs w:val="18"/>
        </w:rPr>
        <w:t>RevMan</w:t>
      </w:r>
      <w:proofErr w:type="spellEnd"/>
      <w:r w:rsidRPr="00EB1825">
        <w:rPr>
          <w:rFonts w:ascii="Arial Narrow" w:hAnsi="Arial Narrow"/>
          <w:sz w:val="18"/>
          <w:szCs w:val="18"/>
        </w:rPr>
        <w:t xml:space="preserve"> v5.3. LS mean difference was not reported in the submission. </w:t>
      </w:r>
    </w:p>
    <w:p w14:paraId="20A6509C" w14:textId="39BAB851" w:rsidR="00C77D0D" w:rsidRPr="00EB1825" w:rsidRDefault="00C77D0D" w:rsidP="00C77D0D">
      <w:pPr>
        <w:keepNext/>
        <w:keepLines/>
        <w:ind w:left="165" w:hanging="165"/>
        <w:rPr>
          <w:rFonts w:ascii="Arial Narrow" w:hAnsi="Arial Narrow"/>
          <w:sz w:val="18"/>
          <w:szCs w:val="18"/>
        </w:rPr>
      </w:pPr>
      <w:r w:rsidRPr="00EB1825">
        <w:rPr>
          <w:rFonts w:ascii="Arial Narrow" w:hAnsi="Arial Narrow"/>
          <w:sz w:val="18"/>
          <w:szCs w:val="18"/>
        </w:rPr>
        <w:t>g</w:t>
      </w:r>
      <w:r w:rsidRPr="00EB1825">
        <w:rPr>
          <w:rFonts w:ascii="Arial Narrow" w:hAnsi="Arial Narrow"/>
          <w:sz w:val="18"/>
          <w:szCs w:val="18"/>
        </w:rPr>
        <w:tab/>
        <w:t>Primary outcome</w:t>
      </w:r>
      <w:r w:rsidR="00C26C28" w:rsidRPr="00EB1825">
        <w:rPr>
          <w:rFonts w:ascii="Arial Narrow" w:hAnsi="Arial Narrow"/>
          <w:sz w:val="18"/>
          <w:szCs w:val="18"/>
        </w:rPr>
        <w:t>; used in the submission’s modelled economic evaluation</w:t>
      </w:r>
    </w:p>
    <w:p w14:paraId="276F3888" w14:textId="77777777" w:rsidR="00C77D0D" w:rsidRPr="00EB1825" w:rsidRDefault="00C77D0D" w:rsidP="00C77D0D">
      <w:pPr>
        <w:keepNext/>
        <w:keepLines/>
        <w:ind w:left="165" w:hanging="165"/>
        <w:rPr>
          <w:rFonts w:ascii="Arial Narrow" w:hAnsi="Arial Narrow"/>
          <w:sz w:val="18"/>
          <w:szCs w:val="18"/>
        </w:rPr>
      </w:pPr>
      <w:r w:rsidRPr="00EB1825">
        <w:rPr>
          <w:rFonts w:ascii="Arial Narrow" w:hAnsi="Arial Narrow"/>
          <w:sz w:val="18"/>
          <w:szCs w:val="18"/>
        </w:rPr>
        <w:t>h</w:t>
      </w:r>
      <w:r w:rsidRPr="00EB1825">
        <w:rPr>
          <w:rFonts w:ascii="Arial Narrow" w:hAnsi="Arial Narrow"/>
          <w:sz w:val="18"/>
          <w:szCs w:val="18"/>
        </w:rPr>
        <w:tab/>
        <w:t>A negative change indicates a reduction/improvement from baseline.</w:t>
      </w:r>
    </w:p>
    <w:p w14:paraId="70D8744C" w14:textId="77777777" w:rsidR="00C77D0D" w:rsidRPr="00EB1825" w:rsidRDefault="00C77D0D" w:rsidP="00C77D0D">
      <w:pPr>
        <w:keepNext/>
        <w:keepLines/>
        <w:ind w:left="165" w:hanging="165"/>
        <w:rPr>
          <w:rFonts w:ascii="Arial Narrow" w:hAnsi="Arial Narrow"/>
          <w:sz w:val="18"/>
          <w:szCs w:val="18"/>
        </w:rPr>
      </w:pPr>
      <w:r w:rsidRPr="00EB1825">
        <w:rPr>
          <w:rFonts w:ascii="Arial Narrow" w:hAnsi="Arial Narrow"/>
          <w:sz w:val="18"/>
          <w:szCs w:val="18"/>
        </w:rPr>
        <w:t>i</w:t>
      </w:r>
      <w:r w:rsidRPr="00EB1825">
        <w:rPr>
          <w:rFonts w:ascii="Arial Narrow" w:hAnsi="Arial Narrow"/>
          <w:sz w:val="18"/>
          <w:szCs w:val="18"/>
        </w:rPr>
        <w:tab/>
        <w:t>FDA defined VMS severity: Mild – sensation of heat without sweating; Moderate – sensation of heat with sweating, able to continue activity; and Severe – sensation of heat with sweating, causing cessation of activity.</w:t>
      </w:r>
    </w:p>
    <w:p w14:paraId="440A1BE3" w14:textId="77777777" w:rsidR="00B06B20" w:rsidRPr="00EB1825" w:rsidRDefault="00B06B20" w:rsidP="00B06B20">
      <w:pPr>
        <w:pStyle w:val="TableFigureFooter"/>
        <w:spacing w:after="0"/>
        <w:rPr>
          <w:rStyle w:val="CommentReference"/>
          <w:b w:val="0"/>
          <w:bCs w:val="0"/>
          <w:sz w:val="18"/>
          <w:szCs w:val="18"/>
        </w:rPr>
      </w:pPr>
      <w:r w:rsidRPr="00EB1825">
        <w:rPr>
          <w:rStyle w:val="CommentReference"/>
          <w:b w:val="0"/>
          <w:sz w:val="18"/>
          <w:szCs w:val="18"/>
          <w:shd w:val="clear" w:color="auto" w:fill="B8CCE4" w:themeFill="accent1" w:themeFillTint="66"/>
        </w:rPr>
        <w:t xml:space="preserve">Blue </w:t>
      </w:r>
      <w:r w:rsidRPr="00EB1825">
        <w:rPr>
          <w:rStyle w:val="CommentReference"/>
          <w:b w:val="0"/>
          <w:sz w:val="18"/>
          <w:szCs w:val="18"/>
        </w:rPr>
        <w:t xml:space="preserve">shading indicates data previously seen by the PBAC. </w:t>
      </w:r>
    </w:p>
    <w:p w14:paraId="52DCA9A2" w14:textId="05311EBE" w:rsidR="00B06B20" w:rsidRPr="00EB1825" w:rsidRDefault="00B06B20" w:rsidP="00B06B20">
      <w:pPr>
        <w:keepNext/>
        <w:keepLines/>
        <w:rPr>
          <w:rFonts w:ascii="Arial Narrow" w:hAnsi="Arial Narrow"/>
          <w:sz w:val="18"/>
          <w:szCs w:val="18"/>
        </w:rPr>
      </w:pPr>
      <w:r w:rsidRPr="00EB1825">
        <w:rPr>
          <w:rFonts w:ascii="Arial Narrow" w:hAnsi="Arial Narrow"/>
          <w:b/>
          <w:bCs/>
          <w:sz w:val="18"/>
          <w:szCs w:val="18"/>
        </w:rPr>
        <w:t>Bold</w:t>
      </w:r>
      <w:r w:rsidRPr="00EB1825">
        <w:rPr>
          <w:rFonts w:ascii="Arial Narrow" w:hAnsi="Arial Narrow"/>
          <w:sz w:val="18"/>
          <w:szCs w:val="18"/>
        </w:rPr>
        <w:t xml:space="preserve"> indicates statistically significant results.</w:t>
      </w:r>
      <w:r w:rsidRPr="00EB1825">
        <w:rPr>
          <w:rFonts w:ascii="Arial Narrow" w:hAnsi="Arial Narrow"/>
          <w:i/>
          <w:iCs/>
          <w:sz w:val="18"/>
          <w:szCs w:val="18"/>
        </w:rPr>
        <w:t xml:space="preserve"> </w:t>
      </w:r>
    </w:p>
    <w:p w14:paraId="0AC50980" w14:textId="77777777" w:rsidR="00B06B20" w:rsidRPr="00EB1825" w:rsidRDefault="00B06B20" w:rsidP="00C77D0D">
      <w:pPr>
        <w:keepNext/>
        <w:keepLines/>
        <w:ind w:left="165" w:hanging="165"/>
        <w:rPr>
          <w:rFonts w:ascii="Arial Narrow" w:hAnsi="Arial Narrow"/>
          <w:sz w:val="18"/>
          <w:szCs w:val="18"/>
        </w:rPr>
      </w:pPr>
    </w:p>
    <w:p w14:paraId="3AF27EF9" w14:textId="77777777" w:rsidR="00C77D0D" w:rsidRPr="00EB1825" w:rsidRDefault="00C77D0D" w:rsidP="00766C07">
      <w:pPr>
        <w:pStyle w:val="3-BodyText"/>
        <w:numPr>
          <w:ilvl w:val="0"/>
          <w:numId w:val="0"/>
        </w:numPr>
        <w:ind w:left="720" w:hanging="720"/>
      </w:pPr>
    </w:p>
    <w:p w14:paraId="03FDD793" w14:textId="21914C15" w:rsidR="00C77D0D" w:rsidRPr="00EB1825" w:rsidRDefault="00C77D0D" w:rsidP="00C77D0D">
      <w:pPr>
        <w:pStyle w:val="Caption"/>
      </w:pPr>
      <w:r w:rsidRPr="00EB1825">
        <w:t xml:space="preserve">Figure </w:t>
      </w:r>
      <w:r w:rsidRPr="00EB1825">
        <w:fldChar w:fldCharType="begin"/>
      </w:r>
      <w:r w:rsidRPr="00EB1825">
        <w:instrText>SEQ Figure \* ARABIC</w:instrText>
      </w:r>
      <w:r w:rsidRPr="00EB1825">
        <w:fldChar w:fldCharType="separate"/>
      </w:r>
      <w:r w:rsidR="00946DF5">
        <w:rPr>
          <w:noProof/>
        </w:rPr>
        <w:t>1</w:t>
      </w:r>
      <w:r w:rsidRPr="00EB1825">
        <w:fldChar w:fldCharType="end"/>
      </w:r>
      <w:r w:rsidRPr="00EB1825">
        <w:t xml:space="preserve">: Change from baseline in moderate to severe VMS (frequency </w:t>
      </w:r>
      <w:r w:rsidR="001955CB" w:rsidRPr="00EB1825">
        <w:t>&amp;</w:t>
      </w:r>
      <w:r w:rsidRPr="00EB1825">
        <w:t xml:space="preserve"> severity) to </w:t>
      </w:r>
      <w:proofErr w:type="spellStart"/>
      <w:r w:rsidRPr="00EB1825">
        <w:t>Wk</w:t>
      </w:r>
      <w:proofErr w:type="spellEnd"/>
      <w:r w:rsidRPr="00EB1825">
        <w:t xml:space="preserve"> 12/24 (double-blind) to </w:t>
      </w:r>
      <w:proofErr w:type="spellStart"/>
      <w:r w:rsidRPr="00EB1825">
        <w:t>Wk</w:t>
      </w:r>
      <w:proofErr w:type="spellEnd"/>
      <w:r w:rsidRPr="00EB1825">
        <w:t xml:space="preserve"> 52 (active extension) in the included </w:t>
      </w:r>
      <w:proofErr w:type="spellStart"/>
      <w:r w:rsidRPr="00EB1825">
        <w:t>fezolinetant</w:t>
      </w:r>
      <w:proofErr w:type="spellEnd"/>
      <w:r w:rsidRPr="00EB1825">
        <w:t xml:space="preserve"> trials</w:t>
      </w:r>
    </w:p>
    <w:tbl>
      <w:tblPr>
        <w:tblStyle w:val="TableGrid"/>
        <w:tblW w:w="0" w:type="auto"/>
        <w:tblCellMar>
          <w:left w:w="28" w:type="dxa"/>
          <w:right w:w="28" w:type="dxa"/>
        </w:tblCellMar>
        <w:tblLook w:val="04A0" w:firstRow="1" w:lastRow="0" w:firstColumn="1" w:lastColumn="0" w:noHBand="0" w:noVBand="1"/>
      </w:tblPr>
      <w:tblGrid>
        <w:gridCol w:w="4488"/>
        <w:gridCol w:w="4539"/>
      </w:tblGrid>
      <w:tr w:rsidR="00C77D0D" w:rsidRPr="00EB1825" w14:paraId="2C22EA2C" w14:textId="77777777" w:rsidTr="00AC6C8D">
        <w:tc>
          <w:tcPr>
            <w:tcW w:w="4483" w:type="dxa"/>
            <w:shd w:val="clear" w:color="auto" w:fill="B8CCE4" w:themeFill="accent1" w:themeFillTint="66"/>
          </w:tcPr>
          <w:p w14:paraId="3C43CFF6" w14:textId="77777777" w:rsidR="00C77D0D" w:rsidRPr="00EB1825" w:rsidRDefault="00C77D0D" w:rsidP="00AC6C8D">
            <w:pPr>
              <w:keepNext/>
              <w:keepLines/>
              <w:rPr>
                <w:rFonts w:ascii="Arial Narrow" w:hAnsi="Arial Narrow"/>
                <w:b/>
                <w:sz w:val="20"/>
                <w:szCs w:val="20"/>
              </w:rPr>
            </w:pPr>
            <w:r w:rsidRPr="00EB1825">
              <w:rPr>
                <w:rFonts w:ascii="Arial Narrow" w:hAnsi="Arial Narrow"/>
                <w:b/>
                <w:sz w:val="20"/>
                <w:szCs w:val="20"/>
              </w:rPr>
              <w:t xml:space="preserve">A. DAYLIGHT: change in VMS frequency to </w:t>
            </w:r>
            <w:proofErr w:type="spellStart"/>
            <w:r w:rsidRPr="00EB1825">
              <w:rPr>
                <w:rFonts w:ascii="Arial Narrow" w:hAnsi="Arial Narrow"/>
                <w:b/>
                <w:sz w:val="20"/>
                <w:szCs w:val="20"/>
              </w:rPr>
              <w:t>Wk</w:t>
            </w:r>
            <w:proofErr w:type="spellEnd"/>
            <w:r w:rsidRPr="00EB1825">
              <w:rPr>
                <w:rFonts w:ascii="Arial Narrow" w:hAnsi="Arial Narrow"/>
                <w:b/>
                <w:sz w:val="20"/>
                <w:szCs w:val="20"/>
              </w:rPr>
              <w:t xml:space="preserve"> 24</w:t>
            </w:r>
          </w:p>
        </w:tc>
        <w:tc>
          <w:tcPr>
            <w:tcW w:w="4534" w:type="dxa"/>
            <w:shd w:val="clear" w:color="auto" w:fill="B8CCE4" w:themeFill="accent1" w:themeFillTint="66"/>
          </w:tcPr>
          <w:p w14:paraId="108DD4A1" w14:textId="77777777" w:rsidR="00C77D0D" w:rsidRPr="00EB1825" w:rsidRDefault="00C77D0D" w:rsidP="00AC6C8D">
            <w:pPr>
              <w:keepNext/>
              <w:keepLines/>
              <w:rPr>
                <w:rFonts w:ascii="Arial Narrow" w:hAnsi="Arial Narrow"/>
                <w:b/>
                <w:sz w:val="20"/>
                <w:szCs w:val="20"/>
              </w:rPr>
            </w:pPr>
            <w:r w:rsidRPr="00EB1825">
              <w:rPr>
                <w:rFonts w:ascii="Arial Narrow" w:hAnsi="Arial Narrow"/>
                <w:b/>
                <w:sz w:val="20"/>
                <w:szCs w:val="20"/>
              </w:rPr>
              <w:t xml:space="preserve">B. DAYLIGHT: change in VMS severity to </w:t>
            </w:r>
            <w:proofErr w:type="spellStart"/>
            <w:r w:rsidRPr="00EB1825">
              <w:rPr>
                <w:rFonts w:ascii="Arial Narrow" w:hAnsi="Arial Narrow"/>
                <w:b/>
                <w:sz w:val="20"/>
                <w:szCs w:val="20"/>
              </w:rPr>
              <w:t>Wk</w:t>
            </w:r>
            <w:proofErr w:type="spellEnd"/>
            <w:r w:rsidRPr="00EB1825">
              <w:rPr>
                <w:rFonts w:ascii="Arial Narrow" w:hAnsi="Arial Narrow"/>
                <w:b/>
                <w:sz w:val="20"/>
                <w:szCs w:val="20"/>
              </w:rPr>
              <w:t xml:space="preserve"> 24</w:t>
            </w:r>
          </w:p>
        </w:tc>
      </w:tr>
      <w:tr w:rsidR="00C77D0D" w:rsidRPr="00EB1825" w14:paraId="21998CB3" w14:textId="77777777" w:rsidTr="00AC6C8D">
        <w:tc>
          <w:tcPr>
            <w:tcW w:w="4483" w:type="dxa"/>
            <w:shd w:val="clear" w:color="auto" w:fill="B8CCE4" w:themeFill="accent1" w:themeFillTint="66"/>
          </w:tcPr>
          <w:p w14:paraId="527E70FA" w14:textId="77777777" w:rsidR="00C77D0D" w:rsidRPr="00EB1825" w:rsidRDefault="00C77D0D" w:rsidP="00AC6C8D">
            <w:pPr>
              <w:keepNext/>
              <w:keepLines/>
              <w:rPr>
                <w:rFonts w:ascii="Arial Narrow" w:hAnsi="Arial Narrow"/>
                <w:sz w:val="20"/>
                <w:szCs w:val="20"/>
              </w:rPr>
            </w:pPr>
            <w:r w:rsidRPr="00EB1825">
              <w:rPr>
                <w:noProof/>
              </w:rPr>
              <w:drawing>
                <wp:inline distT="0" distB="0" distL="0" distR="0" wp14:anchorId="5ADD2878" wp14:editId="3D80C973">
                  <wp:extent cx="2784649" cy="1520190"/>
                  <wp:effectExtent l="0" t="0" r="0" b="3810"/>
                  <wp:docPr id="18" name="Picture 18" descr="Figure 1: Change from baseline in moderate to severe VMS (frequency &amp; severity) to Wk 12/24 (double-blind) to Wk 52 (active extension) in the included fezolinetant trials - DAYLIGHT: change in VMS frequency to W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1: Change from baseline in moderate to severe VMS (frequency &amp; severity) to Wk 12/24 (double-blind) to Wk 52 (active extension) in the included fezolinetant trials - DAYLIGHT: change in VMS frequency to Wk 24"/>
                          <pic:cNvPicPr/>
                        </pic:nvPicPr>
                        <pic:blipFill>
                          <a:blip r:embed="rId11"/>
                          <a:stretch>
                            <a:fillRect/>
                          </a:stretch>
                        </pic:blipFill>
                        <pic:spPr>
                          <a:xfrm>
                            <a:off x="0" y="0"/>
                            <a:ext cx="2784649" cy="1520190"/>
                          </a:xfrm>
                          <a:prstGeom prst="rect">
                            <a:avLst/>
                          </a:prstGeom>
                        </pic:spPr>
                      </pic:pic>
                    </a:graphicData>
                  </a:graphic>
                </wp:inline>
              </w:drawing>
            </w:r>
          </w:p>
        </w:tc>
        <w:tc>
          <w:tcPr>
            <w:tcW w:w="4534" w:type="dxa"/>
            <w:shd w:val="clear" w:color="auto" w:fill="B8CCE4" w:themeFill="accent1" w:themeFillTint="66"/>
          </w:tcPr>
          <w:p w14:paraId="57C0FC3D" w14:textId="77777777" w:rsidR="00C77D0D" w:rsidRPr="00EB1825" w:rsidRDefault="00C77D0D" w:rsidP="00AC6C8D">
            <w:pPr>
              <w:keepNext/>
              <w:keepLines/>
              <w:rPr>
                <w:rFonts w:ascii="Arial Narrow" w:hAnsi="Arial Narrow"/>
                <w:sz w:val="20"/>
                <w:szCs w:val="20"/>
              </w:rPr>
            </w:pPr>
            <w:r w:rsidRPr="00EB1825">
              <w:rPr>
                <w:noProof/>
              </w:rPr>
              <w:drawing>
                <wp:inline distT="0" distB="0" distL="0" distR="0" wp14:anchorId="03990945" wp14:editId="599EC7AC">
                  <wp:extent cx="2858770" cy="1520190"/>
                  <wp:effectExtent l="0" t="0" r="0" b="3810"/>
                  <wp:docPr id="19" name="Picture 19" descr="Figure 1: Change from baseline in moderate to severe VMS (frequency &amp; severity) to Wk 12/24 (double-blind) to Wk 52 (active extension) in the included fezolinetant trials - DAYLIGHT: change in VMS severity to W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1: Change from baseline in moderate to severe VMS (frequency &amp; severity) to Wk 12/24 (double-blind) to Wk 52 (active extension) in the included fezolinetant trials - DAYLIGHT: change in VMS severity to Wk 24"/>
                          <pic:cNvPicPr/>
                        </pic:nvPicPr>
                        <pic:blipFill rotWithShape="1">
                          <a:blip r:embed="rId12"/>
                          <a:srcRect l="907" r="-1"/>
                          <a:stretch/>
                        </pic:blipFill>
                        <pic:spPr bwMode="auto">
                          <a:xfrm>
                            <a:off x="0" y="0"/>
                            <a:ext cx="2918746" cy="1552083"/>
                          </a:xfrm>
                          <a:prstGeom prst="rect">
                            <a:avLst/>
                          </a:prstGeom>
                          <a:ln>
                            <a:noFill/>
                          </a:ln>
                          <a:extLst>
                            <a:ext uri="{53640926-AAD7-44D8-BBD7-CCE9431645EC}">
                              <a14:shadowObscured xmlns:a14="http://schemas.microsoft.com/office/drawing/2010/main"/>
                            </a:ext>
                          </a:extLst>
                        </pic:spPr>
                      </pic:pic>
                    </a:graphicData>
                  </a:graphic>
                </wp:inline>
              </w:drawing>
            </w:r>
          </w:p>
        </w:tc>
      </w:tr>
      <w:tr w:rsidR="00C77D0D" w:rsidRPr="00EB1825" w14:paraId="26B834E7" w14:textId="77777777" w:rsidTr="00AC6C8D">
        <w:tc>
          <w:tcPr>
            <w:tcW w:w="4483" w:type="dxa"/>
          </w:tcPr>
          <w:p w14:paraId="1AB76F05" w14:textId="77777777" w:rsidR="00C77D0D" w:rsidRPr="00EB1825" w:rsidRDefault="00C77D0D" w:rsidP="00AC6C8D">
            <w:pPr>
              <w:keepNext/>
              <w:keepLines/>
              <w:rPr>
                <w:rFonts w:ascii="Arial Narrow" w:hAnsi="Arial Narrow"/>
                <w:b/>
                <w:sz w:val="20"/>
                <w:szCs w:val="20"/>
              </w:rPr>
            </w:pPr>
            <w:r w:rsidRPr="00EB1825">
              <w:rPr>
                <w:rFonts w:ascii="Arial Narrow" w:hAnsi="Arial Narrow"/>
                <w:b/>
                <w:sz w:val="20"/>
                <w:szCs w:val="20"/>
              </w:rPr>
              <w:t xml:space="preserve">C. DAYLIGHT (exclude MHT averse): change in VMS frequency to </w:t>
            </w:r>
            <w:proofErr w:type="spellStart"/>
            <w:r w:rsidRPr="00EB1825">
              <w:rPr>
                <w:rFonts w:ascii="Arial Narrow" w:hAnsi="Arial Narrow"/>
                <w:b/>
                <w:sz w:val="20"/>
                <w:szCs w:val="20"/>
              </w:rPr>
              <w:t>Wk</w:t>
            </w:r>
            <w:proofErr w:type="spellEnd"/>
            <w:r w:rsidRPr="00EB1825">
              <w:rPr>
                <w:rFonts w:ascii="Arial Narrow" w:hAnsi="Arial Narrow"/>
                <w:b/>
                <w:sz w:val="20"/>
                <w:szCs w:val="20"/>
              </w:rPr>
              <w:t xml:space="preserve"> 24</w:t>
            </w:r>
          </w:p>
        </w:tc>
        <w:tc>
          <w:tcPr>
            <w:tcW w:w="4534" w:type="dxa"/>
          </w:tcPr>
          <w:p w14:paraId="0A2ACAF1" w14:textId="77777777" w:rsidR="00C77D0D" w:rsidRPr="00EB1825" w:rsidRDefault="00C77D0D" w:rsidP="00AC6C8D">
            <w:pPr>
              <w:keepNext/>
              <w:keepLines/>
              <w:rPr>
                <w:rFonts w:ascii="Arial Narrow" w:hAnsi="Arial Narrow"/>
                <w:b/>
                <w:sz w:val="20"/>
                <w:szCs w:val="20"/>
              </w:rPr>
            </w:pPr>
            <w:r w:rsidRPr="00EB1825">
              <w:rPr>
                <w:rFonts w:ascii="Arial Narrow" w:hAnsi="Arial Narrow"/>
                <w:b/>
                <w:sz w:val="20"/>
                <w:szCs w:val="20"/>
              </w:rPr>
              <w:t xml:space="preserve">D. DAYLIGHT (exclude MHT averse): change in VMS severity to </w:t>
            </w:r>
            <w:proofErr w:type="spellStart"/>
            <w:r w:rsidRPr="00EB1825">
              <w:rPr>
                <w:rFonts w:ascii="Arial Narrow" w:hAnsi="Arial Narrow"/>
                <w:b/>
                <w:sz w:val="20"/>
                <w:szCs w:val="20"/>
              </w:rPr>
              <w:t>Wk</w:t>
            </w:r>
            <w:proofErr w:type="spellEnd"/>
            <w:r w:rsidRPr="00EB1825">
              <w:rPr>
                <w:rFonts w:ascii="Arial Narrow" w:hAnsi="Arial Narrow"/>
                <w:b/>
                <w:sz w:val="20"/>
                <w:szCs w:val="20"/>
              </w:rPr>
              <w:t xml:space="preserve"> 24</w:t>
            </w:r>
          </w:p>
        </w:tc>
      </w:tr>
      <w:tr w:rsidR="00C77D0D" w:rsidRPr="00EB1825" w14:paraId="34DC87CF" w14:textId="77777777" w:rsidTr="00AC6C8D">
        <w:tc>
          <w:tcPr>
            <w:tcW w:w="4483" w:type="dxa"/>
          </w:tcPr>
          <w:p w14:paraId="03D241FC" w14:textId="77777777" w:rsidR="00C77D0D" w:rsidRPr="00EB1825" w:rsidRDefault="00C77D0D" w:rsidP="00AC6C8D">
            <w:pPr>
              <w:keepNext/>
              <w:keepLines/>
              <w:rPr>
                <w:rFonts w:ascii="Arial Narrow" w:hAnsi="Arial Narrow"/>
                <w:b/>
                <w:sz w:val="20"/>
                <w:szCs w:val="20"/>
              </w:rPr>
            </w:pPr>
            <w:r w:rsidRPr="00EB1825">
              <w:rPr>
                <w:rFonts w:ascii="Arial Narrow" w:hAnsi="Arial Narrow"/>
                <w:b/>
                <w:noProof/>
                <w:sz w:val="20"/>
                <w:szCs w:val="20"/>
              </w:rPr>
              <w:drawing>
                <wp:inline distT="0" distB="0" distL="0" distR="0" wp14:anchorId="63EBD79D" wp14:editId="08065FF4">
                  <wp:extent cx="2786363" cy="1453526"/>
                  <wp:effectExtent l="0" t="0" r="0" b="0"/>
                  <wp:docPr id="20" name="Picture 20" descr="Figure 1: Change from baseline in moderate to severe VMS (frequency &amp; severity) to Wk 12/24 (double-blind) to Wk 52 (active extension) in the included fezolinetant trials - DAYLIGHT (exclude MHT averse): change in VMS frequency to W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1: Change from baseline in moderate to severe VMS (frequency &amp; severity) to Wk 12/24 (double-blind) to Wk 52 (active extension) in the included fezolinetant trials - DAYLIGHT (exclude MHT averse): change in VMS frequency to Wk 24"/>
                          <pic:cNvPicPr/>
                        </pic:nvPicPr>
                        <pic:blipFill>
                          <a:blip r:embed="rId13"/>
                          <a:stretch>
                            <a:fillRect/>
                          </a:stretch>
                        </pic:blipFill>
                        <pic:spPr>
                          <a:xfrm>
                            <a:off x="0" y="0"/>
                            <a:ext cx="2814860" cy="1468392"/>
                          </a:xfrm>
                          <a:prstGeom prst="rect">
                            <a:avLst/>
                          </a:prstGeom>
                        </pic:spPr>
                      </pic:pic>
                    </a:graphicData>
                  </a:graphic>
                </wp:inline>
              </w:drawing>
            </w:r>
          </w:p>
        </w:tc>
        <w:tc>
          <w:tcPr>
            <w:tcW w:w="4534" w:type="dxa"/>
          </w:tcPr>
          <w:p w14:paraId="343A1FA3" w14:textId="77777777" w:rsidR="00C77D0D" w:rsidRPr="00EB1825" w:rsidRDefault="00C77D0D" w:rsidP="00AC6C8D">
            <w:pPr>
              <w:keepNext/>
              <w:keepLines/>
              <w:rPr>
                <w:rFonts w:ascii="Arial Narrow" w:hAnsi="Arial Narrow"/>
                <w:b/>
                <w:sz w:val="20"/>
                <w:szCs w:val="20"/>
              </w:rPr>
            </w:pPr>
            <w:r w:rsidRPr="00EB1825">
              <w:rPr>
                <w:rFonts w:ascii="Arial Narrow" w:hAnsi="Arial Narrow"/>
                <w:b/>
                <w:noProof/>
                <w:sz w:val="20"/>
                <w:szCs w:val="20"/>
              </w:rPr>
              <w:drawing>
                <wp:inline distT="0" distB="0" distL="0" distR="0" wp14:anchorId="5C9123BF" wp14:editId="4F80846F">
                  <wp:extent cx="2814432" cy="1453515"/>
                  <wp:effectExtent l="0" t="0" r="5080" b="0"/>
                  <wp:docPr id="21" name="Picture 21" descr="Figure 1: Change from baseline in moderate to severe VMS (frequency &amp; severity) to Wk 12/24 (double-blind) to Wk 52 (active extension) in the included fezolinetant trials - DAYLIGHT (exclude MHT averse): change in VMS severity to W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1: Change from baseline in moderate to severe VMS (frequency &amp; severity) to Wk 12/24 (double-blind) to Wk 52 (active extension) in the included fezolinetant trials - DAYLIGHT (exclude MHT averse): change in VMS severity to Wk 24"/>
                          <pic:cNvPicPr/>
                        </pic:nvPicPr>
                        <pic:blipFill>
                          <a:blip r:embed="rId14"/>
                          <a:stretch>
                            <a:fillRect/>
                          </a:stretch>
                        </pic:blipFill>
                        <pic:spPr>
                          <a:xfrm>
                            <a:off x="0" y="0"/>
                            <a:ext cx="2890801" cy="1492956"/>
                          </a:xfrm>
                          <a:prstGeom prst="rect">
                            <a:avLst/>
                          </a:prstGeom>
                        </pic:spPr>
                      </pic:pic>
                    </a:graphicData>
                  </a:graphic>
                </wp:inline>
              </w:drawing>
            </w:r>
          </w:p>
        </w:tc>
      </w:tr>
      <w:tr w:rsidR="00C77D0D" w:rsidRPr="00EB1825" w14:paraId="38EF77CB" w14:textId="77777777" w:rsidTr="00AC6C8D">
        <w:tc>
          <w:tcPr>
            <w:tcW w:w="4483" w:type="dxa"/>
            <w:shd w:val="clear" w:color="auto" w:fill="B8CCE4" w:themeFill="accent1" w:themeFillTint="66"/>
          </w:tcPr>
          <w:p w14:paraId="0B52D0A4" w14:textId="77777777" w:rsidR="00C77D0D" w:rsidRPr="00C07E2D" w:rsidRDefault="00C77D0D" w:rsidP="00AC6C8D">
            <w:pPr>
              <w:keepNext/>
              <w:keepLines/>
              <w:rPr>
                <w:rFonts w:ascii="Arial Narrow" w:hAnsi="Arial Narrow"/>
                <w:b/>
                <w:sz w:val="20"/>
                <w:szCs w:val="20"/>
              </w:rPr>
            </w:pPr>
            <w:r w:rsidRPr="00C07E2D">
              <w:rPr>
                <w:rFonts w:ascii="Arial Narrow" w:hAnsi="Arial Narrow"/>
                <w:b/>
                <w:sz w:val="20"/>
                <w:szCs w:val="20"/>
              </w:rPr>
              <w:t xml:space="preserve">E. SKYLIGHT 1: change in VMS frequency to </w:t>
            </w:r>
            <w:proofErr w:type="spellStart"/>
            <w:r w:rsidRPr="00C07E2D">
              <w:rPr>
                <w:rFonts w:ascii="Arial Narrow" w:hAnsi="Arial Narrow"/>
                <w:b/>
                <w:sz w:val="20"/>
                <w:szCs w:val="20"/>
              </w:rPr>
              <w:t>Wk</w:t>
            </w:r>
            <w:proofErr w:type="spellEnd"/>
            <w:r w:rsidRPr="00C07E2D">
              <w:rPr>
                <w:rFonts w:ascii="Arial Narrow" w:hAnsi="Arial Narrow"/>
                <w:b/>
                <w:sz w:val="20"/>
                <w:szCs w:val="20"/>
              </w:rPr>
              <w:t xml:space="preserve"> 52</w:t>
            </w:r>
          </w:p>
        </w:tc>
        <w:tc>
          <w:tcPr>
            <w:tcW w:w="4534" w:type="dxa"/>
            <w:shd w:val="clear" w:color="auto" w:fill="B8CCE4" w:themeFill="accent1" w:themeFillTint="66"/>
          </w:tcPr>
          <w:p w14:paraId="031ADF26" w14:textId="77777777" w:rsidR="00C77D0D" w:rsidRPr="00C07E2D" w:rsidRDefault="00C77D0D" w:rsidP="00AC6C8D">
            <w:pPr>
              <w:keepNext/>
              <w:keepLines/>
              <w:rPr>
                <w:rFonts w:ascii="Arial Narrow" w:hAnsi="Arial Narrow"/>
                <w:b/>
                <w:sz w:val="20"/>
                <w:szCs w:val="20"/>
              </w:rPr>
            </w:pPr>
            <w:r w:rsidRPr="00C07E2D">
              <w:rPr>
                <w:rFonts w:ascii="Arial Narrow" w:hAnsi="Arial Narrow"/>
                <w:b/>
                <w:sz w:val="20"/>
                <w:szCs w:val="20"/>
              </w:rPr>
              <w:t xml:space="preserve">F. SKYLIGHT 1: change in VMS severity to </w:t>
            </w:r>
            <w:proofErr w:type="spellStart"/>
            <w:r w:rsidRPr="00C07E2D">
              <w:rPr>
                <w:rFonts w:ascii="Arial Narrow" w:hAnsi="Arial Narrow"/>
                <w:b/>
                <w:sz w:val="20"/>
                <w:szCs w:val="20"/>
              </w:rPr>
              <w:t>Wk</w:t>
            </w:r>
            <w:proofErr w:type="spellEnd"/>
            <w:r w:rsidRPr="00C07E2D">
              <w:rPr>
                <w:rFonts w:ascii="Arial Narrow" w:hAnsi="Arial Narrow"/>
                <w:b/>
                <w:sz w:val="20"/>
                <w:szCs w:val="20"/>
              </w:rPr>
              <w:t xml:space="preserve"> 52</w:t>
            </w:r>
          </w:p>
        </w:tc>
      </w:tr>
      <w:tr w:rsidR="00C77D0D" w:rsidRPr="00EB1825" w14:paraId="7DD1D746" w14:textId="77777777" w:rsidTr="00AC6C8D">
        <w:tc>
          <w:tcPr>
            <w:tcW w:w="4483" w:type="dxa"/>
            <w:shd w:val="clear" w:color="auto" w:fill="B8CCE4" w:themeFill="accent1" w:themeFillTint="66"/>
          </w:tcPr>
          <w:p w14:paraId="55D3690F" w14:textId="77777777" w:rsidR="00C77D0D" w:rsidRPr="00EB1825" w:rsidRDefault="00C77D0D" w:rsidP="00AC6C8D">
            <w:pPr>
              <w:keepNext/>
              <w:keepLines/>
              <w:rPr>
                <w:rFonts w:ascii="Arial Narrow" w:hAnsi="Arial Narrow"/>
                <w:sz w:val="20"/>
                <w:szCs w:val="20"/>
              </w:rPr>
            </w:pPr>
            <w:r w:rsidRPr="00EB1825">
              <w:rPr>
                <w:rFonts w:ascii="Arial Narrow" w:hAnsi="Arial Narrow"/>
                <w:noProof/>
                <w:sz w:val="20"/>
                <w:szCs w:val="20"/>
              </w:rPr>
              <w:drawing>
                <wp:inline distT="0" distB="0" distL="0" distR="0" wp14:anchorId="15F5CF92" wp14:editId="7CFE1775">
                  <wp:extent cx="2822575" cy="1883455"/>
                  <wp:effectExtent l="0" t="0" r="0" b="2540"/>
                  <wp:docPr id="22" name="Picture 22" descr="Figure 1: Change from baseline in moderate to severe VMS (frequency &amp; severity) to Wk 12/24 (double-blind) to Wk 52 (active extension) in the included fezolinetant trials - SKYLIGHT 1: change in VMS frequency to W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1: Change from baseline in moderate to severe VMS (frequency &amp; severity) to Wk 12/24 (double-blind) to Wk 52 (active extension) in the included fezolinetant trials - SKYLIGHT 1: change in VMS frequency to Wk 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2575" cy="1883455"/>
                          </a:xfrm>
                          <a:prstGeom prst="rect">
                            <a:avLst/>
                          </a:prstGeom>
                          <a:noFill/>
                        </pic:spPr>
                      </pic:pic>
                    </a:graphicData>
                  </a:graphic>
                </wp:inline>
              </w:drawing>
            </w:r>
          </w:p>
        </w:tc>
        <w:tc>
          <w:tcPr>
            <w:tcW w:w="4534" w:type="dxa"/>
            <w:shd w:val="clear" w:color="auto" w:fill="B8CCE4" w:themeFill="accent1" w:themeFillTint="66"/>
          </w:tcPr>
          <w:p w14:paraId="2A724BC7" w14:textId="77777777" w:rsidR="00C77D0D" w:rsidRPr="00EB1825" w:rsidRDefault="00C77D0D" w:rsidP="00AC6C8D">
            <w:pPr>
              <w:keepNext/>
              <w:keepLines/>
              <w:rPr>
                <w:rFonts w:ascii="Arial Narrow" w:hAnsi="Arial Narrow"/>
                <w:sz w:val="20"/>
                <w:szCs w:val="20"/>
              </w:rPr>
            </w:pPr>
            <w:r w:rsidRPr="00EB1825">
              <w:rPr>
                <w:noProof/>
              </w:rPr>
              <w:drawing>
                <wp:inline distT="0" distB="0" distL="0" distR="0" wp14:anchorId="4027B3E3" wp14:editId="3AD3BF00">
                  <wp:extent cx="2858770" cy="1899196"/>
                  <wp:effectExtent l="0" t="0" r="0" b="6350"/>
                  <wp:docPr id="23" name="Picture 23" descr="Figure 1: Change from baseline in moderate to severe VMS (frequency &amp; severity) to Wk 12/24 (double-blind) to Wk 52 (active extension) in the included fezolinetant trials - SKYLIGHT 1: change in VMS severity to W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1: Change from baseline in moderate to severe VMS (frequency &amp; severity) to Wk 12/24 (double-blind) to Wk 52 (active extension) in the included fezolinetant trials - SKYLIGHT 1: change in VMS severity to Wk 52"/>
                          <pic:cNvPicPr/>
                        </pic:nvPicPr>
                        <pic:blipFill>
                          <a:blip r:embed="rId16"/>
                          <a:stretch>
                            <a:fillRect/>
                          </a:stretch>
                        </pic:blipFill>
                        <pic:spPr>
                          <a:xfrm>
                            <a:off x="0" y="0"/>
                            <a:ext cx="2923030" cy="1941886"/>
                          </a:xfrm>
                          <a:prstGeom prst="rect">
                            <a:avLst/>
                          </a:prstGeom>
                        </pic:spPr>
                      </pic:pic>
                    </a:graphicData>
                  </a:graphic>
                </wp:inline>
              </w:drawing>
            </w:r>
          </w:p>
        </w:tc>
      </w:tr>
      <w:tr w:rsidR="00C77D0D" w:rsidRPr="00EB1825" w14:paraId="46033D7A" w14:textId="77777777" w:rsidTr="00AC6C8D">
        <w:tc>
          <w:tcPr>
            <w:tcW w:w="4483" w:type="dxa"/>
            <w:shd w:val="clear" w:color="auto" w:fill="B8CCE4" w:themeFill="accent1" w:themeFillTint="66"/>
          </w:tcPr>
          <w:p w14:paraId="763C8B4B" w14:textId="77777777" w:rsidR="00C77D0D" w:rsidRPr="00EB1825" w:rsidRDefault="00C77D0D" w:rsidP="00AC6C8D">
            <w:pPr>
              <w:keepNext/>
              <w:keepLines/>
              <w:rPr>
                <w:rFonts w:ascii="Arial Narrow" w:hAnsi="Arial Narrow"/>
                <w:b/>
                <w:sz w:val="20"/>
                <w:szCs w:val="20"/>
              </w:rPr>
            </w:pPr>
            <w:r w:rsidRPr="00EB1825">
              <w:rPr>
                <w:rFonts w:ascii="Arial Narrow" w:hAnsi="Arial Narrow"/>
                <w:b/>
                <w:sz w:val="20"/>
                <w:szCs w:val="20"/>
              </w:rPr>
              <w:t xml:space="preserve">G. SKYLIGHT 2: change in VMS frequency to </w:t>
            </w:r>
            <w:proofErr w:type="spellStart"/>
            <w:r w:rsidRPr="00EB1825">
              <w:rPr>
                <w:rFonts w:ascii="Arial Narrow" w:hAnsi="Arial Narrow"/>
                <w:b/>
                <w:sz w:val="20"/>
                <w:szCs w:val="20"/>
              </w:rPr>
              <w:t>Wk</w:t>
            </w:r>
            <w:proofErr w:type="spellEnd"/>
            <w:r w:rsidRPr="00EB1825">
              <w:rPr>
                <w:rFonts w:ascii="Arial Narrow" w:hAnsi="Arial Narrow"/>
                <w:b/>
                <w:sz w:val="20"/>
                <w:szCs w:val="20"/>
              </w:rPr>
              <w:t xml:space="preserve"> 52</w:t>
            </w:r>
          </w:p>
        </w:tc>
        <w:tc>
          <w:tcPr>
            <w:tcW w:w="4534" w:type="dxa"/>
            <w:shd w:val="clear" w:color="auto" w:fill="B8CCE4" w:themeFill="accent1" w:themeFillTint="66"/>
          </w:tcPr>
          <w:p w14:paraId="0BB8A79F" w14:textId="77777777" w:rsidR="00C77D0D" w:rsidRPr="00EB1825" w:rsidRDefault="00C77D0D" w:rsidP="00AC6C8D">
            <w:pPr>
              <w:keepNext/>
              <w:keepLines/>
              <w:rPr>
                <w:rFonts w:ascii="Arial Narrow" w:hAnsi="Arial Narrow"/>
                <w:b/>
                <w:sz w:val="20"/>
                <w:szCs w:val="20"/>
              </w:rPr>
            </w:pPr>
            <w:r w:rsidRPr="00EB1825">
              <w:rPr>
                <w:rFonts w:ascii="Arial Narrow" w:hAnsi="Arial Narrow"/>
                <w:b/>
                <w:sz w:val="20"/>
                <w:szCs w:val="20"/>
              </w:rPr>
              <w:t xml:space="preserve">H. SKYLIGHT 2: change in VMS severity to </w:t>
            </w:r>
            <w:proofErr w:type="spellStart"/>
            <w:r w:rsidRPr="00EB1825">
              <w:rPr>
                <w:rFonts w:ascii="Arial Narrow" w:hAnsi="Arial Narrow"/>
                <w:b/>
                <w:sz w:val="20"/>
                <w:szCs w:val="20"/>
              </w:rPr>
              <w:t>Wk</w:t>
            </w:r>
            <w:proofErr w:type="spellEnd"/>
            <w:r w:rsidRPr="00EB1825">
              <w:rPr>
                <w:rFonts w:ascii="Arial Narrow" w:hAnsi="Arial Narrow"/>
                <w:b/>
                <w:sz w:val="20"/>
                <w:szCs w:val="20"/>
              </w:rPr>
              <w:t xml:space="preserve"> 52</w:t>
            </w:r>
          </w:p>
        </w:tc>
      </w:tr>
      <w:tr w:rsidR="00C77D0D" w:rsidRPr="00EB1825" w14:paraId="667ADD34" w14:textId="77777777" w:rsidTr="00AC6C8D">
        <w:tc>
          <w:tcPr>
            <w:tcW w:w="4483" w:type="dxa"/>
            <w:shd w:val="clear" w:color="auto" w:fill="B8CCE4" w:themeFill="accent1" w:themeFillTint="66"/>
          </w:tcPr>
          <w:p w14:paraId="055A4C70" w14:textId="77777777" w:rsidR="00C77D0D" w:rsidRPr="00EB1825" w:rsidRDefault="00C77D0D" w:rsidP="00AC6C8D">
            <w:pPr>
              <w:keepNext/>
              <w:keepLines/>
              <w:rPr>
                <w:rFonts w:ascii="Arial Narrow" w:hAnsi="Arial Narrow"/>
                <w:sz w:val="20"/>
                <w:szCs w:val="20"/>
              </w:rPr>
            </w:pPr>
            <w:r w:rsidRPr="00EB1825">
              <w:rPr>
                <w:noProof/>
              </w:rPr>
              <w:drawing>
                <wp:inline distT="0" distB="0" distL="0" distR="0" wp14:anchorId="29774941" wp14:editId="54663C6A">
                  <wp:extent cx="2816860" cy="1809115"/>
                  <wp:effectExtent l="0" t="0" r="8890" b="0"/>
                  <wp:docPr id="24" name="Picture 24" descr="Figure 1: Change from baseline in moderate to severe VMS (frequency &amp; severity) to Wk 12/24 (double-blind) to Wk 52 (active extension) in the included fezolinetant trials - SKYLIGHT 2: change in VMS frequency to W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1: Change from baseline in moderate to severe VMS (frequency &amp; severity) to Wk 12/24 (double-blind) to Wk 52 (active extension) in the included fezolinetant trials - SKYLIGHT 2: change in VMS frequency to Wk 52"/>
                          <pic:cNvPicPr/>
                        </pic:nvPicPr>
                        <pic:blipFill>
                          <a:blip r:embed="rId17"/>
                          <a:stretch>
                            <a:fillRect/>
                          </a:stretch>
                        </pic:blipFill>
                        <pic:spPr>
                          <a:xfrm>
                            <a:off x="0" y="0"/>
                            <a:ext cx="2816860" cy="1809115"/>
                          </a:xfrm>
                          <a:prstGeom prst="rect">
                            <a:avLst/>
                          </a:prstGeom>
                        </pic:spPr>
                      </pic:pic>
                    </a:graphicData>
                  </a:graphic>
                </wp:inline>
              </w:drawing>
            </w:r>
          </w:p>
        </w:tc>
        <w:tc>
          <w:tcPr>
            <w:tcW w:w="4534" w:type="dxa"/>
            <w:shd w:val="clear" w:color="auto" w:fill="B8CCE4" w:themeFill="accent1" w:themeFillTint="66"/>
          </w:tcPr>
          <w:p w14:paraId="7433135D" w14:textId="77777777" w:rsidR="00C77D0D" w:rsidRPr="00EB1825" w:rsidRDefault="00C77D0D" w:rsidP="00AC6C8D">
            <w:pPr>
              <w:keepNext/>
              <w:keepLines/>
              <w:rPr>
                <w:rFonts w:ascii="Arial Narrow" w:hAnsi="Arial Narrow"/>
                <w:sz w:val="20"/>
                <w:szCs w:val="20"/>
              </w:rPr>
            </w:pPr>
            <w:r w:rsidRPr="00EB1825">
              <w:rPr>
                <w:noProof/>
              </w:rPr>
              <w:drawing>
                <wp:inline distT="0" distB="0" distL="0" distR="0" wp14:anchorId="6036C33F" wp14:editId="512F5F50">
                  <wp:extent cx="2838090" cy="1820545"/>
                  <wp:effectExtent l="0" t="0" r="635" b="8255"/>
                  <wp:docPr id="25" name="Picture 25" descr="Figure 1: Change from baseline in moderate to severe VMS (frequency &amp; severity) to Wk 12/24 (double-blind) to Wk 52 (active extension) in the included fezolinetant trials - SKYLIGHT 2: change in VMS severity to W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1: Change from baseline in moderate to severe VMS (frequency &amp; severity) to Wk 12/24 (double-blind) to Wk 52 (active extension) in the included fezolinetant trials - SKYLIGHT 2: change in VMS severity to Wk 52"/>
                          <pic:cNvPicPr/>
                        </pic:nvPicPr>
                        <pic:blipFill>
                          <a:blip r:embed="rId18"/>
                          <a:stretch>
                            <a:fillRect/>
                          </a:stretch>
                        </pic:blipFill>
                        <pic:spPr>
                          <a:xfrm>
                            <a:off x="0" y="0"/>
                            <a:ext cx="2860565" cy="1834962"/>
                          </a:xfrm>
                          <a:prstGeom prst="rect">
                            <a:avLst/>
                          </a:prstGeom>
                        </pic:spPr>
                      </pic:pic>
                    </a:graphicData>
                  </a:graphic>
                </wp:inline>
              </w:drawing>
            </w:r>
          </w:p>
        </w:tc>
      </w:tr>
    </w:tbl>
    <w:p w14:paraId="159D3730" w14:textId="04A23DA2" w:rsidR="00C77D0D" w:rsidRPr="00EB1825" w:rsidRDefault="00C77D0D" w:rsidP="00C77D0D">
      <w:pPr>
        <w:keepNext/>
        <w:keepLines/>
        <w:rPr>
          <w:rFonts w:ascii="Arial Narrow" w:hAnsi="Arial Narrow"/>
          <w:sz w:val="18"/>
          <w:szCs w:val="18"/>
        </w:rPr>
      </w:pPr>
      <w:r w:rsidRPr="00EB1825">
        <w:rPr>
          <w:rFonts w:ascii="Arial Narrow" w:hAnsi="Arial Narrow"/>
          <w:sz w:val="18"/>
          <w:szCs w:val="18"/>
        </w:rPr>
        <w:t>Source: Figs</w:t>
      </w:r>
      <w:r w:rsidR="00017455" w:rsidRPr="00EB1825">
        <w:rPr>
          <w:rFonts w:ascii="Arial Narrow" w:hAnsi="Arial Narrow"/>
          <w:sz w:val="18"/>
          <w:szCs w:val="18"/>
        </w:rPr>
        <w:t>.</w:t>
      </w:r>
      <w:r w:rsidRPr="00EB1825">
        <w:rPr>
          <w:rFonts w:ascii="Arial Narrow" w:hAnsi="Arial Narrow"/>
          <w:sz w:val="18"/>
          <w:szCs w:val="18"/>
        </w:rPr>
        <w:t xml:space="preserve"> 2.5-1 and 2.5-2, pp35-36 of the resubmission, </w:t>
      </w:r>
      <w:r w:rsidR="00017455" w:rsidRPr="00EB1825">
        <w:rPr>
          <w:rFonts w:ascii="Arial Narrow" w:hAnsi="Arial Narrow"/>
          <w:sz w:val="18"/>
          <w:szCs w:val="18"/>
        </w:rPr>
        <w:t xml:space="preserve">Fig. </w:t>
      </w:r>
      <w:r w:rsidRPr="00EB1825">
        <w:rPr>
          <w:rFonts w:ascii="Arial Narrow" w:hAnsi="Arial Narrow"/>
          <w:sz w:val="18"/>
          <w:szCs w:val="18"/>
        </w:rPr>
        <w:t xml:space="preserve">2, p33 and </w:t>
      </w:r>
      <w:r w:rsidR="00017455" w:rsidRPr="00EB1825">
        <w:rPr>
          <w:rFonts w:ascii="Arial Narrow" w:hAnsi="Arial Narrow"/>
          <w:sz w:val="18"/>
          <w:szCs w:val="18"/>
        </w:rPr>
        <w:t xml:space="preserve">Fig. </w:t>
      </w:r>
      <w:r w:rsidRPr="00EB1825">
        <w:rPr>
          <w:rFonts w:ascii="Arial Narrow" w:hAnsi="Arial Narrow"/>
          <w:sz w:val="18"/>
          <w:szCs w:val="18"/>
        </w:rPr>
        <w:t xml:space="preserve">3, p45 of Attachment 07 – DAYLIGHT CSR.pdf, </w:t>
      </w:r>
      <w:r w:rsidR="00017455" w:rsidRPr="00EB1825">
        <w:rPr>
          <w:rFonts w:ascii="Arial Narrow" w:hAnsi="Arial Narrow"/>
          <w:sz w:val="18"/>
          <w:szCs w:val="18"/>
        </w:rPr>
        <w:t>Fig.</w:t>
      </w:r>
      <w:r w:rsidRPr="00EB1825">
        <w:rPr>
          <w:rFonts w:ascii="Arial Narrow" w:hAnsi="Arial Narrow"/>
          <w:sz w:val="18"/>
          <w:szCs w:val="18"/>
        </w:rPr>
        <w:t xml:space="preserve">7, p66 and </w:t>
      </w:r>
      <w:r w:rsidR="00017455" w:rsidRPr="00EB1825">
        <w:rPr>
          <w:rFonts w:ascii="Arial Narrow" w:hAnsi="Arial Narrow"/>
          <w:sz w:val="18"/>
          <w:szCs w:val="18"/>
        </w:rPr>
        <w:t>Fig.</w:t>
      </w:r>
      <w:r w:rsidRPr="00EB1825">
        <w:rPr>
          <w:rFonts w:ascii="Arial Narrow" w:hAnsi="Arial Narrow"/>
          <w:sz w:val="18"/>
          <w:szCs w:val="18"/>
        </w:rPr>
        <w:t xml:space="preserve">8, p67 of Attachment 07 - SKYLIGHT 1 CSR.pdf, </w:t>
      </w:r>
      <w:r w:rsidR="00017455" w:rsidRPr="00EB1825">
        <w:rPr>
          <w:rFonts w:ascii="Arial Narrow" w:hAnsi="Arial Narrow"/>
          <w:sz w:val="18"/>
          <w:szCs w:val="18"/>
        </w:rPr>
        <w:t>Fig.</w:t>
      </w:r>
      <w:r w:rsidRPr="00EB1825">
        <w:rPr>
          <w:rFonts w:ascii="Arial Narrow" w:hAnsi="Arial Narrow"/>
          <w:sz w:val="18"/>
          <w:szCs w:val="18"/>
        </w:rPr>
        <w:t xml:space="preserve">7, p66 and </w:t>
      </w:r>
      <w:r w:rsidR="00017455" w:rsidRPr="00EB1825">
        <w:rPr>
          <w:rFonts w:ascii="Arial Narrow" w:hAnsi="Arial Narrow"/>
          <w:sz w:val="18"/>
          <w:szCs w:val="18"/>
        </w:rPr>
        <w:t>Fig.</w:t>
      </w:r>
      <w:r w:rsidRPr="00EB1825">
        <w:rPr>
          <w:rFonts w:ascii="Arial Narrow" w:hAnsi="Arial Narrow"/>
          <w:sz w:val="18"/>
          <w:szCs w:val="18"/>
        </w:rPr>
        <w:t>8, p67 of Attachment 07 - SKYLIGHT 2 CSR.pdf.</w:t>
      </w:r>
    </w:p>
    <w:p w14:paraId="4B5AEB27" w14:textId="061A3E49" w:rsidR="00C77D0D" w:rsidRPr="00EB1825" w:rsidRDefault="00017455" w:rsidP="00C77D0D">
      <w:pPr>
        <w:keepNext/>
        <w:keepLines/>
        <w:rPr>
          <w:rFonts w:ascii="Arial Narrow" w:hAnsi="Arial Narrow"/>
          <w:sz w:val="18"/>
          <w:szCs w:val="18"/>
        </w:rPr>
      </w:pPr>
      <w:r w:rsidRPr="00EB1825">
        <w:rPr>
          <w:rFonts w:ascii="Arial Narrow" w:hAnsi="Arial Narrow"/>
          <w:sz w:val="18"/>
          <w:szCs w:val="18"/>
        </w:rPr>
        <w:t xml:space="preserve">Fig.=figure; </w:t>
      </w:r>
      <w:r w:rsidR="00C77D0D" w:rsidRPr="00EB1825">
        <w:rPr>
          <w:rFonts w:ascii="Arial Narrow" w:hAnsi="Arial Narrow"/>
          <w:sz w:val="18"/>
          <w:szCs w:val="18"/>
        </w:rPr>
        <w:t xml:space="preserve">MHT=menopausal hormone therapy; VMS=vasomotor symptoms; </w:t>
      </w:r>
      <w:proofErr w:type="spellStart"/>
      <w:r w:rsidR="00C77D0D" w:rsidRPr="00EB1825">
        <w:rPr>
          <w:rFonts w:ascii="Arial Narrow" w:hAnsi="Arial Narrow"/>
          <w:sz w:val="18"/>
          <w:szCs w:val="18"/>
        </w:rPr>
        <w:t>wk</w:t>
      </w:r>
      <w:proofErr w:type="spellEnd"/>
      <w:r w:rsidR="00C77D0D" w:rsidRPr="00EB1825">
        <w:rPr>
          <w:rFonts w:ascii="Arial Narrow" w:hAnsi="Arial Narrow"/>
          <w:sz w:val="18"/>
          <w:szCs w:val="18"/>
        </w:rPr>
        <w:t>=week</w:t>
      </w:r>
      <w:r w:rsidRPr="00EB1825">
        <w:rPr>
          <w:rFonts w:ascii="Arial Narrow" w:hAnsi="Arial Narrow"/>
          <w:sz w:val="18"/>
          <w:szCs w:val="18"/>
        </w:rPr>
        <w:t>.</w:t>
      </w:r>
    </w:p>
    <w:p w14:paraId="563E60B4" w14:textId="77777777" w:rsidR="00017455" w:rsidRPr="00EB1825" w:rsidRDefault="00017455" w:rsidP="00017455">
      <w:pPr>
        <w:pStyle w:val="TableFigureFooter"/>
        <w:spacing w:after="0"/>
        <w:rPr>
          <w:rStyle w:val="CommentReference"/>
          <w:b w:val="0"/>
          <w:bCs w:val="0"/>
          <w:sz w:val="18"/>
          <w:szCs w:val="18"/>
        </w:rPr>
      </w:pPr>
      <w:r w:rsidRPr="00C07E2D">
        <w:rPr>
          <w:rStyle w:val="CommentReference"/>
          <w:b w:val="0"/>
          <w:sz w:val="18"/>
          <w:szCs w:val="18"/>
          <w:shd w:val="clear" w:color="auto" w:fill="B8CCE4" w:themeFill="accent1" w:themeFillTint="66"/>
        </w:rPr>
        <w:t xml:space="preserve">Blue </w:t>
      </w:r>
      <w:r w:rsidRPr="00C07E2D">
        <w:rPr>
          <w:rStyle w:val="CommentReference"/>
          <w:b w:val="0"/>
          <w:sz w:val="18"/>
          <w:szCs w:val="18"/>
        </w:rPr>
        <w:t>shading</w:t>
      </w:r>
      <w:r w:rsidRPr="00EB1825">
        <w:rPr>
          <w:rStyle w:val="CommentReference"/>
          <w:b w:val="0"/>
          <w:sz w:val="18"/>
          <w:szCs w:val="18"/>
        </w:rPr>
        <w:t xml:space="preserve"> indicates data previously seen by the PBAC. </w:t>
      </w:r>
    </w:p>
    <w:p w14:paraId="79FC1247" w14:textId="77777777" w:rsidR="00C77D0D" w:rsidRPr="00EB1825" w:rsidRDefault="00C77D0D" w:rsidP="00C77D0D">
      <w:pPr>
        <w:rPr>
          <w:rFonts w:ascii="Arial Narrow" w:hAnsi="Arial Narrow"/>
          <w:sz w:val="18"/>
          <w:szCs w:val="18"/>
        </w:rPr>
      </w:pPr>
    </w:p>
    <w:p w14:paraId="56562933" w14:textId="77777777" w:rsidR="00C77D0D" w:rsidRPr="004426FC" w:rsidRDefault="00C77D0D" w:rsidP="00766C07">
      <w:pPr>
        <w:pStyle w:val="3-BodyText"/>
      </w:pPr>
      <w:r w:rsidRPr="004426FC">
        <w:t xml:space="preserve">Table 6 presents the responder analysis of change from baseline in moderate to severe VMS frequency to Week 12/24 in the </w:t>
      </w:r>
      <w:proofErr w:type="spellStart"/>
      <w:r w:rsidRPr="004426FC">
        <w:t>fezolinetant</w:t>
      </w:r>
      <w:proofErr w:type="spellEnd"/>
      <w:r w:rsidRPr="004426FC">
        <w:t xml:space="preserve"> trials.</w:t>
      </w:r>
    </w:p>
    <w:p w14:paraId="427769A9" w14:textId="1BFD2951" w:rsidR="00C77D0D" w:rsidRPr="00EB1825" w:rsidRDefault="00C77D0D" w:rsidP="00BC21A1">
      <w:pPr>
        <w:pStyle w:val="Caption"/>
        <w:keepNext w:val="0"/>
        <w:keepLines w:val="0"/>
        <w:widowControl w:val="0"/>
      </w:pPr>
      <w:bookmarkStart w:id="34" w:name="_Ref205455787"/>
      <w:r w:rsidRPr="00EB1825">
        <w:t xml:space="preserve">Table </w:t>
      </w:r>
      <w:r w:rsidRPr="00EB1825">
        <w:fldChar w:fldCharType="begin"/>
      </w:r>
      <w:r w:rsidRPr="00EB1825">
        <w:instrText>SEQ Table \* ARABIC</w:instrText>
      </w:r>
      <w:r w:rsidRPr="00EB1825">
        <w:fldChar w:fldCharType="separate"/>
      </w:r>
      <w:r w:rsidR="00946DF5">
        <w:rPr>
          <w:noProof/>
        </w:rPr>
        <w:t>6</w:t>
      </w:r>
      <w:r w:rsidRPr="00EB1825">
        <w:fldChar w:fldCharType="end"/>
      </w:r>
      <w:bookmarkEnd w:id="34"/>
      <w:r w:rsidRPr="00EB1825">
        <w:t xml:space="preserve">: VMS frequency response at Week 12/24 in the included </w:t>
      </w:r>
      <w:proofErr w:type="spellStart"/>
      <w:r w:rsidRPr="00EB1825">
        <w:t>fezolinetant</w:t>
      </w:r>
      <w:proofErr w:type="spellEnd"/>
      <w:r w:rsidRPr="00EB1825">
        <w:t xml:space="preserve"> trials (double-blind period)</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VMS frequency response at Week 12/24 in the included fezolinetant trials (double-blind period)"/>
      </w:tblPr>
      <w:tblGrid>
        <w:gridCol w:w="4534"/>
        <w:gridCol w:w="1297"/>
        <w:gridCol w:w="1298"/>
        <w:gridCol w:w="1888"/>
      </w:tblGrid>
      <w:tr w:rsidR="00C77D0D" w:rsidRPr="00EB1825" w14:paraId="2A945910" w14:textId="77777777" w:rsidTr="004679F4">
        <w:trPr>
          <w:tblHeader/>
        </w:trPr>
        <w:tc>
          <w:tcPr>
            <w:tcW w:w="2514" w:type="pct"/>
          </w:tcPr>
          <w:p w14:paraId="7A1D53F4" w14:textId="77777777" w:rsidR="00C77D0D" w:rsidRPr="00EB1825" w:rsidRDefault="00C77D0D" w:rsidP="00BC21A1">
            <w:pPr>
              <w:widowControl w:val="0"/>
              <w:rPr>
                <w:rFonts w:ascii="Arial Narrow" w:hAnsi="Arial Narrow"/>
                <w:b/>
                <w:sz w:val="20"/>
                <w:szCs w:val="20"/>
              </w:rPr>
            </w:pPr>
            <w:r w:rsidRPr="00EB1825">
              <w:rPr>
                <w:rFonts w:ascii="Arial Narrow" w:hAnsi="Arial Narrow"/>
                <w:b/>
                <w:sz w:val="20"/>
                <w:szCs w:val="20"/>
              </w:rPr>
              <w:t>Outcome</w:t>
            </w:r>
          </w:p>
        </w:tc>
        <w:tc>
          <w:tcPr>
            <w:tcW w:w="719" w:type="pct"/>
            <w:vAlign w:val="center"/>
          </w:tcPr>
          <w:p w14:paraId="522AB67E"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FEZ 45mg</w:t>
            </w:r>
          </w:p>
        </w:tc>
        <w:tc>
          <w:tcPr>
            <w:tcW w:w="720" w:type="pct"/>
            <w:vAlign w:val="center"/>
          </w:tcPr>
          <w:p w14:paraId="4BA7ED8B"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PBO</w:t>
            </w:r>
          </w:p>
        </w:tc>
        <w:tc>
          <w:tcPr>
            <w:tcW w:w="1047" w:type="pct"/>
            <w:vAlign w:val="center"/>
          </w:tcPr>
          <w:p w14:paraId="0450CB4F"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OR (95%CI)</w:t>
            </w:r>
          </w:p>
        </w:tc>
      </w:tr>
      <w:tr w:rsidR="00C77D0D" w:rsidRPr="00EB1825" w14:paraId="0A2AEB08" w14:textId="77777777" w:rsidTr="004679F4">
        <w:tc>
          <w:tcPr>
            <w:tcW w:w="5000" w:type="pct"/>
            <w:gridSpan w:val="4"/>
            <w:vAlign w:val="center"/>
          </w:tcPr>
          <w:p w14:paraId="1829799B" w14:textId="77777777" w:rsidR="00C77D0D" w:rsidRPr="00EB1825" w:rsidRDefault="00C77D0D" w:rsidP="00BC21A1">
            <w:pPr>
              <w:widowControl w:val="0"/>
              <w:jc w:val="left"/>
              <w:rPr>
                <w:rFonts w:ascii="Arial Narrow" w:hAnsi="Arial Narrow"/>
                <w:b/>
                <w:sz w:val="20"/>
                <w:szCs w:val="20"/>
              </w:rPr>
            </w:pPr>
            <w:r w:rsidRPr="00EB1825">
              <w:rPr>
                <w:rFonts w:ascii="Arial Narrow" w:hAnsi="Arial Narrow"/>
                <w:b/>
                <w:sz w:val="20"/>
                <w:szCs w:val="20"/>
              </w:rPr>
              <w:t>Responders of ≥50% reduction from baseline in mean frequency of moderate-severe VMS per 24h</w:t>
            </w:r>
          </w:p>
        </w:tc>
      </w:tr>
      <w:tr w:rsidR="00C77D0D" w:rsidRPr="00EB1825" w14:paraId="0F30048A" w14:textId="77777777" w:rsidTr="004679F4">
        <w:tc>
          <w:tcPr>
            <w:tcW w:w="2514" w:type="pct"/>
            <w:shd w:val="clear" w:color="auto" w:fill="B8CCE4" w:themeFill="accent1" w:themeFillTint="66"/>
          </w:tcPr>
          <w:p w14:paraId="2B873C78"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1,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7E2781A9"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99/174 (56.9)</w:t>
            </w:r>
          </w:p>
        </w:tc>
        <w:tc>
          <w:tcPr>
            <w:tcW w:w="720" w:type="pct"/>
            <w:shd w:val="clear" w:color="auto" w:fill="B8CCE4" w:themeFill="accent1" w:themeFillTint="66"/>
            <w:vAlign w:val="center"/>
          </w:tcPr>
          <w:p w14:paraId="4CA627D4"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52/175 (29.7)</w:t>
            </w:r>
          </w:p>
        </w:tc>
        <w:tc>
          <w:tcPr>
            <w:tcW w:w="1047" w:type="pct"/>
            <w:shd w:val="clear" w:color="auto" w:fill="B8CCE4" w:themeFill="accent1" w:themeFillTint="66"/>
            <w:vAlign w:val="center"/>
          </w:tcPr>
          <w:p w14:paraId="1D52DE8A"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3.156 (2.035, 4.944)</w:t>
            </w:r>
          </w:p>
        </w:tc>
      </w:tr>
      <w:tr w:rsidR="00C77D0D" w:rsidRPr="00EB1825" w14:paraId="6210D943" w14:textId="77777777" w:rsidTr="004679F4">
        <w:tc>
          <w:tcPr>
            <w:tcW w:w="2514" w:type="pct"/>
            <w:shd w:val="clear" w:color="auto" w:fill="B8CCE4" w:themeFill="accent1" w:themeFillTint="66"/>
          </w:tcPr>
          <w:p w14:paraId="402AE2A5"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2,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4845BCD7"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101/167 (60.5)</w:t>
            </w:r>
          </w:p>
        </w:tc>
        <w:tc>
          <w:tcPr>
            <w:tcW w:w="720" w:type="pct"/>
            <w:shd w:val="clear" w:color="auto" w:fill="B8CCE4" w:themeFill="accent1" w:themeFillTint="66"/>
            <w:vAlign w:val="center"/>
          </w:tcPr>
          <w:p w14:paraId="366A6956"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71/167 (42.5)</w:t>
            </w:r>
          </w:p>
        </w:tc>
        <w:tc>
          <w:tcPr>
            <w:tcW w:w="1047" w:type="pct"/>
            <w:shd w:val="clear" w:color="auto" w:fill="B8CCE4" w:themeFill="accent1" w:themeFillTint="66"/>
            <w:vAlign w:val="center"/>
          </w:tcPr>
          <w:p w14:paraId="2B57CAEE"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2.090 (1.351, 3.252)</w:t>
            </w:r>
          </w:p>
        </w:tc>
      </w:tr>
      <w:tr w:rsidR="00C77D0D" w:rsidRPr="00EB1825" w14:paraId="6FF63C91" w14:textId="77777777" w:rsidTr="004679F4">
        <w:tc>
          <w:tcPr>
            <w:tcW w:w="2514" w:type="pct"/>
            <w:shd w:val="clear" w:color="auto" w:fill="B8CCE4" w:themeFill="accent1" w:themeFillTint="66"/>
          </w:tcPr>
          <w:p w14:paraId="3B6BC026"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1 &amp; 2 pooled,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2FB73F5B"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200/341 (58.7)</w:t>
            </w:r>
          </w:p>
        </w:tc>
        <w:tc>
          <w:tcPr>
            <w:tcW w:w="720" w:type="pct"/>
            <w:shd w:val="clear" w:color="auto" w:fill="B8CCE4" w:themeFill="accent1" w:themeFillTint="66"/>
            <w:vAlign w:val="center"/>
          </w:tcPr>
          <w:p w14:paraId="24065FD3"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123/342 (36.0)</w:t>
            </w:r>
          </w:p>
        </w:tc>
        <w:tc>
          <w:tcPr>
            <w:tcW w:w="1047" w:type="pct"/>
            <w:shd w:val="clear" w:color="auto" w:fill="B8CCE4" w:themeFill="accent1" w:themeFillTint="66"/>
            <w:vAlign w:val="center"/>
          </w:tcPr>
          <w:p w14:paraId="2396EC5C"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2.542 (1.868, 3.472)</w:t>
            </w:r>
          </w:p>
        </w:tc>
      </w:tr>
      <w:tr w:rsidR="00C77D0D" w:rsidRPr="00EB1825" w14:paraId="474AA88D" w14:textId="77777777" w:rsidTr="004679F4">
        <w:tc>
          <w:tcPr>
            <w:tcW w:w="2514" w:type="pct"/>
            <w:shd w:val="clear" w:color="auto" w:fill="B8CCE4" w:themeFill="accent1" w:themeFillTint="66"/>
          </w:tcPr>
          <w:p w14:paraId="547E7AE3"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DAYLIGHT,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b</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133D4C2E"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154/226 (68.1)</w:t>
            </w:r>
          </w:p>
        </w:tc>
        <w:tc>
          <w:tcPr>
            <w:tcW w:w="720" w:type="pct"/>
            <w:shd w:val="clear" w:color="auto" w:fill="B8CCE4" w:themeFill="accent1" w:themeFillTint="66"/>
            <w:vAlign w:val="center"/>
          </w:tcPr>
          <w:p w14:paraId="31A041E6"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106/226 (46.9)</w:t>
            </w:r>
          </w:p>
        </w:tc>
        <w:tc>
          <w:tcPr>
            <w:tcW w:w="1047" w:type="pct"/>
            <w:shd w:val="clear" w:color="auto" w:fill="B8CCE4" w:themeFill="accent1" w:themeFillTint="66"/>
            <w:vAlign w:val="center"/>
          </w:tcPr>
          <w:p w14:paraId="6C0CEF71"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2.422 (1.649, 3.556)</w:t>
            </w:r>
          </w:p>
        </w:tc>
      </w:tr>
      <w:tr w:rsidR="00C77D0D" w:rsidRPr="00EB1825" w14:paraId="4C66C224" w14:textId="77777777" w:rsidTr="004679F4">
        <w:tc>
          <w:tcPr>
            <w:tcW w:w="2514" w:type="pct"/>
            <w:shd w:val="clear" w:color="auto" w:fill="B8CCE4" w:themeFill="accent1" w:themeFillTint="66"/>
          </w:tcPr>
          <w:p w14:paraId="163115A6"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DAYLIGHT,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b</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24</w:t>
            </w:r>
          </w:p>
        </w:tc>
        <w:tc>
          <w:tcPr>
            <w:tcW w:w="719" w:type="pct"/>
            <w:shd w:val="clear" w:color="auto" w:fill="B8CCE4" w:themeFill="accent1" w:themeFillTint="66"/>
            <w:vAlign w:val="center"/>
          </w:tcPr>
          <w:p w14:paraId="74182E69"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137/226 (60.6)</w:t>
            </w:r>
          </w:p>
        </w:tc>
        <w:tc>
          <w:tcPr>
            <w:tcW w:w="720" w:type="pct"/>
            <w:shd w:val="clear" w:color="auto" w:fill="B8CCE4" w:themeFill="accent1" w:themeFillTint="66"/>
            <w:vAlign w:val="center"/>
          </w:tcPr>
          <w:p w14:paraId="5EB95952"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104/226 (46.0)</w:t>
            </w:r>
          </w:p>
        </w:tc>
        <w:tc>
          <w:tcPr>
            <w:tcW w:w="1047" w:type="pct"/>
            <w:shd w:val="clear" w:color="auto" w:fill="B8CCE4" w:themeFill="accent1" w:themeFillTint="66"/>
            <w:vAlign w:val="center"/>
          </w:tcPr>
          <w:p w14:paraId="07A47D47"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1.815 (1.249, 2.647)</w:t>
            </w:r>
          </w:p>
        </w:tc>
      </w:tr>
      <w:tr w:rsidR="00C77D0D" w:rsidRPr="00EB1825" w14:paraId="5391298B" w14:textId="77777777" w:rsidTr="004679F4">
        <w:tc>
          <w:tcPr>
            <w:tcW w:w="2514" w:type="pct"/>
          </w:tcPr>
          <w:p w14:paraId="1D32C582"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DAYLIGHT, MHT unsuitable (excluding MHT averse)</w:t>
            </w:r>
            <w:r w:rsidRPr="00EB1825">
              <w:rPr>
                <w:rFonts w:ascii="Arial Narrow" w:hAnsi="Arial Narrow"/>
                <w:sz w:val="20"/>
                <w:szCs w:val="20"/>
                <w:vertAlign w:val="superscript"/>
              </w:rPr>
              <w:t>d</w:t>
            </w:r>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24 (post hoc)</w:t>
            </w:r>
          </w:p>
        </w:tc>
        <w:tc>
          <w:tcPr>
            <w:tcW w:w="719" w:type="pct"/>
            <w:vAlign w:val="center"/>
          </w:tcPr>
          <w:p w14:paraId="3FCFCB51"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72 (54.1)</w:t>
            </w:r>
          </w:p>
        </w:tc>
        <w:tc>
          <w:tcPr>
            <w:tcW w:w="720" w:type="pct"/>
            <w:vAlign w:val="center"/>
          </w:tcPr>
          <w:p w14:paraId="21B7BA05"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67 (44.4)</w:t>
            </w:r>
          </w:p>
        </w:tc>
        <w:tc>
          <w:tcPr>
            <w:tcW w:w="1047" w:type="pct"/>
            <w:vAlign w:val="center"/>
          </w:tcPr>
          <w:p w14:paraId="20681242" w14:textId="77777777" w:rsidR="00C77D0D" w:rsidRPr="00EB1825" w:rsidRDefault="00C77D0D" w:rsidP="00BC21A1">
            <w:pPr>
              <w:widowControl w:val="0"/>
              <w:jc w:val="center"/>
              <w:rPr>
                <w:rFonts w:ascii="Arial Narrow" w:hAnsi="Arial Narrow"/>
                <w:bCs/>
                <w:sz w:val="20"/>
                <w:szCs w:val="20"/>
              </w:rPr>
            </w:pPr>
            <w:r w:rsidRPr="00EB1825">
              <w:rPr>
                <w:rFonts w:ascii="Arial Narrow" w:hAnsi="Arial Narrow"/>
                <w:bCs/>
                <w:sz w:val="20"/>
                <w:szCs w:val="20"/>
              </w:rPr>
              <w:t>1.483 (0.929, 2.375)</w:t>
            </w:r>
          </w:p>
        </w:tc>
      </w:tr>
      <w:tr w:rsidR="00C77D0D" w:rsidRPr="00EB1825" w14:paraId="0EB7CF97" w14:textId="77777777" w:rsidTr="004679F4">
        <w:tc>
          <w:tcPr>
            <w:tcW w:w="2514" w:type="pct"/>
            <w:shd w:val="clear" w:color="auto" w:fill="B8CCE4" w:themeFill="accent1" w:themeFillTint="66"/>
          </w:tcPr>
          <w:p w14:paraId="02F3A2D9"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1 &amp; 2 pooled,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c</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719" w:type="pct"/>
            <w:shd w:val="clear" w:color="auto" w:fill="B8CCE4" w:themeFill="accent1" w:themeFillTint="66"/>
            <w:vAlign w:val="center"/>
          </w:tcPr>
          <w:p w14:paraId="57BB2124"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174/287 (60.6)</w:t>
            </w:r>
          </w:p>
        </w:tc>
        <w:tc>
          <w:tcPr>
            <w:tcW w:w="720" w:type="pct"/>
            <w:shd w:val="clear" w:color="auto" w:fill="B8CCE4" w:themeFill="accent1" w:themeFillTint="66"/>
            <w:vAlign w:val="center"/>
          </w:tcPr>
          <w:p w14:paraId="40F358C4"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106/297 (35.7)</w:t>
            </w:r>
          </w:p>
        </w:tc>
        <w:tc>
          <w:tcPr>
            <w:tcW w:w="1047" w:type="pct"/>
            <w:shd w:val="clear" w:color="auto" w:fill="B8CCE4" w:themeFill="accent1" w:themeFillTint="66"/>
            <w:vAlign w:val="center"/>
          </w:tcPr>
          <w:p w14:paraId="52A13D41"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2.781 (1.991, 3.904)</w:t>
            </w:r>
          </w:p>
        </w:tc>
      </w:tr>
      <w:tr w:rsidR="00C77D0D" w:rsidRPr="00EB1825" w14:paraId="525CDB3D" w14:textId="77777777" w:rsidTr="004679F4">
        <w:tc>
          <w:tcPr>
            <w:tcW w:w="2514" w:type="pct"/>
          </w:tcPr>
          <w:p w14:paraId="3CA399B0"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SKYLIGHT 1 &amp; 2 pooled, MHT unsuitable (excluding MHT averse)</w:t>
            </w:r>
            <w:r w:rsidRPr="00EB1825">
              <w:rPr>
                <w:rFonts w:ascii="Arial Narrow" w:hAnsi="Arial Narrow"/>
                <w:sz w:val="20"/>
                <w:szCs w:val="20"/>
                <w:vertAlign w:val="superscript"/>
              </w:rPr>
              <w:t>d</w:t>
            </w:r>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719" w:type="pct"/>
            <w:vAlign w:val="center"/>
          </w:tcPr>
          <w:p w14:paraId="6B4BD9DD"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137 (60.1)</w:t>
            </w:r>
          </w:p>
        </w:tc>
        <w:tc>
          <w:tcPr>
            <w:tcW w:w="720" w:type="pct"/>
            <w:vAlign w:val="center"/>
          </w:tcPr>
          <w:p w14:paraId="57F1E6D3"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80 (34.9)</w:t>
            </w:r>
          </w:p>
        </w:tc>
        <w:tc>
          <w:tcPr>
            <w:tcW w:w="1047" w:type="pct"/>
            <w:vAlign w:val="center"/>
          </w:tcPr>
          <w:p w14:paraId="76310A16"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2.806 (1.921, 4.125)</w:t>
            </w:r>
          </w:p>
        </w:tc>
      </w:tr>
      <w:tr w:rsidR="00C77D0D" w:rsidRPr="00EB1825" w14:paraId="747EC0B3" w14:textId="77777777" w:rsidTr="004679F4">
        <w:tc>
          <w:tcPr>
            <w:tcW w:w="2514" w:type="pct"/>
            <w:shd w:val="clear" w:color="auto" w:fill="B8CCE4" w:themeFill="accent1" w:themeFillTint="66"/>
          </w:tcPr>
          <w:p w14:paraId="4F5386B4"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DAYLIGHT, SKYLIGHT 1 &amp; 2 pooled, MHT unsuitable,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719" w:type="pct"/>
            <w:shd w:val="clear" w:color="auto" w:fill="B8CCE4" w:themeFill="accent1" w:themeFillTint="66"/>
            <w:vAlign w:val="center"/>
          </w:tcPr>
          <w:p w14:paraId="52639589"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328/513 (63.9)</w:t>
            </w:r>
          </w:p>
        </w:tc>
        <w:tc>
          <w:tcPr>
            <w:tcW w:w="720" w:type="pct"/>
            <w:shd w:val="clear" w:color="auto" w:fill="B8CCE4" w:themeFill="accent1" w:themeFillTint="66"/>
            <w:vAlign w:val="center"/>
          </w:tcPr>
          <w:p w14:paraId="516C830F"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212/523 (40.5)</w:t>
            </w:r>
          </w:p>
        </w:tc>
        <w:tc>
          <w:tcPr>
            <w:tcW w:w="1047" w:type="pct"/>
            <w:shd w:val="clear" w:color="auto" w:fill="B8CCE4" w:themeFill="accent1" w:themeFillTint="66"/>
            <w:vAlign w:val="center"/>
          </w:tcPr>
          <w:p w14:paraId="4AECAB91"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2.623 (2.034, 3.384)</w:t>
            </w:r>
          </w:p>
        </w:tc>
      </w:tr>
      <w:tr w:rsidR="00C77D0D" w:rsidRPr="00EB1825" w14:paraId="2BBCC06C" w14:textId="77777777" w:rsidTr="004679F4">
        <w:tc>
          <w:tcPr>
            <w:tcW w:w="5000" w:type="pct"/>
            <w:gridSpan w:val="4"/>
            <w:vAlign w:val="center"/>
          </w:tcPr>
          <w:p w14:paraId="3DB389DD" w14:textId="77777777" w:rsidR="00C77D0D" w:rsidRPr="00EB1825" w:rsidRDefault="00C77D0D" w:rsidP="00BC21A1">
            <w:pPr>
              <w:widowControl w:val="0"/>
              <w:jc w:val="left"/>
              <w:rPr>
                <w:rFonts w:ascii="Arial Narrow" w:hAnsi="Arial Narrow"/>
                <w:sz w:val="20"/>
                <w:szCs w:val="20"/>
              </w:rPr>
            </w:pPr>
            <w:r w:rsidRPr="00EB1825">
              <w:rPr>
                <w:rFonts w:ascii="Arial Narrow" w:hAnsi="Arial Narrow"/>
                <w:b/>
                <w:sz w:val="20"/>
                <w:szCs w:val="20"/>
              </w:rPr>
              <w:t>Responders of ≥75% reduction from baseline in mean frequency of moderate-severe VMS per 24h</w:t>
            </w:r>
          </w:p>
        </w:tc>
      </w:tr>
      <w:tr w:rsidR="00C77D0D" w:rsidRPr="00EB1825" w14:paraId="16C083D0" w14:textId="77777777" w:rsidTr="004679F4">
        <w:tc>
          <w:tcPr>
            <w:tcW w:w="2514" w:type="pct"/>
            <w:shd w:val="clear" w:color="auto" w:fill="B8CCE4" w:themeFill="accent1" w:themeFillTint="66"/>
          </w:tcPr>
          <w:p w14:paraId="032EC09C"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1,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339FDE30"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60/174 (34.5)</w:t>
            </w:r>
          </w:p>
        </w:tc>
        <w:tc>
          <w:tcPr>
            <w:tcW w:w="720" w:type="pct"/>
            <w:shd w:val="clear" w:color="auto" w:fill="B8CCE4" w:themeFill="accent1" w:themeFillTint="66"/>
            <w:vAlign w:val="center"/>
          </w:tcPr>
          <w:p w14:paraId="171BB627"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23/175 (13.1)</w:t>
            </w:r>
          </w:p>
        </w:tc>
        <w:tc>
          <w:tcPr>
            <w:tcW w:w="1047" w:type="pct"/>
            <w:shd w:val="clear" w:color="auto" w:fill="B8CCE4" w:themeFill="accent1" w:themeFillTint="66"/>
            <w:vAlign w:val="center"/>
          </w:tcPr>
          <w:p w14:paraId="1D27B110"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3.477 (2.054, 6.055)</w:t>
            </w:r>
          </w:p>
        </w:tc>
      </w:tr>
      <w:tr w:rsidR="00C77D0D" w:rsidRPr="00EB1825" w14:paraId="648E62B0" w14:textId="77777777" w:rsidTr="004679F4">
        <w:tc>
          <w:tcPr>
            <w:tcW w:w="2514" w:type="pct"/>
            <w:shd w:val="clear" w:color="auto" w:fill="B8CCE4" w:themeFill="accent1" w:themeFillTint="66"/>
          </w:tcPr>
          <w:p w14:paraId="728D8399"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2,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39FE77E6"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66/167 (39.5)</w:t>
            </w:r>
          </w:p>
        </w:tc>
        <w:tc>
          <w:tcPr>
            <w:tcW w:w="720" w:type="pct"/>
            <w:shd w:val="clear" w:color="auto" w:fill="B8CCE4" w:themeFill="accent1" w:themeFillTint="66"/>
            <w:vAlign w:val="center"/>
          </w:tcPr>
          <w:p w14:paraId="724A7B02"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35/167 (21.0)</w:t>
            </w:r>
          </w:p>
        </w:tc>
        <w:tc>
          <w:tcPr>
            <w:tcW w:w="1047" w:type="pct"/>
            <w:shd w:val="clear" w:color="auto" w:fill="B8CCE4" w:themeFill="accent1" w:themeFillTint="66"/>
            <w:vAlign w:val="center"/>
          </w:tcPr>
          <w:p w14:paraId="2E5DEE5E"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2.482 (1.527, 4.089)</w:t>
            </w:r>
          </w:p>
        </w:tc>
      </w:tr>
      <w:tr w:rsidR="00C77D0D" w:rsidRPr="00EB1825" w14:paraId="2578AC59" w14:textId="77777777" w:rsidTr="004679F4">
        <w:tc>
          <w:tcPr>
            <w:tcW w:w="2514" w:type="pct"/>
            <w:shd w:val="clear" w:color="auto" w:fill="B8CCE4" w:themeFill="accent1" w:themeFillTint="66"/>
          </w:tcPr>
          <w:p w14:paraId="456CF246"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1 &amp; 2 pooled,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7F973653"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126/341 (37.0)</w:t>
            </w:r>
          </w:p>
        </w:tc>
        <w:tc>
          <w:tcPr>
            <w:tcW w:w="720" w:type="pct"/>
            <w:shd w:val="clear" w:color="auto" w:fill="B8CCE4" w:themeFill="accent1" w:themeFillTint="66"/>
            <w:vAlign w:val="center"/>
          </w:tcPr>
          <w:p w14:paraId="670C189E"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58/342 (17.0)</w:t>
            </w:r>
          </w:p>
        </w:tc>
        <w:tc>
          <w:tcPr>
            <w:tcW w:w="1047" w:type="pct"/>
            <w:shd w:val="clear" w:color="auto" w:fill="B8CCE4" w:themeFill="accent1" w:themeFillTint="66"/>
            <w:vAlign w:val="center"/>
          </w:tcPr>
          <w:p w14:paraId="56195903"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2.892 (2.026, 4.167)</w:t>
            </w:r>
          </w:p>
        </w:tc>
      </w:tr>
      <w:tr w:rsidR="00C77D0D" w:rsidRPr="00EB1825" w14:paraId="723EFA55" w14:textId="77777777" w:rsidTr="004679F4">
        <w:tc>
          <w:tcPr>
            <w:tcW w:w="2514" w:type="pct"/>
            <w:shd w:val="clear" w:color="auto" w:fill="B8CCE4" w:themeFill="accent1" w:themeFillTint="66"/>
          </w:tcPr>
          <w:p w14:paraId="21788729"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DAYLIGHT,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b</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27E5E58C"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110/226 (48.7)</w:t>
            </w:r>
          </w:p>
        </w:tc>
        <w:tc>
          <w:tcPr>
            <w:tcW w:w="720" w:type="pct"/>
            <w:shd w:val="clear" w:color="auto" w:fill="B8CCE4" w:themeFill="accent1" w:themeFillTint="66"/>
            <w:vAlign w:val="center"/>
          </w:tcPr>
          <w:p w14:paraId="39A3E16F"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66/226 (29.2)</w:t>
            </w:r>
          </w:p>
        </w:tc>
        <w:tc>
          <w:tcPr>
            <w:tcW w:w="1047" w:type="pct"/>
            <w:shd w:val="clear" w:color="auto" w:fill="B8CCE4" w:themeFill="accent1" w:themeFillTint="66"/>
            <w:vAlign w:val="center"/>
          </w:tcPr>
          <w:p w14:paraId="5F0C344B"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2.298 (1.559, 3.389)</w:t>
            </w:r>
          </w:p>
        </w:tc>
      </w:tr>
      <w:tr w:rsidR="00C77D0D" w:rsidRPr="00EB1825" w14:paraId="3B4D3D12" w14:textId="77777777" w:rsidTr="004679F4">
        <w:tc>
          <w:tcPr>
            <w:tcW w:w="2514" w:type="pct"/>
            <w:shd w:val="clear" w:color="auto" w:fill="B8CCE4" w:themeFill="accent1" w:themeFillTint="66"/>
          </w:tcPr>
          <w:p w14:paraId="75168DF4"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DAYLIGHT,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b</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24</w:t>
            </w:r>
          </w:p>
        </w:tc>
        <w:tc>
          <w:tcPr>
            <w:tcW w:w="719" w:type="pct"/>
            <w:shd w:val="clear" w:color="auto" w:fill="B8CCE4" w:themeFill="accent1" w:themeFillTint="66"/>
            <w:vAlign w:val="center"/>
          </w:tcPr>
          <w:p w14:paraId="7D50CC3D"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106/226 (46.9)</w:t>
            </w:r>
          </w:p>
        </w:tc>
        <w:tc>
          <w:tcPr>
            <w:tcW w:w="720" w:type="pct"/>
            <w:shd w:val="clear" w:color="auto" w:fill="B8CCE4" w:themeFill="accent1" w:themeFillTint="66"/>
            <w:vAlign w:val="center"/>
          </w:tcPr>
          <w:p w14:paraId="1FB83114"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67/226 (29.6)</w:t>
            </w:r>
          </w:p>
        </w:tc>
        <w:tc>
          <w:tcPr>
            <w:tcW w:w="1047" w:type="pct"/>
            <w:shd w:val="clear" w:color="auto" w:fill="B8CCE4" w:themeFill="accent1" w:themeFillTint="66"/>
            <w:vAlign w:val="center"/>
          </w:tcPr>
          <w:p w14:paraId="783F9BE9"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2.099 (1.427, 3.103)</w:t>
            </w:r>
          </w:p>
        </w:tc>
      </w:tr>
      <w:tr w:rsidR="00C77D0D" w:rsidRPr="00EB1825" w14:paraId="1B42CA9E" w14:textId="77777777" w:rsidTr="004679F4">
        <w:tc>
          <w:tcPr>
            <w:tcW w:w="2514" w:type="pct"/>
          </w:tcPr>
          <w:p w14:paraId="1D2CA618"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DAYLIGHT, MHT unsuitable (excluding MHT averse)</w:t>
            </w:r>
            <w:r w:rsidRPr="00EB1825">
              <w:rPr>
                <w:rFonts w:ascii="Arial Narrow" w:hAnsi="Arial Narrow"/>
                <w:sz w:val="20"/>
                <w:szCs w:val="20"/>
                <w:vertAlign w:val="superscript"/>
              </w:rPr>
              <w:t>d</w:t>
            </w:r>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24 (post hoc)</w:t>
            </w:r>
          </w:p>
        </w:tc>
        <w:tc>
          <w:tcPr>
            <w:tcW w:w="719" w:type="pct"/>
            <w:vAlign w:val="center"/>
          </w:tcPr>
          <w:p w14:paraId="54ECB64B"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54 (40.6)</w:t>
            </w:r>
          </w:p>
        </w:tc>
        <w:tc>
          <w:tcPr>
            <w:tcW w:w="720" w:type="pct"/>
            <w:vAlign w:val="center"/>
          </w:tcPr>
          <w:p w14:paraId="181A3157"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43 (28.5)</w:t>
            </w:r>
          </w:p>
        </w:tc>
        <w:tc>
          <w:tcPr>
            <w:tcW w:w="1047" w:type="pct"/>
            <w:vAlign w:val="center"/>
          </w:tcPr>
          <w:p w14:paraId="3FE3A521"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1.718 (1.049, 2.828)</w:t>
            </w:r>
          </w:p>
        </w:tc>
      </w:tr>
      <w:tr w:rsidR="00C77D0D" w:rsidRPr="00EB1825" w14:paraId="40AEF5F2" w14:textId="77777777" w:rsidTr="004679F4">
        <w:tc>
          <w:tcPr>
            <w:tcW w:w="2514" w:type="pct"/>
            <w:shd w:val="clear" w:color="auto" w:fill="B8CCE4" w:themeFill="accent1" w:themeFillTint="66"/>
          </w:tcPr>
          <w:p w14:paraId="6C63CAE4"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1 &amp; 2 pooled,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c</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719" w:type="pct"/>
            <w:shd w:val="clear" w:color="auto" w:fill="B8CCE4" w:themeFill="accent1" w:themeFillTint="66"/>
            <w:vAlign w:val="center"/>
          </w:tcPr>
          <w:p w14:paraId="4B6B6F35"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113/287 (39.4)</w:t>
            </w:r>
          </w:p>
        </w:tc>
        <w:tc>
          <w:tcPr>
            <w:tcW w:w="720" w:type="pct"/>
            <w:shd w:val="clear" w:color="auto" w:fill="B8CCE4" w:themeFill="accent1" w:themeFillTint="66"/>
            <w:vAlign w:val="center"/>
          </w:tcPr>
          <w:p w14:paraId="7396311F"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53/297 (17.8)</w:t>
            </w:r>
          </w:p>
        </w:tc>
        <w:tc>
          <w:tcPr>
            <w:tcW w:w="1047" w:type="pct"/>
            <w:shd w:val="clear" w:color="auto" w:fill="B8CCE4" w:themeFill="accent1" w:themeFillTint="66"/>
            <w:vAlign w:val="center"/>
          </w:tcPr>
          <w:p w14:paraId="63E76F8A"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2.984 (2.046, 4.397)</w:t>
            </w:r>
          </w:p>
        </w:tc>
      </w:tr>
      <w:tr w:rsidR="00C77D0D" w:rsidRPr="00EB1825" w14:paraId="06179FEC" w14:textId="77777777" w:rsidTr="004679F4">
        <w:tc>
          <w:tcPr>
            <w:tcW w:w="2514" w:type="pct"/>
          </w:tcPr>
          <w:p w14:paraId="131E2593"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SKYLIGHT 1 &amp; 2 pooled, MHT unsuitable (excluding MHT averse)</w:t>
            </w:r>
            <w:r w:rsidRPr="00EB1825">
              <w:rPr>
                <w:rFonts w:ascii="Arial Narrow" w:hAnsi="Arial Narrow"/>
                <w:sz w:val="20"/>
                <w:szCs w:val="20"/>
                <w:vertAlign w:val="superscript"/>
              </w:rPr>
              <w:t>d</w:t>
            </w:r>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719" w:type="pct"/>
            <w:vAlign w:val="center"/>
          </w:tcPr>
          <w:p w14:paraId="06943805"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93 (40.8)</w:t>
            </w:r>
          </w:p>
        </w:tc>
        <w:tc>
          <w:tcPr>
            <w:tcW w:w="720" w:type="pct"/>
            <w:vAlign w:val="center"/>
          </w:tcPr>
          <w:p w14:paraId="7F35D375"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41 (17.9)</w:t>
            </w:r>
          </w:p>
        </w:tc>
        <w:tc>
          <w:tcPr>
            <w:tcW w:w="1047" w:type="pct"/>
            <w:vAlign w:val="center"/>
          </w:tcPr>
          <w:p w14:paraId="4EFE1FD2"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3.144 (2.054, 4.878)</w:t>
            </w:r>
          </w:p>
        </w:tc>
      </w:tr>
      <w:tr w:rsidR="00C77D0D" w:rsidRPr="00EB1825" w14:paraId="49A8E315" w14:textId="77777777" w:rsidTr="004679F4">
        <w:tc>
          <w:tcPr>
            <w:tcW w:w="2514" w:type="pct"/>
            <w:shd w:val="clear" w:color="auto" w:fill="B8CCE4" w:themeFill="accent1" w:themeFillTint="66"/>
          </w:tcPr>
          <w:p w14:paraId="535ED209"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DAYLIGHT, SKYLIGHT 1 &amp; 2 pooled, MHT unsuitable,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719" w:type="pct"/>
            <w:shd w:val="clear" w:color="auto" w:fill="B8CCE4" w:themeFill="accent1" w:themeFillTint="66"/>
            <w:vAlign w:val="center"/>
          </w:tcPr>
          <w:p w14:paraId="77AC9109"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223/513 (43.5)</w:t>
            </w:r>
          </w:p>
        </w:tc>
        <w:tc>
          <w:tcPr>
            <w:tcW w:w="720" w:type="pct"/>
            <w:shd w:val="clear" w:color="auto" w:fill="B8CCE4" w:themeFill="accent1" w:themeFillTint="66"/>
            <w:vAlign w:val="center"/>
          </w:tcPr>
          <w:p w14:paraId="32450A72"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119/523 (22.8)</w:t>
            </w:r>
          </w:p>
        </w:tc>
        <w:tc>
          <w:tcPr>
            <w:tcW w:w="1047" w:type="pct"/>
            <w:shd w:val="clear" w:color="auto" w:fill="B8CCE4" w:themeFill="accent1" w:themeFillTint="66"/>
            <w:vAlign w:val="center"/>
          </w:tcPr>
          <w:p w14:paraId="1DAE7AC7"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2.618 (1.988, 3.447)</w:t>
            </w:r>
          </w:p>
        </w:tc>
      </w:tr>
      <w:tr w:rsidR="00C77D0D" w:rsidRPr="00EB1825" w14:paraId="3335DD0A" w14:textId="77777777" w:rsidTr="004679F4">
        <w:tc>
          <w:tcPr>
            <w:tcW w:w="5000" w:type="pct"/>
            <w:gridSpan w:val="4"/>
            <w:vAlign w:val="center"/>
          </w:tcPr>
          <w:p w14:paraId="6F1C7EB5" w14:textId="77777777" w:rsidR="00C77D0D" w:rsidRPr="00EB1825" w:rsidRDefault="00C77D0D" w:rsidP="00BC21A1">
            <w:pPr>
              <w:widowControl w:val="0"/>
              <w:jc w:val="left"/>
              <w:rPr>
                <w:rFonts w:ascii="Arial Narrow" w:hAnsi="Arial Narrow"/>
                <w:sz w:val="20"/>
                <w:szCs w:val="20"/>
              </w:rPr>
            </w:pPr>
            <w:r w:rsidRPr="00EB1825">
              <w:rPr>
                <w:rFonts w:ascii="Arial Narrow" w:hAnsi="Arial Narrow"/>
                <w:b/>
                <w:sz w:val="20"/>
                <w:szCs w:val="20"/>
              </w:rPr>
              <w:t>Responders of 100% reduction from baseline in mean frequency of moderate-severe VMS per 24h</w:t>
            </w:r>
          </w:p>
        </w:tc>
      </w:tr>
      <w:tr w:rsidR="00C77D0D" w:rsidRPr="00EB1825" w14:paraId="35218AE7" w14:textId="77777777" w:rsidTr="004679F4">
        <w:tc>
          <w:tcPr>
            <w:tcW w:w="2514" w:type="pct"/>
            <w:shd w:val="clear" w:color="auto" w:fill="B8CCE4" w:themeFill="accent1" w:themeFillTint="66"/>
          </w:tcPr>
          <w:p w14:paraId="346DA911"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1,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6DFBC23F"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18/174 (10.3)</w:t>
            </w:r>
          </w:p>
        </w:tc>
        <w:tc>
          <w:tcPr>
            <w:tcW w:w="720" w:type="pct"/>
            <w:shd w:val="clear" w:color="auto" w:fill="B8CCE4" w:themeFill="accent1" w:themeFillTint="66"/>
            <w:vAlign w:val="center"/>
          </w:tcPr>
          <w:p w14:paraId="6E57D941"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6/175 (3.4)</w:t>
            </w:r>
          </w:p>
        </w:tc>
        <w:tc>
          <w:tcPr>
            <w:tcW w:w="1047" w:type="pct"/>
            <w:shd w:val="clear" w:color="auto" w:fill="B8CCE4" w:themeFill="accent1" w:themeFillTint="66"/>
            <w:vAlign w:val="center"/>
          </w:tcPr>
          <w:p w14:paraId="3B3681E2"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3.262 (1.329, 9.194)</w:t>
            </w:r>
          </w:p>
        </w:tc>
      </w:tr>
      <w:tr w:rsidR="00C77D0D" w:rsidRPr="00EB1825" w14:paraId="3E208E79" w14:textId="77777777" w:rsidTr="004679F4">
        <w:tc>
          <w:tcPr>
            <w:tcW w:w="2514" w:type="pct"/>
            <w:shd w:val="clear" w:color="auto" w:fill="B8CCE4" w:themeFill="accent1" w:themeFillTint="66"/>
          </w:tcPr>
          <w:p w14:paraId="62DA848D"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2,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741BFDBF"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25/167 (15.0)</w:t>
            </w:r>
          </w:p>
        </w:tc>
        <w:tc>
          <w:tcPr>
            <w:tcW w:w="720" w:type="pct"/>
            <w:shd w:val="clear" w:color="auto" w:fill="B8CCE4" w:themeFill="accent1" w:themeFillTint="66"/>
            <w:vAlign w:val="center"/>
          </w:tcPr>
          <w:p w14:paraId="70E27122"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9/167 (5.4)</w:t>
            </w:r>
          </w:p>
        </w:tc>
        <w:tc>
          <w:tcPr>
            <w:tcW w:w="1047" w:type="pct"/>
            <w:shd w:val="clear" w:color="auto" w:fill="B8CCE4" w:themeFill="accent1" w:themeFillTint="66"/>
            <w:vAlign w:val="center"/>
          </w:tcPr>
          <w:p w14:paraId="3A1B2328"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3.049 (1.420, 7.125)</w:t>
            </w:r>
          </w:p>
        </w:tc>
      </w:tr>
      <w:tr w:rsidR="00C77D0D" w:rsidRPr="00EB1825" w14:paraId="7B03C985" w14:textId="77777777" w:rsidTr="004679F4">
        <w:tc>
          <w:tcPr>
            <w:tcW w:w="2514" w:type="pct"/>
            <w:shd w:val="clear" w:color="auto" w:fill="B8CCE4" w:themeFill="accent1" w:themeFillTint="66"/>
          </w:tcPr>
          <w:p w14:paraId="020682BD"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1 &amp; 2 pooled, </w:t>
            </w:r>
            <w:proofErr w:type="spellStart"/>
            <w:r w:rsidRPr="00EB1825">
              <w:rPr>
                <w:rFonts w:ascii="Arial Narrow" w:hAnsi="Arial Narrow"/>
                <w:sz w:val="20"/>
                <w:szCs w:val="20"/>
              </w:rPr>
              <w:t>ITT</w:t>
            </w:r>
            <w:r w:rsidRPr="00EB1825">
              <w:rPr>
                <w:rFonts w:ascii="Arial Narrow" w:hAnsi="Arial Narrow"/>
                <w:sz w:val="20"/>
                <w:szCs w:val="20"/>
                <w:vertAlign w:val="superscript"/>
              </w:rPr>
              <w:t>a</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4ED24AC6"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42/341 (12.6)</w:t>
            </w:r>
          </w:p>
        </w:tc>
        <w:tc>
          <w:tcPr>
            <w:tcW w:w="720" w:type="pct"/>
            <w:shd w:val="clear" w:color="auto" w:fill="B8CCE4" w:themeFill="accent1" w:themeFillTint="66"/>
            <w:vAlign w:val="center"/>
          </w:tcPr>
          <w:p w14:paraId="748B7E06"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15/342 (4.4)</w:t>
            </w:r>
          </w:p>
        </w:tc>
        <w:tc>
          <w:tcPr>
            <w:tcW w:w="1047" w:type="pct"/>
            <w:shd w:val="clear" w:color="auto" w:fill="B8CCE4" w:themeFill="accent1" w:themeFillTint="66"/>
            <w:vAlign w:val="center"/>
          </w:tcPr>
          <w:p w14:paraId="266E92D5"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3.138 (1.742, 5.953)</w:t>
            </w:r>
          </w:p>
        </w:tc>
      </w:tr>
      <w:tr w:rsidR="00C77D0D" w:rsidRPr="00EB1825" w14:paraId="245CAF5E" w14:textId="77777777" w:rsidTr="004679F4">
        <w:tc>
          <w:tcPr>
            <w:tcW w:w="2514" w:type="pct"/>
            <w:shd w:val="clear" w:color="auto" w:fill="B8CCE4" w:themeFill="accent1" w:themeFillTint="66"/>
          </w:tcPr>
          <w:p w14:paraId="5B56F2D8"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DAYLIGHT,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b</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w:t>
            </w:r>
          </w:p>
        </w:tc>
        <w:tc>
          <w:tcPr>
            <w:tcW w:w="719" w:type="pct"/>
            <w:shd w:val="clear" w:color="auto" w:fill="B8CCE4" w:themeFill="accent1" w:themeFillTint="66"/>
            <w:vAlign w:val="center"/>
          </w:tcPr>
          <w:p w14:paraId="31AF284E"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49/226 (21.7)</w:t>
            </w:r>
          </w:p>
        </w:tc>
        <w:tc>
          <w:tcPr>
            <w:tcW w:w="720" w:type="pct"/>
            <w:shd w:val="clear" w:color="auto" w:fill="B8CCE4" w:themeFill="accent1" w:themeFillTint="66"/>
            <w:vAlign w:val="center"/>
          </w:tcPr>
          <w:p w14:paraId="27A9F807"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22/226 (9.7)</w:t>
            </w:r>
          </w:p>
        </w:tc>
        <w:tc>
          <w:tcPr>
            <w:tcW w:w="1047" w:type="pct"/>
            <w:shd w:val="clear" w:color="auto" w:fill="B8CCE4" w:themeFill="accent1" w:themeFillTint="66"/>
            <w:vAlign w:val="center"/>
          </w:tcPr>
          <w:p w14:paraId="3E9CE728"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2.562 (1.488, 4.412)</w:t>
            </w:r>
          </w:p>
        </w:tc>
      </w:tr>
      <w:tr w:rsidR="00C77D0D" w:rsidRPr="00EB1825" w14:paraId="0DA3AFCF" w14:textId="77777777" w:rsidTr="004679F4">
        <w:tc>
          <w:tcPr>
            <w:tcW w:w="2514" w:type="pct"/>
            <w:shd w:val="clear" w:color="auto" w:fill="B8CCE4" w:themeFill="accent1" w:themeFillTint="66"/>
          </w:tcPr>
          <w:p w14:paraId="12C067B7"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DAYLIGHT,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b</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24</w:t>
            </w:r>
          </w:p>
        </w:tc>
        <w:tc>
          <w:tcPr>
            <w:tcW w:w="719" w:type="pct"/>
            <w:shd w:val="clear" w:color="auto" w:fill="B8CCE4" w:themeFill="accent1" w:themeFillTint="66"/>
            <w:vAlign w:val="center"/>
          </w:tcPr>
          <w:p w14:paraId="7A57A4A7"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50/226 (22.1)</w:t>
            </w:r>
          </w:p>
        </w:tc>
        <w:tc>
          <w:tcPr>
            <w:tcW w:w="720" w:type="pct"/>
            <w:shd w:val="clear" w:color="auto" w:fill="B8CCE4" w:themeFill="accent1" w:themeFillTint="66"/>
            <w:vAlign w:val="center"/>
          </w:tcPr>
          <w:p w14:paraId="0F549E52"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24/226 (10.6)</w:t>
            </w:r>
          </w:p>
        </w:tc>
        <w:tc>
          <w:tcPr>
            <w:tcW w:w="1047" w:type="pct"/>
            <w:shd w:val="clear" w:color="auto" w:fill="B8CCE4" w:themeFill="accent1" w:themeFillTint="66"/>
            <w:vAlign w:val="center"/>
          </w:tcPr>
          <w:p w14:paraId="3C4A68CF"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2.385 (1.422, 4.098)</w:t>
            </w:r>
          </w:p>
        </w:tc>
      </w:tr>
      <w:tr w:rsidR="00C77D0D" w:rsidRPr="00EB1825" w14:paraId="56118551" w14:textId="77777777" w:rsidTr="004679F4">
        <w:tc>
          <w:tcPr>
            <w:tcW w:w="2514" w:type="pct"/>
          </w:tcPr>
          <w:p w14:paraId="5B9C4D2C"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DAYLIGHT, MHT unsuitable (excluding MHT averse)</w:t>
            </w:r>
            <w:r w:rsidRPr="00EB1825">
              <w:rPr>
                <w:rFonts w:ascii="Arial Narrow" w:hAnsi="Arial Narrow"/>
                <w:sz w:val="20"/>
                <w:szCs w:val="20"/>
                <w:vertAlign w:val="superscript"/>
              </w:rPr>
              <w:t>d</w:t>
            </w:r>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24 (post hoc)</w:t>
            </w:r>
          </w:p>
        </w:tc>
        <w:tc>
          <w:tcPr>
            <w:tcW w:w="719" w:type="pct"/>
            <w:vAlign w:val="center"/>
          </w:tcPr>
          <w:p w14:paraId="16497AF0"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29 (21.8)</w:t>
            </w:r>
          </w:p>
        </w:tc>
        <w:tc>
          <w:tcPr>
            <w:tcW w:w="720" w:type="pct"/>
            <w:vAlign w:val="center"/>
          </w:tcPr>
          <w:p w14:paraId="1BFDF686"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17 (11.3)</w:t>
            </w:r>
          </w:p>
        </w:tc>
        <w:tc>
          <w:tcPr>
            <w:tcW w:w="1047" w:type="pct"/>
            <w:vAlign w:val="center"/>
          </w:tcPr>
          <w:p w14:paraId="78E72208"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2.193 (1.154, 4.279)</w:t>
            </w:r>
          </w:p>
        </w:tc>
      </w:tr>
      <w:tr w:rsidR="00C77D0D" w:rsidRPr="00EB1825" w14:paraId="6DE6A4F4" w14:textId="77777777" w:rsidTr="004679F4">
        <w:tc>
          <w:tcPr>
            <w:tcW w:w="2514" w:type="pct"/>
            <w:shd w:val="clear" w:color="auto" w:fill="B8CCE4" w:themeFill="accent1" w:themeFillTint="66"/>
          </w:tcPr>
          <w:p w14:paraId="79344A5E"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SKYLIGHT 1 &amp; 2 pooled, MHT </w:t>
            </w:r>
            <w:proofErr w:type="spellStart"/>
            <w:r w:rsidRPr="00EB1825">
              <w:rPr>
                <w:rFonts w:ascii="Arial Narrow" w:hAnsi="Arial Narrow"/>
                <w:sz w:val="20"/>
                <w:szCs w:val="20"/>
              </w:rPr>
              <w:t>unsuitable</w:t>
            </w:r>
            <w:r w:rsidRPr="00EB1825">
              <w:rPr>
                <w:rFonts w:ascii="Arial Narrow" w:hAnsi="Arial Narrow"/>
                <w:sz w:val="20"/>
                <w:szCs w:val="20"/>
                <w:vertAlign w:val="superscript"/>
              </w:rPr>
              <w:t>c</w:t>
            </w:r>
            <w:proofErr w:type="spellEnd"/>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719" w:type="pct"/>
            <w:shd w:val="clear" w:color="auto" w:fill="B8CCE4" w:themeFill="accent1" w:themeFillTint="66"/>
            <w:vAlign w:val="center"/>
          </w:tcPr>
          <w:p w14:paraId="6615DF19"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37/287 (12.9)</w:t>
            </w:r>
          </w:p>
        </w:tc>
        <w:tc>
          <w:tcPr>
            <w:tcW w:w="720" w:type="pct"/>
            <w:shd w:val="clear" w:color="auto" w:fill="B8CCE4" w:themeFill="accent1" w:themeFillTint="66"/>
            <w:vAlign w:val="center"/>
          </w:tcPr>
          <w:p w14:paraId="701CB219"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14/297 (4.7)</w:t>
            </w:r>
          </w:p>
        </w:tc>
        <w:tc>
          <w:tcPr>
            <w:tcW w:w="1047" w:type="pct"/>
            <w:shd w:val="clear" w:color="auto" w:fill="B8CCE4" w:themeFill="accent1" w:themeFillTint="66"/>
            <w:vAlign w:val="center"/>
          </w:tcPr>
          <w:p w14:paraId="17E95821"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2.962 (1.596, 5.795)</w:t>
            </w:r>
          </w:p>
        </w:tc>
      </w:tr>
      <w:tr w:rsidR="00C77D0D" w:rsidRPr="00EB1825" w14:paraId="03EBE33A" w14:textId="77777777" w:rsidTr="004679F4">
        <w:tc>
          <w:tcPr>
            <w:tcW w:w="2514" w:type="pct"/>
          </w:tcPr>
          <w:p w14:paraId="445322F8"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SKYLIGHT 1 &amp; 2 pooled, MHT unsuitable (excluding MHT averse)</w:t>
            </w:r>
            <w:r w:rsidRPr="00EB1825">
              <w:rPr>
                <w:rFonts w:ascii="Arial Narrow" w:hAnsi="Arial Narrow"/>
                <w:sz w:val="20"/>
                <w:szCs w:val="20"/>
                <w:vertAlign w:val="superscript"/>
              </w:rPr>
              <w:t>d</w:t>
            </w:r>
            <w:r w:rsidRPr="00EB1825">
              <w:rPr>
                <w:rFonts w:ascii="Arial Narrow" w:hAnsi="Arial Narrow"/>
                <w:sz w:val="20"/>
                <w:szCs w:val="20"/>
              </w:rPr>
              <w:t xml:space="preserv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719" w:type="pct"/>
            <w:vAlign w:val="center"/>
          </w:tcPr>
          <w:p w14:paraId="44716786"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28 (12.3)</w:t>
            </w:r>
          </w:p>
        </w:tc>
        <w:tc>
          <w:tcPr>
            <w:tcW w:w="720" w:type="pct"/>
            <w:vAlign w:val="center"/>
          </w:tcPr>
          <w:p w14:paraId="4D9D5AF1"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11 (4.8)</w:t>
            </w:r>
          </w:p>
        </w:tc>
        <w:tc>
          <w:tcPr>
            <w:tcW w:w="1047" w:type="pct"/>
            <w:vAlign w:val="center"/>
          </w:tcPr>
          <w:p w14:paraId="28B6B288"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2.729 (1.354, 5.876)</w:t>
            </w:r>
          </w:p>
        </w:tc>
      </w:tr>
      <w:tr w:rsidR="00C77D0D" w:rsidRPr="00EB1825" w14:paraId="682265DA" w14:textId="77777777" w:rsidTr="004679F4">
        <w:tc>
          <w:tcPr>
            <w:tcW w:w="2514" w:type="pct"/>
            <w:shd w:val="clear" w:color="auto" w:fill="B8CCE4" w:themeFill="accent1" w:themeFillTint="66"/>
          </w:tcPr>
          <w:p w14:paraId="0B78D70E" w14:textId="77777777" w:rsidR="00C77D0D" w:rsidRPr="00EB1825" w:rsidRDefault="00C77D0D" w:rsidP="00BC21A1">
            <w:pPr>
              <w:widowControl w:val="0"/>
              <w:rPr>
                <w:rFonts w:ascii="Arial Narrow" w:hAnsi="Arial Narrow"/>
                <w:sz w:val="20"/>
                <w:szCs w:val="20"/>
              </w:rPr>
            </w:pPr>
            <w:r w:rsidRPr="00EB1825">
              <w:rPr>
                <w:rFonts w:ascii="Arial Narrow" w:hAnsi="Arial Narrow"/>
                <w:sz w:val="20"/>
                <w:szCs w:val="20"/>
              </w:rPr>
              <w:t xml:space="preserve">DAYLIGHT, SKYLIGHT 1 &amp; 2 pooled, MHT unsuitable, </w:t>
            </w:r>
            <w:proofErr w:type="spellStart"/>
            <w:r w:rsidRPr="00EB1825">
              <w:rPr>
                <w:rFonts w:ascii="Arial Narrow" w:hAnsi="Arial Narrow"/>
                <w:sz w:val="20"/>
                <w:szCs w:val="20"/>
              </w:rPr>
              <w:t>Wk</w:t>
            </w:r>
            <w:proofErr w:type="spellEnd"/>
            <w:r w:rsidRPr="00EB1825">
              <w:rPr>
                <w:rFonts w:ascii="Arial Narrow" w:hAnsi="Arial Narrow"/>
                <w:sz w:val="20"/>
                <w:szCs w:val="20"/>
              </w:rPr>
              <w:t xml:space="preserve"> 12 (post hoc)</w:t>
            </w:r>
          </w:p>
        </w:tc>
        <w:tc>
          <w:tcPr>
            <w:tcW w:w="719" w:type="pct"/>
            <w:shd w:val="clear" w:color="auto" w:fill="B8CCE4" w:themeFill="accent1" w:themeFillTint="66"/>
            <w:vAlign w:val="center"/>
          </w:tcPr>
          <w:p w14:paraId="35DEE34B"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86/513 (16.8)</w:t>
            </w:r>
          </w:p>
        </w:tc>
        <w:tc>
          <w:tcPr>
            <w:tcW w:w="720" w:type="pct"/>
            <w:shd w:val="clear" w:color="auto" w:fill="B8CCE4" w:themeFill="accent1" w:themeFillTint="66"/>
            <w:vAlign w:val="center"/>
          </w:tcPr>
          <w:p w14:paraId="42C2785B" w14:textId="77777777" w:rsidR="00C77D0D" w:rsidRPr="00EB1825" w:rsidRDefault="00C77D0D" w:rsidP="00BC21A1">
            <w:pPr>
              <w:widowControl w:val="0"/>
              <w:jc w:val="center"/>
              <w:rPr>
                <w:rFonts w:ascii="Arial Narrow" w:hAnsi="Arial Narrow"/>
                <w:sz w:val="20"/>
                <w:szCs w:val="20"/>
              </w:rPr>
            </w:pPr>
            <w:r w:rsidRPr="00EB1825">
              <w:rPr>
                <w:rFonts w:ascii="Arial Narrow" w:hAnsi="Arial Narrow"/>
                <w:sz w:val="20"/>
                <w:szCs w:val="20"/>
              </w:rPr>
              <w:t>36/523 (6.9)</w:t>
            </w:r>
          </w:p>
        </w:tc>
        <w:tc>
          <w:tcPr>
            <w:tcW w:w="1047" w:type="pct"/>
            <w:shd w:val="clear" w:color="auto" w:fill="B8CCE4" w:themeFill="accent1" w:themeFillTint="66"/>
            <w:vAlign w:val="center"/>
          </w:tcPr>
          <w:p w14:paraId="3990192B" w14:textId="77777777" w:rsidR="00C77D0D" w:rsidRPr="00EB1825" w:rsidRDefault="00C77D0D" w:rsidP="00BC21A1">
            <w:pPr>
              <w:widowControl w:val="0"/>
              <w:jc w:val="center"/>
              <w:rPr>
                <w:rFonts w:ascii="Arial Narrow" w:hAnsi="Arial Narrow"/>
                <w:b/>
                <w:sz w:val="20"/>
                <w:szCs w:val="20"/>
              </w:rPr>
            </w:pPr>
            <w:r w:rsidRPr="00EB1825">
              <w:rPr>
                <w:rFonts w:ascii="Arial Narrow" w:hAnsi="Arial Narrow"/>
                <w:b/>
                <w:sz w:val="20"/>
                <w:szCs w:val="20"/>
              </w:rPr>
              <w:t>2.710 (1.788, 4.107)</w:t>
            </w:r>
          </w:p>
        </w:tc>
      </w:tr>
    </w:tbl>
    <w:p w14:paraId="30EDDC81" w14:textId="77777777" w:rsidR="00C77D0D" w:rsidRPr="00EB1825" w:rsidRDefault="00C77D0D" w:rsidP="00BC21A1">
      <w:pPr>
        <w:widowControl w:val="0"/>
        <w:rPr>
          <w:rFonts w:ascii="Arial Narrow" w:hAnsi="Arial Narrow"/>
          <w:sz w:val="18"/>
          <w:szCs w:val="18"/>
        </w:rPr>
      </w:pPr>
      <w:r w:rsidRPr="00EB1825">
        <w:rPr>
          <w:rFonts w:ascii="Arial Narrow" w:hAnsi="Arial Narrow"/>
          <w:sz w:val="18"/>
          <w:szCs w:val="18"/>
        </w:rPr>
        <w:t>Source: Table 2.5-8, p42, Table 2.5-15, pp50-51 of the resubmission, Table 26, pp56-58 of Attachment 07 - DAYLIGHT CSR.pdf, Table 18, pp55-56 of Attachment 07 - SKYLIGHT 1 CSR.pdf, Table 18, pp56-57 of Attachment 07 – SKYLIGHT 2 CSR.pdf, Fig 1 of Nappi 2024 (pooled SKYLIGHT 1 and SKYLIGHT 2).</w:t>
      </w:r>
    </w:p>
    <w:p w14:paraId="30311B9A" w14:textId="77777777" w:rsidR="00C77D0D" w:rsidRPr="00EB1825" w:rsidRDefault="00C77D0D" w:rsidP="00BC21A1">
      <w:pPr>
        <w:widowControl w:val="0"/>
        <w:rPr>
          <w:rFonts w:ascii="Arial Narrow" w:hAnsi="Arial Narrow"/>
          <w:sz w:val="18"/>
          <w:szCs w:val="18"/>
        </w:rPr>
      </w:pPr>
      <w:r w:rsidRPr="00EB1825">
        <w:rPr>
          <w:rFonts w:ascii="Arial Narrow" w:hAnsi="Arial Narrow"/>
          <w:sz w:val="18"/>
          <w:szCs w:val="18"/>
        </w:rPr>
        <w:t>FEZ=</w:t>
      </w:r>
      <w:proofErr w:type="spellStart"/>
      <w:r w:rsidRPr="00EB1825">
        <w:rPr>
          <w:rFonts w:ascii="Arial Narrow" w:hAnsi="Arial Narrow"/>
          <w:sz w:val="18"/>
          <w:szCs w:val="18"/>
        </w:rPr>
        <w:t>fezolinetant</w:t>
      </w:r>
      <w:proofErr w:type="spellEnd"/>
      <w:r w:rsidRPr="00EB1825">
        <w:rPr>
          <w:rFonts w:ascii="Arial Narrow" w:hAnsi="Arial Narrow"/>
          <w:sz w:val="18"/>
          <w:szCs w:val="18"/>
        </w:rPr>
        <w:t xml:space="preserve">; MHT=menopausal hormone therapy; NR=not reported; OR=odds ratio; PBO=placebo; VMS=vasomotor symptoms; </w:t>
      </w:r>
      <w:proofErr w:type="spellStart"/>
      <w:r w:rsidRPr="00EB1825">
        <w:rPr>
          <w:rFonts w:ascii="Arial Narrow" w:hAnsi="Arial Narrow"/>
          <w:sz w:val="18"/>
          <w:szCs w:val="18"/>
        </w:rPr>
        <w:t>wk</w:t>
      </w:r>
      <w:proofErr w:type="spellEnd"/>
      <w:r w:rsidRPr="00EB1825">
        <w:rPr>
          <w:rFonts w:ascii="Arial Narrow" w:hAnsi="Arial Narrow"/>
          <w:sz w:val="18"/>
          <w:szCs w:val="18"/>
        </w:rPr>
        <w:t>=</w:t>
      </w:r>
      <w:proofErr w:type="gramStart"/>
      <w:r w:rsidRPr="00EB1825">
        <w:rPr>
          <w:rFonts w:ascii="Arial Narrow" w:hAnsi="Arial Narrow"/>
          <w:sz w:val="18"/>
          <w:szCs w:val="18"/>
        </w:rPr>
        <w:t>week;</w:t>
      </w:r>
      <w:proofErr w:type="gramEnd"/>
    </w:p>
    <w:p w14:paraId="66FCBB82" w14:textId="77777777" w:rsidR="00C77D0D" w:rsidRPr="00EB1825" w:rsidRDefault="00C77D0D" w:rsidP="00BC21A1">
      <w:pPr>
        <w:widowControl w:val="0"/>
        <w:ind w:left="170" w:hanging="170"/>
        <w:rPr>
          <w:rFonts w:ascii="Arial Narrow" w:hAnsi="Arial Narrow"/>
          <w:sz w:val="18"/>
          <w:szCs w:val="18"/>
        </w:rPr>
      </w:pPr>
      <w:proofErr w:type="spellStart"/>
      <w:r w:rsidRPr="00EB1825">
        <w:rPr>
          <w:rFonts w:ascii="Arial Narrow" w:hAnsi="Arial Narrow"/>
          <w:sz w:val="18"/>
          <w:szCs w:val="18"/>
        </w:rPr>
        <w:t>a</w:t>
      </w:r>
      <w:proofErr w:type="spellEnd"/>
      <w:r w:rsidRPr="00EB1825">
        <w:rPr>
          <w:rFonts w:ascii="Arial Narrow" w:hAnsi="Arial Narrow"/>
          <w:sz w:val="18"/>
          <w:szCs w:val="18"/>
        </w:rPr>
        <w:tab/>
        <w:t>In SKYLIGHT 1 and SKYLIGHT 2 patients were not enrolled based on criteria for suitability/unsuitability to receive MHT. Eligible patients had moderate to severe VMS associated with menopause seeking treatment for VMS.</w:t>
      </w:r>
    </w:p>
    <w:p w14:paraId="08B25EE5" w14:textId="77777777" w:rsidR="00C77D0D" w:rsidRPr="00EB1825" w:rsidRDefault="00C77D0D" w:rsidP="00BC21A1">
      <w:pPr>
        <w:widowControl w:val="0"/>
        <w:ind w:left="170" w:hanging="170"/>
        <w:rPr>
          <w:rFonts w:ascii="Arial Narrow" w:hAnsi="Arial Narrow"/>
          <w:sz w:val="18"/>
          <w:szCs w:val="18"/>
        </w:rPr>
      </w:pPr>
      <w:r w:rsidRPr="00EB1825">
        <w:rPr>
          <w:rFonts w:ascii="Arial Narrow" w:hAnsi="Arial Narrow"/>
          <w:sz w:val="18"/>
          <w:szCs w:val="18"/>
        </w:rPr>
        <w:t>b</w:t>
      </w:r>
      <w:r w:rsidRPr="00EB1825">
        <w:rPr>
          <w:rFonts w:ascii="Arial Narrow" w:hAnsi="Arial Narrow"/>
          <w:sz w:val="18"/>
          <w:szCs w:val="18"/>
        </w:rPr>
        <w:tab/>
      </w:r>
      <w:proofErr w:type="gramStart"/>
      <w:r w:rsidRPr="00EB1825">
        <w:rPr>
          <w:rFonts w:ascii="Arial Narrow" w:hAnsi="Arial Narrow"/>
          <w:sz w:val="18"/>
          <w:szCs w:val="18"/>
        </w:rPr>
        <w:t>In</w:t>
      </w:r>
      <w:proofErr w:type="gramEnd"/>
      <w:r w:rsidRPr="00EB1825">
        <w:rPr>
          <w:rFonts w:ascii="Arial Narrow" w:hAnsi="Arial Narrow"/>
          <w:sz w:val="18"/>
          <w:szCs w:val="18"/>
        </w:rPr>
        <w:t xml:space="preserve"> DAYLIGHT, enrolled patients were MHT unsuitable defined as contraindicated; caution (based on medical history); stoppers (MHT discontinuation due to lack of efficacy, side effects or medical advice); or averse (choice not to use MHT after discussion with clinician).</w:t>
      </w:r>
    </w:p>
    <w:p w14:paraId="3DEF238D" w14:textId="72C03613" w:rsidR="00C77D0D" w:rsidRPr="00EB1825" w:rsidRDefault="00C77D0D" w:rsidP="00BC21A1">
      <w:pPr>
        <w:widowControl w:val="0"/>
        <w:ind w:left="170" w:hanging="170"/>
        <w:rPr>
          <w:rFonts w:ascii="Arial Narrow" w:hAnsi="Arial Narrow"/>
          <w:sz w:val="18"/>
          <w:szCs w:val="18"/>
        </w:rPr>
      </w:pPr>
      <w:r w:rsidRPr="00EB1825">
        <w:rPr>
          <w:rFonts w:ascii="Arial Narrow" w:hAnsi="Arial Narrow"/>
          <w:sz w:val="18"/>
          <w:szCs w:val="18"/>
        </w:rPr>
        <w:t>c</w:t>
      </w:r>
      <w:r w:rsidRPr="00EB1825">
        <w:rPr>
          <w:rFonts w:ascii="Arial Narrow" w:hAnsi="Arial Narrow"/>
          <w:sz w:val="18"/>
          <w:szCs w:val="18"/>
        </w:rPr>
        <w:tab/>
      </w:r>
      <w:proofErr w:type="gramStart"/>
      <w:r w:rsidRPr="00EB1825">
        <w:rPr>
          <w:rFonts w:ascii="Arial Narrow" w:hAnsi="Arial Narrow"/>
          <w:sz w:val="18"/>
          <w:szCs w:val="18"/>
        </w:rPr>
        <w:t>In</w:t>
      </w:r>
      <w:proofErr w:type="gramEnd"/>
      <w:r w:rsidRPr="00EB1825">
        <w:rPr>
          <w:rFonts w:ascii="Arial Narrow" w:hAnsi="Arial Narrow"/>
          <w:sz w:val="18"/>
          <w:szCs w:val="18"/>
        </w:rPr>
        <w:t xml:space="preserve"> the post</w:t>
      </w:r>
      <w:r w:rsidR="00C26C28" w:rsidRPr="00EB1825">
        <w:rPr>
          <w:rFonts w:ascii="Arial Narrow" w:hAnsi="Arial Narrow"/>
          <w:sz w:val="18"/>
          <w:szCs w:val="18"/>
        </w:rPr>
        <w:t xml:space="preserve"> </w:t>
      </w:r>
      <w:r w:rsidRPr="00EB1825">
        <w:rPr>
          <w:rFonts w:ascii="Arial Narrow" w:hAnsi="Arial Narrow"/>
          <w:sz w:val="18"/>
          <w:szCs w:val="18"/>
        </w:rPr>
        <w:t xml:space="preserve">hoc analysis of SKYLIGHT 1 and SKYLIGHT 2, MHT history subgroups were mutually exclusive and categorized with the following hierarchy: contraindicated; caution; stopped for medical concerns; averse; naïve/willing. MHT unsuitable group comprised </w:t>
      </w:r>
      <w:proofErr w:type="gramStart"/>
      <w:r w:rsidRPr="00EB1825">
        <w:rPr>
          <w:rFonts w:ascii="Arial Narrow" w:hAnsi="Arial Narrow"/>
          <w:sz w:val="18"/>
          <w:szCs w:val="18"/>
        </w:rPr>
        <w:t>of:</w:t>
      </w:r>
      <w:proofErr w:type="gramEnd"/>
      <w:r w:rsidRPr="00EB1825">
        <w:rPr>
          <w:rFonts w:ascii="Arial Narrow" w:hAnsi="Arial Narrow"/>
          <w:sz w:val="18"/>
          <w:szCs w:val="18"/>
        </w:rPr>
        <w:t xml:space="preserve"> contraindicated, caution, stopped for medical concerns or averse.</w:t>
      </w:r>
    </w:p>
    <w:p w14:paraId="1A33A015" w14:textId="77777777" w:rsidR="00C77D0D" w:rsidRPr="00EB1825" w:rsidRDefault="00C77D0D" w:rsidP="00BC21A1">
      <w:pPr>
        <w:widowControl w:val="0"/>
        <w:ind w:left="170" w:hanging="170"/>
        <w:rPr>
          <w:rFonts w:ascii="Arial Narrow" w:hAnsi="Arial Narrow"/>
          <w:sz w:val="18"/>
          <w:szCs w:val="18"/>
        </w:rPr>
      </w:pPr>
      <w:r w:rsidRPr="00EB1825">
        <w:rPr>
          <w:rFonts w:ascii="Arial Narrow" w:hAnsi="Arial Narrow"/>
          <w:sz w:val="18"/>
          <w:szCs w:val="18"/>
        </w:rPr>
        <w:t>d</w:t>
      </w:r>
      <w:r w:rsidRPr="00EB1825">
        <w:rPr>
          <w:rFonts w:ascii="Arial Narrow" w:hAnsi="Arial Narrow"/>
          <w:sz w:val="18"/>
          <w:szCs w:val="18"/>
        </w:rPr>
        <w:tab/>
        <w:t>Post hoc subgroup who are MHT unsuitable (included MHT contraindicated, MHT cautioned and MHT stoppers). In DAYLIGHT, the MHT stopper subgroup was broadly defined as patients who discontinued MHT due to lack of efficacy, MHT-related side effects, advised by healthcare provider to stop. For the post hoc analysis of the SKYLIGHT trials, MHT unsuitable included those who stopped MHT due to medical concerns (undefined; without contraindication/caution).</w:t>
      </w:r>
    </w:p>
    <w:p w14:paraId="19305FA0" w14:textId="77777777" w:rsidR="00983422" w:rsidRPr="00EB1825" w:rsidRDefault="00983422" w:rsidP="00BC21A1">
      <w:pPr>
        <w:pStyle w:val="TableFigureFooter"/>
        <w:keepLines w:val="0"/>
        <w:widowControl w:val="0"/>
        <w:spacing w:after="0"/>
        <w:rPr>
          <w:rStyle w:val="CommentReference"/>
          <w:b w:val="0"/>
          <w:bCs w:val="0"/>
          <w:sz w:val="18"/>
          <w:szCs w:val="18"/>
        </w:rPr>
      </w:pPr>
      <w:r w:rsidRPr="00EB1825">
        <w:rPr>
          <w:rStyle w:val="CommentReference"/>
          <w:b w:val="0"/>
          <w:sz w:val="18"/>
          <w:szCs w:val="18"/>
          <w:shd w:val="clear" w:color="auto" w:fill="B8CCE4" w:themeFill="accent1" w:themeFillTint="66"/>
        </w:rPr>
        <w:t xml:space="preserve">Blue </w:t>
      </w:r>
      <w:r w:rsidRPr="00EB1825">
        <w:rPr>
          <w:rStyle w:val="CommentReference"/>
          <w:b w:val="0"/>
          <w:sz w:val="18"/>
          <w:szCs w:val="18"/>
        </w:rPr>
        <w:t xml:space="preserve">shading indicates data previously seen by the PBAC. </w:t>
      </w:r>
    </w:p>
    <w:p w14:paraId="6FD14C9F" w14:textId="4FF1778C" w:rsidR="00983422" w:rsidRPr="00EB1825" w:rsidRDefault="00983422" w:rsidP="00BC21A1">
      <w:pPr>
        <w:widowControl w:val="0"/>
        <w:rPr>
          <w:rFonts w:ascii="Arial Narrow" w:hAnsi="Arial Narrow"/>
          <w:sz w:val="18"/>
          <w:szCs w:val="18"/>
        </w:rPr>
      </w:pPr>
      <w:r w:rsidRPr="00EB1825">
        <w:rPr>
          <w:rFonts w:ascii="Arial Narrow" w:hAnsi="Arial Narrow"/>
          <w:b/>
          <w:bCs/>
          <w:sz w:val="18"/>
          <w:szCs w:val="18"/>
        </w:rPr>
        <w:t>Bold</w:t>
      </w:r>
      <w:r w:rsidRPr="00EB1825">
        <w:rPr>
          <w:rFonts w:ascii="Arial Narrow" w:hAnsi="Arial Narrow"/>
          <w:sz w:val="18"/>
          <w:szCs w:val="18"/>
        </w:rPr>
        <w:t xml:space="preserve"> indicates statistically significant results.</w:t>
      </w:r>
      <w:r w:rsidRPr="00EB1825">
        <w:rPr>
          <w:rFonts w:ascii="Arial Narrow" w:hAnsi="Arial Narrow"/>
          <w:i/>
          <w:iCs/>
          <w:sz w:val="18"/>
          <w:szCs w:val="18"/>
        </w:rPr>
        <w:t xml:space="preserve"> </w:t>
      </w:r>
    </w:p>
    <w:p w14:paraId="5ACDE5AD" w14:textId="7D8423A0" w:rsidR="00C77D0D" w:rsidRPr="004426FC" w:rsidRDefault="00C77D0D" w:rsidP="00766C07">
      <w:pPr>
        <w:pStyle w:val="3-BodyText"/>
      </w:pPr>
      <w:r w:rsidRPr="004426FC">
        <w:t xml:space="preserve">In DAYLIGHT, SKYLIGHT 1 and SKYLIGHT 2, the additional post hoc analyses in the MHT unsuitable (excluding MHT averse) patients showed that there was greater improvement (reduction) from baseline in the frequency and severity of moderate to severe VMS for the </w:t>
      </w:r>
      <w:proofErr w:type="spellStart"/>
      <w:r w:rsidRPr="004426FC">
        <w:t>fezolinetant</w:t>
      </w:r>
      <w:proofErr w:type="spellEnd"/>
      <w:r w:rsidRPr="004426FC">
        <w:t xml:space="preserve"> group compared to placebo at Week 12/24. The improvement (reduction) in VMS frequency and severity was maintained to Week 52 in SKYLIGHT 1 and SKYLIGHT 2 active extension period. Of note, the treatment effect in the placebo arm was high in all trials. The </w:t>
      </w:r>
      <w:r w:rsidR="00A80307" w:rsidRPr="004426FC">
        <w:t xml:space="preserve">evaluation </w:t>
      </w:r>
      <w:r w:rsidR="006C1A1A" w:rsidRPr="004426FC">
        <w:t xml:space="preserve">and the ESC </w:t>
      </w:r>
      <w:r w:rsidR="00A80307" w:rsidRPr="004426FC">
        <w:t xml:space="preserve">considered that the </w:t>
      </w:r>
      <w:r w:rsidRPr="004426FC">
        <w:t>clinical significance of the difference in VMS frequency was uncertain</w:t>
      </w:r>
      <w:r w:rsidR="00A80307" w:rsidRPr="004426FC">
        <w:t>,</w:t>
      </w:r>
      <w:r w:rsidRPr="004426FC">
        <w:t xml:space="preserve"> given the point estimates for the MHT unsuitable patients with and without MHT averse in DAYLIGHT (-1.87 to -1.96) at Week 12/24 did not meet the MCID (≥2 hot flushes/day)</w:t>
      </w:r>
      <w:r w:rsidR="00321A73" w:rsidRPr="004426FC">
        <w:t>,</w:t>
      </w:r>
      <w:r w:rsidRPr="004426FC">
        <w:t xml:space="preserve"> but the point estimates in the overall population (including MHT unsuitable and MHT suitable patients) in SKYLIGHT 1 and SKYLIGHT 2</w:t>
      </w:r>
      <w:r w:rsidR="007667E4" w:rsidRPr="004426FC">
        <w:t xml:space="preserve"> did</w:t>
      </w:r>
      <w:r w:rsidRPr="004426FC">
        <w:t xml:space="preserve"> (-2.51 to -2.75). However, across the trials for the MHT unsuitable (excluding MHT averse) patients treated with </w:t>
      </w:r>
      <w:proofErr w:type="spellStart"/>
      <w:r w:rsidRPr="004426FC">
        <w:t>fezolinetant</w:t>
      </w:r>
      <w:proofErr w:type="spellEnd"/>
      <w:r w:rsidRPr="004426FC">
        <w:t xml:space="preserve"> 45 mg, the mean difference versus placebo in the reduction of VMS severity (-0.31 to -0.44) exceeded the MCID for reduction in severity (&gt;0.225 points</w:t>
      </w:r>
      <w:r w:rsidR="00EA584C" w:rsidRPr="004426FC">
        <w:t>)</w:t>
      </w:r>
      <w:r w:rsidRPr="004426FC">
        <w:t xml:space="preserve"> at Week 12.</w:t>
      </w:r>
    </w:p>
    <w:p w14:paraId="27F10540" w14:textId="53C09F73" w:rsidR="00C77D0D" w:rsidRPr="00D47482" w:rsidRDefault="00C77D0D" w:rsidP="00766C07">
      <w:pPr>
        <w:pStyle w:val="3-BodyText"/>
      </w:pPr>
      <w:r w:rsidRPr="00D47482">
        <w:t>Across the trials</w:t>
      </w:r>
      <w:r w:rsidR="004C4E35" w:rsidRPr="00D47482">
        <w:t>,</w:t>
      </w:r>
      <w:r w:rsidR="00FC0059" w:rsidRPr="00D47482">
        <w:t xml:space="preserve"> in the MHT unsuitable (excluding MHT averse) population</w:t>
      </w:r>
      <w:r w:rsidRPr="00D47482">
        <w:t xml:space="preserve">, the proportion of responders </w:t>
      </w:r>
      <w:r w:rsidR="00FC0059" w:rsidRPr="00D47482">
        <w:t xml:space="preserve">in terms of </w:t>
      </w:r>
      <w:r w:rsidRPr="00D47482">
        <w:t xml:space="preserve">VMS frequency (≥50%, ≥75% and 100% reduction from baseline) was statistically significantly higher in the </w:t>
      </w:r>
      <w:proofErr w:type="spellStart"/>
      <w:r w:rsidRPr="00D47482">
        <w:t>fezolinetant</w:t>
      </w:r>
      <w:proofErr w:type="spellEnd"/>
      <w:r w:rsidRPr="00D47482">
        <w:t xml:space="preserve"> arm compared to placebo to Week 12/24, except </w:t>
      </w:r>
      <w:r w:rsidR="00FC0059" w:rsidRPr="00D47482">
        <w:t>the</w:t>
      </w:r>
      <w:r w:rsidRPr="00D47482">
        <w:t xml:space="preserve"> DAYLIGHT</w:t>
      </w:r>
      <w:r w:rsidR="00FC0059" w:rsidRPr="00D47482">
        <w:t xml:space="preserve"> trial</w:t>
      </w:r>
      <w:r w:rsidRPr="00D47482">
        <w:t xml:space="preserve"> </w:t>
      </w:r>
      <w:r w:rsidR="00FC0059" w:rsidRPr="00D47482">
        <w:t>showed</w:t>
      </w:r>
      <w:r w:rsidRPr="00D47482">
        <w:t xml:space="preserve"> no difference between groups in the proportion</w:t>
      </w:r>
      <w:r w:rsidR="005569AB" w:rsidRPr="00D47482">
        <w:t>s</w:t>
      </w:r>
      <w:r w:rsidRPr="00D47482">
        <w:t xml:space="preserve"> of responders with ≥50% reduction in VMS frequency.</w:t>
      </w:r>
    </w:p>
    <w:p w14:paraId="64633533" w14:textId="00051A86" w:rsidR="00C77D0D" w:rsidRPr="00D47482" w:rsidRDefault="00C77D0D" w:rsidP="00766C07">
      <w:pPr>
        <w:pStyle w:val="3-BodyText"/>
      </w:pPr>
      <w:r w:rsidRPr="00D47482">
        <w:t xml:space="preserve">The resubmission also presented results of other patient-reported outcomes from DAYLIGHT, SKYLIGHT 1 and SKYLIGHT 2. In DAYLIGHT, post hoc MHT unsuitable (excluding MHT averse) patients treated with </w:t>
      </w:r>
      <w:proofErr w:type="spellStart"/>
      <w:r w:rsidRPr="00D47482">
        <w:t>fezolinetant</w:t>
      </w:r>
      <w:proofErr w:type="spellEnd"/>
      <w:r w:rsidRPr="00D47482">
        <w:t xml:space="preserve"> 45 mg showed improvement from baseline in measures assessing VMS (PGI-C VMS)</w:t>
      </w:r>
      <w:r w:rsidR="005569AB" w:rsidRPr="00D47482">
        <w:t>,</w:t>
      </w:r>
      <w:r w:rsidRPr="00D47482">
        <w:t xml:space="preserve"> but there was no difference in sleep disturbance, menopausal and general quality of life (PROMIS SD SF 8b, PGI-S SD, MENQOL and EQ-5D5-L) compared to placebo at Week 24. However, results in the pooled SKYLIGHT 1 and SKYLIGHT 2 post hoc MHT unsuitable (excluding MHT averse) patients showed </w:t>
      </w:r>
      <w:proofErr w:type="spellStart"/>
      <w:r w:rsidRPr="00D47482">
        <w:t>fezolinetant</w:t>
      </w:r>
      <w:proofErr w:type="spellEnd"/>
      <w:r w:rsidRPr="00D47482">
        <w:t xml:space="preserve"> 45 mg group had improvement from baseline in sleep disturbance, VMS and menopausal quality of life (PROMIS SD SF 8b, PGI, MENQOL) compared to placebo at Week 12.</w:t>
      </w:r>
    </w:p>
    <w:p w14:paraId="4CFCD445" w14:textId="6C6C529A" w:rsidR="00C77D0D" w:rsidRPr="00D47482" w:rsidRDefault="00C77D0D" w:rsidP="00766C07">
      <w:pPr>
        <w:pStyle w:val="3-BodyText"/>
      </w:pPr>
      <w:r w:rsidRPr="00D47482">
        <w:t>Overall, the post hoc analyses in the MHT unsuitable (excluding MHT averse) patients in DAYLIGHT and SKYLIGHT 1 and SKYLIGHT 2 were broadly consistent with results in the overall population in DAYLIGHT who were MHT unsuitable (including MHT averse) and in SKYLIGHT 1 and SKYLIGHT 2 who were MHT suitable or unsuitable (i.e. patients were not enrolled based on MHT unsuitability).</w:t>
      </w:r>
      <w:r w:rsidR="00430972" w:rsidRPr="00D47482">
        <w:t xml:space="preserve"> </w:t>
      </w:r>
    </w:p>
    <w:p w14:paraId="1A6846BE" w14:textId="77777777" w:rsidR="00C77D0D" w:rsidRPr="00EB1825" w:rsidRDefault="00C77D0D" w:rsidP="00C77D0D">
      <w:pPr>
        <w:pStyle w:val="4-SubsectionHeading"/>
      </w:pPr>
      <w:bookmarkStart w:id="35" w:name="_Toc202884176"/>
      <w:bookmarkStart w:id="36" w:name="_Toc208999807"/>
      <w:r w:rsidRPr="00EB1825">
        <w:t>Comparative harms</w:t>
      </w:r>
      <w:bookmarkEnd w:id="35"/>
      <w:bookmarkEnd w:id="36"/>
    </w:p>
    <w:p w14:paraId="2D6E9B2D" w14:textId="77777777" w:rsidR="00C77D0D" w:rsidRPr="00782155" w:rsidRDefault="00C77D0D" w:rsidP="00766C07">
      <w:pPr>
        <w:pStyle w:val="3-BodyText"/>
      </w:pPr>
      <w:r w:rsidRPr="00782155">
        <w:t>Table 7 summarises the adverse events (AEs) from the post hoc pooled SKYLIGHT 1, SKYLIGHT 2 and SKYLIGHT 4 trials over 52 weeks.</w:t>
      </w:r>
    </w:p>
    <w:p w14:paraId="0743D103" w14:textId="5068065F" w:rsidR="00C77D0D" w:rsidRPr="00EB1825" w:rsidRDefault="00C77D0D" w:rsidP="00C77D0D">
      <w:pPr>
        <w:keepNext/>
        <w:keepLines/>
        <w:rPr>
          <w:rFonts w:ascii="Arial Narrow" w:hAnsi="Arial Narrow"/>
          <w:b/>
          <w:bCs/>
          <w:sz w:val="20"/>
          <w:szCs w:val="18"/>
        </w:rPr>
      </w:pPr>
      <w:r w:rsidRPr="00EB1825">
        <w:rPr>
          <w:rFonts w:ascii="Arial Narrow" w:hAnsi="Arial Narrow"/>
          <w:b/>
          <w:bCs/>
          <w:sz w:val="20"/>
          <w:szCs w:val="18"/>
        </w:rPr>
        <w:t xml:space="preserve">Table </w:t>
      </w:r>
      <w:r w:rsidRPr="00EB1825">
        <w:rPr>
          <w:rFonts w:ascii="Arial Narrow" w:hAnsi="Arial Narrow"/>
          <w:b/>
          <w:bCs/>
          <w:sz w:val="20"/>
          <w:szCs w:val="18"/>
        </w:rPr>
        <w:fldChar w:fldCharType="begin"/>
      </w:r>
      <w:r w:rsidRPr="00EB1825">
        <w:rPr>
          <w:rFonts w:ascii="Arial Narrow" w:hAnsi="Arial Narrow"/>
          <w:b/>
          <w:bCs/>
          <w:sz w:val="20"/>
          <w:szCs w:val="18"/>
        </w:rPr>
        <w:instrText>SEQ Table \* ARABIC</w:instrText>
      </w:r>
      <w:r w:rsidRPr="00EB1825">
        <w:rPr>
          <w:rFonts w:ascii="Arial Narrow" w:hAnsi="Arial Narrow"/>
          <w:b/>
          <w:bCs/>
          <w:sz w:val="20"/>
          <w:szCs w:val="18"/>
        </w:rPr>
        <w:fldChar w:fldCharType="separate"/>
      </w:r>
      <w:r w:rsidR="00946DF5">
        <w:rPr>
          <w:rFonts w:ascii="Arial Narrow" w:hAnsi="Arial Narrow"/>
          <w:b/>
          <w:bCs/>
          <w:noProof/>
          <w:sz w:val="20"/>
          <w:szCs w:val="18"/>
        </w:rPr>
        <w:t>7</w:t>
      </w:r>
      <w:r w:rsidRPr="00EB1825">
        <w:rPr>
          <w:rFonts w:ascii="Arial Narrow" w:hAnsi="Arial Narrow"/>
          <w:b/>
          <w:bCs/>
          <w:sz w:val="20"/>
          <w:szCs w:val="18"/>
        </w:rPr>
        <w:fldChar w:fldCharType="end"/>
      </w:r>
      <w:r w:rsidRPr="00EB1825">
        <w:rPr>
          <w:rFonts w:ascii="Arial Narrow" w:hAnsi="Arial Narrow"/>
          <w:b/>
          <w:bCs/>
          <w:sz w:val="20"/>
          <w:szCs w:val="18"/>
        </w:rPr>
        <w:t>: Summary</w:t>
      </w:r>
      <w:r w:rsidR="005569AB" w:rsidRPr="00EB1825">
        <w:rPr>
          <w:rFonts w:ascii="Arial Narrow" w:hAnsi="Arial Narrow"/>
          <w:b/>
          <w:bCs/>
          <w:sz w:val="20"/>
          <w:szCs w:val="18"/>
        </w:rPr>
        <w:t xml:space="preserve"> of</w:t>
      </w:r>
      <w:r w:rsidRPr="00EB1825">
        <w:rPr>
          <w:rFonts w:ascii="Arial Narrow" w:hAnsi="Arial Narrow"/>
          <w:b/>
          <w:bCs/>
          <w:sz w:val="20"/>
          <w:szCs w:val="18"/>
        </w:rPr>
        <w:t xml:space="preserve"> adverse events in the included trials (double-blind)</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Summary of adverse events in the included trials (double-blind)"/>
      </w:tblPr>
      <w:tblGrid>
        <w:gridCol w:w="2123"/>
        <w:gridCol w:w="1062"/>
        <w:gridCol w:w="1064"/>
        <w:gridCol w:w="1062"/>
        <w:gridCol w:w="1062"/>
        <w:gridCol w:w="1277"/>
        <w:gridCol w:w="1367"/>
      </w:tblGrid>
      <w:tr w:rsidR="00C77D0D" w:rsidRPr="00EB1825" w14:paraId="193D6E37" w14:textId="77777777" w:rsidTr="00941A3F">
        <w:trPr>
          <w:tblHeader/>
        </w:trPr>
        <w:tc>
          <w:tcPr>
            <w:tcW w:w="1177" w:type="pct"/>
            <w:vMerge w:val="restart"/>
            <w:vAlign w:val="center"/>
          </w:tcPr>
          <w:p w14:paraId="4FB61464" w14:textId="77777777" w:rsidR="00C77D0D" w:rsidRPr="00EB1825" w:rsidRDefault="00C77D0D" w:rsidP="00AC6C8D">
            <w:pPr>
              <w:keepNext/>
              <w:keepLines/>
              <w:jc w:val="left"/>
              <w:rPr>
                <w:rFonts w:ascii="Arial Narrow" w:hAnsi="Arial Narrow"/>
                <w:b/>
                <w:sz w:val="20"/>
                <w:szCs w:val="20"/>
              </w:rPr>
            </w:pPr>
            <w:r w:rsidRPr="00EB1825">
              <w:rPr>
                <w:rFonts w:ascii="Arial Narrow" w:hAnsi="Arial Narrow"/>
                <w:b/>
                <w:sz w:val="20"/>
                <w:szCs w:val="20"/>
              </w:rPr>
              <w:t>AEs, n(%)</w:t>
            </w:r>
          </w:p>
        </w:tc>
        <w:tc>
          <w:tcPr>
            <w:tcW w:w="1179" w:type="pct"/>
            <w:gridSpan w:val="2"/>
            <w:vAlign w:val="center"/>
          </w:tcPr>
          <w:p w14:paraId="173911EE" w14:textId="77777777" w:rsidR="00C77D0D" w:rsidRPr="00EB1825" w:rsidRDefault="00C77D0D" w:rsidP="00AC6C8D">
            <w:pPr>
              <w:keepNext/>
              <w:keepLines/>
              <w:jc w:val="center"/>
              <w:rPr>
                <w:rFonts w:ascii="Arial Narrow" w:eastAsiaTheme="majorEastAsia" w:hAnsi="Arial Narrow" w:cs="Times New Roman"/>
                <w:b/>
                <w:sz w:val="20"/>
                <w:szCs w:val="20"/>
              </w:rPr>
            </w:pPr>
            <w:r w:rsidRPr="00EB1825">
              <w:rPr>
                <w:rFonts w:ascii="Arial Narrow" w:eastAsiaTheme="majorEastAsia" w:hAnsi="Arial Narrow" w:cs="Times New Roman"/>
                <w:b/>
                <w:sz w:val="20"/>
                <w:szCs w:val="20"/>
              </w:rPr>
              <w:t>DAYLIGHT</w:t>
            </w:r>
          </w:p>
          <w:p w14:paraId="03718386" w14:textId="77777777" w:rsidR="00C77D0D" w:rsidRPr="00EB1825" w:rsidRDefault="00C77D0D" w:rsidP="00AC6C8D">
            <w:pPr>
              <w:keepNext/>
              <w:keepLines/>
              <w:jc w:val="center"/>
              <w:rPr>
                <w:rFonts w:ascii="Arial Narrow" w:eastAsiaTheme="majorEastAsia" w:hAnsi="Arial Narrow" w:cs="Times New Roman"/>
                <w:b/>
                <w:sz w:val="20"/>
                <w:szCs w:val="20"/>
              </w:rPr>
            </w:pPr>
            <w:r w:rsidRPr="00EB1825">
              <w:rPr>
                <w:rFonts w:ascii="Arial Narrow" w:eastAsiaTheme="majorEastAsia" w:hAnsi="Arial Narrow" w:cs="Times New Roman"/>
                <w:b/>
                <w:sz w:val="20"/>
                <w:szCs w:val="20"/>
              </w:rPr>
              <w:t>MHT unsuitable (24w)</w:t>
            </w:r>
            <w:r w:rsidRPr="00EB1825">
              <w:rPr>
                <w:rFonts w:ascii="Arial Narrow" w:eastAsiaTheme="majorEastAsia" w:hAnsi="Arial Narrow" w:cs="Times New Roman"/>
                <w:b/>
                <w:sz w:val="20"/>
                <w:szCs w:val="20"/>
                <w:vertAlign w:val="superscript"/>
              </w:rPr>
              <w:t>c</w:t>
            </w:r>
          </w:p>
        </w:tc>
        <w:tc>
          <w:tcPr>
            <w:tcW w:w="2644" w:type="pct"/>
            <w:gridSpan w:val="4"/>
            <w:vAlign w:val="center"/>
          </w:tcPr>
          <w:p w14:paraId="34CF57AA" w14:textId="77777777" w:rsidR="00C77D0D" w:rsidRPr="00EB1825" w:rsidRDefault="00C77D0D" w:rsidP="00AC6C8D">
            <w:pPr>
              <w:keepNext/>
              <w:keepLines/>
              <w:jc w:val="center"/>
              <w:rPr>
                <w:rFonts w:ascii="Arial Narrow" w:eastAsiaTheme="majorEastAsia" w:hAnsi="Arial Narrow" w:cs="Times New Roman"/>
                <w:b/>
                <w:sz w:val="20"/>
                <w:szCs w:val="20"/>
              </w:rPr>
            </w:pPr>
            <w:r w:rsidRPr="00EB1825">
              <w:rPr>
                <w:rFonts w:ascii="Arial Narrow" w:eastAsiaTheme="majorEastAsia" w:hAnsi="Arial Narrow" w:cs="Times New Roman"/>
                <w:b/>
                <w:sz w:val="20"/>
                <w:szCs w:val="20"/>
              </w:rPr>
              <w:t>SKYLIGHT 1, 2 and 4</w:t>
            </w:r>
          </w:p>
          <w:p w14:paraId="1162E024" w14:textId="77777777" w:rsidR="00C77D0D" w:rsidRPr="00EB1825" w:rsidRDefault="00C77D0D" w:rsidP="00AC6C8D">
            <w:pPr>
              <w:keepNext/>
              <w:keepLines/>
              <w:jc w:val="center"/>
              <w:rPr>
                <w:rFonts w:ascii="Arial Narrow" w:eastAsiaTheme="majorEastAsia" w:hAnsi="Arial Narrow" w:cs="Times New Roman"/>
                <w:b/>
                <w:sz w:val="20"/>
                <w:szCs w:val="20"/>
              </w:rPr>
            </w:pPr>
            <w:r w:rsidRPr="00EB1825">
              <w:rPr>
                <w:rFonts w:ascii="Arial Narrow" w:eastAsiaTheme="majorEastAsia" w:hAnsi="Arial Narrow" w:cs="Times New Roman"/>
                <w:b/>
                <w:sz w:val="20"/>
                <w:szCs w:val="20"/>
              </w:rPr>
              <w:t>MHT unsuitable (excl. MHT averse) (52w)</w:t>
            </w:r>
            <w:r w:rsidRPr="00EB1825">
              <w:rPr>
                <w:rFonts w:ascii="Arial Narrow" w:eastAsiaTheme="majorEastAsia" w:hAnsi="Arial Narrow" w:cs="Times New Roman"/>
                <w:b/>
                <w:sz w:val="20"/>
                <w:szCs w:val="20"/>
                <w:vertAlign w:val="superscript"/>
              </w:rPr>
              <w:t>d</w:t>
            </w:r>
          </w:p>
        </w:tc>
      </w:tr>
      <w:tr w:rsidR="00C77D0D" w:rsidRPr="00EB1825" w14:paraId="0B217354" w14:textId="77777777" w:rsidTr="00941A3F">
        <w:trPr>
          <w:tblHeader/>
        </w:trPr>
        <w:tc>
          <w:tcPr>
            <w:tcW w:w="1177" w:type="pct"/>
            <w:vMerge/>
            <w:vAlign w:val="center"/>
          </w:tcPr>
          <w:p w14:paraId="64BA031A" w14:textId="77777777" w:rsidR="00C77D0D" w:rsidRPr="00EB1825" w:rsidRDefault="00C77D0D" w:rsidP="00AC6C8D">
            <w:pPr>
              <w:keepNext/>
              <w:keepLines/>
              <w:jc w:val="left"/>
              <w:rPr>
                <w:rFonts w:ascii="Arial Narrow" w:hAnsi="Arial Narrow"/>
                <w:sz w:val="20"/>
                <w:szCs w:val="20"/>
              </w:rPr>
            </w:pPr>
          </w:p>
        </w:tc>
        <w:tc>
          <w:tcPr>
            <w:tcW w:w="589" w:type="pct"/>
            <w:vAlign w:val="center"/>
          </w:tcPr>
          <w:p w14:paraId="4F15F574" w14:textId="77777777" w:rsidR="00C77D0D" w:rsidRPr="00EB1825" w:rsidRDefault="00C77D0D" w:rsidP="00AC6C8D">
            <w:pPr>
              <w:keepNext/>
              <w:keepLines/>
              <w:jc w:val="center"/>
              <w:rPr>
                <w:rFonts w:ascii="Arial Narrow" w:eastAsiaTheme="majorEastAsia" w:hAnsi="Arial Narrow" w:cs="Times New Roman"/>
                <w:b/>
                <w:sz w:val="20"/>
                <w:szCs w:val="20"/>
              </w:rPr>
            </w:pPr>
            <w:r w:rsidRPr="00EB1825">
              <w:rPr>
                <w:rFonts w:ascii="Arial Narrow" w:eastAsiaTheme="majorEastAsia" w:hAnsi="Arial Narrow" w:cs="Times New Roman"/>
                <w:b/>
                <w:sz w:val="20"/>
                <w:szCs w:val="20"/>
              </w:rPr>
              <w:t>FEZ 45mg</w:t>
            </w:r>
          </w:p>
          <w:p w14:paraId="18764A65"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N=226</w:t>
            </w:r>
          </w:p>
        </w:tc>
        <w:tc>
          <w:tcPr>
            <w:tcW w:w="590" w:type="pct"/>
            <w:vAlign w:val="center"/>
          </w:tcPr>
          <w:p w14:paraId="0D10C3B6" w14:textId="77777777" w:rsidR="00C77D0D" w:rsidRPr="00EB1825" w:rsidRDefault="00C77D0D" w:rsidP="00AC6C8D">
            <w:pPr>
              <w:keepNext/>
              <w:keepLines/>
              <w:jc w:val="center"/>
              <w:rPr>
                <w:rFonts w:ascii="Arial Narrow" w:eastAsiaTheme="majorEastAsia" w:hAnsi="Arial Narrow" w:cs="Times New Roman"/>
                <w:b/>
                <w:sz w:val="20"/>
                <w:szCs w:val="20"/>
              </w:rPr>
            </w:pPr>
            <w:r w:rsidRPr="00EB1825">
              <w:rPr>
                <w:rFonts w:ascii="Arial Narrow" w:eastAsiaTheme="majorEastAsia" w:hAnsi="Arial Narrow" w:cs="Times New Roman"/>
                <w:b/>
                <w:sz w:val="20"/>
                <w:szCs w:val="20"/>
              </w:rPr>
              <w:t>PBO</w:t>
            </w:r>
          </w:p>
          <w:p w14:paraId="5730C760"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N=226</w:t>
            </w:r>
          </w:p>
        </w:tc>
        <w:tc>
          <w:tcPr>
            <w:tcW w:w="589" w:type="pct"/>
            <w:vAlign w:val="center"/>
          </w:tcPr>
          <w:p w14:paraId="055D98CD" w14:textId="77777777" w:rsidR="00C77D0D" w:rsidRPr="00EB1825" w:rsidRDefault="00C77D0D" w:rsidP="00AC6C8D">
            <w:pPr>
              <w:keepNext/>
              <w:keepLines/>
              <w:jc w:val="center"/>
              <w:rPr>
                <w:rFonts w:ascii="Arial Narrow" w:eastAsiaTheme="majorEastAsia" w:hAnsi="Arial Narrow" w:cs="Times New Roman"/>
                <w:b/>
                <w:sz w:val="20"/>
                <w:szCs w:val="20"/>
              </w:rPr>
            </w:pPr>
            <w:r w:rsidRPr="00EB1825">
              <w:rPr>
                <w:rFonts w:ascii="Arial Narrow" w:eastAsiaTheme="majorEastAsia" w:hAnsi="Arial Narrow" w:cs="Times New Roman"/>
                <w:b/>
                <w:sz w:val="20"/>
                <w:szCs w:val="20"/>
              </w:rPr>
              <w:t>FEZ 45mg</w:t>
            </w:r>
          </w:p>
          <w:p w14:paraId="72BBABAA"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N=659</w:t>
            </w:r>
          </w:p>
        </w:tc>
        <w:tc>
          <w:tcPr>
            <w:tcW w:w="589" w:type="pct"/>
            <w:vAlign w:val="center"/>
          </w:tcPr>
          <w:p w14:paraId="24B585A1"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PBO</w:t>
            </w:r>
          </w:p>
          <w:p w14:paraId="62D4487A"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N=655</w:t>
            </w:r>
          </w:p>
        </w:tc>
        <w:tc>
          <w:tcPr>
            <w:tcW w:w="708" w:type="pct"/>
            <w:vAlign w:val="center"/>
          </w:tcPr>
          <w:p w14:paraId="04ED6C1B"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PBO/FEZ 45mg</w:t>
            </w:r>
          </w:p>
          <w:p w14:paraId="2358FDFC"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N=98</w:t>
            </w:r>
          </w:p>
        </w:tc>
        <w:tc>
          <w:tcPr>
            <w:tcW w:w="757" w:type="pct"/>
            <w:vAlign w:val="center"/>
          </w:tcPr>
          <w:p w14:paraId="28146C8A"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Total FEZ 45mg</w:t>
            </w:r>
          </w:p>
          <w:p w14:paraId="3294A241" w14:textId="77777777" w:rsidR="00C77D0D" w:rsidRPr="00EB1825" w:rsidRDefault="00C77D0D" w:rsidP="00AC6C8D">
            <w:pPr>
              <w:keepNext/>
              <w:keepLines/>
              <w:jc w:val="center"/>
              <w:rPr>
                <w:rFonts w:ascii="Arial Narrow" w:hAnsi="Arial Narrow"/>
                <w:b/>
                <w:sz w:val="20"/>
                <w:szCs w:val="20"/>
              </w:rPr>
            </w:pPr>
            <w:r w:rsidRPr="00EB1825">
              <w:rPr>
                <w:rFonts w:ascii="Arial Narrow" w:hAnsi="Arial Narrow"/>
                <w:b/>
                <w:sz w:val="20"/>
                <w:szCs w:val="20"/>
              </w:rPr>
              <w:t>N=757</w:t>
            </w:r>
          </w:p>
        </w:tc>
      </w:tr>
      <w:tr w:rsidR="00C77D0D" w:rsidRPr="00EB1825" w14:paraId="0E2096E6" w14:textId="77777777" w:rsidTr="00941A3F">
        <w:tc>
          <w:tcPr>
            <w:tcW w:w="1177" w:type="pct"/>
            <w:vAlign w:val="center"/>
          </w:tcPr>
          <w:p w14:paraId="1D521D95" w14:textId="77777777" w:rsidR="00C77D0D" w:rsidRPr="00EB1825" w:rsidRDefault="00C77D0D" w:rsidP="00AC6C8D">
            <w:pPr>
              <w:keepNext/>
              <w:keepLines/>
              <w:jc w:val="left"/>
              <w:rPr>
                <w:rFonts w:ascii="Arial Narrow" w:hAnsi="Arial Narrow"/>
                <w:sz w:val="20"/>
                <w:szCs w:val="20"/>
              </w:rPr>
            </w:pPr>
            <w:r w:rsidRPr="00EB1825">
              <w:rPr>
                <w:rFonts w:ascii="Arial Narrow" w:hAnsi="Arial Narrow"/>
                <w:sz w:val="20"/>
                <w:szCs w:val="20"/>
              </w:rPr>
              <w:t>Any TEAE</w:t>
            </w:r>
          </w:p>
        </w:tc>
        <w:tc>
          <w:tcPr>
            <w:tcW w:w="589" w:type="pct"/>
            <w:shd w:val="clear" w:color="auto" w:fill="B8CCE4" w:themeFill="accent1" w:themeFillTint="66"/>
            <w:vAlign w:val="center"/>
          </w:tcPr>
          <w:p w14:paraId="72459C37"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147 (65.0)</w:t>
            </w:r>
          </w:p>
        </w:tc>
        <w:tc>
          <w:tcPr>
            <w:tcW w:w="590" w:type="pct"/>
            <w:shd w:val="clear" w:color="auto" w:fill="B8CCE4" w:themeFill="accent1" w:themeFillTint="66"/>
            <w:vAlign w:val="center"/>
          </w:tcPr>
          <w:p w14:paraId="7386E7EF"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138 (61.1)</w:t>
            </w:r>
          </w:p>
        </w:tc>
        <w:tc>
          <w:tcPr>
            <w:tcW w:w="589" w:type="pct"/>
            <w:vAlign w:val="center"/>
          </w:tcPr>
          <w:p w14:paraId="197CA2B4"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435 (66.0)</w:t>
            </w:r>
          </w:p>
        </w:tc>
        <w:tc>
          <w:tcPr>
            <w:tcW w:w="589" w:type="pct"/>
            <w:vAlign w:val="center"/>
          </w:tcPr>
          <w:p w14:paraId="5D7A9600"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382 (58.3)</w:t>
            </w:r>
          </w:p>
        </w:tc>
        <w:tc>
          <w:tcPr>
            <w:tcW w:w="708" w:type="pct"/>
            <w:vAlign w:val="center"/>
          </w:tcPr>
          <w:p w14:paraId="42D96A32"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57 (58.2)</w:t>
            </w:r>
          </w:p>
        </w:tc>
        <w:tc>
          <w:tcPr>
            <w:tcW w:w="757" w:type="pct"/>
            <w:vAlign w:val="center"/>
          </w:tcPr>
          <w:p w14:paraId="29CBE518"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492 (65.0)</w:t>
            </w:r>
          </w:p>
        </w:tc>
      </w:tr>
      <w:tr w:rsidR="00C77D0D" w:rsidRPr="00EB1825" w14:paraId="798E35ED" w14:textId="77777777" w:rsidTr="00941A3F">
        <w:tc>
          <w:tcPr>
            <w:tcW w:w="1177" w:type="pct"/>
            <w:vAlign w:val="center"/>
          </w:tcPr>
          <w:p w14:paraId="1349AC7B" w14:textId="77777777" w:rsidR="00C77D0D" w:rsidRPr="00EB1825" w:rsidRDefault="00C77D0D" w:rsidP="00AC6C8D">
            <w:pPr>
              <w:keepNext/>
              <w:keepLines/>
              <w:jc w:val="left"/>
              <w:rPr>
                <w:rFonts w:ascii="Arial Narrow" w:hAnsi="Arial Narrow"/>
                <w:sz w:val="20"/>
                <w:szCs w:val="20"/>
              </w:rPr>
            </w:pPr>
            <w:r w:rsidRPr="00EB1825">
              <w:rPr>
                <w:rFonts w:ascii="Arial Narrow" w:hAnsi="Arial Narrow"/>
                <w:sz w:val="20"/>
                <w:szCs w:val="20"/>
              </w:rPr>
              <w:t xml:space="preserve">Drug-related </w:t>
            </w:r>
            <w:proofErr w:type="spellStart"/>
            <w:r w:rsidRPr="00EB1825">
              <w:rPr>
                <w:rFonts w:ascii="Arial Narrow" w:hAnsi="Arial Narrow"/>
                <w:sz w:val="20"/>
                <w:szCs w:val="20"/>
              </w:rPr>
              <w:t>TEAE</w:t>
            </w:r>
            <w:r w:rsidRPr="00EB1825">
              <w:rPr>
                <w:rFonts w:ascii="Arial Narrow" w:hAnsi="Arial Narrow"/>
                <w:sz w:val="20"/>
                <w:szCs w:val="20"/>
                <w:vertAlign w:val="superscript"/>
              </w:rPr>
              <w:t>a</w:t>
            </w:r>
            <w:proofErr w:type="spellEnd"/>
          </w:p>
        </w:tc>
        <w:tc>
          <w:tcPr>
            <w:tcW w:w="589" w:type="pct"/>
            <w:shd w:val="clear" w:color="auto" w:fill="B8CCE4" w:themeFill="accent1" w:themeFillTint="66"/>
            <w:vAlign w:val="center"/>
          </w:tcPr>
          <w:p w14:paraId="0C6AA3A2"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39 (17.3)</w:t>
            </w:r>
          </w:p>
        </w:tc>
        <w:tc>
          <w:tcPr>
            <w:tcW w:w="590" w:type="pct"/>
            <w:shd w:val="clear" w:color="auto" w:fill="B8CCE4" w:themeFill="accent1" w:themeFillTint="66"/>
            <w:vAlign w:val="center"/>
          </w:tcPr>
          <w:p w14:paraId="7214331F"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25 (11.1)</w:t>
            </w:r>
          </w:p>
        </w:tc>
        <w:tc>
          <w:tcPr>
            <w:tcW w:w="589" w:type="pct"/>
            <w:vAlign w:val="center"/>
          </w:tcPr>
          <w:p w14:paraId="0BFA3216"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110 (16.7)</w:t>
            </w:r>
          </w:p>
        </w:tc>
        <w:tc>
          <w:tcPr>
            <w:tcW w:w="589" w:type="pct"/>
            <w:vAlign w:val="center"/>
          </w:tcPr>
          <w:p w14:paraId="1860395B"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95 (14.5)</w:t>
            </w:r>
          </w:p>
        </w:tc>
        <w:tc>
          <w:tcPr>
            <w:tcW w:w="708" w:type="pct"/>
            <w:vAlign w:val="center"/>
          </w:tcPr>
          <w:p w14:paraId="3E8516D9"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7 (7.1)</w:t>
            </w:r>
          </w:p>
        </w:tc>
        <w:tc>
          <w:tcPr>
            <w:tcW w:w="757" w:type="pct"/>
            <w:vAlign w:val="center"/>
          </w:tcPr>
          <w:p w14:paraId="12CA64EB"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117 (15.5)</w:t>
            </w:r>
          </w:p>
        </w:tc>
      </w:tr>
      <w:tr w:rsidR="00C77D0D" w:rsidRPr="00EB1825" w14:paraId="2DDE511D" w14:textId="77777777" w:rsidTr="00941A3F">
        <w:tc>
          <w:tcPr>
            <w:tcW w:w="1177" w:type="pct"/>
            <w:vAlign w:val="center"/>
          </w:tcPr>
          <w:p w14:paraId="5FB7CBE4" w14:textId="77777777" w:rsidR="00C77D0D" w:rsidRPr="00EB1825" w:rsidRDefault="00C77D0D" w:rsidP="00AC6C8D">
            <w:pPr>
              <w:keepNext/>
              <w:keepLines/>
              <w:jc w:val="left"/>
              <w:rPr>
                <w:rFonts w:ascii="Arial Narrow" w:hAnsi="Arial Narrow"/>
                <w:sz w:val="20"/>
                <w:szCs w:val="20"/>
              </w:rPr>
            </w:pPr>
            <w:r w:rsidRPr="00EB1825">
              <w:rPr>
                <w:rFonts w:ascii="Arial Narrow" w:hAnsi="Arial Narrow"/>
                <w:sz w:val="20"/>
                <w:szCs w:val="20"/>
              </w:rPr>
              <w:t>Serious TEAE</w:t>
            </w:r>
          </w:p>
        </w:tc>
        <w:tc>
          <w:tcPr>
            <w:tcW w:w="589" w:type="pct"/>
            <w:shd w:val="clear" w:color="auto" w:fill="B8CCE4" w:themeFill="accent1" w:themeFillTint="66"/>
            <w:vAlign w:val="center"/>
          </w:tcPr>
          <w:p w14:paraId="2915E157"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10 (4.4)</w:t>
            </w:r>
          </w:p>
        </w:tc>
        <w:tc>
          <w:tcPr>
            <w:tcW w:w="590" w:type="pct"/>
            <w:shd w:val="clear" w:color="auto" w:fill="B8CCE4" w:themeFill="accent1" w:themeFillTint="66"/>
            <w:vAlign w:val="center"/>
          </w:tcPr>
          <w:p w14:paraId="47729594"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8 (3.5)</w:t>
            </w:r>
          </w:p>
        </w:tc>
        <w:tc>
          <w:tcPr>
            <w:tcW w:w="589" w:type="pct"/>
            <w:vAlign w:val="center"/>
          </w:tcPr>
          <w:p w14:paraId="11E139D7"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31 (4.7)</w:t>
            </w:r>
          </w:p>
        </w:tc>
        <w:tc>
          <w:tcPr>
            <w:tcW w:w="589" w:type="pct"/>
            <w:vAlign w:val="center"/>
          </w:tcPr>
          <w:p w14:paraId="0874B63D"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12 (1.8)</w:t>
            </w:r>
          </w:p>
        </w:tc>
        <w:tc>
          <w:tcPr>
            <w:tcW w:w="708" w:type="pct"/>
            <w:vAlign w:val="center"/>
          </w:tcPr>
          <w:p w14:paraId="0080006E"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5 (5.1)</w:t>
            </w:r>
          </w:p>
        </w:tc>
        <w:tc>
          <w:tcPr>
            <w:tcW w:w="757" w:type="pct"/>
            <w:vAlign w:val="center"/>
          </w:tcPr>
          <w:p w14:paraId="499D2D43"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36 (4.8)</w:t>
            </w:r>
          </w:p>
        </w:tc>
      </w:tr>
      <w:tr w:rsidR="00C77D0D" w:rsidRPr="00EB1825" w14:paraId="4E512DD0" w14:textId="77777777" w:rsidTr="00941A3F">
        <w:tc>
          <w:tcPr>
            <w:tcW w:w="1177" w:type="pct"/>
            <w:vAlign w:val="center"/>
          </w:tcPr>
          <w:p w14:paraId="44DA8872" w14:textId="77777777" w:rsidR="00C77D0D" w:rsidRPr="00EB1825" w:rsidRDefault="00C77D0D" w:rsidP="00AC6C8D">
            <w:pPr>
              <w:keepNext/>
              <w:keepLines/>
              <w:jc w:val="left"/>
              <w:rPr>
                <w:rFonts w:ascii="Arial Narrow" w:hAnsi="Arial Narrow"/>
                <w:sz w:val="20"/>
                <w:szCs w:val="20"/>
              </w:rPr>
            </w:pPr>
            <w:r w:rsidRPr="00EB1825">
              <w:rPr>
                <w:rFonts w:ascii="Arial Narrow" w:hAnsi="Arial Narrow"/>
                <w:sz w:val="20"/>
                <w:szCs w:val="20"/>
              </w:rPr>
              <w:t>Drug-related serious TEAE</w:t>
            </w:r>
          </w:p>
        </w:tc>
        <w:tc>
          <w:tcPr>
            <w:tcW w:w="589" w:type="pct"/>
            <w:shd w:val="clear" w:color="auto" w:fill="B8CCE4" w:themeFill="accent1" w:themeFillTint="66"/>
            <w:vAlign w:val="center"/>
          </w:tcPr>
          <w:p w14:paraId="0EB15F20"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 (0.4)</w:t>
            </w:r>
          </w:p>
        </w:tc>
        <w:tc>
          <w:tcPr>
            <w:tcW w:w="590" w:type="pct"/>
            <w:shd w:val="clear" w:color="auto" w:fill="B8CCE4" w:themeFill="accent1" w:themeFillTint="66"/>
            <w:vAlign w:val="center"/>
          </w:tcPr>
          <w:p w14:paraId="459AFCB5"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w:t>
            </w:r>
          </w:p>
        </w:tc>
        <w:tc>
          <w:tcPr>
            <w:tcW w:w="589" w:type="pct"/>
            <w:vAlign w:val="center"/>
          </w:tcPr>
          <w:p w14:paraId="65DD7A6D"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3 (0.5)</w:t>
            </w:r>
          </w:p>
        </w:tc>
        <w:tc>
          <w:tcPr>
            <w:tcW w:w="589" w:type="pct"/>
            <w:vAlign w:val="center"/>
          </w:tcPr>
          <w:p w14:paraId="7CAE9D28"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w:t>
            </w:r>
          </w:p>
        </w:tc>
        <w:tc>
          <w:tcPr>
            <w:tcW w:w="708" w:type="pct"/>
            <w:vAlign w:val="center"/>
          </w:tcPr>
          <w:p w14:paraId="51D00782"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 (1.0)</w:t>
            </w:r>
          </w:p>
        </w:tc>
        <w:tc>
          <w:tcPr>
            <w:tcW w:w="757" w:type="pct"/>
            <w:vAlign w:val="center"/>
          </w:tcPr>
          <w:p w14:paraId="34BCE95C"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4 (0.5)</w:t>
            </w:r>
          </w:p>
        </w:tc>
      </w:tr>
      <w:tr w:rsidR="00C77D0D" w:rsidRPr="00EB1825" w14:paraId="6EF4B74C" w14:textId="77777777" w:rsidTr="00941A3F">
        <w:tc>
          <w:tcPr>
            <w:tcW w:w="1177" w:type="pct"/>
            <w:vAlign w:val="center"/>
          </w:tcPr>
          <w:p w14:paraId="1B5751AB" w14:textId="77777777" w:rsidR="00C77D0D" w:rsidRPr="00EB1825" w:rsidRDefault="00C77D0D" w:rsidP="00AC6C8D">
            <w:pPr>
              <w:keepNext/>
              <w:keepLines/>
              <w:jc w:val="left"/>
              <w:rPr>
                <w:rFonts w:ascii="Arial Narrow" w:hAnsi="Arial Narrow"/>
                <w:sz w:val="20"/>
                <w:szCs w:val="20"/>
              </w:rPr>
            </w:pPr>
            <w:r w:rsidRPr="00EB1825">
              <w:rPr>
                <w:rFonts w:ascii="Arial Narrow" w:hAnsi="Arial Narrow"/>
                <w:sz w:val="20"/>
                <w:szCs w:val="20"/>
              </w:rPr>
              <w:t>TEAE leading to discontinuation</w:t>
            </w:r>
          </w:p>
        </w:tc>
        <w:tc>
          <w:tcPr>
            <w:tcW w:w="589" w:type="pct"/>
            <w:shd w:val="clear" w:color="auto" w:fill="B8CCE4" w:themeFill="accent1" w:themeFillTint="66"/>
            <w:vAlign w:val="center"/>
          </w:tcPr>
          <w:p w14:paraId="7FE4BD12"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11 (4.9)</w:t>
            </w:r>
          </w:p>
        </w:tc>
        <w:tc>
          <w:tcPr>
            <w:tcW w:w="590" w:type="pct"/>
            <w:shd w:val="clear" w:color="auto" w:fill="B8CCE4" w:themeFill="accent1" w:themeFillTint="66"/>
            <w:vAlign w:val="center"/>
          </w:tcPr>
          <w:p w14:paraId="05366556"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14 (6.2)</w:t>
            </w:r>
          </w:p>
        </w:tc>
        <w:tc>
          <w:tcPr>
            <w:tcW w:w="589" w:type="pct"/>
            <w:vAlign w:val="center"/>
          </w:tcPr>
          <w:p w14:paraId="12DA4938"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30 (4.6)</w:t>
            </w:r>
          </w:p>
        </w:tc>
        <w:tc>
          <w:tcPr>
            <w:tcW w:w="589" w:type="pct"/>
            <w:vAlign w:val="center"/>
          </w:tcPr>
          <w:p w14:paraId="5B37ACEE"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23 (3.5)</w:t>
            </w:r>
          </w:p>
        </w:tc>
        <w:tc>
          <w:tcPr>
            <w:tcW w:w="708" w:type="pct"/>
            <w:vAlign w:val="center"/>
          </w:tcPr>
          <w:p w14:paraId="01F1FA29"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4 (4.1)</w:t>
            </w:r>
          </w:p>
        </w:tc>
        <w:tc>
          <w:tcPr>
            <w:tcW w:w="757" w:type="pct"/>
            <w:vAlign w:val="center"/>
          </w:tcPr>
          <w:p w14:paraId="3B16A640"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34 (4.5)</w:t>
            </w:r>
          </w:p>
        </w:tc>
      </w:tr>
      <w:tr w:rsidR="00C77D0D" w:rsidRPr="00EB1825" w14:paraId="64E1F23E" w14:textId="77777777" w:rsidTr="00941A3F">
        <w:tc>
          <w:tcPr>
            <w:tcW w:w="1177" w:type="pct"/>
            <w:vAlign w:val="center"/>
          </w:tcPr>
          <w:p w14:paraId="3D28CB7B" w14:textId="77777777" w:rsidR="00C77D0D" w:rsidRPr="00EB1825" w:rsidRDefault="00C77D0D" w:rsidP="00AC6C8D">
            <w:pPr>
              <w:keepNext/>
              <w:keepLines/>
              <w:jc w:val="left"/>
              <w:rPr>
                <w:rFonts w:ascii="Arial Narrow" w:hAnsi="Arial Narrow"/>
                <w:sz w:val="20"/>
                <w:szCs w:val="20"/>
              </w:rPr>
            </w:pPr>
            <w:proofErr w:type="spellStart"/>
            <w:r w:rsidRPr="00EB1825">
              <w:rPr>
                <w:rFonts w:ascii="Arial Narrow" w:hAnsi="Arial Narrow"/>
                <w:sz w:val="20"/>
                <w:szCs w:val="20"/>
              </w:rPr>
              <w:t>Death</w:t>
            </w:r>
            <w:r w:rsidRPr="00EB1825">
              <w:rPr>
                <w:rFonts w:ascii="Arial Narrow" w:hAnsi="Arial Narrow"/>
                <w:sz w:val="20"/>
                <w:szCs w:val="20"/>
                <w:vertAlign w:val="superscript"/>
              </w:rPr>
              <w:t>b</w:t>
            </w:r>
            <w:proofErr w:type="spellEnd"/>
          </w:p>
        </w:tc>
        <w:tc>
          <w:tcPr>
            <w:tcW w:w="589" w:type="pct"/>
            <w:shd w:val="clear" w:color="auto" w:fill="B8CCE4" w:themeFill="accent1" w:themeFillTint="66"/>
            <w:vAlign w:val="center"/>
          </w:tcPr>
          <w:p w14:paraId="611304AC"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w:t>
            </w:r>
          </w:p>
        </w:tc>
        <w:tc>
          <w:tcPr>
            <w:tcW w:w="590" w:type="pct"/>
            <w:shd w:val="clear" w:color="auto" w:fill="B8CCE4" w:themeFill="accent1" w:themeFillTint="66"/>
            <w:vAlign w:val="center"/>
          </w:tcPr>
          <w:p w14:paraId="31A73644"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w:t>
            </w:r>
          </w:p>
        </w:tc>
        <w:tc>
          <w:tcPr>
            <w:tcW w:w="589" w:type="pct"/>
            <w:vAlign w:val="center"/>
          </w:tcPr>
          <w:p w14:paraId="76D9AB3D"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w:t>
            </w:r>
          </w:p>
        </w:tc>
        <w:tc>
          <w:tcPr>
            <w:tcW w:w="589" w:type="pct"/>
            <w:vAlign w:val="center"/>
          </w:tcPr>
          <w:p w14:paraId="178B2984"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w:t>
            </w:r>
          </w:p>
        </w:tc>
        <w:tc>
          <w:tcPr>
            <w:tcW w:w="708" w:type="pct"/>
            <w:vAlign w:val="center"/>
          </w:tcPr>
          <w:p w14:paraId="50C46539"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w:t>
            </w:r>
          </w:p>
        </w:tc>
        <w:tc>
          <w:tcPr>
            <w:tcW w:w="757" w:type="pct"/>
            <w:vAlign w:val="center"/>
          </w:tcPr>
          <w:p w14:paraId="196C255C" w14:textId="77777777" w:rsidR="00C77D0D" w:rsidRPr="00EB1825" w:rsidRDefault="00C77D0D" w:rsidP="00AC6C8D">
            <w:pPr>
              <w:keepNext/>
              <w:keepLines/>
              <w:jc w:val="center"/>
              <w:rPr>
                <w:rFonts w:ascii="Arial Narrow" w:hAnsi="Arial Narrow"/>
                <w:sz w:val="20"/>
                <w:szCs w:val="20"/>
              </w:rPr>
            </w:pPr>
            <w:r w:rsidRPr="00EB1825">
              <w:rPr>
                <w:rFonts w:ascii="Arial Narrow" w:hAnsi="Arial Narrow"/>
                <w:sz w:val="20"/>
                <w:szCs w:val="20"/>
              </w:rPr>
              <w:t>0</w:t>
            </w:r>
          </w:p>
        </w:tc>
      </w:tr>
    </w:tbl>
    <w:p w14:paraId="4B171ABA" w14:textId="77777777" w:rsidR="00C77D0D" w:rsidRPr="00EB1825" w:rsidRDefault="00C77D0D" w:rsidP="00C77D0D">
      <w:pPr>
        <w:keepNext/>
        <w:keepLines/>
        <w:rPr>
          <w:rFonts w:ascii="Arial Narrow" w:hAnsi="Arial Narrow"/>
          <w:sz w:val="18"/>
          <w:szCs w:val="18"/>
        </w:rPr>
      </w:pPr>
      <w:r w:rsidRPr="00EB1825">
        <w:rPr>
          <w:rFonts w:ascii="Arial Narrow" w:hAnsi="Arial Narrow"/>
          <w:sz w:val="18"/>
          <w:szCs w:val="18"/>
        </w:rPr>
        <w:t>Source: Tables 2.5-16 and 2.5-17, pp52-53 of the resubmission.</w:t>
      </w:r>
    </w:p>
    <w:p w14:paraId="5069221E" w14:textId="77777777" w:rsidR="00C77D0D" w:rsidRPr="00EB1825" w:rsidRDefault="00C77D0D" w:rsidP="00C77D0D">
      <w:pPr>
        <w:keepNext/>
        <w:keepLines/>
        <w:rPr>
          <w:rFonts w:ascii="Arial Narrow" w:hAnsi="Arial Narrow"/>
          <w:sz w:val="18"/>
          <w:szCs w:val="18"/>
        </w:rPr>
      </w:pPr>
      <w:r w:rsidRPr="00EB1825">
        <w:rPr>
          <w:rFonts w:ascii="Arial Narrow" w:hAnsi="Arial Narrow"/>
          <w:sz w:val="18"/>
          <w:szCs w:val="18"/>
        </w:rPr>
        <w:t>AE=adverse event; FEZ=</w:t>
      </w:r>
      <w:proofErr w:type="spellStart"/>
      <w:r w:rsidRPr="00EB1825">
        <w:rPr>
          <w:rFonts w:ascii="Arial Narrow" w:hAnsi="Arial Narrow"/>
          <w:sz w:val="18"/>
          <w:szCs w:val="18"/>
        </w:rPr>
        <w:t>fezolinetant</w:t>
      </w:r>
      <w:proofErr w:type="spellEnd"/>
      <w:r w:rsidRPr="00EB1825">
        <w:rPr>
          <w:rFonts w:ascii="Arial Narrow" w:hAnsi="Arial Narrow"/>
          <w:sz w:val="18"/>
          <w:szCs w:val="18"/>
        </w:rPr>
        <w:t xml:space="preserve">; MHT=menopausal hormone therapy; PBO=placebo; TEAE=treatment emergent </w:t>
      </w:r>
      <w:proofErr w:type="gramStart"/>
      <w:r w:rsidRPr="00EB1825">
        <w:rPr>
          <w:rFonts w:ascii="Arial Narrow" w:hAnsi="Arial Narrow"/>
          <w:sz w:val="18"/>
          <w:szCs w:val="18"/>
        </w:rPr>
        <w:t>AE;</w:t>
      </w:r>
      <w:proofErr w:type="gramEnd"/>
    </w:p>
    <w:p w14:paraId="6C4EBCDA" w14:textId="77777777" w:rsidR="00C77D0D" w:rsidRPr="00EB1825" w:rsidRDefault="00C77D0D" w:rsidP="00C77D0D">
      <w:pPr>
        <w:keepNext/>
        <w:keepLines/>
        <w:ind w:left="165" w:hanging="165"/>
        <w:rPr>
          <w:rFonts w:ascii="Arial Narrow" w:hAnsi="Arial Narrow"/>
          <w:sz w:val="18"/>
          <w:szCs w:val="18"/>
        </w:rPr>
      </w:pPr>
      <w:proofErr w:type="spellStart"/>
      <w:r w:rsidRPr="00EB1825">
        <w:rPr>
          <w:rFonts w:ascii="Arial Narrow" w:hAnsi="Arial Narrow"/>
          <w:sz w:val="18"/>
          <w:szCs w:val="18"/>
        </w:rPr>
        <w:t>a</w:t>
      </w:r>
      <w:proofErr w:type="spellEnd"/>
      <w:r w:rsidRPr="00EB1825">
        <w:rPr>
          <w:rFonts w:ascii="Arial Narrow" w:hAnsi="Arial Narrow"/>
          <w:sz w:val="18"/>
          <w:szCs w:val="18"/>
        </w:rPr>
        <w:tab/>
        <w:t xml:space="preserve">Any TEAE with causal relationship assessed by the investigator. If relationship was missing, then it was considered </w:t>
      </w:r>
      <w:proofErr w:type="gramStart"/>
      <w:r w:rsidRPr="00EB1825">
        <w:rPr>
          <w:rFonts w:ascii="Arial Narrow" w:hAnsi="Arial Narrow"/>
          <w:sz w:val="18"/>
          <w:szCs w:val="18"/>
        </w:rPr>
        <w:t>drug-related</w:t>
      </w:r>
      <w:proofErr w:type="gramEnd"/>
      <w:r w:rsidRPr="00EB1825">
        <w:rPr>
          <w:rFonts w:ascii="Arial Narrow" w:hAnsi="Arial Narrow"/>
          <w:sz w:val="18"/>
          <w:szCs w:val="18"/>
        </w:rPr>
        <w:t>.</w:t>
      </w:r>
    </w:p>
    <w:p w14:paraId="23AFDCE0" w14:textId="77777777" w:rsidR="00C77D0D" w:rsidRPr="00EB1825" w:rsidRDefault="00C77D0D" w:rsidP="00C77D0D">
      <w:pPr>
        <w:keepNext/>
        <w:keepLines/>
        <w:ind w:left="165" w:hanging="165"/>
        <w:rPr>
          <w:rFonts w:ascii="Arial Narrow" w:hAnsi="Arial Narrow"/>
          <w:sz w:val="18"/>
          <w:szCs w:val="18"/>
        </w:rPr>
      </w:pPr>
      <w:r w:rsidRPr="00EB1825">
        <w:rPr>
          <w:rFonts w:ascii="Arial Narrow" w:hAnsi="Arial Narrow"/>
          <w:sz w:val="18"/>
          <w:szCs w:val="18"/>
        </w:rPr>
        <w:t>b</w:t>
      </w:r>
      <w:r w:rsidRPr="00EB1825">
        <w:rPr>
          <w:rFonts w:ascii="Arial Narrow" w:hAnsi="Arial Narrow"/>
          <w:sz w:val="18"/>
          <w:szCs w:val="18"/>
        </w:rPr>
        <w:tab/>
        <w:t>All reported deaths after the first study intervention administration.</w:t>
      </w:r>
    </w:p>
    <w:p w14:paraId="2CB94396" w14:textId="77777777" w:rsidR="00C77D0D" w:rsidRPr="00EB1825" w:rsidRDefault="00C77D0D" w:rsidP="00C77D0D">
      <w:pPr>
        <w:keepNext/>
        <w:keepLines/>
        <w:ind w:left="165" w:hanging="165"/>
        <w:rPr>
          <w:rFonts w:ascii="Arial Narrow" w:hAnsi="Arial Narrow"/>
          <w:sz w:val="18"/>
          <w:szCs w:val="18"/>
        </w:rPr>
      </w:pPr>
      <w:r w:rsidRPr="00EB1825">
        <w:rPr>
          <w:rFonts w:ascii="Arial Narrow" w:hAnsi="Arial Narrow"/>
          <w:sz w:val="18"/>
          <w:szCs w:val="18"/>
        </w:rPr>
        <w:t>c</w:t>
      </w:r>
      <w:r w:rsidRPr="00EB1825">
        <w:rPr>
          <w:rFonts w:ascii="Arial Narrow" w:hAnsi="Arial Narrow"/>
          <w:sz w:val="18"/>
          <w:szCs w:val="18"/>
        </w:rPr>
        <w:tab/>
      </w:r>
      <w:proofErr w:type="gramStart"/>
      <w:r w:rsidRPr="00EB1825">
        <w:rPr>
          <w:rFonts w:ascii="Arial Narrow" w:hAnsi="Arial Narrow"/>
          <w:sz w:val="18"/>
          <w:szCs w:val="18"/>
        </w:rPr>
        <w:t>In</w:t>
      </w:r>
      <w:proofErr w:type="gramEnd"/>
      <w:r w:rsidRPr="00EB1825">
        <w:rPr>
          <w:rFonts w:ascii="Arial Narrow" w:hAnsi="Arial Narrow"/>
          <w:sz w:val="18"/>
          <w:szCs w:val="18"/>
        </w:rPr>
        <w:t xml:space="preserve"> DAYLIGHT, enrolled patients were MHT unsuitable defined as contraindicated; caution (based on medical history); stoppers (previous discontinuation due to lack of efficacy, side effects or medical advice); or averse (choice not to use MHT after discussion with clinician).</w:t>
      </w:r>
    </w:p>
    <w:p w14:paraId="5A628C89" w14:textId="77777777" w:rsidR="00C77D0D" w:rsidRPr="00EB1825" w:rsidRDefault="00C77D0D" w:rsidP="00C77D0D">
      <w:pPr>
        <w:keepNext/>
        <w:keepLines/>
        <w:ind w:left="165" w:hanging="165"/>
      </w:pPr>
      <w:r w:rsidRPr="00EB1825">
        <w:rPr>
          <w:rFonts w:ascii="Arial Narrow" w:hAnsi="Arial Narrow"/>
          <w:sz w:val="18"/>
          <w:szCs w:val="18"/>
        </w:rPr>
        <w:t>d</w:t>
      </w:r>
      <w:r w:rsidRPr="00EB1825">
        <w:rPr>
          <w:rFonts w:ascii="Arial Narrow" w:hAnsi="Arial Narrow"/>
          <w:sz w:val="18"/>
          <w:szCs w:val="18"/>
        </w:rPr>
        <w:tab/>
      </w:r>
      <w:proofErr w:type="gramStart"/>
      <w:r w:rsidRPr="00EB1825">
        <w:rPr>
          <w:rFonts w:ascii="Arial Narrow" w:hAnsi="Arial Narrow"/>
          <w:sz w:val="18"/>
          <w:szCs w:val="18"/>
        </w:rPr>
        <w:t>The</w:t>
      </w:r>
      <w:proofErr w:type="gramEnd"/>
      <w:r w:rsidRPr="00EB1825">
        <w:rPr>
          <w:rFonts w:ascii="Arial Narrow" w:hAnsi="Arial Narrow"/>
          <w:sz w:val="18"/>
          <w:szCs w:val="18"/>
        </w:rPr>
        <w:t xml:space="preserve"> post hoc analysis of the SKYLIGHT trials in patients who are MHT unsuitable included MHT contraindicated, MHT cautioned and MHT stoppers (i.e. stopped MHT due to medical concerns (undefined; without contraindication/caution)).</w:t>
      </w:r>
    </w:p>
    <w:p w14:paraId="11B642B5" w14:textId="0FFA089D" w:rsidR="00C77D0D" w:rsidRPr="00754F6C" w:rsidRDefault="00C77D0D" w:rsidP="00766C07">
      <w:pPr>
        <w:pStyle w:val="3-BodyText"/>
      </w:pPr>
      <w:r w:rsidRPr="00EB1825">
        <w:t xml:space="preserve">In the pooled SKYLIGHT 1, SKYLIGHT 2 and SKYLIGHT 4 post hoc MHT unsuitable </w:t>
      </w:r>
      <w:r w:rsidRPr="00754F6C">
        <w:t xml:space="preserve">(excluding MHT averse) patients, the incidences of any AEs, drug-related AEs, serious AEs and AEs leading to discontinuation were similar between </w:t>
      </w:r>
      <w:proofErr w:type="spellStart"/>
      <w:r w:rsidRPr="00754F6C">
        <w:t>fezolinetant</w:t>
      </w:r>
      <w:proofErr w:type="spellEnd"/>
      <w:r w:rsidRPr="00754F6C">
        <w:t xml:space="preserve"> and placebo treatment arms to Week 52. The</w:t>
      </w:r>
      <w:r w:rsidR="00D5313E" w:rsidRPr="00754F6C">
        <w:t xml:space="preserve"> evaluation considered that the</w:t>
      </w:r>
      <w:r w:rsidRPr="00754F6C">
        <w:t xml:space="preserve"> safety results in the MHT unsuitable (excluding MHT averse) subgroup were consistent with the results in the overall population. Across the trials, there were no treatment related deaths.</w:t>
      </w:r>
    </w:p>
    <w:p w14:paraId="1829D28D" w14:textId="22AE453F" w:rsidR="00C77D0D" w:rsidRPr="00754F6C" w:rsidRDefault="00C77D0D" w:rsidP="00766C07">
      <w:pPr>
        <w:pStyle w:val="3-BodyText"/>
      </w:pPr>
      <w:r w:rsidRPr="00754F6C">
        <w:t xml:space="preserve">The resubmission reported that endometrial hyperplasia (plus AE of endometrial adenocarcinoma for one patient) or malignancy was observed in the </w:t>
      </w:r>
      <w:proofErr w:type="spellStart"/>
      <w:r w:rsidRPr="00754F6C">
        <w:t>fezolinetant</w:t>
      </w:r>
      <w:proofErr w:type="spellEnd"/>
      <w:r w:rsidRPr="00754F6C">
        <w:t xml:space="preserve"> 45 mg group (n=2) and none in </w:t>
      </w:r>
      <w:r w:rsidR="00C0741B" w:rsidRPr="00754F6C">
        <w:t xml:space="preserve">the </w:t>
      </w:r>
      <w:r w:rsidRPr="00754F6C">
        <w:t>placebo</w:t>
      </w:r>
      <w:r w:rsidR="00C0741B" w:rsidRPr="00754F6C">
        <w:t xml:space="preserve"> group</w:t>
      </w:r>
      <w:r w:rsidRPr="00754F6C">
        <w:t xml:space="preserve">. The incidence of disordered proliferative pattern was similar between groups (1 in </w:t>
      </w:r>
      <w:proofErr w:type="spellStart"/>
      <w:r w:rsidRPr="00754F6C">
        <w:t>fezolinetant</w:t>
      </w:r>
      <w:proofErr w:type="spellEnd"/>
      <w:r w:rsidRPr="00754F6C">
        <w:t xml:space="preserve"> 45 mg and 1 in placebo).</w:t>
      </w:r>
    </w:p>
    <w:p w14:paraId="177F38ED" w14:textId="649B3D43" w:rsidR="00C77D0D" w:rsidRPr="00754F6C" w:rsidRDefault="00C77D0D" w:rsidP="00766C07">
      <w:pPr>
        <w:pStyle w:val="3-BodyText"/>
      </w:pPr>
      <w:r w:rsidRPr="00754F6C">
        <w:t>The Periodic Safety Update Report (January 2025) provided updates to international product labels following post-marketing hepatic events, including enhanced liver function monitoring and revised treatment guidance. No new safety concerns were identified for the reporting period from 12 May 2024 to 11 Nov 2024.</w:t>
      </w:r>
      <w:r w:rsidR="00885A56" w:rsidRPr="00754F6C">
        <w:t xml:space="preserve"> </w:t>
      </w:r>
      <w:r w:rsidR="00F316BB" w:rsidRPr="00754F6C">
        <w:t xml:space="preserve">The PBAC previously noted that the PSUR (July 2024) reported that </w:t>
      </w:r>
      <w:proofErr w:type="spellStart"/>
      <w:r w:rsidR="00F316BB" w:rsidRPr="00754F6C">
        <w:t>fezolinetant</w:t>
      </w:r>
      <w:proofErr w:type="spellEnd"/>
      <w:r w:rsidR="00F316BB" w:rsidRPr="00754F6C">
        <w:t xml:space="preserve"> was associated with symptomatic hepatotoxicity</w:t>
      </w:r>
      <w:r w:rsidR="005569AB" w:rsidRPr="00754F6C">
        <w:t>,</w:t>
      </w:r>
      <w:r w:rsidR="00F316BB" w:rsidRPr="00754F6C">
        <w:t xml:space="preserve"> and </w:t>
      </w:r>
      <w:r w:rsidR="0003699B" w:rsidRPr="00754F6C">
        <w:t xml:space="preserve">that </w:t>
      </w:r>
      <w:r w:rsidR="00F316BB" w:rsidRPr="00754F6C">
        <w:t xml:space="preserve">the </w:t>
      </w:r>
      <w:r w:rsidR="00DB68FB">
        <w:t>Pre-Sub-Committee Response (</w:t>
      </w:r>
      <w:r w:rsidR="00F316BB" w:rsidRPr="00754F6C">
        <w:t>PSCR</w:t>
      </w:r>
      <w:r w:rsidR="00DB68FB">
        <w:t>)</w:t>
      </w:r>
      <w:r w:rsidR="00F316BB" w:rsidRPr="00754F6C">
        <w:t xml:space="preserve"> noted </w:t>
      </w:r>
      <w:r w:rsidR="005569AB" w:rsidRPr="00754F6C">
        <w:t xml:space="preserve">that </w:t>
      </w:r>
      <w:r w:rsidR="00F316BB" w:rsidRPr="00754F6C">
        <w:t xml:space="preserve">the sponsor </w:t>
      </w:r>
      <w:r w:rsidR="00980D79" w:rsidRPr="00754F6C">
        <w:t>would</w:t>
      </w:r>
      <w:r w:rsidR="00F316BB" w:rsidRPr="00754F6C">
        <w:t xml:space="preserve"> be updating the TGA approved PI with a recommendation for follow-up monitoring of liver function. The PBAC</w:t>
      </w:r>
      <w:r w:rsidR="00250FFB" w:rsidRPr="00754F6C">
        <w:t xml:space="preserve"> previously</w:t>
      </w:r>
      <w:r w:rsidR="00F316BB" w:rsidRPr="00754F6C">
        <w:t xml:space="preserve"> considered that symptomatic hepatotoxicity was a concern, particularly given the limited safety data beyond 52 weeks (paragraph 7.9, </w:t>
      </w:r>
      <w:proofErr w:type="spellStart"/>
      <w:r w:rsidR="00F316BB" w:rsidRPr="00754F6C">
        <w:t>fezolinetant</w:t>
      </w:r>
      <w:proofErr w:type="spellEnd"/>
      <w:r w:rsidR="00F316BB" w:rsidRPr="00754F6C">
        <w:t xml:space="preserve"> PSD March 2025 PBAC meeting).</w:t>
      </w:r>
      <w:r w:rsidR="00C4130D" w:rsidRPr="00754F6C">
        <w:t xml:space="preserve"> The resubmission provided the TGA PI with revisions to include recommendations for hepatoxicity and liver function monitoring. The revised TGA PI recommends evaluating hepatic function before initiating therapy, then follow-up evaluation of hepatic function monthly for the first three months of initiating </w:t>
      </w:r>
      <w:proofErr w:type="spellStart"/>
      <w:r w:rsidR="00C4130D" w:rsidRPr="00754F6C">
        <w:t>fezolinetant</w:t>
      </w:r>
      <w:proofErr w:type="spellEnd"/>
      <w:r w:rsidR="00C4130D" w:rsidRPr="00754F6C">
        <w:t xml:space="preserve"> and thereafter periodically based on clinical judgement. Patients are recommended to discontinue </w:t>
      </w:r>
      <w:proofErr w:type="spellStart"/>
      <w:r w:rsidR="00C4130D" w:rsidRPr="00754F6C">
        <w:t>fezolinetant</w:t>
      </w:r>
      <w:proofErr w:type="spellEnd"/>
      <w:r w:rsidR="00C4130D" w:rsidRPr="00754F6C">
        <w:t xml:space="preserve"> if they experience hepatoxicity or increase in serum alanine aminotransferase (ALT) or aspartate aminotransferase (AST) levels.</w:t>
      </w:r>
    </w:p>
    <w:p w14:paraId="06B79D70" w14:textId="77777777" w:rsidR="00C77D0D" w:rsidRPr="00EB1825" w:rsidRDefault="00C77D0D" w:rsidP="00C77D0D">
      <w:pPr>
        <w:pStyle w:val="4-SubsectionHeading"/>
      </w:pPr>
      <w:bookmarkStart w:id="37" w:name="_Toc202884177"/>
      <w:bookmarkStart w:id="38" w:name="_Toc208999808"/>
      <w:r w:rsidRPr="00EB1825">
        <w:t>Benefits/harms</w:t>
      </w:r>
      <w:bookmarkEnd w:id="37"/>
      <w:bookmarkEnd w:id="38"/>
    </w:p>
    <w:p w14:paraId="4D1F9426" w14:textId="6F34D55E" w:rsidR="00C77D0D" w:rsidRPr="00C57F76" w:rsidRDefault="00C77D0D" w:rsidP="00766C07">
      <w:pPr>
        <w:pStyle w:val="3-BodyText"/>
      </w:pPr>
      <w:r w:rsidRPr="00C57F76">
        <w:t xml:space="preserve">A benefits and harms table was not presented because the resubmission only presented post hoc results for a revised subgroup who were MHT unsuitable (excluding MHT averse), and the findings are largely unchanged from the March 2025 submission. </w:t>
      </w:r>
      <w:r w:rsidR="00A77A08" w:rsidRPr="00C57F76">
        <w:t>The evaluation noted that b</w:t>
      </w:r>
      <w:r w:rsidRPr="00C57F76">
        <w:t xml:space="preserve">ased on the post hoc analysis in DAYLIGHT, SKYLIGHT 1 and SKYLIGHT 2 at Week 12/24, approximately 2 to 3 fewer patients would experience moderate to severe VMS per 24 hours; </w:t>
      </w:r>
      <w:r w:rsidR="00A77A08" w:rsidRPr="00C57F76">
        <w:t xml:space="preserve">the evaluation considered that </w:t>
      </w:r>
      <w:r w:rsidRPr="00C57F76">
        <w:t xml:space="preserve">these differences may be clinically meaningful given some estimates met the MCID for reduction in frequency (≥2 hot flushes/day). Approximately 25 additional patients would experience at least 50% reduction in the frequency of moderate to severe VMS episodes and approximately 12 to 23 additional patients would experience at least 75% reduction in the frequency of moderate to severe VMS episodes. </w:t>
      </w:r>
      <w:r w:rsidR="009B6F6A" w:rsidRPr="00C57F76">
        <w:t>The resubmission did not present comparative s</w:t>
      </w:r>
      <w:r w:rsidRPr="00C57F76">
        <w:t xml:space="preserve">afety data in the revised subgroup who were MHT unsuitable (excluding MHT averse) </w:t>
      </w:r>
      <w:r w:rsidR="009B6F6A" w:rsidRPr="00C57F76">
        <w:t xml:space="preserve">from </w:t>
      </w:r>
      <w:r w:rsidRPr="00C57F76">
        <w:t>DAYLIGHT, SKYLIGHT 1 and SKYLIGHT 2</w:t>
      </w:r>
      <w:r w:rsidR="00EB7AA4" w:rsidRPr="00C57F76">
        <w:t xml:space="preserve"> to allow for a quantitative comparison of the harms of treatment between </w:t>
      </w:r>
      <w:proofErr w:type="spellStart"/>
      <w:r w:rsidR="00EB7AA4" w:rsidRPr="00C57F76">
        <w:t>fezolinetant</w:t>
      </w:r>
      <w:proofErr w:type="spellEnd"/>
      <w:r w:rsidR="00EB7AA4" w:rsidRPr="00C57F76">
        <w:t xml:space="preserve"> and placebo at Week 12/24</w:t>
      </w:r>
      <w:r w:rsidRPr="00C57F76">
        <w:t>.</w:t>
      </w:r>
    </w:p>
    <w:p w14:paraId="4F835410" w14:textId="77777777" w:rsidR="00C77D0D" w:rsidRPr="00EB1825" w:rsidRDefault="00C77D0D" w:rsidP="00C77D0D">
      <w:pPr>
        <w:pStyle w:val="4-SubsectionHeading"/>
      </w:pPr>
      <w:bookmarkStart w:id="39" w:name="_Toc202884178"/>
      <w:bookmarkStart w:id="40" w:name="_Toc208999809"/>
      <w:r w:rsidRPr="00EB1825">
        <w:t>Clinical claim</w:t>
      </w:r>
      <w:bookmarkEnd w:id="39"/>
      <w:bookmarkEnd w:id="40"/>
    </w:p>
    <w:p w14:paraId="7C3CD6FB" w14:textId="77777777" w:rsidR="00C77D0D" w:rsidRPr="00EB1825" w:rsidRDefault="00C77D0D" w:rsidP="00766C07">
      <w:pPr>
        <w:pStyle w:val="3-BodyText"/>
      </w:pPr>
      <w:r w:rsidRPr="00EB1825">
        <w:t xml:space="preserve">In patients with moderate to severe VMS associated with menopause and unsuitable for MHT (excluding MHT averse), the resubmission described </w:t>
      </w:r>
      <w:proofErr w:type="spellStart"/>
      <w:r w:rsidRPr="00EB1825">
        <w:t>fezolinetant</w:t>
      </w:r>
      <w:proofErr w:type="spellEnd"/>
      <w:r w:rsidRPr="00EB1825">
        <w:t xml:space="preserve"> 45 mg as superior in terms of effectiveness compared with no treatment (placebo) and manageable safety compared to no treatment (placebo). The clinical claim was unchanged from the March 2025 submission.</w:t>
      </w:r>
    </w:p>
    <w:p w14:paraId="45104DF9" w14:textId="04F7DC3F" w:rsidR="00C77D0D" w:rsidRPr="00EB1825" w:rsidRDefault="00C77D0D" w:rsidP="00766C07">
      <w:pPr>
        <w:pStyle w:val="3-BodyText"/>
      </w:pPr>
      <w:r w:rsidRPr="00EB1825">
        <w:t xml:space="preserve">In March 2025, the PBAC considered that the claim of superior effectiveness over no treatment was likely supported by the evidence, however placebo was not the appropriate comparator for many patients who would be eligible for </w:t>
      </w:r>
      <w:proofErr w:type="spellStart"/>
      <w:r w:rsidRPr="00EB1825">
        <w:t>fezolinetant</w:t>
      </w:r>
      <w:proofErr w:type="spellEnd"/>
      <w:r w:rsidRPr="00EB1825">
        <w:t xml:space="preserve"> under the proposed restriction criteria</w:t>
      </w:r>
      <w:r w:rsidR="008714C5" w:rsidRPr="00EB1825">
        <w:t xml:space="preserve">. </w:t>
      </w:r>
      <w:r w:rsidRPr="00EB1825">
        <w:t xml:space="preserve"> </w:t>
      </w:r>
      <w:r w:rsidR="008714C5" w:rsidRPr="00EB1825">
        <w:t>Further, the PBAC stated that</w:t>
      </w:r>
      <w:r w:rsidRPr="00EB1825">
        <w:t xml:space="preserve"> the clinical significance</w:t>
      </w:r>
      <w:r w:rsidR="008714C5" w:rsidRPr="00EB1825">
        <w:t xml:space="preserve"> of the effect</w:t>
      </w:r>
      <w:r w:rsidRPr="00EB1825">
        <w:t xml:space="preserve"> is somewhat uncertain, noting reductions in VMS frequency met the MCID of &gt;2 VMS per day, but not &gt;3.57 VMS per day (from previous studies of MHT for VMS), and the impact of reductions in VMS severity and frequency is influenced by a number of factors specific to each individual and their circumstances (e.g. environment and activities being undertaken) (paragraphs 6.37 and 7.8, </w:t>
      </w:r>
      <w:proofErr w:type="spellStart"/>
      <w:r w:rsidRPr="00EB1825">
        <w:t>fezolinetant</w:t>
      </w:r>
      <w:proofErr w:type="spellEnd"/>
      <w:r w:rsidRPr="00EB1825">
        <w:t xml:space="preserve"> </w:t>
      </w:r>
      <w:r w:rsidR="001554C1" w:rsidRPr="00EB1825">
        <w:t>PSD</w:t>
      </w:r>
      <w:r w:rsidRPr="00EB1825">
        <w:t xml:space="preserve"> March 2025 PBAC meeting). </w:t>
      </w:r>
    </w:p>
    <w:p w14:paraId="25C55A2D" w14:textId="5A964DA2" w:rsidR="00C77D0D" w:rsidRPr="00EB1825" w:rsidRDefault="00C77D0D" w:rsidP="00766C07">
      <w:pPr>
        <w:pStyle w:val="3-BodyText"/>
      </w:pPr>
      <w:r w:rsidRPr="00EB1825">
        <w:t>Overall, the</w:t>
      </w:r>
      <w:r w:rsidR="00A77A08" w:rsidRPr="00EB1825">
        <w:t xml:space="preserve"> evaluation considered that the</w:t>
      </w:r>
      <w:r w:rsidRPr="00EB1825">
        <w:t xml:space="preserve"> clinical claim of superior effectiveness of </w:t>
      </w:r>
      <w:proofErr w:type="spellStart"/>
      <w:r w:rsidRPr="00EB1825">
        <w:t>fezolinetant</w:t>
      </w:r>
      <w:proofErr w:type="spellEnd"/>
      <w:r w:rsidRPr="00EB1825">
        <w:t xml:space="preserve"> </w:t>
      </w:r>
      <w:r w:rsidR="00DB376B" w:rsidRPr="00EB1825">
        <w:t xml:space="preserve">compared with </w:t>
      </w:r>
      <w:r w:rsidR="00193F55" w:rsidRPr="00EB1825">
        <w:t>no treatment</w:t>
      </w:r>
      <w:r w:rsidR="00DB376B" w:rsidRPr="00EB1825">
        <w:t xml:space="preserve"> </w:t>
      </w:r>
      <w:r w:rsidRPr="00EB1825">
        <w:t>was likely supported by the evidence presented in the resubmission. T</w:t>
      </w:r>
      <w:r w:rsidR="00A77A08" w:rsidRPr="00EB1825">
        <w:t xml:space="preserve">he evaluation </w:t>
      </w:r>
      <w:r w:rsidR="00014B18" w:rsidRPr="00EB1825">
        <w:t>noted that t</w:t>
      </w:r>
      <w:r w:rsidRPr="00EB1825">
        <w:t>here were inconsistencies between the trial definition of MHT contraindicated, MHT stopper compared to the requested PBS restriction criteria</w:t>
      </w:r>
      <w:r w:rsidR="00581F12">
        <w:t>. H</w:t>
      </w:r>
      <w:r w:rsidR="007F5605">
        <w:t xml:space="preserve">owever </w:t>
      </w:r>
      <w:r w:rsidR="007F5605" w:rsidRPr="00581F12">
        <w:rPr>
          <w:i/>
          <w:iCs/>
        </w:rPr>
        <w:t>post hoc</w:t>
      </w:r>
      <w:r w:rsidR="007F5605">
        <w:t xml:space="preserve"> analyses suggested </w:t>
      </w:r>
      <w:r w:rsidR="00581F12">
        <w:t>similar efficacy in the subgroup compared to the ITT population</w:t>
      </w:r>
      <w:r w:rsidR="003B1B13">
        <w:t>.</w:t>
      </w:r>
      <w:r w:rsidR="007F5605">
        <w:t xml:space="preserve"> </w:t>
      </w:r>
    </w:p>
    <w:p w14:paraId="0864DC18" w14:textId="77777777" w:rsidR="00F026B5" w:rsidRPr="00EB1825" w:rsidRDefault="00F026B5" w:rsidP="00766C07">
      <w:pPr>
        <w:pStyle w:val="3-BodyText"/>
      </w:pPr>
      <w:r w:rsidRPr="00EB1825">
        <w:t xml:space="preserve">The PBAC previously considered that, based on the evidence presented, the safety of </w:t>
      </w:r>
      <w:proofErr w:type="spellStart"/>
      <w:r w:rsidRPr="00EB1825">
        <w:t>fezolinetant</w:t>
      </w:r>
      <w:proofErr w:type="spellEnd"/>
      <w:r w:rsidRPr="00EB1825">
        <w:t xml:space="preserve"> was inferior compared to placebo. The PBAC noted that the incidence of AEs was similar between </w:t>
      </w:r>
      <w:proofErr w:type="spellStart"/>
      <w:r w:rsidRPr="00EB1825">
        <w:t>fezolinetant</w:t>
      </w:r>
      <w:proofErr w:type="spellEnd"/>
      <w:r w:rsidRPr="00EB1825">
        <w:t xml:space="preserve"> and placebo, except for the risk of symptomatic hepatotoxicity (abnormal liver function test results) for patients on </w:t>
      </w:r>
      <w:proofErr w:type="spellStart"/>
      <w:r w:rsidRPr="00EB1825">
        <w:t>fezolinetant</w:t>
      </w:r>
      <w:proofErr w:type="spellEnd"/>
      <w:r w:rsidRPr="00EB1825">
        <w:t xml:space="preserve"> (paragraph 7.9, </w:t>
      </w:r>
      <w:proofErr w:type="spellStart"/>
      <w:r w:rsidRPr="00EB1825">
        <w:t>fezolinetant</w:t>
      </w:r>
      <w:proofErr w:type="spellEnd"/>
      <w:r w:rsidRPr="00EB1825">
        <w:t xml:space="preserve"> PSD March 2025 PBAC meeting).</w:t>
      </w:r>
    </w:p>
    <w:p w14:paraId="1F21483E" w14:textId="2B292BDE" w:rsidR="00C77D0D" w:rsidRPr="00EB1825" w:rsidRDefault="00C77D0D" w:rsidP="00766C07">
      <w:pPr>
        <w:pStyle w:val="3-BodyText"/>
      </w:pPr>
      <w:r w:rsidRPr="00EB1825">
        <w:t xml:space="preserve">The resubmission maintained a claim of manageable safety of </w:t>
      </w:r>
      <w:proofErr w:type="spellStart"/>
      <w:r w:rsidRPr="00EB1825">
        <w:t>fezolinetant</w:t>
      </w:r>
      <w:proofErr w:type="spellEnd"/>
      <w:r w:rsidRPr="00EB1825">
        <w:t xml:space="preserve"> compared to placebo. </w:t>
      </w:r>
      <w:r w:rsidR="00014B18" w:rsidRPr="00EB1825">
        <w:t xml:space="preserve">The evaluation </w:t>
      </w:r>
      <w:r w:rsidR="00E54FD0" w:rsidRPr="00EB1825">
        <w:t xml:space="preserve">and the ESC </w:t>
      </w:r>
      <w:r w:rsidR="00014B18" w:rsidRPr="00EB1825">
        <w:t>considered that a</w:t>
      </w:r>
      <w:r w:rsidRPr="00EB1825">
        <w:t xml:space="preserve">lthough the incidence of AEs was generally similar between </w:t>
      </w:r>
      <w:proofErr w:type="spellStart"/>
      <w:r w:rsidRPr="00EB1825">
        <w:t>fezolinetant</w:t>
      </w:r>
      <w:proofErr w:type="spellEnd"/>
      <w:r w:rsidRPr="00EB1825">
        <w:t xml:space="preserve"> and placebo at Week 52, given </w:t>
      </w:r>
      <w:r w:rsidR="00E261E0" w:rsidRPr="00EB1825">
        <w:t xml:space="preserve">the PBAC’s previous concerns regarding </w:t>
      </w:r>
      <w:r w:rsidRPr="00EB1825">
        <w:t xml:space="preserve">the risk of hepatoxicity associated with </w:t>
      </w:r>
      <w:proofErr w:type="spellStart"/>
      <w:r w:rsidRPr="00EB1825">
        <w:t>fezolinetant</w:t>
      </w:r>
      <w:proofErr w:type="spellEnd"/>
      <w:r w:rsidRPr="00EB1825">
        <w:t xml:space="preserve"> and the lack of longer-term safety data, </w:t>
      </w:r>
      <w:r w:rsidR="00D826EE" w:rsidRPr="00EB1825">
        <w:t>a</w:t>
      </w:r>
      <w:r w:rsidR="005A4A15" w:rsidRPr="00EB1825">
        <w:t xml:space="preserve"> claim </w:t>
      </w:r>
      <w:r w:rsidR="00306743" w:rsidRPr="00EB1825">
        <w:t>of</w:t>
      </w:r>
      <w:r w:rsidR="005A4A15" w:rsidRPr="00EB1825">
        <w:t xml:space="preserve"> </w:t>
      </w:r>
      <w:r w:rsidRPr="00EB1825">
        <w:t>inferior safety</w:t>
      </w:r>
      <w:r w:rsidR="005A4A15" w:rsidRPr="00EB1825">
        <w:t xml:space="preserve"> </w:t>
      </w:r>
      <w:r w:rsidR="008714C5" w:rsidRPr="00EB1825">
        <w:t>remained</w:t>
      </w:r>
      <w:r w:rsidR="00306743" w:rsidRPr="00EB1825">
        <w:t xml:space="preserve"> </w:t>
      </w:r>
      <w:r w:rsidR="00D826EE" w:rsidRPr="00EB1825">
        <w:t xml:space="preserve">more </w:t>
      </w:r>
      <w:r w:rsidR="00306743" w:rsidRPr="00EB1825">
        <w:t>appropriate</w:t>
      </w:r>
      <w:r w:rsidRPr="00EB1825">
        <w:t>.</w:t>
      </w:r>
      <w:r w:rsidR="00584C90" w:rsidRPr="00EB1825">
        <w:t xml:space="preserve"> </w:t>
      </w:r>
    </w:p>
    <w:p w14:paraId="04C54F21" w14:textId="06C6BA98" w:rsidR="000528C0" w:rsidRPr="007A3D86" w:rsidRDefault="000528C0" w:rsidP="00766C07">
      <w:pPr>
        <w:pStyle w:val="3-BodyText"/>
        <w:rPr>
          <w:iCs/>
          <w:snapToGrid w:val="0"/>
          <w:szCs w:val="20"/>
        </w:rPr>
      </w:pPr>
      <w:bookmarkStart w:id="41" w:name="_Hlk76376200"/>
      <w:r w:rsidRPr="00D61708">
        <w:rPr>
          <w:rFonts w:eastAsia="Times New Roman" w:cs="Arial"/>
          <w:snapToGrid w:val="0"/>
          <w:szCs w:val="24"/>
        </w:rPr>
        <w:t xml:space="preserve">The </w:t>
      </w:r>
      <w:r w:rsidRPr="00D61708">
        <w:rPr>
          <w:iCs/>
          <w:snapToGrid w:val="0"/>
          <w:szCs w:val="20"/>
        </w:rPr>
        <w:t>PBAC</w:t>
      </w:r>
      <w:r w:rsidRPr="00D61708">
        <w:rPr>
          <w:rFonts w:eastAsia="Times New Roman" w:cs="Arial"/>
          <w:snapToGrid w:val="0"/>
          <w:szCs w:val="24"/>
        </w:rPr>
        <w:t xml:space="preserve"> considered that the claim of superior comparative effectiveness</w:t>
      </w:r>
      <w:r w:rsidR="003510A1" w:rsidRPr="00D61708">
        <w:rPr>
          <w:rFonts w:eastAsia="Times New Roman" w:cs="Arial"/>
          <w:snapToGrid w:val="0"/>
          <w:szCs w:val="24"/>
        </w:rPr>
        <w:t xml:space="preserve"> compared to </w:t>
      </w:r>
      <w:r w:rsidR="003510A1">
        <w:rPr>
          <w:iCs/>
          <w:snapToGrid w:val="0"/>
          <w:szCs w:val="20"/>
        </w:rPr>
        <w:t>no treatment,</w:t>
      </w:r>
      <w:r w:rsidRPr="00D61708">
        <w:rPr>
          <w:iCs/>
          <w:snapToGrid w:val="0"/>
          <w:szCs w:val="20"/>
        </w:rPr>
        <w:t xml:space="preserve"> </w:t>
      </w:r>
      <w:r w:rsidR="00243378" w:rsidRPr="00D61708">
        <w:rPr>
          <w:iCs/>
          <w:snapToGrid w:val="0"/>
          <w:szCs w:val="20"/>
        </w:rPr>
        <w:t xml:space="preserve">for the revised population of patients </w:t>
      </w:r>
      <w:r w:rsidR="003B0507" w:rsidRPr="00D61708">
        <w:rPr>
          <w:iCs/>
          <w:snapToGrid w:val="0"/>
          <w:szCs w:val="20"/>
        </w:rPr>
        <w:t xml:space="preserve">proposed in the pre-PBAC response </w:t>
      </w:r>
      <w:r w:rsidR="00243378" w:rsidRPr="00D61708">
        <w:rPr>
          <w:iCs/>
          <w:snapToGrid w:val="0"/>
          <w:szCs w:val="20"/>
        </w:rPr>
        <w:t>who are contraindicated to MHT</w:t>
      </w:r>
      <w:r w:rsidR="00656D3B" w:rsidRPr="00D61708">
        <w:rPr>
          <w:iCs/>
          <w:snapToGrid w:val="0"/>
          <w:szCs w:val="20"/>
        </w:rPr>
        <w:t xml:space="preserve"> or who have ceased due to side-effects or l</w:t>
      </w:r>
      <w:r w:rsidR="00656D3B" w:rsidRPr="007A3D86">
        <w:rPr>
          <w:iCs/>
          <w:snapToGrid w:val="0"/>
          <w:szCs w:val="20"/>
        </w:rPr>
        <w:t>ack of efficacy</w:t>
      </w:r>
      <w:r w:rsidR="00243378" w:rsidRPr="007A3D86">
        <w:rPr>
          <w:iCs/>
          <w:snapToGrid w:val="0"/>
          <w:szCs w:val="20"/>
        </w:rPr>
        <w:t xml:space="preserve">, </w:t>
      </w:r>
      <w:r w:rsidRPr="007A3D86">
        <w:rPr>
          <w:iCs/>
          <w:snapToGrid w:val="0"/>
          <w:szCs w:val="20"/>
        </w:rPr>
        <w:t>was reasonable.</w:t>
      </w:r>
      <w:r w:rsidR="00D61708" w:rsidRPr="007A3D86">
        <w:rPr>
          <w:iCs/>
          <w:snapToGrid w:val="0"/>
          <w:szCs w:val="20"/>
        </w:rPr>
        <w:t xml:space="preserve"> </w:t>
      </w:r>
    </w:p>
    <w:p w14:paraId="2CCD2D53" w14:textId="06DAD0F4" w:rsidR="000E1298" w:rsidRPr="007A3D86" w:rsidRDefault="000528C0" w:rsidP="00766C07">
      <w:pPr>
        <w:pStyle w:val="3-BodyText"/>
        <w:rPr>
          <w:i/>
          <w:snapToGrid w:val="0"/>
          <w:szCs w:val="20"/>
        </w:rPr>
      </w:pPr>
      <w:r w:rsidRPr="007A3D86">
        <w:rPr>
          <w:iCs/>
          <w:snapToGrid w:val="0"/>
          <w:szCs w:val="20"/>
        </w:rPr>
        <w:t>The PBAC</w:t>
      </w:r>
      <w:r w:rsidR="00EF445C" w:rsidRPr="007A3D86">
        <w:rPr>
          <w:iCs/>
          <w:snapToGrid w:val="0"/>
          <w:szCs w:val="20"/>
        </w:rPr>
        <w:t xml:space="preserve"> recalled that it previously</w:t>
      </w:r>
      <w:r w:rsidRPr="007A3D86">
        <w:rPr>
          <w:iCs/>
          <w:snapToGrid w:val="0"/>
          <w:szCs w:val="20"/>
        </w:rPr>
        <w:t xml:space="preserve"> considered that the claim of </w:t>
      </w:r>
      <w:r w:rsidR="000E1298" w:rsidRPr="007A3D86">
        <w:rPr>
          <w:iCs/>
          <w:snapToGrid w:val="0"/>
          <w:szCs w:val="20"/>
        </w:rPr>
        <w:t>manageable</w:t>
      </w:r>
      <w:r w:rsidRPr="007A3D86">
        <w:rPr>
          <w:iCs/>
          <w:snapToGrid w:val="0"/>
          <w:szCs w:val="20"/>
        </w:rPr>
        <w:t xml:space="preserve"> </w:t>
      </w:r>
      <w:r w:rsidR="00EF445C" w:rsidRPr="007A3D86">
        <w:rPr>
          <w:iCs/>
          <w:snapToGrid w:val="0"/>
          <w:szCs w:val="20"/>
        </w:rPr>
        <w:t xml:space="preserve">non-inferior </w:t>
      </w:r>
      <w:r w:rsidRPr="007A3D86">
        <w:rPr>
          <w:iCs/>
          <w:snapToGrid w:val="0"/>
          <w:szCs w:val="20"/>
        </w:rPr>
        <w:t>comparative safety was not adequately supported by the data</w:t>
      </w:r>
      <w:bookmarkEnd w:id="41"/>
      <w:r w:rsidR="000E1298" w:rsidRPr="007A3D86">
        <w:rPr>
          <w:iCs/>
          <w:snapToGrid w:val="0"/>
          <w:szCs w:val="20"/>
        </w:rPr>
        <w:t xml:space="preserve">, given the risks of hepatotoxicity associated with </w:t>
      </w:r>
      <w:proofErr w:type="spellStart"/>
      <w:r w:rsidR="000E1298" w:rsidRPr="007A3D86">
        <w:rPr>
          <w:iCs/>
          <w:snapToGrid w:val="0"/>
          <w:szCs w:val="20"/>
        </w:rPr>
        <w:t>fezolinetant</w:t>
      </w:r>
      <w:proofErr w:type="spellEnd"/>
      <w:r w:rsidR="000E1298" w:rsidRPr="007A3D86">
        <w:rPr>
          <w:iCs/>
          <w:snapToGrid w:val="0"/>
          <w:szCs w:val="20"/>
        </w:rPr>
        <w:t xml:space="preserve"> and lack of long-term data</w:t>
      </w:r>
      <w:r w:rsidR="00C849AC">
        <w:rPr>
          <w:iCs/>
          <w:snapToGrid w:val="0"/>
          <w:szCs w:val="20"/>
        </w:rPr>
        <w:t xml:space="preserve"> </w:t>
      </w:r>
      <w:r w:rsidR="00C849AC">
        <w:rPr>
          <w:snapToGrid w:val="0"/>
        </w:rPr>
        <w:t>(</w:t>
      </w:r>
      <w:r w:rsidR="00C849AC" w:rsidRPr="00C162F2">
        <w:rPr>
          <w:snapToGrid w:val="0"/>
        </w:rPr>
        <w:t>paragraph</w:t>
      </w:r>
      <w:r w:rsidR="00C849AC">
        <w:rPr>
          <w:snapToGrid w:val="0"/>
        </w:rPr>
        <w:t>s 6.38</w:t>
      </w:r>
      <w:r w:rsidR="00C849AC" w:rsidRPr="00C162F2">
        <w:rPr>
          <w:snapToGrid w:val="0"/>
        </w:rPr>
        <w:t xml:space="preserve">, </w:t>
      </w:r>
      <w:proofErr w:type="spellStart"/>
      <w:r w:rsidR="00C849AC" w:rsidRPr="00C162F2">
        <w:rPr>
          <w:snapToGrid w:val="0"/>
        </w:rPr>
        <w:t>fezolinetant</w:t>
      </w:r>
      <w:proofErr w:type="spellEnd"/>
      <w:r w:rsidR="00C849AC" w:rsidRPr="00C162F2">
        <w:rPr>
          <w:snapToGrid w:val="0"/>
        </w:rPr>
        <w:t xml:space="preserve"> PSD, March 2025 PBAC Meeting</w:t>
      </w:r>
      <w:r w:rsidR="00C849AC">
        <w:rPr>
          <w:snapToGrid w:val="0"/>
        </w:rPr>
        <w:t>)</w:t>
      </w:r>
      <w:r w:rsidR="000E1298" w:rsidRPr="007A3D86">
        <w:rPr>
          <w:iCs/>
          <w:snapToGrid w:val="0"/>
          <w:szCs w:val="20"/>
        </w:rPr>
        <w:t xml:space="preserve">. </w:t>
      </w:r>
      <w:r w:rsidR="00465B88" w:rsidRPr="007A3D86">
        <w:rPr>
          <w:iCs/>
          <w:snapToGrid w:val="0"/>
          <w:szCs w:val="20"/>
        </w:rPr>
        <w:t>The PBAC maintained this view</w:t>
      </w:r>
      <w:r w:rsidR="00705069">
        <w:rPr>
          <w:iCs/>
          <w:snapToGrid w:val="0"/>
          <w:szCs w:val="20"/>
        </w:rPr>
        <w:t xml:space="preserve">, </w:t>
      </w:r>
      <w:r w:rsidR="00FE6004">
        <w:rPr>
          <w:iCs/>
          <w:snapToGrid w:val="0"/>
          <w:szCs w:val="20"/>
        </w:rPr>
        <w:t xml:space="preserve">considering that </w:t>
      </w:r>
      <w:proofErr w:type="spellStart"/>
      <w:r w:rsidR="00FE6004">
        <w:rPr>
          <w:iCs/>
          <w:snapToGrid w:val="0"/>
          <w:szCs w:val="20"/>
        </w:rPr>
        <w:t>fezolinetant</w:t>
      </w:r>
      <w:proofErr w:type="spellEnd"/>
      <w:r w:rsidR="00FE6004">
        <w:rPr>
          <w:iCs/>
          <w:snapToGrid w:val="0"/>
          <w:szCs w:val="20"/>
        </w:rPr>
        <w:t xml:space="preserve"> </w:t>
      </w:r>
      <w:r w:rsidR="00367C48">
        <w:rPr>
          <w:iCs/>
          <w:snapToGrid w:val="0"/>
          <w:szCs w:val="20"/>
        </w:rPr>
        <w:t xml:space="preserve">has inferior safety </w:t>
      </w:r>
      <w:r w:rsidR="00FE6004">
        <w:rPr>
          <w:iCs/>
          <w:snapToGrid w:val="0"/>
          <w:szCs w:val="20"/>
        </w:rPr>
        <w:t>compared to no treatment</w:t>
      </w:r>
      <w:r w:rsidR="00465B88" w:rsidRPr="007A3D86">
        <w:rPr>
          <w:iCs/>
          <w:snapToGrid w:val="0"/>
          <w:szCs w:val="20"/>
        </w:rPr>
        <w:t xml:space="preserve">. </w:t>
      </w:r>
    </w:p>
    <w:p w14:paraId="74A1172E" w14:textId="128C170E" w:rsidR="00B60939" w:rsidRPr="00EB1825" w:rsidRDefault="00B60939" w:rsidP="00E9094A">
      <w:pPr>
        <w:pStyle w:val="4-SubsectionHeading"/>
      </w:pPr>
      <w:bookmarkStart w:id="42" w:name="_Toc22897645"/>
      <w:bookmarkStart w:id="43" w:name="_Toc208999810"/>
      <w:r w:rsidRPr="00EB1825">
        <w:t>Economic analysis</w:t>
      </w:r>
      <w:bookmarkEnd w:id="42"/>
      <w:bookmarkEnd w:id="43"/>
      <w:r w:rsidR="00491B3A" w:rsidRPr="00EB1825">
        <w:t xml:space="preserve"> </w:t>
      </w:r>
    </w:p>
    <w:p w14:paraId="0F6ADACE" w14:textId="7E3DF985" w:rsidR="005F69BD" w:rsidRPr="00737826" w:rsidRDefault="005F69BD" w:rsidP="00766C07">
      <w:pPr>
        <w:pStyle w:val="3-BodyText"/>
      </w:pPr>
      <w:r w:rsidRPr="00737826">
        <w:t xml:space="preserve">Compared to the March 2025 submission, the cost-utility analysis in the resubmission was largely unchanged, </w:t>
      </w:r>
      <w:r w:rsidR="00903EE9" w:rsidRPr="00737826">
        <w:t>and</w:t>
      </w:r>
      <w:r w:rsidRPr="00737826">
        <w:t xml:space="preserve"> the model structure was retained.</w:t>
      </w:r>
    </w:p>
    <w:p w14:paraId="1158CF65" w14:textId="70E00B49" w:rsidR="005F69BD" w:rsidRPr="00737826" w:rsidRDefault="005F69BD" w:rsidP="00766C07">
      <w:pPr>
        <w:pStyle w:val="3-BodyText"/>
      </w:pPr>
      <w:r w:rsidRPr="00737826">
        <w:t xml:space="preserve">A summary of the PBAC’s main concerns and key changes in the resubmission is presented in </w:t>
      </w:r>
      <w:r w:rsidRPr="00737826">
        <w:fldChar w:fldCharType="begin"/>
      </w:r>
      <w:r w:rsidRPr="00737826">
        <w:instrText xml:space="preserve"> REF _Ref203640783 \h </w:instrText>
      </w:r>
      <w:r w:rsidR="00DF5B41" w:rsidRPr="00737826">
        <w:instrText xml:space="preserve"> \* MERGEFORMAT </w:instrText>
      </w:r>
      <w:r w:rsidRPr="00737826">
        <w:fldChar w:fldCharType="separate"/>
      </w:r>
      <w:r w:rsidR="00946DF5" w:rsidRPr="00EB1825">
        <w:t xml:space="preserve">Table </w:t>
      </w:r>
      <w:r w:rsidR="00946DF5">
        <w:t>8</w:t>
      </w:r>
      <w:r w:rsidRPr="00737826">
        <w:fldChar w:fldCharType="end"/>
      </w:r>
      <w:r w:rsidRPr="00737826">
        <w:t>.</w:t>
      </w:r>
    </w:p>
    <w:p w14:paraId="1719139F" w14:textId="7715B198" w:rsidR="005F69BD" w:rsidRPr="00EB1825" w:rsidRDefault="005F69BD" w:rsidP="0045392B">
      <w:pPr>
        <w:pStyle w:val="Caption"/>
        <w:jc w:val="left"/>
      </w:pPr>
      <w:bookmarkStart w:id="44" w:name="_Ref203640783"/>
      <w:bookmarkStart w:id="45" w:name="_Hlk80749684"/>
      <w:r w:rsidRPr="00EB1825">
        <w:t xml:space="preserve">Table </w:t>
      </w:r>
      <w:r w:rsidR="005B6061">
        <w:fldChar w:fldCharType="begin"/>
      </w:r>
      <w:r w:rsidR="005B6061">
        <w:instrText xml:space="preserve"> SEQ Table \* ARABIC </w:instrText>
      </w:r>
      <w:r w:rsidR="005B6061">
        <w:fldChar w:fldCharType="separate"/>
      </w:r>
      <w:r w:rsidR="00946DF5">
        <w:rPr>
          <w:noProof/>
        </w:rPr>
        <w:t>8</w:t>
      </w:r>
      <w:r w:rsidR="005B6061">
        <w:rPr>
          <w:noProof/>
        </w:rPr>
        <w:fldChar w:fldCharType="end"/>
      </w:r>
      <w:bookmarkEnd w:id="44"/>
      <w:r w:rsidRPr="00EB1825">
        <w:t>: Summary of key changes to the cost-utility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Caption w:val="Table 8: Summary of key changes to the cost-utility analysis"/>
      </w:tblPr>
      <w:tblGrid>
        <w:gridCol w:w="967"/>
        <w:gridCol w:w="2776"/>
        <w:gridCol w:w="1538"/>
        <w:gridCol w:w="3736"/>
      </w:tblGrid>
      <w:tr w:rsidR="005F69BD" w:rsidRPr="00EB1825" w14:paraId="735BB047" w14:textId="77777777" w:rsidTr="00445DB2">
        <w:trPr>
          <w:trHeight w:val="20"/>
          <w:tblHeader/>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128641" w14:textId="77777777" w:rsidR="005F69BD" w:rsidRPr="00EB1825" w:rsidRDefault="005F69BD" w:rsidP="0045392B">
            <w:pPr>
              <w:pStyle w:val="TableText0"/>
              <w:widowControl w:val="0"/>
              <w:rPr>
                <w:b/>
                <w:bCs w:val="0"/>
              </w:rPr>
            </w:pPr>
            <w:bookmarkStart w:id="46" w:name="_Hlk172560315"/>
            <w:bookmarkEnd w:id="45"/>
            <w:r w:rsidRPr="00EB1825">
              <w:rPr>
                <w:b/>
              </w:rPr>
              <w:t>Component</w:t>
            </w:r>
          </w:p>
        </w:tc>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B53262" w14:textId="77777777" w:rsidR="005F69BD" w:rsidRPr="00EB1825" w:rsidRDefault="005F69BD" w:rsidP="0045392B">
            <w:pPr>
              <w:pStyle w:val="TableText0"/>
              <w:widowControl w:val="0"/>
              <w:jc w:val="center"/>
              <w:rPr>
                <w:b/>
                <w:bCs w:val="0"/>
              </w:rPr>
            </w:pPr>
            <w:r w:rsidRPr="00EB1825">
              <w:rPr>
                <w:b/>
              </w:rPr>
              <w:t>March 2025 submission; ESC and PBAC comments</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5AB5C3" w14:textId="77777777" w:rsidR="005F69BD" w:rsidRPr="00EB1825" w:rsidRDefault="005F69BD" w:rsidP="0045392B">
            <w:pPr>
              <w:pStyle w:val="TableText0"/>
              <w:widowControl w:val="0"/>
              <w:jc w:val="center"/>
              <w:rPr>
                <w:b/>
                <w:bCs w:val="0"/>
              </w:rPr>
            </w:pPr>
            <w:r w:rsidRPr="00EB1825">
              <w:rPr>
                <w:b/>
              </w:rPr>
              <w:t>November 2025 resubmission</w:t>
            </w:r>
          </w:p>
        </w:tc>
        <w:tc>
          <w:tcPr>
            <w:tcW w:w="20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FBE3B6" w14:textId="5E45174E" w:rsidR="005F69BD" w:rsidRPr="00EB1825" w:rsidRDefault="005F69BD" w:rsidP="0045392B">
            <w:pPr>
              <w:pStyle w:val="TableText0"/>
              <w:widowControl w:val="0"/>
              <w:jc w:val="center"/>
              <w:rPr>
                <w:b/>
                <w:bCs w:val="0"/>
              </w:rPr>
            </w:pPr>
            <w:r w:rsidRPr="00EB1825">
              <w:rPr>
                <w:b/>
              </w:rPr>
              <w:t>Impact of change</w:t>
            </w:r>
          </w:p>
        </w:tc>
      </w:tr>
      <w:tr w:rsidR="005F69BD" w:rsidRPr="00EB1825" w14:paraId="5C7A1FC5" w14:textId="77777777" w:rsidTr="00445DB2">
        <w:trPr>
          <w:trHeight w:val="20"/>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869B0A" w14:textId="77777777" w:rsidR="005F69BD" w:rsidRPr="00EB1825" w:rsidRDefault="005F69BD" w:rsidP="0045392B">
            <w:pPr>
              <w:pStyle w:val="TableText0"/>
              <w:widowControl w:val="0"/>
              <w:rPr>
                <w:szCs w:val="20"/>
              </w:rPr>
            </w:pPr>
            <w:r w:rsidRPr="00EB1825">
              <w:rPr>
                <w:szCs w:val="20"/>
              </w:rPr>
              <w:t>Drug cost</w:t>
            </w:r>
          </w:p>
        </w:tc>
        <w:tc>
          <w:tcPr>
            <w:tcW w:w="15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F6A33B" w14:textId="08EDA432" w:rsidR="005F69BD" w:rsidRPr="00EB1825" w:rsidRDefault="005F69BD" w:rsidP="0045392B">
            <w:pPr>
              <w:pStyle w:val="TableText0"/>
              <w:widowControl w:val="0"/>
            </w:pPr>
            <w:r w:rsidRPr="00EB1825">
              <w:t>Proposed AEMP=$</w:t>
            </w:r>
            <w:r w:rsidR="00E901B5" w:rsidRPr="00E901B5">
              <w:rPr>
                <w:highlight w:val="black"/>
              </w:rPr>
              <w:t>&amp;&amp;&amp;&amp;</w:t>
            </w:r>
            <w:r w:rsidRPr="00EB1825">
              <w:t>/pack (DPMQ=$</w:t>
            </w:r>
            <w:r w:rsidR="00E901B5" w:rsidRPr="00E901B5">
              <w:rPr>
                <w:highlight w:val="black"/>
              </w:rPr>
              <w:t>&amp;&amp;&amp;&amp;</w:t>
            </w:r>
            <w:r w:rsidRPr="00EB1825">
              <w:t xml:space="preserve">). </w:t>
            </w:r>
            <w:r w:rsidRPr="00EB1825">
              <w:rPr>
                <w:shd w:val="clear" w:color="auto" w:fill="B8CCE4" w:themeFill="accent1" w:themeFillTint="66"/>
              </w:rPr>
              <w:t>The PBAC considered that the price would need to be substantially reduced to realise an ICER in the range of $</w:t>
            </w:r>
            <w:r w:rsidR="00E901B5" w:rsidRPr="00E901B5">
              <w:rPr>
                <w:highlight w:val="black"/>
                <w:shd w:val="clear" w:color="auto" w:fill="B8CCE4" w:themeFill="accent1" w:themeFillTint="66"/>
              </w:rPr>
              <w:t>&amp;&amp;&amp;&amp;</w:t>
            </w:r>
            <w:r w:rsidR="003777B4">
              <w:rPr>
                <w:shd w:val="clear" w:color="auto" w:fill="B8CCE4" w:themeFill="accent1" w:themeFillTint="66"/>
                <w:vertAlign w:val="superscript"/>
              </w:rPr>
              <w:t>2</w:t>
            </w:r>
            <w:r w:rsidRPr="00EB1825">
              <w:rPr>
                <w:shd w:val="clear" w:color="auto" w:fill="B8CCE4" w:themeFill="accent1" w:themeFillTint="66"/>
              </w:rPr>
              <w:t xml:space="preserve"> to $</w:t>
            </w:r>
            <w:r w:rsidR="00E901B5" w:rsidRPr="00E901B5">
              <w:rPr>
                <w:highlight w:val="black"/>
                <w:shd w:val="clear" w:color="auto" w:fill="B8CCE4" w:themeFill="accent1" w:themeFillTint="66"/>
              </w:rPr>
              <w:t>&amp;&amp;&amp;&amp;</w:t>
            </w:r>
            <w:r w:rsidR="003777B4">
              <w:rPr>
                <w:shd w:val="clear" w:color="auto" w:fill="B8CCE4" w:themeFill="accent1" w:themeFillTint="66"/>
                <w:vertAlign w:val="superscript"/>
              </w:rPr>
              <w:t>3</w:t>
            </w:r>
            <w:r w:rsidRPr="00EB1825">
              <w:rPr>
                <w:shd w:val="clear" w:color="auto" w:fill="B8CCE4" w:themeFill="accent1" w:themeFillTint="66"/>
              </w:rPr>
              <w:t xml:space="preserve"> per QALY, which the PBAC considered would be more acceptable in the context of the uncertain benefit (para 7.11, </w:t>
            </w:r>
            <w:proofErr w:type="spellStart"/>
            <w:r w:rsidRPr="00EB1825">
              <w:rPr>
                <w:shd w:val="clear" w:color="auto" w:fill="B8CCE4" w:themeFill="accent1" w:themeFillTint="66"/>
              </w:rPr>
              <w:t>fezolinetant</w:t>
            </w:r>
            <w:proofErr w:type="spellEnd"/>
            <w:r w:rsidRPr="00EB1825">
              <w:rPr>
                <w:shd w:val="clear" w:color="auto" w:fill="B8CCE4" w:themeFill="accent1" w:themeFillTint="66"/>
              </w:rPr>
              <w:t>, PBAC MIN, March 2025</w:t>
            </w:r>
            <w:r w:rsidR="009C6BD6" w:rsidRPr="00EB1825">
              <w:rPr>
                <w:shd w:val="clear" w:color="auto" w:fill="B8CCE4" w:themeFill="accent1" w:themeFillTint="66"/>
              </w:rPr>
              <w:t xml:space="preserve"> PBAC meeting</w:t>
            </w:r>
            <w:r w:rsidRPr="00EB1825">
              <w:rPr>
                <w:shd w:val="clear" w:color="auto" w:fill="B8CCE4" w:themeFill="accent1" w:themeFillTint="66"/>
              </w:rPr>
              <w:t>)</w:t>
            </w:r>
            <w:r w:rsidRPr="00EB1825">
              <w:rPr>
                <w:szCs w:val="20"/>
                <w:shd w:val="clear" w:color="auto" w:fill="B8CCE4" w:themeFill="accent1" w:themeFillTint="66"/>
              </w:rPr>
              <w:t>.</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E0C4AE" w14:textId="47EC024F" w:rsidR="005F69BD" w:rsidRPr="00EB1825" w:rsidRDefault="005F69BD" w:rsidP="0045392B">
            <w:pPr>
              <w:pStyle w:val="TableText0"/>
              <w:widowControl w:val="0"/>
            </w:pPr>
            <w:r w:rsidRPr="00EB1825">
              <w:t>Proposed effective AEMP=$</w:t>
            </w:r>
            <w:r w:rsidR="00E901B5" w:rsidRPr="00E901B5">
              <w:rPr>
                <w:highlight w:val="black"/>
              </w:rPr>
              <w:t>&amp;&amp;&amp;&amp;</w:t>
            </w:r>
            <w:r w:rsidRPr="00EB1825">
              <w:t>/pack (effective DPMQ= $</w:t>
            </w:r>
            <w:r w:rsidR="00E901B5" w:rsidRPr="00E901B5">
              <w:rPr>
                <w:highlight w:val="black"/>
              </w:rPr>
              <w:t>&amp;&amp;&amp;&amp;</w:t>
            </w:r>
            <w:r w:rsidRPr="00EB1825">
              <w:t xml:space="preserve">). </w:t>
            </w:r>
          </w:p>
        </w:tc>
        <w:tc>
          <w:tcPr>
            <w:tcW w:w="20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E63488" w14:textId="17388E51" w:rsidR="005F69BD" w:rsidRPr="00EB1825" w:rsidRDefault="005F69BD" w:rsidP="008565B3">
            <w:pPr>
              <w:pStyle w:val="TableText0"/>
              <w:widowControl w:val="0"/>
              <w:jc w:val="both"/>
              <w:rPr>
                <w:szCs w:val="20"/>
              </w:rPr>
            </w:pPr>
            <w:r w:rsidRPr="00EB1825">
              <w:rPr>
                <w:szCs w:val="20"/>
              </w:rPr>
              <w:t>The price reduction and inclusion of compliance rate in the re</w:t>
            </w:r>
            <w:r w:rsidR="005E0446" w:rsidRPr="00EB1825">
              <w:rPr>
                <w:szCs w:val="20"/>
              </w:rPr>
              <w:t>s</w:t>
            </w:r>
            <w:r w:rsidRPr="00EB1825">
              <w:rPr>
                <w:szCs w:val="20"/>
              </w:rPr>
              <w:t xml:space="preserve">ubmission led to a </w:t>
            </w:r>
            <w:r w:rsidR="00E901B5" w:rsidRPr="00E901B5">
              <w:rPr>
                <w:szCs w:val="20"/>
                <w:highlight w:val="black"/>
              </w:rPr>
              <w:t>&amp;&amp;&amp;&amp;</w:t>
            </w:r>
            <w:r w:rsidRPr="00EB1825">
              <w:rPr>
                <w:szCs w:val="20"/>
              </w:rPr>
              <w:t>% decrease in the ICER, from $</w:t>
            </w:r>
            <w:r w:rsidR="00E901B5" w:rsidRPr="00E901B5">
              <w:rPr>
                <w:szCs w:val="20"/>
                <w:highlight w:val="black"/>
              </w:rPr>
              <w:t>&amp;&amp;&amp;&amp;</w:t>
            </w:r>
            <w:r w:rsidR="00175CB4">
              <w:rPr>
                <w:szCs w:val="20"/>
                <w:vertAlign w:val="superscript"/>
              </w:rPr>
              <w:t>1</w:t>
            </w:r>
            <w:r w:rsidRPr="00EB1825">
              <w:rPr>
                <w:szCs w:val="20"/>
              </w:rPr>
              <w:t xml:space="preserve"> in the March 2025 base case to $</w:t>
            </w:r>
            <w:r w:rsidR="00E901B5" w:rsidRPr="00E901B5">
              <w:rPr>
                <w:szCs w:val="20"/>
                <w:highlight w:val="black"/>
              </w:rPr>
              <w:t>&amp;&amp;&amp;&amp;</w:t>
            </w:r>
            <w:r w:rsidR="001A0291">
              <w:rPr>
                <w:szCs w:val="20"/>
                <w:vertAlign w:val="superscript"/>
              </w:rPr>
              <w:t>2</w:t>
            </w:r>
            <w:r w:rsidRPr="00EB1825">
              <w:rPr>
                <w:szCs w:val="20"/>
              </w:rPr>
              <w:t xml:space="preserve"> per QALY gained</w:t>
            </w:r>
            <w:r w:rsidR="00074B4B" w:rsidRPr="00EB1825">
              <w:rPr>
                <w:szCs w:val="20"/>
              </w:rPr>
              <w:t xml:space="preserve"> </w:t>
            </w:r>
            <w:r w:rsidR="00131A68" w:rsidRPr="00EB1825">
              <w:rPr>
                <w:szCs w:val="20"/>
              </w:rPr>
              <w:t xml:space="preserve">in </w:t>
            </w:r>
            <w:r w:rsidR="00074B4B" w:rsidRPr="00EB1825">
              <w:rPr>
                <w:szCs w:val="20"/>
              </w:rPr>
              <w:t xml:space="preserve">this </w:t>
            </w:r>
            <w:r w:rsidR="00131A68" w:rsidRPr="00EB1825">
              <w:rPr>
                <w:szCs w:val="20"/>
              </w:rPr>
              <w:t>re</w:t>
            </w:r>
            <w:r w:rsidR="00074B4B" w:rsidRPr="00EB1825">
              <w:rPr>
                <w:szCs w:val="20"/>
              </w:rPr>
              <w:t>submission</w:t>
            </w:r>
            <w:r w:rsidRPr="00EB1825">
              <w:rPr>
                <w:szCs w:val="20"/>
              </w:rPr>
              <w:t>. This increased slightly to $</w:t>
            </w:r>
            <w:r w:rsidR="00E901B5" w:rsidRPr="00E901B5">
              <w:rPr>
                <w:szCs w:val="20"/>
                <w:highlight w:val="black"/>
              </w:rPr>
              <w:t>&amp;&amp;&amp;&amp;</w:t>
            </w:r>
            <w:r w:rsidR="001A0291">
              <w:rPr>
                <w:szCs w:val="20"/>
                <w:vertAlign w:val="superscript"/>
              </w:rPr>
              <w:t>2</w:t>
            </w:r>
            <w:r w:rsidR="00074B4B" w:rsidRPr="00EB1825">
              <w:rPr>
                <w:szCs w:val="20"/>
              </w:rPr>
              <w:t xml:space="preserve"> per </w:t>
            </w:r>
            <w:r w:rsidRPr="00EB1825">
              <w:rPr>
                <w:szCs w:val="20"/>
              </w:rPr>
              <w:t>QALY</w:t>
            </w:r>
            <w:r w:rsidR="00074B4B" w:rsidRPr="00EB1825">
              <w:rPr>
                <w:szCs w:val="20"/>
              </w:rPr>
              <w:t xml:space="preserve"> gained</w:t>
            </w:r>
            <w:r w:rsidRPr="00EB1825">
              <w:rPr>
                <w:szCs w:val="20"/>
              </w:rPr>
              <w:t xml:space="preserve"> after incorporating the costs of LFTs.</w:t>
            </w:r>
            <w:r w:rsidR="00384E7B" w:rsidRPr="00EB1825">
              <w:rPr>
                <w:szCs w:val="20"/>
              </w:rPr>
              <w:t xml:space="preserve"> The </w:t>
            </w:r>
            <w:r w:rsidR="00EF681A" w:rsidRPr="00EB1825">
              <w:rPr>
                <w:szCs w:val="20"/>
              </w:rPr>
              <w:t xml:space="preserve">DPMQ </w:t>
            </w:r>
            <w:r w:rsidR="00B67B4C">
              <w:rPr>
                <w:szCs w:val="20"/>
              </w:rPr>
              <w:t>remained</w:t>
            </w:r>
            <w:r w:rsidR="00EF681A" w:rsidRPr="00EB1825">
              <w:rPr>
                <w:szCs w:val="20"/>
              </w:rPr>
              <w:t xml:space="preserve"> higher than the private market price</w:t>
            </w:r>
            <w:r w:rsidR="00956704" w:rsidRPr="00EB1825">
              <w:rPr>
                <w:szCs w:val="20"/>
              </w:rPr>
              <w:t xml:space="preserve">. </w:t>
            </w:r>
            <w:r w:rsidR="00C86C84" w:rsidRPr="00EB1825">
              <w:rPr>
                <w:szCs w:val="20"/>
              </w:rPr>
              <w:t>The ESC noted that application of a compliance rate was less conservative than the previous submission</w:t>
            </w:r>
            <w:r w:rsidR="00D4689D" w:rsidRPr="00EB1825">
              <w:rPr>
                <w:szCs w:val="20"/>
              </w:rPr>
              <w:t>.</w:t>
            </w:r>
          </w:p>
        </w:tc>
      </w:tr>
      <w:tr w:rsidR="005F69BD" w:rsidRPr="00EB1825" w14:paraId="5FFAFAAC" w14:textId="77777777" w:rsidTr="00445DB2">
        <w:trPr>
          <w:trHeight w:val="20"/>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21A4A7" w14:textId="77777777" w:rsidR="005F69BD" w:rsidRPr="00EB1825" w:rsidRDefault="005F69BD" w:rsidP="0045392B">
            <w:pPr>
              <w:pStyle w:val="TableText0"/>
              <w:widowControl w:val="0"/>
              <w:rPr>
                <w:szCs w:val="20"/>
              </w:rPr>
            </w:pPr>
            <w:r w:rsidRPr="00EB1825">
              <w:rPr>
                <w:szCs w:val="20"/>
              </w:rPr>
              <w:t>Compliance rate</w:t>
            </w:r>
          </w:p>
        </w:tc>
        <w:tc>
          <w:tcPr>
            <w:tcW w:w="15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9B67D93" w14:textId="77777777" w:rsidR="005F69BD" w:rsidRPr="00EB1825" w:rsidRDefault="005F69BD" w:rsidP="0045392B">
            <w:pPr>
              <w:pStyle w:val="TableText0"/>
              <w:widowControl w:val="0"/>
            </w:pPr>
            <w:r w:rsidRPr="00EB1825">
              <w:t>Assumed to be 100%.</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FC4140" w14:textId="2669E8BD" w:rsidR="005F69BD" w:rsidRPr="00EB1825" w:rsidRDefault="005F69BD" w:rsidP="0045392B">
            <w:pPr>
              <w:pStyle w:val="TableText0"/>
              <w:widowControl w:val="0"/>
            </w:pPr>
            <w:r w:rsidRPr="00EB1825">
              <w:t xml:space="preserve">Changed to 77.9% </w:t>
            </w:r>
            <w:r w:rsidR="00857974" w:rsidRPr="00EB1825">
              <w:t>based on</w:t>
            </w:r>
            <w:r w:rsidRPr="00EB1825">
              <w:t xml:space="preserve"> real-world evidence.</w:t>
            </w:r>
          </w:p>
        </w:tc>
        <w:tc>
          <w:tcPr>
            <w:tcW w:w="20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600DB6" w14:textId="77777777" w:rsidR="005F69BD" w:rsidRPr="00EB1825" w:rsidRDefault="005F69BD" w:rsidP="0045392B">
            <w:pPr>
              <w:keepNext/>
              <w:keepLines/>
              <w:jc w:val="left"/>
              <w:rPr>
                <w:rFonts w:ascii="Arial Narrow" w:eastAsiaTheme="majorEastAsia" w:hAnsi="Arial Narrow" w:cstheme="majorBidi"/>
                <w:bCs/>
                <w:sz w:val="20"/>
                <w:szCs w:val="20"/>
              </w:rPr>
            </w:pPr>
          </w:p>
        </w:tc>
      </w:tr>
      <w:tr w:rsidR="005F69BD" w:rsidRPr="00EB1825" w14:paraId="5F3257B8" w14:textId="77777777" w:rsidTr="00445DB2">
        <w:trPr>
          <w:trHeight w:val="20"/>
        </w:trPr>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6F867B" w14:textId="77777777" w:rsidR="005F69BD" w:rsidRPr="00EB1825" w:rsidRDefault="005F69BD" w:rsidP="0045392B">
            <w:pPr>
              <w:pStyle w:val="TableText0"/>
              <w:widowControl w:val="0"/>
              <w:rPr>
                <w:szCs w:val="20"/>
              </w:rPr>
            </w:pPr>
            <w:r w:rsidRPr="00EB1825">
              <w:rPr>
                <w:szCs w:val="20"/>
              </w:rPr>
              <w:t>Health state costs, LFT</w:t>
            </w:r>
          </w:p>
        </w:tc>
        <w:tc>
          <w:tcPr>
            <w:tcW w:w="15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386E909" w14:textId="505195F7" w:rsidR="005F69BD" w:rsidRPr="00EB1825" w:rsidRDefault="005F69BD" w:rsidP="0045392B">
            <w:pPr>
              <w:pStyle w:val="TableText0"/>
              <w:widowControl w:val="0"/>
            </w:pPr>
            <w:r w:rsidRPr="00EB1825">
              <w:t xml:space="preserve">No consideration of LFT cost. </w:t>
            </w:r>
            <w:r w:rsidRPr="00EB1825">
              <w:rPr>
                <w:szCs w:val="20"/>
                <w:shd w:val="clear" w:color="auto" w:fill="B8CCE4" w:themeFill="accent1" w:themeFillTint="66"/>
              </w:rPr>
              <w:t xml:space="preserve">The PBAC noted the increasing safety signals internationally concerning drug induced liver disease with the use of </w:t>
            </w:r>
            <w:proofErr w:type="spellStart"/>
            <w:r w:rsidRPr="00EB1825">
              <w:rPr>
                <w:szCs w:val="20"/>
                <w:shd w:val="clear" w:color="auto" w:fill="B8CCE4" w:themeFill="accent1" w:themeFillTint="66"/>
              </w:rPr>
              <w:t>fezolinetant</w:t>
            </w:r>
            <w:proofErr w:type="spellEnd"/>
            <w:r w:rsidRPr="00EB1825">
              <w:rPr>
                <w:szCs w:val="20"/>
                <w:shd w:val="clear" w:color="auto" w:fill="B8CCE4" w:themeFill="accent1" w:themeFillTint="66"/>
              </w:rPr>
              <w:t xml:space="preserve"> and indicated that the cost of LFT was inappropriately excluded </w:t>
            </w:r>
            <w:r w:rsidRPr="00EB1825">
              <w:rPr>
                <w:shd w:val="clear" w:color="auto" w:fill="B8CCE4" w:themeFill="accent1" w:themeFillTint="66"/>
              </w:rPr>
              <w:t xml:space="preserve">(para 6.39, </w:t>
            </w:r>
            <w:proofErr w:type="spellStart"/>
            <w:r w:rsidRPr="00EB1825">
              <w:rPr>
                <w:shd w:val="clear" w:color="auto" w:fill="B8CCE4" w:themeFill="accent1" w:themeFillTint="66"/>
              </w:rPr>
              <w:t>fezolinetant</w:t>
            </w:r>
            <w:proofErr w:type="spellEnd"/>
            <w:r w:rsidRPr="00EB1825">
              <w:rPr>
                <w:shd w:val="clear" w:color="auto" w:fill="B8CCE4" w:themeFill="accent1" w:themeFillTint="66"/>
              </w:rPr>
              <w:t>, PBAC MIN, March 2025</w:t>
            </w:r>
            <w:r w:rsidR="002173AC" w:rsidRPr="00EB1825">
              <w:rPr>
                <w:shd w:val="clear" w:color="auto" w:fill="B8CCE4" w:themeFill="accent1" w:themeFillTint="66"/>
              </w:rPr>
              <w:t xml:space="preserve"> PBAC meeting</w:t>
            </w:r>
            <w:r w:rsidRPr="00EB1825">
              <w:rPr>
                <w:shd w:val="clear" w:color="auto" w:fill="B8CCE4" w:themeFill="accent1" w:themeFillTint="66"/>
              </w:rPr>
              <w:t>).</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A6DBA1" w14:textId="77777777" w:rsidR="005F69BD" w:rsidRPr="00EB1825" w:rsidRDefault="005F69BD" w:rsidP="0045392B">
            <w:pPr>
              <w:pStyle w:val="TableText0"/>
              <w:widowControl w:val="0"/>
            </w:pPr>
            <w:r w:rsidRPr="00EB1825">
              <w:t>LFT frequency and cost included. Costs in 2023-2024 values.</w:t>
            </w:r>
          </w:p>
        </w:tc>
        <w:tc>
          <w:tcPr>
            <w:tcW w:w="209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4495C5" w14:textId="67629098" w:rsidR="005F69BD" w:rsidRPr="00EB1825" w:rsidRDefault="005F69BD" w:rsidP="0045392B">
            <w:pPr>
              <w:pStyle w:val="TableText0"/>
              <w:widowControl w:val="0"/>
              <w:rPr>
                <w:szCs w:val="20"/>
              </w:rPr>
            </w:pPr>
            <w:r w:rsidRPr="00EB1825">
              <w:rPr>
                <w:szCs w:val="20"/>
              </w:rPr>
              <w:t xml:space="preserve">In the resubmission, LFT costs were included for all patients receiving </w:t>
            </w:r>
            <w:proofErr w:type="spellStart"/>
            <w:r w:rsidRPr="00EB1825">
              <w:rPr>
                <w:szCs w:val="20"/>
              </w:rPr>
              <w:t>fezolinetant</w:t>
            </w:r>
            <w:proofErr w:type="spellEnd"/>
            <w:r w:rsidRPr="00EB1825">
              <w:rPr>
                <w:szCs w:val="20"/>
              </w:rPr>
              <w:t xml:space="preserve"> at baseline, and at 1, 2, 3, 6, and 9 months, in accordance with FDA and EMA labelling requirements.</w:t>
            </w:r>
            <w:r w:rsidR="005E0446" w:rsidRPr="00EB1825">
              <w:rPr>
                <w:szCs w:val="20"/>
              </w:rPr>
              <w:t xml:space="preserve"> LFTs from the second year onwards were not included in the economic model, which may be inappropriate.</w:t>
            </w:r>
            <w:r w:rsidR="00C75A8C" w:rsidRPr="00EB1825">
              <w:rPr>
                <w:szCs w:val="20"/>
              </w:rPr>
              <w:t xml:space="preserve"> </w:t>
            </w:r>
            <w:r w:rsidR="008B6220" w:rsidRPr="00EB1825">
              <w:rPr>
                <w:szCs w:val="20"/>
              </w:rPr>
              <w:t xml:space="preserve">The revised PI presented by the </w:t>
            </w:r>
            <w:r w:rsidR="00DE438D" w:rsidRPr="00EB1825">
              <w:rPr>
                <w:szCs w:val="20"/>
              </w:rPr>
              <w:t>re</w:t>
            </w:r>
            <w:r w:rsidR="008B6220" w:rsidRPr="00EB1825">
              <w:rPr>
                <w:szCs w:val="20"/>
              </w:rPr>
              <w:t xml:space="preserve">submission </w:t>
            </w:r>
            <w:r w:rsidR="00C75A8C" w:rsidRPr="00EB1825">
              <w:rPr>
                <w:szCs w:val="20"/>
              </w:rPr>
              <w:t>recommended</w:t>
            </w:r>
            <w:r w:rsidR="00D27511" w:rsidRPr="00EB1825">
              <w:rPr>
                <w:szCs w:val="20"/>
              </w:rPr>
              <w:t xml:space="preserve"> </w:t>
            </w:r>
            <w:r w:rsidR="00C75A8C" w:rsidRPr="00EB1825">
              <w:rPr>
                <w:szCs w:val="20"/>
              </w:rPr>
              <w:t xml:space="preserve">monthly </w:t>
            </w:r>
            <w:r w:rsidR="008B6220" w:rsidRPr="00EB1825">
              <w:rPr>
                <w:szCs w:val="20"/>
              </w:rPr>
              <w:t xml:space="preserve">evaluation </w:t>
            </w:r>
            <w:r w:rsidR="00C75A8C" w:rsidRPr="00EB1825">
              <w:rPr>
                <w:szCs w:val="20"/>
              </w:rPr>
              <w:t xml:space="preserve">for the first three months of initiating </w:t>
            </w:r>
            <w:proofErr w:type="spellStart"/>
            <w:r w:rsidR="00C75A8C" w:rsidRPr="00EB1825">
              <w:rPr>
                <w:szCs w:val="20"/>
              </w:rPr>
              <w:t>fezolinetant</w:t>
            </w:r>
            <w:proofErr w:type="spellEnd"/>
            <w:r w:rsidR="00C75A8C" w:rsidRPr="00EB1825">
              <w:rPr>
                <w:szCs w:val="20"/>
              </w:rPr>
              <w:t xml:space="preserve"> and thereafter periodically based on clinical judgement (para 4.4, </w:t>
            </w:r>
            <w:proofErr w:type="spellStart"/>
            <w:r w:rsidR="00C75A8C" w:rsidRPr="00EB1825">
              <w:rPr>
                <w:szCs w:val="20"/>
              </w:rPr>
              <w:t>fezolinetant</w:t>
            </w:r>
            <w:proofErr w:type="spellEnd"/>
            <w:r w:rsidR="00C75A8C" w:rsidRPr="00EB1825">
              <w:rPr>
                <w:szCs w:val="20"/>
              </w:rPr>
              <w:t xml:space="preserve"> PI).</w:t>
            </w:r>
            <w:r w:rsidR="005E0446" w:rsidRPr="00EB1825">
              <w:rPr>
                <w:szCs w:val="20"/>
              </w:rPr>
              <w:t xml:space="preserve"> Incorporating the cost of </w:t>
            </w:r>
            <w:r w:rsidR="00C75A8C" w:rsidRPr="00EB1825">
              <w:rPr>
                <w:szCs w:val="20"/>
              </w:rPr>
              <w:t>one annual LFT follow-up</w:t>
            </w:r>
            <w:r w:rsidR="005E0446" w:rsidRPr="00EB1825">
              <w:rPr>
                <w:szCs w:val="20"/>
              </w:rPr>
              <w:t xml:space="preserve"> from year two increased the ICER by </w:t>
            </w:r>
            <w:r w:rsidR="00E901B5" w:rsidRPr="00E901B5">
              <w:rPr>
                <w:szCs w:val="20"/>
                <w:highlight w:val="black"/>
              </w:rPr>
              <w:t>&amp;&amp;&amp;&amp;</w:t>
            </w:r>
            <w:r w:rsidR="005E0446" w:rsidRPr="00EB1825">
              <w:rPr>
                <w:szCs w:val="20"/>
              </w:rPr>
              <w:t xml:space="preserve">% (see </w:t>
            </w:r>
            <w:r w:rsidR="005E0446" w:rsidRPr="00EB1825">
              <w:rPr>
                <w:szCs w:val="20"/>
              </w:rPr>
              <w:fldChar w:fldCharType="begin"/>
            </w:r>
            <w:r w:rsidR="005E0446" w:rsidRPr="00EB1825">
              <w:rPr>
                <w:szCs w:val="20"/>
              </w:rPr>
              <w:instrText xml:space="preserve"> REF _Ref204857090 \h </w:instrText>
            </w:r>
            <w:r w:rsidR="00C75A8C" w:rsidRPr="00EB1825">
              <w:rPr>
                <w:szCs w:val="20"/>
              </w:rPr>
              <w:instrText xml:space="preserve"> \* MERGEFORMAT </w:instrText>
            </w:r>
            <w:r w:rsidR="005E0446" w:rsidRPr="00EB1825">
              <w:rPr>
                <w:szCs w:val="20"/>
              </w:rPr>
            </w:r>
            <w:r w:rsidR="005E0446" w:rsidRPr="00EB1825">
              <w:rPr>
                <w:szCs w:val="20"/>
              </w:rPr>
              <w:fldChar w:fldCharType="separate"/>
            </w:r>
            <w:r w:rsidR="00946DF5" w:rsidRPr="00EB1825">
              <w:t xml:space="preserve">Table </w:t>
            </w:r>
            <w:r w:rsidR="00946DF5">
              <w:t>16</w:t>
            </w:r>
            <w:r w:rsidR="005E0446" w:rsidRPr="00EB1825">
              <w:rPr>
                <w:szCs w:val="20"/>
              </w:rPr>
              <w:fldChar w:fldCharType="end"/>
            </w:r>
            <w:r w:rsidR="005E0446" w:rsidRPr="00EB1825">
              <w:rPr>
                <w:szCs w:val="20"/>
              </w:rPr>
              <w:t>).</w:t>
            </w:r>
            <w:r w:rsidR="00EF681A" w:rsidRPr="00EB1825">
              <w:rPr>
                <w:szCs w:val="20"/>
              </w:rPr>
              <w:t xml:space="preserve"> The</w:t>
            </w:r>
            <w:r w:rsidR="00782B21" w:rsidRPr="00EB1825">
              <w:rPr>
                <w:szCs w:val="20"/>
              </w:rPr>
              <w:t xml:space="preserve"> </w:t>
            </w:r>
            <w:r w:rsidR="00EF681A" w:rsidRPr="00EB1825">
              <w:rPr>
                <w:szCs w:val="20"/>
              </w:rPr>
              <w:t xml:space="preserve">ESC </w:t>
            </w:r>
            <w:r w:rsidR="000F562B" w:rsidRPr="00EB1825">
              <w:rPr>
                <w:szCs w:val="20"/>
              </w:rPr>
              <w:t xml:space="preserve">considered this was appropriate but </w:t>
            </w:r>
            <w:r w:rsidR="00EF681A" w:rsidRPr="00EB1825">
              <w:rPr>
                <w:szCs w:val="20"/>
              </w:rPr>
              <w:t xml:space="preserve">noted </w:t>
            </w:r>
            <w:r w:rsidR="00015D91" w:rsidRPr="00EB1825">
              <w:rPr>
                <w:szCs w:val="20"/>
              </w:rPr>
              <w:t>the change</w:t>
            </w:r>
            <w:r w:rsidR="00782B21" w:rsidRPr="00EB1825">
              <w:rPr>
                <w:szCs w:val="20"/>
              </w:rPr>
              <w:t xml:space="preserve"> made </w:t>
            </w:r>
            <w:r w:rsidR="004C5E5B" w:rsidRPr="00EB1825">
              <w:rPr>
                <w:szCs w:val="20"/>
              </w:rPr>
              <w:t>minimal</w:t>
            </w:r>
            <w:r w:rsidR="00782B21" w:rsidRPr="00EB1825">
              <w:rPr>
                <w:szCs w:val="20"/>
              </w:rPr>
              <w:t xml:space="preserve"> difference</w:t>
            </w:r>
            <w:r w:rsidR="00EF681A" w:rsidRPr="00EB1825">
              <w:rPr>
                <w:szCs w:val="20"/>
              </w:rPr>
              <w:t xml:space="preserve"> </w:t>
            </w:r>
            <w:r w:rsidR="0060785D" w:rsidRPr="00EB1825">
              <w:rPr>
                <w:szCs w:val="20"/>
              </w:rPr>
              <w:t xml:space="preserve">to the </w:t>
            </w:r>
            <w:r w:rsidR="007F6B24" w:rsidRPr="00EB1825">
              <w:rPr>
                <w:szCs w:val="20"/>
              </w:rPr>
              <w:t>ICER.</w:t>
            </w:r>
          </w:p>
        </w:tc>
      </w:tr>
    </w:tbl>
    <w:bookmarkEnd w:id="46"/>
    <w:p w14:paraId="4B858BE6" w14:textId="77777777" w:rsidR="005F69BD" w:rsidRPr="00EB1825" w:rsidRDefault="005F69BD" w:rsidP="0045392B">
      <w:pPr>
        <w:pStyle w:val="TableFigureFooter"/>
        <w:keepNext/>
        <w:rPr>
          <w:b/>
          <w:snapToGrid/>
        </w:rPr>
      </w:pPr>
      <w:r w:rsidRPr="00EB1825">
        <w:t>Source: Table “summary of key changes in the model”, p67 of the resubmission and compiled during the evaluation.</w:t>
      </w:r>
    </w:p>
    <w:p w14:paraId="5D54DF87" w14:textId="715B7207" w:rsidR="005F69BD" w:rsidRPr="00EB1825" w:rsidRDefault="005F69BD" w:rsidP="00983422">
      <w:pPr>
        <w:pStyle w:val="TableFigureFooter"/>
        <w:keepNext/>
        <w:spacing w:after="0"/>
        <w:jc w:val="both"/>
      </w:pPr>
      <w:r w:rsidRPr="00EB1825">
        <w:t xml:space="preserve">AEMP=Approved Ex Manufacturer Price, DCE=discrete choice experiment; </w:t>
      </w:r>
      <w:r w:rsidR="00E524A9" w:rsidRPr="00EB1825">
        <w:t xml:space="preserve">ICER=incremental cost-effectiveness ratio; </w:t>
      </w:r>
      <w:r w:rsidRPr="00EB1825">
        <w:t xml:space="preserve">LFT=liver function test; MIN=minutes; </w:t>
      </w:r>
      <w:r w:rsidR="00E524A9" w:rsidRPr="00EB1825">
        <w:t xml:space="preserve">QALY=quality-adjusted life year; </w:t>
      </w:r>
      <w:r w:rsidRPr="00EB1825">
        <w:t xml:space="preserve">VMS=vasomotor symptoms. </w:t>
      </w:r>
    </w:p>
    <w:p w14:paraId="4C9AE019" w14:textId="73898487" w:rsidR="00983422" w:rsidRPr="00EB1825" w:rsidRDefault="00983422" w:rsidP="00983422">
      <w:pPr>
        <w:keepNext/>
        <w:keepLines/>
        <w:rPr>
          <w:rFonts w:ascii="Arial Narrow" w:hAnsi="Arial Narrow"/>
          <w:bCs/>
          <w:sz w:val="18"/>
          <w:szCs w:val="18"/>
        </w:rPr>
      </w:pPr>
      <w:r w:rsidRPr="00EB1825">
        <w:rPr>
          <w:rStyle w:val="CommentReference"/>
          <w:b w:val="0"/>
          <w:sz w:val="18"/>
          <w:szCs w:val="18"/>
          <w:shd w:val="clear" w:color="auto" w:fill="B8CCE4" w:themeFill="accent1" w:themeFillTint="66"/>
        </w:rPr>
        <w:t>Blue</w:t>
      </w:r>
      <w:r w:rsidRPr="00EB1825">
        <w:rPr>
          <w:rFonts w:ascii="Arial Narrow" w:hAnsi="Arial Narrow"/>
          <w:snapToGrid w:val="0"/>
          <w:sz w:val="18"/>
          <w:szCs w:val="22"/>
        </w:rPr>
        <w:t xml:space="preserve"> shading indicates data previously seen by the PBAC.</w:t>
      </w:r>
      <w:r w:rsidRPr="00EB1825">
        <w:rPr>
          <w:rFonts w:ascii="Arial Narrow" w:hAnsi="Arial Narrow"/>
          <w:bCs/>
          <w:sz w:val="18"/>
          <w:szCs w:val="18"/>
        </w:rPr>
        <w:t xml:space="preserve"> </w:t>
      </w:r>
    </w:p>
    <w:p w14:paraId="0B663DB6" w14:textId="77777777" w:rsidR="00F7640F" w:rsidRPr="00F7640F" w:rsidRDefault="00F7640F" w:rsidP="00F7640F">
      <w:pPr>
        <w:jc w:val="left"/>
        <w:rPr>
          <w:rFonts w:ascii="Arial Narrow" w:hAnsi="Arial Narrow"/>
          <w:i/>
          <w:sz w:val="18"/>
          <w:szCs w:val="18"/>
        </w:rPr>
      </w:pPr>
      <w:bookmarkStart w:id="47" w:name="_Hlk219370422"/>
      <w:r w:rsidRPr="00F7640F">
        <w:rPr>
          <w:rFonts w:ascii="Arial Narrow" w:hAnsi="Arial Narrow"/>
          <w:i/>
          <w:sz w:val="18"/>
          <w:szCs w:val="18"/>
        </w:rPr>
        <w:t xml:space="preserve">The redacted values correspond to the following ranges: </w:t>
      </w:r>
    </w:p>
    <w:p w14:paraId="6C5A2E81" w14:textId="36213AA3" w:rsidR="00F7640F" w:rsidRPr="00F7640F" w:rsidRDefault="00F7640F" w:rsidP="00F7640F">
      <w:pPr>
        <w:jc w:val="left"/>
        <w:rPr>
          <w:rFonts w:ascii="Arial Narrow" w:hAnsi="Arial Narrow"/>
          <w:i/>
          <w:sz w:val="18"/>
          <w:szCs w:val="18"/>
        </w:rPr>
      </w:pPr>
      <w:r w:rsidRPr="00F7640F">
        <w:rPr>
          <w:rFonts w:ascii="Arial Narrow" w:hAnsi="Arial Narrow"/>
          <w:i/>
          <w:sz w:val="18"/>
          <w:szCs w:val="18"/>
          <w:vertAlign w:val="superscript"/>
        </w:rPr>
        <w:t>1</w:t>
      </w:r>
      <w:r w:rsidRPr="00F7640F">
        <w:rPr>
          <w:rFonts w:ascii="Arial Narrow" w:hAnsi="Arial Narrow"/>
          <w:i/>
          <w:sz w:val="18"/>
          <w:szCs w:val="18"/>
        </w:rPr>
        <w:t xml:space="preserve"> </w:t>
      </w:r>
      <w:r w:rsidR="00175CB4" w:rsidRPr="00175CB4">
        <w:rPr>
          <w:rFonts w:ascii="Arial Narrow" w:hAnsi="Arial Narrow"/>
          <w:i/>
          <w:sz w:val="18"/>
          <w:szCs w:val="18"/>
        </w:rPr>
        <w:t>$35,000 to &lt; $45,000</w:t>
      </w:r>
    </w:p>
    <w:p w14:paraId="136CF1BD" w14:textId="77777777" w:rsidR="003777B4" w:rsidRDefault="00F7640F" w:rsidP="00F7640F">
      <w:pPr>
        <w:jc w:val="left"/>
        <w:rPr>
          <w:rFonts w:ascii="Arial Narrow" w:hAnsi="Arial Narrow"/>
          <w:i/>
          <w:sz w:val="18"/>
          <w:szCs w:val="18"/>
        </w:rPr>
      </w:pPr>
      <w:r w:rsidRPr="00F7640F">
        <w:rPr>
          <w:rFonts w:ascii="Arial Narrow" w:hAnsi="Arial Narrow"/>
          <w:i/>
          <w:sz w:val="18"/>
          <w:szCs w:val="18"/>
          <w:vertAlign w:val="superscript"/>
        </w:rPr>
        <w:t>2</w:t>
      </w:r>
      <w:r w:rsidRPr="00F7640F">
        <w:rPr>
          <w:rFonts w:ascii="Arial Narrow" w:hAnsi="Arial Narrow"/>
          <w:i/>
          <w:sz w:val="18"/>
          <w:szCs w:val="18"/>
        </w:rPr>
        <w:t xml:space="preserve"> </w:t>
      </w:r>
      <w:r w:rsidR="001A0291" w:rsidRPr="001A0291">
        <w:rPr>
          <w:rFonts w:ascii="Arial Narrow" w:hAnsi="Arial Narrow"/>
          <w:i/>
          <w:sz w:val="18"/>
          <w:szCs w:val="18"/>
        </w:rPr>
        <w:t>$15,000 to &lt; $25,000</w:t>
      </w:r>
    </w:p>
    <w:p w14:paraId="641242E4" w14:textId="3B8DA596" w:rsidR="00265910" w:rsidRPr="00265910" w:rsidRDefault="003777B4" w:rsidP="00265910">
      <w:pPr>
        <w:jc w:val="left"/>
        <w:rPr>
          <w:rFonts w:ascii="Arial Narrow" w:hAnsi="Arial Narrow"/>
          <w:i/>
          <w:sz w:val="18"/>
          <w:szCs w:val="18"/>
          <w:vertAlign w:val="superscript"/>
        </w:rPr>
      </w:pPr>
      <w:r>
        <w:rPr>
          <w:rFonts w:ascii="Arial Narrow" w:hAnsi="Arial Narrow"/>
          <w:i/>
          <w:sz w:val="18"/>
          <w:szCs w:val="18"/>
          <w:vertAlign w:val="superscript"/>
        </w:rPr>
        <w:t>3</w:t>
      </w:r>
      <w:bookmarkStart w:id="48" w:name="_Hlk219370802"/>
      <w:bookmarkStart w:id="49" w:name="_Hlk219371936"/>
      <w:r w:rsidR="00265910">
        <w:rPr>
          <w:rFonts w:ascii="Arial Narrow" w:hAnsi="Arial Narrow"/>
          <w:i/>
          <w:sz w:val="18"/>
          <w:szCs w:val="18"/>
          <w:vertAlign w:val="superscript"/>
        </w:rPr>
        <w:t xml:space="preserve"> </w:t>
      </w:r>
      <w:r w:rsidR="00265910" w:rsidRPr="00265910">
        <w:rPr>
          <w:rFonts w:ascii="Arial Narrow" w:hAnsi="Arial Narrow"/>
          <w:i/>
          <w:sz w:val="18"/>
          <w:szCs w:val="18"/>
        </w:rPr>
        <w:t>$25,000 to &lt; $35,000</w:t>
      </w:r>
      <w:bookmarkEnd w:id="48"/>
    </w:p>
    <w:bookmarkEnd w:id="49"/>
    <w:p w14:paraId="3947B2E9" w14:textId="2B9D129A" w:rsidR="00F7640F" w:rsidRPr="00F7640F" w:rsidRDefault="00F7640F" w:rsidP="00F7640F">
      <w:pPr>
        <w:jc w:val="left"/>
        <w:rPr>
          <w:rFonts w:ascii="Arial Narrow" w:hAnsi="Arial Narrow"/>
          <w:i/>
          <w:sz w:val="18"/>
          <w:szCs w:val="18"/>
          <w:vertAlign w:val="superscript"/>
        </w:rPr>
      </w:pPr>
    </w:p>
    <w:bookmarkEnd w:id="47"/>
    <w:p w14:paraId="1643492E" w14:textId="5CD1A422" w:rsidR="00983422" w:rsidRPr="00EB1825" w:rsidRDefault="00983422" w:rsidP="00983422">
      <w:pPr>
        <w:pStyle w:val="FooterTableFigure"/>
      </w:pPr>
    </w:p>
    <w:p w14:paraId="1C102A3E" w14:textId="31F390D6" w:rsidR="005F69BD" w:rsidRPr="00463CB6" w:rsidRDefault="005F69BD" w:rsidP="00766C07">
      <w:pPr>
        <w:pStyle w:val="3-BodyText"/>
      </w:pPr>
      <w:r w:rsidRPr="00463CB6">
        <w:t>For clarity, the stepped changes from the March 2025 submission to the November 2025 resubmission</w:t>
      </w:r>
      <w:r w:rsidR="00857974" w:rsidRPr="00463CB6">
        <w:t>, along with</w:t>
      </w:r>
      <w:r w:rsidRPr="00463CB6">
        <w:t xml:space="preserve"> </w:t>
      </w:r>
      <w:r w:rsidR="00857974" w:rsidRPr="00463CB6">
        <w:t xml:space="preserve">their impact </w:t>
      </w:r>
      <w:r w:rsidRPr="00463CB6">
        <w:t>on the base case ICER</w:t>
      </w:r>
      <w:r w:rsidR="00857974" w:rsidRPr="00463CB6">
        <w:t>,</w:t>
      </w:r>
      <w:r w:rsidRPr="00463CB6">
        <w:t xml:space="preserve"> are summarised in </w:t>
      </w:r>
      <w:r w:rsidR="005B6061">
        <w:fldChar w:fldCharType="begin"/>
      </w:r>
      <w:r w:rsidR="005B6061">
        <w:instrText>REF _Ref183799826  \* MERGEFORMAT</w:instrText>
      </w:r>
      <w:r w:rsidR="005B6061">
        <w:fldChar w:fldCharType="separate"/>
      </w:r>
      <w:r w:rsidR="00946DF5" w:rsidRPr="00946DF5">
        <w:rPr>
          <w:rStyle w:val="CommentReference"/>
          <w:rFonts w:asciiTheme="minorHAnsi" w:hAnsiTheme="minorHAnsi"/>
          <w:b w:val="0"/>
          <w:sz w:val="24"/>
          <w:szCs w:val="22"/>
        </w:rPr>
        <w:t xml:space="preserve">Table </w:t>
      </w:r>
      <w:r w:rsidR="00946DF5">
        <w:t>9</w:t>
      </w:r>
      <w:r w:rsidR="005B6061">
        <w:fldChar w:fldCharType="end"/>
      </w:r>
      <w:r w:rsidRPr="00463CB6">
        <w:t xml:space="preserve">. Compared to the March 2025 submission, changes </w:t>
      </w:r>
      <w:r w:rsidR="00857974" w:rsidRPr="00463CB6">
        <w:t>made in the</w:t>
      </w:r>
      <w:r w:rsidRPr="00463CB6">
        <w:t xml:space="preserve"> resubmission </w:t>
      </w:r>
      <w:r w:rsidR="00857974" w:rsidRPr="00463CB6">
        <w:t xml:space="preserve">reduced </w:t>
      </w:r>
      <w:r w:rsidRPr="00463CB6">
        <w:t xml:space="preserve">the ICER by </w:t>
      </w:r>
      <w:r w:rsidR="00E901B5" w:rsidRPr="00E901B5">
        <w:rPr>
          <w:highlight w:val="black"/>
        </w:rPr>
        <w:t>&amp;&amp;&amp;&amp;</w:t>
      </w:r>
      <w:r w:rsidRPr="00463CB6">
        <w:t>%.</w:t>
      </w:r>
    </w:p>
    <w:p w14:paraId="33314B17" w14:textId="0FCDE4F4" w:rsidR="005F69BD" w:rsidRPr="00EB1825" w:rsidRDefault="005F69BD" w:rsidP="0045392B">
      <w:pPr>
        <w:pStyle w:val="Caption"/>
        <w:jc w:val="left"/>
      </w:pPr>
      <w:bookmarkStart w:id="50" w:name="_Ref183799826"/>
      <w:bookmarkStart w:id="51" w:name="_Hlk182563163"/>
      <w:r w:rsidRPr="00EB1825">
        <w:t xml:space="preserve">Table </w:t>
      </w:r>
      <w:r w:rsidR="005B6061">
        <w:fldChar w:fldCharType="begin"/>
      </w:r>
      <w:r w:rsidR="005B6061">
        <w:instrText xml:space="preserve"> SEQ Table \* ARABIC </w:instrText>
      </w:r>
      <w:r w:rsidR="005B6061">
        <w:fldChar w:fldCharType="separate"/>
      </w:r>
      <w:r w:rsidR="00946DF5">
        <w:rPr>
          <w:noProof/>
        </w:rPr>
        <w:t>9</w:t>
      </w:r>
      <w:r w:rsidR="005B6061">
        <w:rPr>
          <w:noProof/>
        </w:rPr>
        <w:fldChar w:fldCharType="end"/>
      </w:r>
      <w:bookmarkEnd w:id="50"/>
      <w:r w:rsidRPr="00EB1825">
        <w:t xml:space="preserve">: </w:t>
      </w:r>
      <w:bookmarkStart w:id="52" w:name="_Hlk203641277"/>
      <w:r w:rsidRPr="00EB1825">
        <w:t>Model changes (versus March 2025) and the stepped effect of each amendment on the ICER</w:t>
      </w:r>
      <w:bookmarkEnd w:id="52"/>
    </w:p>
    <w:tbl>
      <w:tblPr>
        <w:tblStyle w:val="TableGrid2"/>
        <w:tblW w:w="5000" w:type="pct"/>
        <w:tblInd w:w="0" w:type="dxa"/>
        <w:tblCellMar>
          <w:left w:w="28" w:type="dxa"/>
          <w:right w:w="28" w:type="dxa"/>
        </w:tblCellMar>
        <w:tblLook w:val="04A0" w:firstRow="1" w:lastRow="0" w:firstColumn="1" w:lastColumn="0" w:noHBand="0" w:noVBand="1"/>
        <w:tblCaption w:val="Table 9: Model changes (versus March 2025) and the stepped effect of each amendment on the ICER"/>
      </w:tblPr>
      <w:tblGrid>
        <w:gridCol w:w="2829"/>
        <w:gridCol w:w="2269"/>
        <w:gridCol w:w="994"/>
        <w:gridCol w:w="1134"/>
        <w:gridCol w:w="851"/>
        <w:gridCol w:w="940"/>
      </w:tblGrid>
      <w:tr w:rsidR="005F69BD" w:rsidRPr="00EB1825" w14:paraId="1310CFEB" w14:textId="77777777" w:rsidTr="00891F79">
        <w:trPr>
          <w:trHeight w:val="20"/>
        </w:trPr>
        <w:tc>
          <w:tcPr>
            <w:tcW w:w="1569" w:type="pct"/>
            <w:tcBorders>
              <w:top w:val="single" w:sz="4" w:space="0" w:color="auto"/>
              <w:left w:val="single" w:sz="4" w:space="0" w:color="auto"/>
              <w:bottom w:val="single" w:sz="4" w:space="0" w:color="auto"/>
              <w:right w:val="single" w:sz="4" w:space="0" w:color="auto"/>
            </w:tcBorders>
          </w:tcPr>
          <w:p w14:paraId="051A7E89" w14:textId="77777777" w:rsidR="005F69BD" w:rsidRPr="00EB1825" w:rsidRDefault="005F69BD" w:rsidP="0045392B">
            <w:pPr>
              <w:pStyle w:val="TableText0"/>
              <w:jc w:val="center"/>
              <w:rPr>
                <w:rFonts w:cs="Times New Roman"/>
                <w:b/>
                <w:bCs w:val="0"/>
                <w:sz w:val="20"/>
                <w:szCs w:val="20"/>
              </w:rPr>
            </w:pPr>
          </w:p>
        </w:tc>
        <w:tc>
          <w:tcPr>
            <w:tcW w:w="1258" w:type="pct"/>
            <w:tcBorders>
              <w:top w:val="single" w:sz="4" w:space="0" w:color="auto"/>
              <w:left w:val="single" w:sz="4" w:space="0" w:color="auto"/>
              <w:bottom w:val="single" w:sz="4" w:space="0" w:color="auto"/>
              <w:right w:val="single" w:sz="4" w:space="0" w:color="auto"/>
            </w:tcBorders>
            <w:hideMark/>
          </w:tcPr>
          <w:p w14:paraId="647504B1" w14:textId="77777777" w:rsidR="005F69BD" w:rsidRPr="00EB1825" w:rsidRDefault="005F69BD" w:rsidP="0045392B">
            <w:pPr>
              <w:pStyle w:val="TableText0"/>
              <w:jc w:val="center"/>
              <w:rPr>
                <w:rFonts w:cs="Times New Roman"/>
                <w:b/>
                <w:bCs w:val="0"/>
                <w:sz w:val="20"/>
                <w:szCs w:val="20"/>
              </w:rPr>
            </w:pPr>
            <w:r w:rsidRPr="00EB1825">
              <w:rPr>
                <w:rFonts w:cs="Times New Roman"/>
                <w:b/>
                <w:bCs w:val="0"/>
                <w:sz w:val="20"/>
                <w:szCs w:val="20"/>
              </w:rPr>
              <w:t>Parameter change</w:t>
            </w:r>
          </w:p>
        </w:tc>
        <w:tc>
          <w:tcPr>
            <w:tcW w:w="551" w:type="pct"/>
            <w:tcBorders>
              <w:top w:val="single" w:sz="4" w:space="0" w:color="auto"/>
              <w:left w:val="single" w:sz="4" w:space="0" w:color="auto"/>
              <w:bottom w:val="single" w:sz="4" w:space="0" w:color="auto"/>
              <w:right w:val="single" w:sz="4" w:space="0" w:color="auto"/>
            </w:tcBorders>
            <w:hideMark/>
          </w:tcPr>
          <w:p w14:paraId="7841D99B" w14:textId="77777777" w:rsidR="005F69BD" w:rsidRPr="00EB1825" w:rsidRDefault="005F69BD" w:rsidP="0045392B">
            <w:pPr>
              <w:pStyle w:val="TableText0"/>
              <w:jc w:val="center"/>
              <w:rPr>
                <w:rFonts w:cs="Times New Roman"/>
                <w:b/>
                <w:bCs w:val="0"/>
                <w:sz w:val="20"/>
                <w:szCs w:val="20"/>
              </w:rPr>
            </w:pPr>
            <w:r w:rsidRPr="00EB1825">
              <w:rPr>
                <w:rFonts w:cs="Times New Roman"/>
                <w:b/>
                <w:bCs w:val="0"/>
                <w:sz w:val="20"/>
                <w:szCs w:val="20"/>
              </w:rPr>
              <w:t>Incr. Cost</w:t>
            </w:r>
          </w:p>
        </w:tc>
        <w:tc>
          <w:tcPr>
            <w:tcW w:w="629" w:type="pct"/>
            <w:tcBorders>
              <w:top w:val="single" w:sz="4" w:space="0" w:color="auto"/>
              <w:left w:val="single" w:sz="4" w:space="0" w:color="auto"/>
              <w:bottom w:val="single" w:sz="4" w:space="0" w:color="auto"/>
              <w:right w:val="single" w:sz="4" w:space="0" w:color="auto"/>
            </w:tcBorders>
            <w:hideMark/>
          </w:tcPr>
          <w:p w14:paraId="11461150" w14:textId="77777777" w:rsidR="005F69BD" w:rsidRPr="00EB1825" w:rsidRDefault="005F69BD" w:rsidP="0045392B">
            <w:pPr>
              <w:pStyle w:val="TableText0"/>
              <w:jc w:val="center"/>
              <w:rPr>
                <w:rFonts w:cs="Times New Roman"/>
                <w:b/>
                <w:bCs w:val="0"/>
                <w:sz w:val="20"/>
                <w:szCs w:val="20"/>
              </w:rPr>
            </w:pPr>
            <w:r w:rsidRPr="00EB1825">
              <w:rPr>
                <w:rFonts w:cs="Times New Roman"/>
                <w:b/>
                <w:bCs w:val="0"/>
                <w:sz w:val="20"/>
                <w:szCs w:val="20"/>
              </w:rPr>
              <w:t>Incr. QALYs</w:t>
            </w:r>
          </w:p>
        </w:tc>
        <w:tc>
          <w:tcPr>
            <w:tcW w:w="472" w:type="pct"/>
            <w:tcBorders>
              <w:top w:val="single" w:sz="4" w:space="0" w:color="auto"/>
              <w:left w:val="single" w:sz="4" w:space="0" w:color="auto"/>
              <w:bottom w:val="single" w:sz="4" w:space="0" w:color="auto"/>
              <w:right w:val="single" w:sz="4" w:space="0" w:color="auto"/>
            </w:tcBorders>
            <w:hideMark/>
          </w:tcPr>
          <w:p w14:paraId="4812E33C" w14:textId="77777777" w:rsidR="005F69BD" w:rsidRPr="00EB1825" w:rsidRDefault="005F69BD" w:rsidP="0045392B">
            <w:pPr>
              <w:pStyle w:val="TableText0"/>
              <w:jc w:val="center"/>
              <w:rPr>
                <w:rFonts w:cs="Times New Roman"/>
                <w:b/>
                <w:bCs w:val="0"/>
                <w:sz w:val="20"/>
                <w:szCs w:val="20"/>
              </w:rPr>
            </w:pPr>
            <w:r w:rsidRPr="00EB1825">
              <w:rPr>
                <w:rFonts w:cs="Times New Roman"/>
                <w:b/>
                <w:bCs w:val="0"/>
                <w:sz w:val="20"/>
                <w:szCs w:val="20"/>
              </w:rPr>
              <w:t>ICER</w:t>
            </w:r>
          </w:p>
        </w:tc>
        <w:tc>
          <w:tcPr>
            <w:tcW w:w="521" w:type="pct"/>
            <w:tcBorders>
              <w:top w:val="single" w:sz="4" w:space="0" w:color="auto"/>
              <w:left w:val="single" w:sz="4" w:space="0" w:color="auto"/>
              <w:bottom w:val="single" w:sz="4" w:space="0" w:color="auto"/>
              <w:right w:val="single" w:sz="4" w:space="0" w:color="auto"/>
            </w:tcBorders>
            <w:hideMark/>
          </w:tcPr>
          <w:p w14:paraId="17A43EFB" w14:textId="20768874" w:rsidR="005F69BD" w:rsidRPr="00EB1825" w:rsidRDefault="005F69BD" w:rsidP="0045392B">
            <w:pPr>
              <w:pStyle w:val="TableText0"/>
              <w:jc w:val="center"/>
              <w:rPr>
                <w:rFonts w:cs="Times New Roman"/>
                <w:b/>
                <w:bCs w:val="0"/>
                <w:szCs w:val="20"/>
              </w:rPr>
            </w:pPr>
            <w:r w:rsidRPr="00EB1825">
              <w:rPr>
                <w:rFonts w:cs="Times New Roman"/>
                <w:b/>
                <w:bCs w:val="0"/>
                <w:sz w:val="20"/>
                <w:szCs w:val="20"/>
              </w:rPr>
              <w:t xml:space="preserve">% </w:t>
            </w:r>
            <w:r w:rsidR="00162B46" w:rsidRPr="00EB1825">
              <w:rPr>
                <w:rFonts w:cs="Times New Roman"/>
                <w:b/>
                <w:bCs w:val="0"/>
                <w:sz w:val="20"/>
                <w:szCs w:val="20"/>
              </w:rPr>
              <w:t>Change</w:t>
            </w:r>
          </w:p>
        </w:tc>
      </w:tr>
      <w:tr w:rsidR="005F69BD" w:rsidRPr="00EB1825" w14:paraId="2525C599" w14:textId="77777777" w:rsidTr="00891F79">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7052EB6" w14:textId="77777777" w:rsidR="005F69BD" w:rsidRPr="00EB1825" w:rsidRDefault="005F69BD" w:rsidP="0045392B">
            <w:pPr>
              <w:pStyle w:val="TableText0"/>
              <w:rPr>
                <w:sz w:val="20"/>
                <w:szCs w:val="20"/>
              </w:rPr>
            </w:pPr>
            <w:r w:rsidRPr="00EB1825">
              <w:rPr>
                <w:sz w:val="20"/>
                <w:szCs w:val="20"/>
              </w:rPr>
              <w:t>March 2025 submission base case</w:t>
            </w:r>
          </w:p>
        </w:tc>
        <w:tc>
          <w:tcPr>
            <w:tcW w:w="125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DDA267" w14:textId="77777777" w:rsidR="005F69BD" w:rsidRPr="00EB1825" w:rsidRDefault="005F69BD" w:rsidP="0045392B">
            <w:pPr>
              <w:pStyle w:val="TableText0"/>
              <w:rPr>
                <w:sz w:val="20"/>
                <w:szCs w:val="20"/>
              </w:rPr>
            </w:pPr>
            <w:r w:rsidRPr="00EB1825">
              <w:rPr>
                <w:sz w:val="20"/>
                <w:szCs w:val="20"/>
              </w:rPr>
              <w:t>Presented by the sponsor</w:t>
            </w:r>
          </w:p>
        </w:tc>
        <w:tc>
          <w:tcPr>
            <w:tcW w:w="55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DAC42A8" w14:textId="060BDBED" w:rsidR="005F69BD" w:rsidRPr="00EB1825" w:rsidRDefault="005F69BD" w:rsidP="0045392B">
            <w:pPr>
              <w:pStyle w:val="TableText0"/>
              <w:rPr>
                <w:sz w:val="20"/>
                <w:szCs w:val="20"/>
              </w:rPr>
            </w:pPr>
            <w:r w:rsidRPr="00EB1825">
              <w:rPr>
                <w:sz w:val="20"/>
                <w:szCs w:val="20"/>
              </w:rPr>
              <w:t>$</w:t>
            </w:r>
            <w:r w:rsidR="00E901B5" w:rsidRPr="00E901B5">
              <w:rPr>
                <w:sz w:val="20"/>
                <w:szCs w:val="20"/>
                <w:highlight w:val="black"/>
              </w:rPr>
              <w:t>&amp;&amp;&amp;&amp;</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485D69D" w14:textId="77777777" w:rsidR="005F69BD" w:rsidRPr="00EB1825" w:rsidRDefault="005F69BD" w:rsidP="0045392B">
            <w:pPr>
              <w:pStyle w:val="TableText0"/>
              <w:rPr>
                <w:sz w:val="20"/>
                <w:szCs w:val="20"/>
              </w:rPr>
            </w:pPr>
            <w:r w:rsidRPr="00EB1825">
              <w:rPr>
                <w:sz w:val="20"/>
                <w:szCs w:val="20"/>
              </w:rPr>
              <w:t>0.091</w:t>
            </w:r>
          </w:p>
        </w:tc>
        <w:tc>
          <w:tcPr>
            <w:tcW w:w="47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D8705A0" w14:textId="0A4FF5C0" w:rsidR="005F69BD" w:rsidRPr="00EB1825" w:rsidRDefault="005F69BD" w:rsidP="0045392B">
            <w:pPr>
              <w:pStyle w:val="TableText0"/>
              <w:rPr>
                <w:b/>
                <w:bCs w:val="0"/>
                <w:sz w:val="20"/>
                <w:szCs w:val="20"/>
              </w:rPr>
            </w:pPr>
            <w:r w:rsidRPr="00EB1825">
              <w:rPr>
                <w:b/>
                <w:bCs w:val="0"/>
                <w:sz w:val="20"/>
                <w:szCs w:val="20"/>
              </w:rPr>
              <w:t>$</w:t>
            </w:r>
            <w:r w:rsidR="00E901B5" w:rsidRPr="00E901B5">
              <w:rPr>
                <w:b/>
                <w:bCs w:val="0"/>
                <w:sz w:val="20"/>
                <w:szCs w:val="20"/>
                <w:highlight w:val="black"/>
              </w:rPr>
              <w:t>&amp;&amp;&amp;&amp;</w:t>
            </w:r>
            <w:r w:rsidR="0054061D">
              <w:rPr>
                <w:sz w:val="20"/>
                <w:szCs w:val="20"/>
                <w:vertAlign w:val="superscript"/>
              </w:rPr>
              <w:t>1</w:t>
            </w:r>
            <w:r w:rsidRPr="00EB1825">
              <w:rPr>
                <w:b/>
                <w:bCs w:val="0"/>
                <w:sz w:val="20"/>
                <w:szCs w:val="20"/>
              </w:rPr>
              <w:t xml:space="preserve"> </w:t>
            </w:r>
          </w:p>
        </w:tc>
        <w:tc>
          <w:tcPr>
            <w:tcW w:w="52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EF94A0" w14:textId="77777777" w:rsidR="005F69BD" w:rsidRPr="00EB1825" w:rsidRDefault="005F69BD" w:rsidP="0045392B">
            <w:pPr>
              <w:pStyle w:val="TableText0"/>
              <w:rPr>
                <w:b/>
                <w:bCs w:val="0"/>
                <w:szCs w:val="20"/>
              </w:rPr>
            </w:pPr>
            <w:r w:rsidRPr="00EB1825">
              <w:rPr>
                <w:b/>
                <w:bCs w:val="0"/>
                <w:sz w:val="20"/>
                <w:szCs w:val="20"/>
              </w:rPr>
              <w:t>N/A</w:t>
            </w:r>
          </w:p>
        </w:tc>
      </w:tr>
      <w:tr w:rsidR="005F69BD" w:rsidRPr="00EB1825" w14:paraId="1AB81BB6" w14:textId="77777777" w:rsidTr="00891F79">
        <w:trPr>
          <w:trHeight w:val="20"/>
        </w:trPr>
        <w:tc>
          <w:tcPr>
            <w:tcW w:w="1569" w:type="pct"/>
            <w:vMerge w:val="restart"/>
            <w:tcBorders>
              <w:top w:val="single" w:sz="4" w:space="0" w:color="auto"/>
              <w:left w:val="single" w:sz="4" w:space="0" w:color="auto"/>
              <w:bottom w:val="single" w:sz="4" w:space="0" w:color="auto"/>
              <w:right w:val="single" w:sz="4" w:space="0" w:color="auto"/>
            </w:tcBorders>
            <w:hideMark/>
          </w:tcPr>
          <w:p w14:paraId="351A41A5" w14:textId="77777777" w:rsidR="005F69BD" w:rsidRPr="00EB1825" w:rsidRDefault="005F69BD" w:rsidP="0045392B">
            <w:pPr>
              <w:pStyle w:val="TableText0"/>
              <w:rPr>
                <w:sz w:val="20"/>
                <w:szCs w:val="20"/>
              </w:rPr>
            </w:pPr>
            <w:r w:rsidRPr="00EB1825">
              <w:rPr>
                <w:sz w:val="20"/>
                <w:szCs w:val="20"/>
              </w:rPr>
              <w:t>November 2025 resubmission base case</w:t>
            </w:r>
          </w:p>
        </w:tc>
        <w:tc>
          <w:tcPr>
            <w:tcW w:w="1258" w:type="pct"/>
            <w:tcBorders>
              <w:top w:val="single" w:sz="4" w:space="0" w:color="auto"/>
              <w:left w:val="single" w:sz="4" w:space="0" w:color="auto"/>
              <w:bottom w:val="single" w:sz="4" w:space="0" w:color="auto"/>
              <w:right w:val="single" w:sz="4" w:space="0" w:color="auto"/>
            </w:tcBorders>
            <w:hideMark/>
          </w:tcPr>
          <w:p w14:paraId="4B552039" w14:textId="77777777" w:rsidR="005F69BD" w:rsidRPr="00EB1825" w:rsidRDefault="005F69BD" w:rsidP="0045392B">
            <w:pPr>
              <w:pStyle w:val="TableText0"/>
              <w:rPr>
                <w:sz w:val="20"/>
                <w:szCs w:val="20"/>
              </w:rPr>
            </w:pPr>
            <w:r w:rsidRPr="00EB1825">
              <w:rPr>
                <w:sz w:val="20"/>
                <w:szCs w:val="20"/>
              </w:rPr>
              <w:t xml:space="preserve">+ Change in drug cost </w:t>
            </w:r>
          </w:p>
        </w:tc>
        <w:tc>
          <w:tcPr>
            <w:tcW w:w="551" w:type="pct"/>
            <w:tcBorders>
              <w:top w:val="single" w:sz="4" w:space="0" w:color="auto"/>
              <w:left w:val="single" w:sz="4" w:space="0" w:color="auto"/>
              <w:bottom w:val="single" w:sz="4" w:space="0" w:color="auto"/>
              <w:right w:val="single" w:sz="4" w:space="0" w:color="auto"/>
            </w:tcBorders>
            <w:hideMark/>
          </w:tcPr>
          <w:p w14:paraId="1BC1F6E9" w14:textId="0A6EEFA5" w:rsidR="005F69BD" w:rsidRPr="00EB1825" w:rsidRDefault="005F69BD" w:rsidP="0045392B">
            <w:pPr>
              <w:pStyle w:val="TableText0"/>
              <w:rPr>
                <w:sz w:val="20"/>
                <w:szCs w:val="20"/>
              </w:rPr>
            </w:pPr>
            <w:r w:rsidRPr="00EB1825">
              <w:rPr>
                <w:sz w:val="20"/>
                <w:szCs w:val="20"/>
              </w:rPr>
              <w:t>$</w:t>
            </w:r>
            <w:r w:rsidR="00E901B5" w:rsidRPr="00E901B5">
              <w:rPr>
                <w:sz w:val="20"/>
                <w:szCs w:val="20"/>
                <w:highlight w:val="black"/>
              </w:rPr>
              <w:t>&amp;&amp;&amp;&amp;</w:t>
            </w:r>
          </w:p>
        </w:tc>
        <w:tc>
          <w:tcPr>
            <w:tcW w:w="629" w:type="pct"/>
            <w:tcBorders>
              <w:top w:val="single" w:sz="4" w:space="0" w:color="auto"/>
              <w:left w:val="single" w:sz="4" w:space="0" w:color="auto"/>
              <w:bottom w:val="single" w:sz="4" w:space="0" w:color="auto"/>
              <w:right w:val="single" w:sz="4" w:space="0" w:color="auto"/>
            </w:tcBorders>
            <w:hideMark/>
          </w:tcPr>
          <w:p w14:paraId="7B2A1811" w14:textId="77777777" w:rsidR="005F69BD" w:rsidRPr="00EB1825" w:rsidRDefault="005F69BD" w:rsidP="0045392B">
            <w:pPr>
              <w:pStyle w:val="TableText0"/>
              <w:rPr>
                <w:sz w:val="20"/>
                <w:szCs w:val="20"/>
              </w:rPr>
            </w:pPr>
            <w:r w:rsidRPr="00EB1825">
              <w:rPr>
                <w:sz w:val="20"/>
                <w:szCs w:val="20"/>
              </w:rPr>
              <w:t>0.091</w:t>
            </w:r>
          </w:p>
        </w:tc>
        <w:tc>
          <w:tcPr>
            <w:tcW w:w="472" w:type="pct"/>
            <w:tcBorders>
              <w:top w:val="single" w:sz="4" w:space="0" w:color="auto"/>
              <w:left w:val="single" w:sz="4" w:space="0" w:color="auto"/>
              <w:bottom w:val="single" w:sz="4" w:space="0" w:color="auto"/>
              <w:right w:val="single" w:sz="4" w:space="0" w:color="auto"/>
            </w:tcBorders>
            <w:hideMark/>
          </w:tcPr>
          <w:p w14:paraId="18EA32B3" w14:textId="7058C48E" w:rsidR="005F69BD" w:rsidRPr="00C95358" w:rsidRDefault="005F69BD" w:rsidP="0045392B">
            <w:pPr>
              <w:pStyle w:val="TableText0"/>
              <w:rPr>
                <w:sz w:val="20"/>
                <w:szCs w:val="20"/>
                <w:vertAlign w:val="superscript"/>
              </w:rPr>
            </w:pPr>
            <w:r w:rsidRPr="00EB1825">
              <w:rPr>
                <w:sz w:val="20"/>
                <w:szCs w:val="20"/>
              </w:rPr>
              <w:t>$</w:t>
            </w:r>
            <w:r w:rsidR="00E901B5" w:rsidRPr="00E901B5">
              <w:rPr>
                <w:sz w:val="20"/>
                <w:szCs w:val="20"/>
                <w:highlight w:val="black"/>
              </w:rPr>
              <w:t>&amp;&amp;&amp;&amp;</w:t>
            </w:r>
            <w:r w:rsidR="00C95358">
              <w:rPr>
                <w:sz w:val="20"/>
                <w:szCs w:val="20"/>
                <w:vertAlign w:val="superscript"/>
              </w:rPr>
              <w:t>2</w:t>
            </w:r>
          </w:p>
        </w:tc>
        <w:tc>
          <w:tcPr>
            <w:tcW w:w="521" w:type="pct"/>
            <w:tcBorders>
              <w:top w:val="single" w:sz="4" w:space="0" w:color="auto"/>
              <w:left w:val="single" w:sz="4" w:space="0" w:color="auto"/>
              <w:bottom w:val="single" w:sz="4" w:space="0" w:color="auto"/>
              <w:right w:val="single" w:sz="4" w:space="0" w:color="auto"/>
            </w:tcBorders>
            <w:hideMark/>
          </w:tcPr>
          <w:p w14:paraId="6BA7AD81" w14:textId="05FC583D" w:rsidR="005F69BD" w:rsidRPr="00EB1825" w:rsidRDefault="005F69BD" w:rsidP="0045392B">
            <w:pPr>
              <w:pStyle w:val="TableText0"/>
              <w:rPr>
                <w:sz w:val="20"/>
                <w:szCs w:val="20"/>
              </w:rPr>
            </w:pPr>
            <w:r w:rsidRPr="00EB1825">
              <w:rPr>
                <w:sz w:val="20"/>
                <w:szCs w:val="20"/>
              </w:rPr>
              <w:t>-</w:t>
            </w:r>
            <w:r w:rsidR="00E901B5" w:rsidRPr="00E901B5">
              <w:rPr>
                <w:sz w:val="20"/>
                <w:szCs w:val="20"/>
                <w:highlight w:val="black"/>
              </w:rPr>
              <w:t>&amp;&amp;&amp;&amp;</w:t>
            </w:r>
            <w:r w:rsidRPr="00EB1825">
              <w:rPr>
                <w:sz w:val="20"/>
                <w:szCs w:val="20"/>
              </w:rPr>
              <w:t>%</w:t>
            </w:r>
          </w:p>
        </w:tc>
      </w:tr>
      <w:tr w:rsidR="005F69BD" w:rsidRPr="00EB1825" w14:paraId="46388627" w14:textId="77777777" w:rsidTr="00891F7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0BD3AF" w14:textId="77777777" w:rsidR="005F69BD" w:rsidRPr="00EB1825" w:rsidRDefault="005F69BD" w:rsidP="0045392B">
            <w:pPr>
              <w:keepNext/>
              <w:keepLines/>
              <w:jc w:val="left"/>
              <w:rPr>
                <w:rFonts w:ascii="Arial Narrow" w:eastAsiaTheme="majorEastAsia" w:hAnsi="Arial Narrow" w:cstheme="majorBidi"/>
                <w:bCs/>
                <w:sz w:val="20"/>
                <w:szCs w:val="20"/>
              </w:rPr>
            </w:pPr>
          </w:p>
        </w:tc>
        <w:tc>
          <w:tcPr>
            <w:tcW w:w="1258" w:type="pct"/>
            <w:tcBorders>
              <w:top w:val="single" w:sz="4" w:space="0" w:color="auto"/>
              <w:left w:val="single" w:sz="4" w:space="0" w:color="auto"/>
              <w:bottom w:val="single" w:sz="4" w:space="0" w:color="auto"/>
              <w:right w:val="single" w:sz="4" w:space="0" w:color="auto"/>
            </w:tcBorders>
            <w:hideMark/>
          </w:tcPr>
          <w:p w14:paraId="74C4ADBF" w14:textId="77777777" w:rsidR="005F69BD" w:rsidRPr="00EB1825" w:rsidRDefault="005F69BD" w:rsidP="0045392B">
            <w:pPr>
              <w:pStyle w:val="TableText0"/>
              <w:rPr>
                <w:sz w:val="20"/>
                <w:szCs w:val="20"/>
              </w:rPr>
            </w:pPr>
            <w:r w:rsidRPr="00EB1825">
              <w:rPr>
                <w:sz w:val="20"/>
                <w:szCs w:val="20"/>
              </w:rPr>
              <w:t>+ Change in compliance rate</w:t>
            </w:r>
          </w:p>
        </w:tc>
        <w:tc>
          <w:tcPr>
            <w:tcW w:w="551" w:type="pct"/>
            <w:tcBorders>
              <w:top w:val="single" w:sz="4" w:space="0" w:color="auto"/>
              <w:left w:val="single" w:sz="4" w:space="0" w:color="auto"/>
              <w:bottom w:val="single" w:sz="4" w:space="0" w:color="auto"/>
              <w:right w:val="single" w:sz="4" w:space="0" w:color="auto"/>
            </w:tcBorders>
            <w:hideMark/>
          </w:tcPr>
          <w:p w14:paraId="384A7C09" w14:textId="594B040C" w:rsidR="005F69BD" w:rsidRPr="00EB1825" w:rsidRDefault="005F69BD" w:rsidP="0045392B">
            <w:pPr>
              <w:pStyle w:val="TableText0"/>
              <w:rPr>
                <w:sz w:val="20"/>
                <w:szCs w:val="20"/>
              </w:rPr>
            </w:pPr>
            <w:r w:rsidRPr="00EB1825">
              <w:rPr>
                <w:sz w:val="20"/>
                <w:szCs w:val="20"/>
              </w:rPr>
              <w:t>$</w:t>
            </w:r>
            <w:r w:rsidR="00E901B5" w:rsidRPr="00E901B5">
              <w:rPr>
                <w:sz w:val="20"/>
                <w:szCs w:val="20"/>
                <w:highlight w:val="black"/>
              </w:rPr>
              <w:t>&amp;&amp;&amp;&amp;</w:t>
            </w:r>
          </w:p>
        </w:tc>
        <w:tc>
          <w:tcPr>
            <w:tcW w:w="629" w:type="pct"/>
            <w:tcBorders>
              <w:top w:val="single" w:sz="4" w:space="0" w:color="auto"/>
              <w:left w:val="single" w:sz="4" w:space="0" w:color="auto"/>
              <w:bottom w:val="single" w:sz="4" w:space="0" w:color="auto"/>
              <w:right w:val="single" w:sz="4" w:space="0" w:color="auto"/>
            </w:tcBorders>
            <w:hideMark/>
          </w:tcPr>
          <w:p w14:paraId="1C8544A8" w14:textId="77777777" w:rsidR="005F69BD" w:rsidRPr="00EB1825" w:rsidRDefault="005F69BD" w:rsidP="0045392B">
            <w:pPr>
              <w:pStyle w:val="TableText0"/>
              <w:rPr>
                <w:sz w:val="20"/>
                <w:szCs w:val="20"/>
              </w:rPr>
            </w:pPr>
            <w:r w:rsidRPr="00EB1825">
              <w:rPr>
                <w:sz w:val="20"/>
                <w:szCs w:val="20"/>
              </w:rPr>
              <w:t>0.091</w:t>
            </w:r>
          </w:p>
        </w:tc>
        <w:tc>
          <w:tcPr>
            <w:tcW w:w="472" w:type="pct"/>
            <w:tcBorders>
              <w:top w:val="single" w:sz="4" w:space="0" w:color="auto"/>
              <w:left w:val="single" w:sz="4" w:space="0" w:color="auto"/>
              <w:bottom w:val="single" w:sz="4" w:space="0" w:color="auto"/>
              <w:right w:val="single" w:sz="4" w:space="0" w:color="auto"/>
            </w:tcBorders>
            <w:hideMark/>
          </w:tcPr>
          <w:p w14:paraId="3FA79D46" w14:textId="18BC277C" w:rsidR="005F69BD" w:rsidRPr="00534C2E" w:rsidRDefault="005F69BD" w:rsidP="0045392B">
            <w:pPr>
              <w:pStyle w:val="TableText0"/>
              <w:rPr>
                <w:sz w:val="20"/>
                <w:szCs w:val="20"/>
                <w:vertAlign w:val="superscript"/>
              </w:rPr>
            </w:pPr>
            <w:r w:rsidRPr="00EB1825">
              <w:rPr>
                <w:sz w:val="20"/>
                <w:szCs w:val="20"/>
              </w:rPr>
              <w:t>$</w:t>
            </w:r>
            <w:r w:rsidR="00E901B5" w:rsidRPr="00E901B5">
              <w:rPr>
                <w:sz w:val="20"/>
                <w:szCs w:val="20"/>
                <w:highlight w:val="black"/>
              </w:rPr>
              <w:t>&amp;&amp;&amp;&amp;</w:t>
            </w:r>
            <w:r w:rsidR="00534C2E">
              <w:rPr>
                <w:sz w:val="20"/>
                <w:szCs w:val="20"/>
                <w:vertAlign w:val="superscript"/>
              </w:rPr>
              <w:t>3</w:t>
            </w:r>
          </w:p>
        </w:tc>
        <w:tc>
          <w:tcPr>
            <w:tcW w:w="521" w:type="pct"/>
            <w:tcBorders>
              <w:top w:val="single" w:sz="4" w:space="0" w:color="auto"/>
              <w:left w:val="single" w:sz="4" w:space="0" w:color="auto"/>
              <w:bottom w:val="single" w:sz="4" w:space="0" w:color="auto"/>
              <w:right w:val="single" w:sz="4" w:space="0" w:color="auto"/>
            </w:tcBorders>
            <w:hideMark/>
          </w:tcPr>
          <w:p w14:paraId="1C4961C5" w14:textId="069CD9E6" w:rsidR="005F69BD" w:rsidRPr="00EB1825" w:rsidRDefault="005F69BD" w:rsidP="0045392B">
            <w:pPr>
              <w:pStyle w:val="TableText0"/>
              <w:rPr>
                <w:sz w:val="20"/>
                <w:szCs w:val="20"/>
              </w:rPr>
            </w:pPr>
            <w:r w:rsidRPr="00EB1825">
              <w:rPr>
                <w:sz w:val="20"/>
                <w:szCs w:val="20"/>
              </w:rPr>
              <w:t>-</w:t>
            </w:r>
            <w:r w:rsidR="00E901B5" w:rsidRPr="00E901B5">
              <w:rPr>
                <w:sz w:val="20"/>
                <w:szCs w:val="20"/>
                <w:highlight w:val="black"/>
              </w:rPr>
              <w:t>&amp;&amp;&amp;&amp;</w:t>
            </w:r>
            <w:r w:rsidRPr="00EB1825">
              <w:rPr>
                <w:sz w:val="20"/>
                <w:szCs w:val="20"/>
              </w:rPr>
              <w:t>%</w:t>
            </w:r>
          </w:p>
        </w:tc>
      </w:tr>
      <w:tr w:rsidR="005F69BD" w:rsidRPr="00EB1825" w14:paraId="5EC85DF4" w14:textId="77777777" w:rsidTr="00891F7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F59DE" w14:textId="77777777" w:rsidR="005F69BD" w:rsidRPr="00EB1825" w:rsidRDefault="005F69BD" w:rsidP="0045392B">
            <w:pPr>
              <w:keepNext/>
              <w:keepLines/>
              <w:jc w:val="left"/>
              <w:rPr>
                <w:rFonts w:ascii="Arial Narrow" w:eastAsiaTheme="majorEastAsia" w:hAnsi="Arial Narrow" w:cstheme="majorBidi"/>
                <w:bCs/>
                <w:sz w:val="20"/>
                <w:szCs w:val="20"/>
              </w:rPr>
            </w:pPr>
          </w:p>
        </w:tc>
        <w:tc>
          <w:tcPr>
            <w:tcW w:w="1258" w:type="pct"/>
            <w:tcBorders>
              <w:top w:val="single" w:sz="4" w:space="0" w:color="auto"/>
              <w:left w:val="single" w:sz="4" w:space="0" w:color="auto"/>
              <w:bottom w:val="single" w:sz="4" w:space="0" w:color="auto"/>
              <w:right w:val="single" w:sz="4" w:space="0" w:color="auto"/>
            </w:tcBorders>
            <w:hideMark/>
          </w:tcPr>
          <w:p w14:paraId="0DA74902" w14:textId="77777777" w:rsidR="005F69BD" w:rsidRPr="00EB1825" w:rsidRDefault="005F69BD" w:rsidP="0045392B">
            <w:pPr>
              <w:pStyle w:val="TableText0"/>
              <w:rPr>
                <w:sz w:val="20"/>
                <w:szCs w:val="20"/>
              </w:rPr>
            </w:pPr>
            <w:r w:rsidRPr="00EB1825">
              <w:rPr>
                <w:sz w:val="20"/>
                <w:szCs w:val="20"/>
              </w:rPr>
              <w:t>+ Addition of LFT costs</w:t>
            </w:r>
          </w:p>
        </w:tc>
        <w:tc>
          <w:tcPr>
            <w:tcW w:w="551" w:type="pct"/>
            <w:tcBorders>
              <w:top w:val="single" w:sz="4" w:space="0" w:color="auto"/>
              <w:left w:val="single" w:sz="4" w:space="0" w:color="auto"/>
              <w:bottom w:val="single" w:sz="4" w:space="0" w:color="auto"/>
              <w:right w:val="single" w:sz="4" w:space="0" w:color="auto"/>
            </w:tcBorders>
            <w:hideMark/>
          </w:tcPr>
          <w:p w14:paraId="65A87D69" w14:textId="6246C98C" w:rsidR="005F69BD" w:rsidRPr="00EB1825" w:rsidRDefault="005F69BD" w:rsidP="0045392B">
            <w:pPr>
              <w:pStyle w:val="TableText0"/>
              <w:rPr>
                <w:sz w:val="20"/>
                <w:szCs w:val="20"/>
              </w:rPr>
            </w:pPr>
            <w:r w:rsidRPr="00EB1825">
              <w:rPr>
                <w:sz w:val="20"/>
                <w:szCs w:val="20"/>
              </w:rPr>
              <w:t>$</w:t>
            </w:r>
            <w:r w:rsidR="00E901B5" w:rsidRPr="00E901B5">
              <w:rPr>
                <w:sz w:val="20"/>
                <w:szCs w:val="20"/>
                <w:highlight w:val="black"/>
              </w:rPr>
              <w:t>&amp;&amp;&amp;&amp;</w:t>
            </w:r>
          </w:p>
        </w:tc>
        <w:tc>
          <w:tcPr>
            <w:tcW w:w="629" w:type="pct"/>
            <w:tcBorders>
              <w:top w:val="single" w:sz="4" w:space="0" w:color="auto"/>
              <w:left w:val="single" w:sz="4" w:space="0" w:color="auto"/>
              <w:bottom w:val="single" w:sz="4" w:space="0" w:color="auto"/>
              <w:right w:val="single" w:sz="4" w:space="0" w:color="auto"/>
            </w:tcBorders>
            <w:hideMark/>
          </w:tcPr>
          <w:p w14:paraId="0BE00684" w14:textId="77777777" w:rsidR="005F69BD" w:rsidRPr="00EB1825" w:rsidRDefault="005F69BD" w:rsidP="0045392B">
            <w:pPr>
              <w:pStyle w:val="TableText0"/>
              <w:rPr>
                <w:sz w:val="20"/>
                <w:szCs w:val="20"/>
              </w:rPr>
            </w:pPr>
            <w:r w:rsidRPr="00EB1825">
              <w:rPr>
                <w:sz w:val="20"/>
                <w:szCs w:val="20"/>
              </w:rPr>
              <w:t>0.091</w:t>
            </w:r>
          </w:p>
        </w:tc>
        <w:tc>
          <w:tcPr>
            <w:tcW w:w="472" w:type="pct"/>
            <w:tcBorders>
              <w:top w:val="single" w:sz="4" w:space="0" w:color="auto"/>
              <w:left w:val="single" w:sz="4" w:space="0" w:color="auto"/>
              <w:bottom w:val="single" w:sz="4" w:space="0" w:color="auto"/>
              <w:right w:val="single" w:sz="4" w:space="0" w:color="auto"/>
            </w:tcBorders>
            <w:hideMark/>
          </w:tcPr>
          <w:p w14:paraId="2C66BE2F" w14:textId="61F8F622" w:rsidR="005F69BD" w:rsidRPr="00EB1825" w:rsidRDefault="005F69BD" w:rsidP="0045392B">
            <w:pPr>
              <w:pStyle w:val="TableText0"/>
              <w:rPr>
                <w:sz w:val="20"/>
                <w:szCs w:val="20"/>
              </w:rPr>
            </w:pPr>
            <w:r w:rsidRPr="00EB1825">
              <w:rPr>
                <w:sz w:val="20"/>
                <w:szCs w:val="20"/>
              </w:rPr>
              <w:t>$</w:t>
            </w:r>
            <w:r w:rsidR="00E901B5" w:rsidRPr="00E901B5">
              <w:rPr>
                <w:sz w:val="20"/>
                <w:szCs w:val="20"/>
                <w:highlight w:val="black"/>
              </w:rPr>
              <w:t>&amp;&amp;&amp;&amp;</w:t>
            </w:r>
            <w:r w:rsidRPr="00EB1825">
              <w:rPr>
                <w:sz w:val="20"/>
                <w:szCs w:val="20"/>
              </w:rPr>
              <w:t xml:space="preserve"> </w:t>
            </w:r>
            <w:r w:rsidRPr="00EB1825">
              <w:rPr>
                <w:sz w:val="20"/>
                <w:szCs w:val="20"/>
                <w:vertAlign w:val="superscript"/>
              </w:rPr>
              <w:t>a</w:t>
            </w:r>
            <w:r w:rsidR="00534C2E">
              <w:rPr>
                <w:sz w:val="20"/>
                <w:szCs w:val="20"/>
                <w:vertAlign w:val="superscript"/>
              </w:rPr>
              <w:t>3</w:t>
            </w:r>
          </w:p>
        </w:tc>
        <w:tc>
          <w:tcPr>
            <w:tcW w:w="521" w:type="pct"/>
            <w:tcBorders>
              <w:top w:val="single" w:sz="4" w:space="0" w:color="auto"/>
              <w:left w:val="single" w:sz="4" w:space="0" w:color="auto"/>
              <w:bottom w:val="single" w:sz="4" w:space="0" w:color="auto"/>
              <w:right w:val="single" w:sz="4" w:space="0" w:color="auto"/>
            </w:tcBorders>
            <w:hideMark/>
          </w:tcPr>
          <w:p w14:paraId="7C9AEECE" w14:textId="612E7BDB" w:rsidR="005F69BD" w:rsidRPr="00EB1825" w:rsidRDefault="005F69BD" w:rsidP="0045392B">
            <w:pPr>
              <w:pStyle w:val="TableText0"/>
              <w:rPr>
                <w:sz w:val="20"/>
                <w:szCs w:val="20"/>
              </w:rPr>
            </w:pPr>
            <w:r w:rsidRPr="00EB1825">
              <w:rPr>
                <w:sz w:val="20"/>
                <w:szCs w:val="20"/>
              </w:rPr>
              <w:t>-</w:t>
            </w:r>
            <w:r w:rsidR="00E901B5" w:rsidRPr="00E901B5">
              <w:rPr>
                <w:sz w:val="20"/>
                <w:szCs w:val="20"/>
                <w:highlight w:val="black"/>
              </w:rPr>
              <w:t>&amp;&amp;&amp;&amp;</w:t>
            </w:r>
            <w:r w:rsidRPr="00EB1825">
              <w:rPr>
                <w:sz w:val="20"/>
                <w:szCs w:val="20"/>
              </w:rPr>
              <w:t>%</w:t>
            </w:r>
          </w:p>
        </w:tc>
      </w:tr>
      <w:tr w:rsidR="005F69BD" w:rsidRPr="00EB1825" w14:paraId="6C101F62" w14:textId="77777777" w:rsidTr="00891F7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C94311" w14:textId="77777777" w:rsidR="005F69BD" w:rsidRPr="00EB1825" w:rsidRDefault="005F69BD" w:rsidP="0045392B">
            <w:pPr>
              <w:keepNext/>
              <w:keepLines/>
              <w:jc w:val="left"/>
              <w:rPr>
                <w:rFonts w:ascii="Arial Narrow" w:eastAsiaTheme="majorEastAsia" w:hAnsi="Arial Narrow" w:cstheme="majorBidi"/>
                <w:bCs/>
                <w:sz w:val="20"/>
                <w:szCs w:val="20"/>
              </w:rPr>
            </w:pPr>
          </w:p>
        </w:tc>
        <w:tc>
          <w:tcPr>
            <w:tcW w:w="125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EAC75" w14:textId="77777777" w:rsidR="005F69BD" w:rsidRPr="00EB1825" w:rsidRDefault="005F69BD" w:rsidP="0045392B">
            <w:pPr>
              <w:pStyle w:val="TableText0"/>
              <w:rPr>
                <w:b/>
                <w:bCs w:val="0"/>
                <w:sz w:val="20"/>
                <w:szCs w:val="20"/>
              </w:rPr>
            </w:pPr>
            <w:r w:rsidRPr="00EB1825">
              <w:rPr>
                <w:b/>
                <w:bCs w:val="0"/>
                <w:sz w:val="20"/>
                <w:szCs w:val="20"/>
              </w:rPr>
              <w:t>Presented by the sponsor</w:t>
            </w:r>
          </w:p>
        </w:tc>
        <w:tc>
          <w:tcPr>
            <w:tcW w:w="5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6CAD0B5" w14:textId="279ED2FE" w:rsidR="005F69BD" w:rsidRPr="00EB1825" w:rsidRDefault="005F69BD" w:rsidP="0045392B">
            <w:pPr>
              <w:pStyle w:val="TableText0"/>
              <w:rPr>
                <w:b/>
                <w:bCs w:val="0"/>
                <w:sz w:val="20"/>
                <w:szCs w:val="20"/>
              </w:rPr>
            </w:pPr>
            <w:r w:rsidRPr="00EB1825">
              <w:rPr>
                <w:b/>
                <w:bCs w:val="0"/>
                <w:sz w:val="20"/>
                <w:szCs w:val="20"/>
              </w:rPr>
              <w:t>$</w:t>
            </w:r>
            <w:r w:rsidR="00E901B5" w:rsidRPr="00E901B5">
              <w:rPr>
                <w:b/>
                <w:bCs w:val="0"/>
                <w:sz w:val="20"/>
                <w:szCs w:val="20"/>
                <w:highlight w:val="black"/>
              </w:rPr>
              <w:t>&amp;&amp;&amp;&amp;</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B57F2D" w14:textId="77777777" w:rsidR="005F69BD" w:rsidRPr="00EB1825" w:rsidRDefault="005F69BD" w:rsidP="0045392B">
            <w:pPr>
              <w:pStyle w:val="TableText0"/>
              <w:rPr>
                <w:b/>
                <w:bCs w:val="0"/>
                <w:sz w:val="20"/>
                <w:szCs w:val="20"/>
              </w:rPr>
            </w:pPr>
            <w:r w:rsidRPr="00EB1825">
              <w:rPr>
                <w:b/>
                <w:bCs w:val="0"/>
                <w:sz w:val="20"/>
                <w:szCs w:val="20"/>
              </w:rPr>
              <w:t>0.091</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CCFDE" w14:textId="13CD07F2" w:rsidR="005F69BD" w:rsidRPr="00EB1825" w:rsidRDefault="005F69BD" w:rsidP="0045392B">
            <w:pPr>
              <w:pStyle w:val="TableText0"/>
              <w:rPr>
                <w:b/>
                <w:bCs w:val="0"/>
                <w:sz w:val="20"/>
                <w:szCs w:val="20"/>
              </w:rPr>
            </w:pPr>
            <w:r w:rsidRPr="00EB1825">
              <w:rPr>
                <w:b/>
                <w:bCs w:val="0"/>
                <w:sz w:val="20"/>
                <w:szCs w:val="20"/>
              </w:rPr>
              <w:t>$</w:t>
            </w:r>
            <w:r w:rsidR="00E901B5" w:rsidRPr="00E901B5">
              <w:rPr>
                <w:b/>
                <w:bCs w:val="0"/>
                <w:sz w:val="20"/>
                <w:szCs w:val="20"/>
                <w:highlight w:val="black"/>
              </w:rPr>
              <w:t>&amp;&amp;&amp;&amp;</w:t>
            </w:r>
            <w:r w:rsidR="00534C2E">
              <w:rPr>
                <w:sz w:val="20"/>
                <w:szCs w:val="20"/>
                <w:vertAlign w:val="superscript"/>
              </w:rPr>
              <w:t>3</w:t>
            </w: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1F4E6B" w14:textId="65CE8FD0" w:rsidR="005F69BD" w:rsidRPr="00EB1825" w:rsidRDefault="005F69BD" w:rsidP="0045392B">
            <w:pPr>
              <w:pStyle w:val="TableText0"/>
              <w:rPr>
                <w:b/>
                <w:bCs w:val="0"/>
                <w:szCs w:val="20"/>
              </w:rPr>
            </w:pPr>
            <w:r w:rsidRPr="00EB1825">
              <w:rPr>
                <w:b/>
                <w:bCs w:val="0"/>
                <w:sz w:val="20"/>
                <w:szCs w:val="20"/>
              </w:rPr>
              <w:t>-</w:t>
            </w:r>
            <w:r w:rsidR="00E901B5" w:rsidRPr="00E901B5">
              <w:rPr>
                <w:b/>
                <w:bCs w:val="0"/>
                <w:sz w:val="20"/>
                <w:szCs w:val="20"/>
                <w:highlight w:val="black"/>
              </w:rPr>
              <w:t>&amp;&amp;&amp;&amp;</w:t>
            </w:r>
            <w:r w:rsidRPr="00EB1825">
              <w:rPr>
                <w:b/>
                <w:bCs w:val="0"/>
                <w:sz w:val="20"/>
                <w:szCs w:val="20"/>
              </w:rPr>
              <w:t>%</w:t>
            </w:r>
          </w:p>
        </w:tc>
      </w:tr>
    </w:tbl>
    <w:p w14:paraId="6D41A2BA" w14:textId="77777777" w:rsidR="005F69BD" w:rsidRPr="00EB1825" w:rsidRDefault="005F69BD" w:rsidP="0045392B">
      <w:pPr>
        <w:pStyle w:val="TableFigureFooter"/>
        <w:keepNext/>
      </w:pPr>
      <w:r w:rsidRPr="00EB1825">
        <w:t>Source: compiled during the evaluation.</w:t>
      </w:r>
    </w:p>
    <w:p w14:paraId="0A0CA2A0" w14:textId="77777777" w:rsidR="005F69BD" w:rsidRPr="00EB1825" w:rsidRDefault="005F69BD" w:rsidP="0045392B">
      <w:pPr>
        <w:pStyle w:val="TableFigureFooter"/>
        <w:keepNext/>
      </w:pPr>
      <w:r w:rsidRPr="00EB1825">
        <w:t xml:space="preserve">ICER=incremental cost-effectiveness ratio; </w:t>
      </w:r>
      <w:proofErr w:type="spellStart"/>
      <w:r w:rsidRPr="00EB1825">
        <w:t>Incr</w:t>
      </w:r>
      <w:proofErr w:type="spellEnd"/>
      <w:r w:rsidRPr="00EB1825">
        <w:t>=incremental, LFT=liver function test; QALY=quality adjusted life years.</w:t>
      </w:r>
    </w:p>
    <w:p w14:paraId="21C77AB7" w14:textId="03306953" w:rsidR="005F69BD" w:rsidRPr="00EB1825" w:rsidRDefault="005F69BD" w:rsidP="00983422">
      <w:pPr>
        <w:pStyle w:val="TableFigureFooter"/>
        <w:keepNext/>
        <w:spacing w:after="0"/>
      </w:pPr>
      <w:r w:rsidRPr="00EB1825">
        <w:rPr>
          <w:vertAlign w:val="superscript"/>
        </w:rPr>
        <w:t>a</w:t>
      </w:r>
      <w:r w:rsidRPr="00EB1825">
        <w:t xml:space="preserve"> </w:t>
      </w:r>
      <w:r w:rsidR="00A01A3A" w:rsidRPr="00EB1825">
        <w:tab/>
      </w:r>
      <w:r w:rsidRPr="00EB1825">
        <w:t>A minor discrepancy (0.006%), attributable to a small difference in incremental costs, was observed between the ICER estimated from the reported parameter changes and the ICER stated in the resubmission, with the underlying cause of this variation remaining unclear.</w:t>
      </w:r>
    </w:p>
    <w:p w14:paraId="11F1D5E4" w14:textId="77777777" w:rsidR="00FD17CF" w:rsidRDefault="00983422" w:rsidP="00FD17CF">
      <w:pPr>
        <w:keepNext/>
        <w:keepLines/>
        <w:rPr>
          <w:rFonts w:ascii="Arial Narrow" w:hAnsi="Arial Narrow"/>
          <w:i/>
          <w:sz w:val="18"/>
          <w:szCs w:val="18"/>
        </w:rPr>
      </w:pPr>
      <w:r w:rsidRPr="00EB1825">
        <w:rPr>
          <w:rStyle w:val="CommentReference"/>
          <w:b w:val="0"/>
          <w:bCs/>
          <w:sz w:val="18"/>
          <w:szCs w:val="18"/>
          <w:shd w:val="clear" w:color="auto" w:fill="B8CCE4" w:themeFill="accent1" w:themeFillTint="66"/>
        </w:rPr>
        <w:t xml:space="preserve">Blue </w:t>
      </w:r>
      <w:r w:rsidRPr="00EB1825">
        <w:rPr>
          <w:rStyle w:val="CommentReference"/>
          <w:b w:val="0"/>
          <w:bCs/>
          <w:sz w:val="18"/>
          <w:szCs w:val="18"/>
        </w:rPr>
        <w:t>shading indicates data previously seen by the PBAC.</w:t>
      </w:r>
      <w:bookmarkStart w:id="53" w:name="_Hlk219362949"/>
    </w:p>
    <w:p w14:paraId="09E05160" w14:textId="79A389FE" w:rsidR="00FD17CF" w:rsidRPr="00FD17CF" w:rsidRDefault="00FD17CF" w:rsidP="00FD17CF">
      <w:pPr>
        <w:keepNext/>
        <w:keepLines/>
        <w:rPr>
          <w:rFonts w:ascii="Arial Narrow" w:hAnsi="Arial Narrow"/>
          <w:bCs/>
          <w:i/>
          <w:sz w:val="18"/>
          <w:szCs w:val="18"/>
        </w:rPr>
      </w:pPr>
      <w:r w:rsidRPr="00FD17CF">
        <w:rPr>
          <w:rFonts w:ascii="Arial Narrow" w:hAnsi="Arial Narrow"/>
          <w:bCs/>
          <w:i/>
          <w:sz w:val="18"/>
          <w:szCs w:val="18"/>
        </w:rPr>
        <w:t xml:space="preserve">The redacted values correspond to the following ranges: </w:t>
      </w:r>
    </w:p>
    <w:p w14:paraId="7D9E9016" w14:textId="2E50ED3D" w:rsidR="00FD17CF" w:rsidRPr="00FD17CF" w:rsidRDefault="00FD17CF" w:rsidP="00FD17CF">
      <w:pPr>
        <w:keepNext/>
        <w:keepLines/>
        <w:rPr>
          <w:rFonts w:ascii="Arial Narrow" w:hAnsi="Arial Narrow"/>
          <w:bCs/>
          <w:i/>
          <w:sz w:val="18"/>
          <w:szCs w:val="18"/>
        </w:rPr>
      </w:pPr>
      <w:r w:rsidRPr="00FD17CF">
        <w:rPr>
          <w:rFonts w:ascii="Arial Narrow" w:hAnsi="Arial Narrow"/>
          <w:bCs/>
          <w:i/>
          <w:sz w:val="18"/>
          <w:szCs w:val="18"/>
          <w:vertAlign w:val="superscript"/>
        </w:rPr>
        <w:t>1</w:t>
      </w:r>
      <w:r w:rsidRPr="00FD17CF">
        <w:rPr>
          <w:rFonts w:ascii="Arial Narrow" w:hAnsi="Arial Narrow"/>
          <w:bCs/>
          <w:i/>
          <w:sz w:val="18"/>
          <w:szCs w:val="18"/>
        </w:rPr>
        <w:t xml:space="preserve"> </w:t>
      </w:r>
      <w:bookmarkStart w:id="54" w:name="_Hlk219370613"/>
      <w:r w:rsidR="0054061D" w:rsidRPr="0054061D">
        <w:rPr>
          <w:rFonts w:ascii="Arial Narrow" w:hAnsi="Arial Narrow"/>
          <w:bCs/>
          <w:i/>
          <w:sz w:val="18"/>
          <w:szCs w:val="18"/>
        </w:rPr>
        <w:t>$35,000 to &lt; $45,000</w:t>
      </w:r>
      <w:bookmarkEnd w:id="54"/>
    </w:p>
    <w:p w14:paraId="470A8F62" w14:textId="6DDE5F35" w:rsidR="00FD17CF" w:rsidRPr="00FD17CF" w:rsidRDefault="00FD17CF" w:rsidP="00FD17CF">
      <w:pPr>
        <w:keepNext/>
        <w:keepLines/>
        <w:rPr>
          <w:rFonts w:ascii="Arial Narrow" w:hAnsi="Arial Narrow"/>
          <w:bCs/>
          <w:i/>
          <w:sz w:val="18"/>
          <w:szCs w:val="18"/>
        </w:rPr>
      </w:pPr>
      <w:r w:rsidRPr="00FD17CF">
        <w:rPr>
          <w:rFonts w:ascii="Arial Narrow" w:hAnsi="Arial Narrow"/>
          <w:bCs/>
          <w:i/>
          <w:sz w:val="18"/>
          <w:szCs w:val="18"/>
          <w:vertAlign w:val="superscript"/>
        </w:rPr>
        <w:t>2</w:t>
      </w:r>
      <w:r w:rsidRPr="00FD17CF">
        <w:rPr>
          <w:rFonts w:ascii="Arial Narrow" w:hAnsi="Arial Narrow"/>
          <w:bCs/>
          <w:i/>
          <w:sz w:val="18"/>
          <w:szCs w:val="18"/>
        </w:rPr>
        <w:t xml:space="preserve"> </w:t>
      </w:r>
      <w:r w:rsidR="00C95358" w:rsidRPr="00C95358">
        <w:rPr>
          <w:rFonts w:ascii="Arial Narrow" w:hAnsi="Arial Narrow"/>
          <w:bCs/>
          <w:i/>
          <w:sz w:val="18"/>
          <w:szCs w:val="18"/>
        </w:rPr>
        <w:t>$25,000 to &lt; $35,000</w:t>
      </w:r>
    </w:p>
    <w:p w14:paraId="3560154C" w14:textId="5A9AFBCA" w:rsidR="00983422" w:rsidRPr="00534C2E" w:rsidRDefault="00FD17CF" w:rsidP="00983422">
      <w:pPr>
        <w:keepNext/>
        <w:keepLines/>
        <w:rPr>
          <w:rStyle w:val="CommentReference"/>
          <w:b w:val="0"/>
          <w:bCs/>
          <w:sz w:val="18"/>
          <w:szCs w:val="18"/>
        </w:rPr>
      </w:pPr>
      <w:r w:rsidRPr="00FD17CF">
        <w:rPr>
          <w:rFonts w:ascii="Arial Narrow" w:hAnsi="Arial Narrow"/>
          <w:bCs/>
          <w:i/>
          <w:sz w:val="18"/>
          <w:szCs w:val="18"/>
          <w:vertAlign w:val="superscript"/>
        </w:rPr>
        <w:t>3</w:t>
      </w:r>
      <w:r w:rsidRPr="00FD17CF">
        <w:rPr>
          <w:rFonts w:ascii="Arial Narrow" w:hAnsi="Arial Narrow"/>
          <w:bCs/>
          <w:i/>
          <w:sz w:val="18"/>
          <w:szCs w:val="18"/>
        </w:rPr>
        <w:t xml:space="preserve"> </w:t>
      </w:r>
      <w:r w:rsidR="00534C2E" w:rsidRPr="00534C2E">
        <w:rPr>
          <w:rFonts w:ascii="Arial Narrow" w:hAnsi="Arial Narrow"/>
          <w:bCs/>
          <w:i/>
          <w:sz w:val="18"/>
          <w:szCs w:val="18"/>
        </w:rPr>
        <w:t>$15,000 to &lt; $25,000</w:t>
      </w:r>
      <w:bookmarkEnd w:id="53"/>
    </w:p>
    <w:p w14:paraId="1097240F" w14:textId="77777777" w:rsidR="00983422" w:rsidRPr="00EB1825" w:rsidRDefault="00983422" w:rsidP="00983422">
      <w:pPr>
        <w:pStyle w:val="FooterTableFigure"/>
      </w:pPr>
    </w:p>
    <w:bookmarkEnd w:id="51"/>
    <w:p w14:paraId="7CBB86DC" w14:textId="21BF9F21" w:rsidR="005F69BD" w:rsidRPr="009A1464" w:rsidRDefault="005F69BD" w:rsidP="00766C07">
      <w:pPr>
        <w:pStyle w:val="3-BodyText"/>
      </w:pPr>
      <w:r w:rsidRPr="009A1464">
        <w:t xml:space="preserve">All other model assumptions and inputs were the same as presented in the March 2025 submission and the pre-PBAC response, including the model structure, time horizon, transition probabilities and utility values. A summary of the key components of </w:t>
      </w:r>
      <w:r w:rsidR="00EE6054" w:rsidRPr="009A1464">
        <w:t xml:space="preserve">the </w:t>
      </w:r>
      <w:r w:rsidRPr="009A1464">
        <w:t xml:space="preserve">economic evaluation is presented in </w:t>
      </w:r>
      <w:r w:rsidRPr="009A1464">
        <w:fldChar w:fldCharType="begin"/>
      </w:r>
      <w:r w:rsidRPr="009A1464">
        <w:instrText xml:space="preserve"> REF _Ref183799936 </w:instrText>
      </w:r>
      <w:r w:rsidR="00DF5B41" w:rsidRPr="009A1464">
        <w:instrText xml:space="preserve"> \* MERGEFORMAT </w:instrText>
      </w:r>
      <w:r w:rsidRPr="009A1464">
        <w:fldChar w:fldCharType="separate"/>
      </w:r>
      <w:r w:rsidR="00946DF5" w:rsidRPr="00EB1825">
        <w:t xml:space="preserve">Table </w:t>
      </w:r>
      <w:r w:rsidR="00946DF5">
        <w:t>10</w:t>
      </w:r>
      <w:r w:rsidRPr="009A1464">
        <w:fldChar w:fldCharType="end"/>
      </w:r>
      <w:r w:rsidRPr="009A1464">
        <w:t>.</w:t>
      </w:r>
    </w:p>
    <w:p w14:paraId="41319198" w14:textId="1D6358DE" w:rsidR="005F69BD" w:rsidRPr="00EB1825" w:rsidRDefault="005F69BD" w:rsidP="00F8330C">
      <w:pPr>
        <w:pStyle w:val="Caption"/>
        <w:jc w:val="left"/>
      </w:pPr>
      <w:bookmarkStart w:id="55" w:name="_Ref183799936"/>
      <w:r w:rsidRPr="00EB1825">
        <w:t xml:space="preserve">Table </w:t>
      </w:r>
      <w:r w:rsidR="005B6061">
        <w:fldChar w:fldCharType="begin"/>
      </w:r>
      <w:r w:rsidR="005B6061">
        <w:instrText xml:space="preserve"> SEQ Table \* ARABIC </w:instrText>
      </w:r>
      <w:r w:rsidR="005B6061">
        <w:fldChar w:fldCharType="separate"/>
      </w:r>
      <w:r w:rsidR="00946DF5">
        <w:rPr>
          <w:noProof/>
        </w:rPr>
        <w:t>10</w:t>
      </w:r>
      <w:r w:rsidR="005B6061">
        <w:rPr>
          <w:noProof/>
        </w:rPr>
        <w:fldChar w:fldCharType="end"/>
      </w:r>
      <w:bookmarkEnd w:id="55"/>
      <w:r w:rsidRPr="00EB1825">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Summary of model structure, key inputs and rationale"/>
      </w:tblPr>
      <w:tblGrid>
        <w:gridCol w:w="1178"/>
        <w:gridCol w:w="2645"/>
        <w:gridCol w:w="5194"/>
      </w:tblGrid>
      <w:tr w:rsidR="005F69BD" w:rsidRPr="00EB1825" w14:paraId="12D99BED"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AB4ECF" w14:textId="77777777" w:rsidR="005F69BD" w:rsidRPr="00EB1825" w:rsidRDefault="005F69BD" w:rsidP="00F8330C">
            <w:pPr>
              <w:keepNext/>
              <w:keepLines/>
              <w:widowControl w:val="0"/>
              <w:jc w:val="center"/>
              <w:rPr>
                <w:rFonts w:ascii="Arial Narrow" w:hAnsi="Arial Narrow" w:cs="Times New Roman"/>
                <w:b/>
                <w:bCs/>
                <w:sz w:val="20"/>
                <w:lang w:eastAsia="en-GB"/>
              </w:rPr>
            </w:pPr>
            <w:r w:rsidRPr="00EB1825">
              <w:rPr>
                <w:rFonts w:ascii="Arial Narrow" w:hAnsi="Arial Narrow" w:cs="Times New Roman"/>
                <w:b/>
                <w:bCs/>
                <w:sz w:val="20"/>
                <w:lang w:eastAsia="en-GB"/>
              </w:rPr>
              <w:t>Component</w:t>
            </w:r>
          </w:p>
        </w:tc>
        <w:tc>
          <w:tcPr>
            <w:tcW w:w="14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FB25D4" w14:textId="77777777" w:rsidR="005F69BD" w:rsidRPr="00EB1825" w:rsidRDefault="005F69BD" w:rsidP="00F8330C">
            <w:pPr>
              <w:keepNext/>
              <w:keepLines/>
              <w:widowControl w:val="0"/>
              <w:rPr>
                <w:rFonts w:ascii="Arial Narrow" w:hAnsi="Arial Narrow" w:cs="Times New Roman"/>
                <w:b/>
                <w:bCs/>
                <w:sz w:val="20"/>
                <w:lang w:eastAsia="en-GB"/>
              </w:rPr>
            </w:pPr>
            <w:r w:rsidRPr="00EB1825">
              <w:rPr>
                <w:rFonts w:ascii="Arial Narrow" w:hAnsi="Arial Narrow" w:cs="Times New Roman"/>
                <w:b/>
                <w:bCs/>
                <w:sz w:val="20"/>
                <w:lang w:eastAsia="en-GB"/>
              </w:rPr>
              <w:t>March 2025 submission</w:t>
            </w:r>
          </w:p>
        </w:tc>
        <w:tc>
          <w:tcPr>
            <w:tcW w:w="2880" w:type="pct"/>
            <w:tcBorders>
              <w:top w:val="single" w:sz="4" w:space="0" w:color="auto"/>
              <w:left w:val="single" w:sz="4" w:space="0" w:color="auto"/>
              <w:bottom w:val="single" w:sz="4" w:space="0" w:color="auto"/>
              <w:right w:val="single" w:sz="4" w:space="0" w:color="auto"/>
            </w:tcBorders>
            <w:vAlign w:val="center"/>
            <w:hideMark/>
          </w:tcPr>
          <w:p w14:paraId="38E70C8F" w14:textId="77777777" w:rsidR="005F69BD" w:rsidRPr="00EB1825" w:rsidRDefault="005F69BD" w:rsidP="00F8330C">
            <w:pPr>
              <w:keepNext/>
              <w:keepLines/>
              <w:widowControl w:val="0"/>
              <w:jc w:val="center"/>
              <w:rPr>
                <w:rFonts w:ascii="Arial Narrow" w:hAnsi="Arial Narrow" w:cs="Times New Roman"/>
                <w:b/>
                <w:bCs/>
                <w:sz w:val="20"/>
                <w:lang w:eastAsia="en-GB"/>
              </w:rPr>
            </w:pPr>
            <w:r w:rsidRPr="00EB1825">
              <w:rPr>
                <w:rFonts w:ascii="Arial Narrow" w:hAnsi="Arial Narrow" w:cs="Times New Roman"/>
                <w:b/>
                <w:bCs/>
                <w:sz w:val="20"/>
                <w:lang w:eastAsia="en-GB"/>
              </w:rPr>
              <w:t>Justification/comments</w:t>
            </w:r>
          </w:p>
        </w:tc>
      </w:tr>
      <w:tr w:rsidR="005F69BD" w:rsidRPr="00EB1825" w14:paraId="2B30F6DE"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tcPr>
          <w:p w14:paraId="413F7BA2" w14:textId="77777777" w:rsidR="005F69BD" w:rsidRPr="00EB1825" w:rsidRDefault="005F69BD" w:rsidP="00F8330C">
            <w:pPr>
              <w:keepNext/>
              <w:keepLines/>
              <w:widowControl w:val="0"/>
              <w:jc w:val="left"/>
              <w:rPr>
                <w:rFonts w:ascii="Arial Narrow" w:hAnsi="Arial Narrow" w:cs="Times New Roman"/>
                <w:sz w:val="20"/>
                <w:lang w:eastAsia="en-GB"/>
              </w:rPr>
            </w:pPr>
            <w:r w:rsidRPr="00EB1825">
              <w:rPr>
                <w:rFonts w:ascii="Arial Narrow" w:hAnsi="Arial Narrow" w:cs="Times New Roman"/>
                <w:sz w:val="20"/>
                <w:lang w:eastAsia="en-GB"/>
              </w:rPr>
              <w:t>Treatment</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76D9F5" w14:textId="77777777" w:rsidR="005F69BD" w:rsidRPr="00EB1825" w:rsidRDefault="005F69BD" w:rsidP="00F8330C">
            <w:pPr>
              <w:keepNext/>
              <w:keepLines/>
              <w:widowControl w:val="0"/>
              <w:jc w:val="left"/>
              <w:rPr>
                <w:rFonts w:ascii="Arial Narrow" w:hAnsi="Arial Narrow" w:cs="Times New Roman"/>
                <w:sz w:val="20"/>
                <w:lang w:eastAsia="en-GB"/>
              </w:rPr>
            </w:pPr>
            <w:proofErr w:type="spellStart"/>
            <w:r w:rsidRPr="00EB1825">
              <w:rPr>
                <w:rFonts w:ascii="Arial Narrow" w:hAnsi="Arial Narrow" w:cs="Times New Roman"/>
                <w:sz w:val="20"/>
                <w:lang w:eastAsia="en-GB"/>
              </w:rPr>
              <w:t>Fezolinetant</w:t>
            </w:r>
            <w:proofErr w:type="spellEnd"/>
            <w:r w:rsidRPr="00EB1825">
              <w:rPr>
                <w:rFonts w:ascii="Arial Narrow" w:hAnsi="Arial Narrow" w:cs="Times New Roman"/>
                <w:sz w:val="20"/>
                <w:lang w:eastAsia="en-GB"/>
              </w:rPr>
              <w:t xml:space="preserve"> vs no treatment</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945941" w14:textId="77777777" w:rsidR="005F69BD" w:rsidRPr="00EB1825" w:rsidRDefault="005F69BD" w:rsidP="00F8330C">
            <w:pPr>
              <w:keepNext/>
              <w:keepLines/>
              <w:widowControl w:val="0"/>
              <w:jc w:val="left"/>
              <w:rPr>
                <w:rFonts w:ascii="Arial Narrow" w:hAnsi="Arial Narrow" w:cs="Times New Roman"/>
                <w:sz w:val="20"/>
                <w:lang w:eastAsia="en-GB"/>
              </w:rPr>
            </w:pPr>
            <w:r w:rsidRPr="00EB1825">
              <w:rPr>
                <w:rFonts w:ascii="Arial Narrow" w:hAnsi="Arial Narrow" w:cs="Times New Roman"/>
                <w:sz w:val="20"/>
                <w:lang w:eastAsia="en-GB"/>
              </w:rPr>
              <w:t xml:space="preserve">This was appropriate. </w:t>
            </w:r>
          </w:p>
        </w:tc>
      </w:tr>
      <w:tr w:rsidR="005F69BD" w:rsidRPr="00EB1825" w14:paraId="543CF5C4" w14:textId="77777777" w:rsidTr="005F69BD">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tcPr>
          <w:p w14:paraId="107B7DD7" w14:textId="77777777" w:rsidR="005F69BD" w:rsidRPr="00EB1825" w:rsidRDefault="005F69BD" w:rsidP="00F8330C">
            <w:pPr>
              <w:keepNext/>
              <w:keepLines/>
              <w:widowControl w:val="0"/>
              <w:jc w:val="left"/>
              <w:rPr>
                <w:rFonts w:ascii="Arial Narrow" w:hAnsi="Arial Narrow" w:cs="Times New Roman"/>
                <w:sz w:val="20"/>
                <w:lang w:eastAsia="en-GB"/>
              </w:rPr>
            </w:pPr>
            <w:r w:rsidRPr="00EB1825">
              <w:rPr>
                <w:rFonts w:ascii="Arial Narrow" w:hAnsi="Arial Narrow" w:cs="Times New Roman"/>
                <w:sz w:val="20"/>
                <w:lang w:eastAsia="en-GB"/>
              </w:rPr>
              <w:t>Population</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C9756C0" w14:textId="77777777" w:rsidR="005F69BD" w:rsidRPr="00EB1825" w:rsidRDefault="005F69BD" w:rsidP="00F8330C">
            <w:pPr>
              <w:keepNext/>
              <w:keepLines/>
              <w:widowControl w:val="0"/>
              <w:rPr>
                <w:rFonts w:ascii="Arial Narrow" w:hAnsi="Arial Narrow" w:cs="Times New Roman"/>
                <w:sz w:val="20"/>
                <w:lang w:eastAsia="en-GB"/>
              </w:rPr>
            </w:pPr>
            <w:r w:rsidRPr="00EB1825">
              <w:rPr>
                <w:rFonts w:ascii="Arial Narrow" w:hAnsi="Arial Narrow" w:cs="Times New Roman"/>
                <w:sz w:val="20"/>
                <w:lang w:eastAsia="en-GB"/>
              </w:rPr>
              <w:t>Included post-menopausal women with moderate to severe VMS for whom MHT is unsuitable.</w:t>
            </w:r>
          </w:p>
        </w:tc>
        <w:tc>
          <w:tcPr>
            <w:tcW w:w="2880" w:type="pct"/>
            <w:tcBorders>
              <w:top w:val="single" w:sz="4" w:space="0" w:color="auto"/>
              <w:left w:val="single" w:sz="4" w:space="0" w:color="auto"/>
              <w:bottom w:val="single" w:sz="4" w:space="0" w:color="auto"/>
              <w:right w:val="single" w:sz="4" w:space="0" w:color="auto"/>
            </w:tcBorders>
            <w:shd w:val="clear" w:color="auto" w:fill="FFFFFF" w:themeFill="background1"/>
          </w:tcPr>
          <w:p w14:paraId="04E8060E" w14:textId="2901B415" w:rsidR="005F69BD" w:rsidRPr="00EB1825" w:rsidRDefault="001B434F" w:rsidP="00F8330C">
            <w:pPr>
              <w:keepNext/>
              <w:keepLines/>
              <w:widowControl w:val="0"/>
              <w:jc w:val="left"/>
              <w:rPr>
                <w:rFonts w:ascii="Arial Narrow" w:hAnsi="Arial Narrow" w:cs="Times New Roman"/>
                <w:sz w:val="20"/>
                <w:lang w:eastAsia="en-GB"/>
              </w:rPr>
            </w:pPr>
            <w:r w:rsidRPr="00EB1825">
              <w:rPr>
                <w:rFonts w:ascii="Arial Narrow" w:hAnsi="Arial Narrow" w:cs="Times New Roman"/>
                <w:sz w:val="20"/>
                <w:shd w:val="clear" w:color="auto" w:fill="FFFFFF" w:themeFill="background1"/>
                <w:lang w:eastAsia="en-GB"/>
              </w:rPr>
              <w:t>E</w:t>
            </w:r>
            <w:r w:rsidR="005F69BD" w:rsidRPr="00EB1825">
              <w:rPr>
                <w:rFonts w:ascii="Arial Narrow" w:hAnsi="Arial Narrow" w:cs="Times New Roman"/>
                <w:sz w:val="20"/>
                <w:shd w:val="clear" w:color="auto" w:fill="FFFFFF" w:themeFill="background1"/>
                <w:lang w:eastAsia="en-GB"/>
              </w:rPr>
              <w:t xml:space="preserve">fficacy and utility inputs </w:t>
            </w:r>
            <w:r w:rsidR="00E524A9" w:rsidRPr="00EB1825">
              <w:rPr>
                <w:rFonts w:ascii="Arial Narrow" w:hAnsi="Arial Narrow" w:cs="Times New Roman"/>
                <w:sz w:val="20"/>
                <w:shd w:val="clear" w:color="auto" w:fill="FFFFFF" w:themeFill="background1"/>
                <w:lang w:eastAsia="en-GB"/>
              </w:rPr>
              <w:t xml:space="preserve">in </w:t>
            </w:r>
            <w:r w:rsidR="005F69BD" w:rsidRPr="00EB1825">
              <w:rPr>
                <w:rFonts w:ascii="Arial Narrow" w:hAnsi="Arial Narrow" w:cs="Times New Roman"/>
                <w:sz w:val="20"/>
                <w:shd w:val="clear" w:color="auto" w:fill="FFFFFF" w:themeFill="background1"/>
                <w:lang w:eastAsia="en-GB"/>
              </w:rPr>
              <w:t>the economic model</w:t>
            </w:r>
            <w:r w:rsidR="00E524A9" w:rsidRPr="00EB1825">
              <w:rPr>
                <w:rFonts w:ascii="Arial Narrow" w:hAnsi="Arial Narrow" w:cs="Times New Roman"/>
                <w:sz w:val="20"/>
                <w:shd w:val="clear" w:color="auto" w:fill="FFFFFF" w:themeFill="background1"/>
                <w:lang w:eastAsia="en-GB"/>
              </w:rPr>
              <w:t xml:space="preserve"> </w:t>
            </w:r>
            <w:r w:rsidR="000941F0" w:rsidRPr="00EB1825">
              <w:rPr>
                <w:rFonts w:ascii="Arial Narrow" w:hAnsi="Arial Narrow" w:cs="Times New Roman"/>
                <w:sz w:val="20"/>
                <w:shd w:val="clear" w:color="auto" w:fill="FFFFFF" w:themeFill="background1"/>
                <w:lang w:eastAsia="en-GB"/>
              </w:rPr>
              <w:t xml:space="preserve">used outcomes for </w:t>
            </w:r>
            <w:r w:rsidR="00E524A9" w:rsidRPr="00EB1825">
              <w:rPr>
                <w:rFonts w:ascii="Arial Narrow" w:hAnsi="Arial Narrow" w:cs="Times New Roman"/>
                <w:sz w:val="20"/>
                <w:shd w:val="clear" w:color="auto" w:fill="FFFFFF" w:themeFill="background1"/>
                <w:lang w:eastAsia="en-GB"/>
              </w:rPr>
              <w:t>the ITT population</w:t>
            </w:r>
            <w:r w:rsidR="005F69BD" w:rsidRPr="00EB1825">
              <w:rPr>
                <w:rFonts w:ascii="Arial Narrow" w:hAnsi="Arial Narrow" w:cs="Times New Roman"/>
                <w:sz w:val="20"/>
                <w:shd w:val="clear" w:color="auto" w:fill="FFFFFF" w:themeFill="background1"/>
                <w:lang w:eastAsia="en-GB"/>
              </w:rPr>
              <w:t>.</w:t>
            </w:r>
            <w:r w:rsidR="00110ECE" w:rsidRPr="00EB1825">
              <w:rPr>
                <w:rFonts w:ascii="Arial Narrow" w:hAnsi="Arial Narrow" w:cs="Times New Roman"/>
                <w:sz w:val="20"/>
                <w:shd w:val="clear" w:color="auto" w:fill="FFFFFF" w:themeFill="background1"/>
                <w:lang w:eastAsia="en-GB"/>
              </w:rPr>
              <w:t xml:space="preserve"> </w:t>
            </w:r>
            <w:r w:rsidR="000941F0" w:rsidRPr="00EB1825">
              <w:rPr>
                <w:rFonts w:ascii="Arial Narrow" w:hAnsi="Arial Narrow" w:cs="Times New Roman"/>
                <w:sz w:val="20"/>
                <w:shd w:val="clear" w:color="auto" w:fill="FFFFFF" w:themeFill="background1"/>
                <w:lang w:eastAsia="en-GB"/>
              </w:rPr>
              <w:t>T</w:t>
            </w:r>
            <w:r w:rsidR="00D24675" w:rsidRPr="00EB1825">
              <w:rPr>
                <w:rFonts w:ascii="Arial Narrow" w:hAnsi="Arial Narrow" w:cs="Times New Roman"/>
                <w:sz w:val="20"/>
                <w:shd w:val="clear" w:color="auto" w:fill="FFFFFF" w:themeFill="background1"/>
                <w:lang w:eastAsia="en-GB"/>
              </w:rPr>
              <w:t xml:space="preserve">he change from baseline in the mean frequency of </w:t>
            </w:r>
            <w:r w:rsidR="001D4428" w:rsidRPr="00EB1825">
              <w:rPr>
                <w:rFonts w:ascii="Arial Narrow" w:hAnsi="Arial Narrow" w:cs="Times New Roman"/>
                <w:sz w:val="20"/>
                <w:shd w:val="clear" w:color="auto" w:fill="FFFFFF" w:themeFill="background1"/>
                <w:lang w:eastAsia="en-GB"/>
              </w:rPr>
              <w:t>moderate to severe</w:t>
            </w:r>
            <w:r w:rsidR="00D24675" w:rsidRPr="00EB1825">
              <w:rPr>
                <w:rFonts w:ascii="Arial Narrow" w:hAnsi="Arial Narrow" w:cs="Times New Roman"/>
                <w:sz w:val="20"/>
                <w:shd w:val="clear" w:color="auto" w:fill="FFFFFF" w:themeFill="background1"/>
                <w:lang w:eastAsia="en-GB"/>
              </w:rPr>
              <w:t xml:space="preserve"> VMS in the MHT-suitable population</w:t>
            </w:r>
            <w:r w:rsidR="000F6AFA" w:rsidRPr="00EB1825">
              <w:rPr>
                <w:rFonts w:ascii="Arial Narrow" w:hAnsi="Arial Narrow" w:cs="Times New Roman"/>
                <w:sz w:val="20"/>
                <w:shd w:val="clear" w:color="auto" w:fill="FFFFFF" w:themeFill="background1"/>
                <w:lang w:eastAsia="en-GB"/>
              </w:rPr>
              <w:t xml:space="preserve"> (</w:t>
            </w:r>
            <w:r w:rsidR="00D24675" w:rsidRPr="00EB1825">
              <w:rPr>
                <w:rFonts w:ascii="Arial Narrow" w:hAnsi="Arial Narrow" w:cs="Times New Roman"/>
                <w:sz w:val="20"/>
                <w:shd w:val="clear" w:color="auto" w:fill="FFFFFF" w:themeFill="background1"/>
                <w:lang w:eastAsia="en-GB"/>
              </w:rPr>
              <w:t>excluding MHT-averse individuals</w:t>
            </w:r>
            <w:r w:rsidR="000F6AFA" w:rsidRPr="00EB1825">
              <w:rPr>
                <w:rFonts w:ascii="Arial Narrow" w:hAnsi="Arial Narrow" w:cs="Times New Roman"/>
                <w:sz w:val="20"/>
                <w:shd w:val="clear" w:color="auto" w:fill="FFFFFF" w:themeFill="background1"/>
                <w:lang w:eastAsia="en-GB"/>
              </w:rPr>
              <w:t>)</w:t>
            </w:r>
            <w:r w:rsidR="00D24675" w:rsidRPr="00EB1825">
              <w:rPr>
                <w:rFonts w:ascii="Arial Narrow" w:hAnsi="Arial Narrow" w:cs="Times New Roman"/>
                <w:sz w:val="20"/>
                <w:shd w:val="clear" w:color="auto" w:fill="FFFFFF" w:themeFill="background1"/>
                <w:lang w:eastAsia="en-GB"/>
              </w:rPr>
              <w:t xml:space="preserve"> in DAYLIGHT was generally consistent with that observed in the ITT population (see </w:t>
            </w:r>
            <w:r w:rsidR="00D24675" w:rsidRPr="00EB1825">
              <w:rPr>
                <w:rFonts w:ascii="Arial Narrow" w:hAnsi="Arial Narrow" w:cs="Times New Roman"/>
                <w:sz w:val="20"/>
                <w:shd w:val="clear" w:color="auto" w:fill="FFFFFF" w:themeFill="background1"/>
                <w:lang w:eastAsia="en-GB"/>
              </w:rPr>
              <w:fldChar w:fldCharType="begin"/>
            </w:r>
            <w:r w:rsidR="00D24675" w:rsidRPr="00EB1825">
              <w:rPr>
                <w:rFonts w:ascii="Arial Narrow" w:hAnsi="Arial Narrow" w:cs="Times New Roman"/>
                <w:sz w:val="20"/>
                <w:shd w:val="clear" w:color="auto" w:fill="FFFFFF" w:themeFill="background1"/>
                <w:lang w:eastAsia="en-GB"/>
              </w:rPr>
              <w:instrText xml:space="preserve"> REF _Ref205455763 \h  \* MERGEFORMAT </w:instrText>
            </w:r>
            <w:r w:rsidR="00D24675" w:rsidRPr="00EB1825">
              <w:rPr>
                <w:rFonts w:ascii="Arial Narrow" w:hAnsi="Arial Narrow" w:cs="Times New Roman"/>
                <w:sz w:val="20"/>
                <w:shd w:val="clear" w:color="auto" w:fill="FFFFFF" w:themeFill="background1"/>
                <w:lang w:eastAsia="en-GB"/>
              </w:rPr>
            </w:r>
            <w:r w:rsidR="00D24675" w:rsidRPr="00EB1825">
              <w:rPr>
                <w:rFonts w:ascii="Arial Narrow" w:hAnsi="Arial Narrow" w:cs="Times New Roman"/>
                <w:sz w:val="20"/>
                <w:shd w:val="clear" w:color="auto" w:fill="FFFFFF" w:themeFill="background1"/>
                <w:lang w:eastAsia="en-GB"/>
              </w:rPr>
              <w:fldChar w:fldCharType="separate"/>
            </w:r>
            <w:r w:rsidR="00946DF5" w:rsidRPr="00946DF5">
              <w:rPr>
                <w:rFonts w:ascii="Arial Narrow" w:hAnsi="Arial Narrow" w:cs="Times New Roman"/>
                <w:sz w:val="20"/>
                <w:shd w:val="clear" w:color="auto" w:fill="FFFFFF" w:themeFill="background1"/>
                <w:lang w:eastAsia="en-GB"/>
              </w:rPr>
              <w:t>Table 5</w:t>
            </w:r>
            <w:r w:rsidR="00D24675" w:rsidRPr="00EB1825">
              <w:rPr>
                <w:rFonts w:ascii="Arial Narrow" w:hAnsi="Arial Narrow" w:cs="Times New Roman"/>
                <w:sz w:val="20"/>
                <w:shd w:val="clear" w:color="auto" w:fill="FFFFFF" w:themeFill="background1"/>
                <w:lang w:eastAsia="en-GB"/>
              </w:rPr>
              <w:fldChar w:fldCharType="end"/>
            </w:r>
            <w:r w:rsidR="00D24675" w:rsidRPr="00EB1825">
              <w:rPr>
                <w:rFonts w:ascii="Arial Narrow" w:hAnsi="Arial Narrow" w:cs="Times New Roman"/>
                <w:sz w:val="20"/>
                <w:shd w:val="clear" w:color="auto" w:fill="FFFFFF" w:themeFill="background1"/>
                <w:lang w:eastAsia="en-GB"/>
              </w:rPr>
              <w:t xml:space="preserve">), </w:t>
            </w:r>
            <w:r w:rsidR="0033032A" w:rsidRPr="00EB1825">
              <w:rPr>
                <w:rFonts w:ascii="Arial Narrow" w:hAnsi="Arial Narrow" w:cs="Times New Roman"/>
                <w:sz w:val="20"/>
                <w:shd w:val="clear" w:color="auto" w:fill="FFFFFF" w:themeFill="background1"/>
                <w:lang w:eastAsia="en-GB"/>
              </w:rPr>
              <w:t xml:space="preserve">and the evaluation considered </w:t>
            </w:r>
            <w:r w:rsidR="00D24675" w:rsidRPr="00EB1825">
              <w:rPr>
                <w:rFonts w:ascii="Arial Narrow" w:hAnsi="Arial Narrow" w:cs="Times New Roman"/>
                <w:sz w:val="20"/>
                <w:shd w:val="clear" w:color="auto" w:fill="FFFFFF" w:themeFill="background1"/>
                <w:lang w:eastAsia="en-GB"/>
              </w:rPr>
              <w:t>this assumption was reasonable.</w:t>
            </w:r>
          </w:p>
        </w:tc>
      </w:tr>
      <w:tr w:rsidR="005F69BD" w:rsidRPr="00EB1825" w14:paraId="60B6F6A5"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41AD4043"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xml:space="preserve">Type of analysis </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E871EEF" w14:textId="77777777" w:rsidR="005F69BD" w:rsidRPr="00EB1825" w:rsidRDefault="005F69BD" w:rsidP="00891F79">
            <w:pPr>
              <w:widowControl w:val="0"/>
              <w:jc w:val="left"/>
              <w:rPr>
                <w:rFonts w:ascii="Times" w:hAnsi="Times" w:cs="Times New Roman"/>
                <w:sz w:val="20"/>
                <w:szCs w:val="20"/>
                <w:lang w:eastAsia="en-GB"/>
              </w:rPr>
            </w:pPr>
            <w:r w:rsidRPr="00EB1825">
              <w:rPr>
                <w:rFonts w:ascii="Arial Narrow" w:hAnsi="Arial Narrow" w:cs="Times New Roman"/>
                <w:sz w:val="20"/>
                <w:lang w:eastAsia="en-GB"/>
              </w:rPr>
              <w:t xml:space="preserve">Cost-utility analysis </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BA9370"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xml:space="preserve">This was appropriate. </w:t>
            </w:r>
          </w:p>
        </w:tc>
      </w:tr>
      <w:tr w:rsidR="005F69BD" w:rsidRPr="00EB1825" w14:paraId="50A465ED"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6620F24E"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Mean age</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FC766D"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54.5 years, from DAYLIGHT</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857F024"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This was appropriate.</w:t>
            </w:r>
          </w:p>
        </w:tc>
      </w:tr>
      <w:tr w:rsidR="005F69BD" w:rsidRPr="00EB1825" w14:paraId="7C321679"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4DE70E90"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VMS frequency distribution at baseline</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267F82"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Source: DAYLIGHT.</w:t>
            </w:r>
          </w:p>
          <w:p w14:paraId="43F665DC"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0 ≤ VMS frequency &lt; 2: 0%</w:t>
            </w:r>
          </w:p>
          <w:p w14:paraId="5EAE7546"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2≤ VMS frequency &lt;7: 0.2%</w:t>
            </w:r>
          </w:p>
          <w:p w14:paraId="65D5DBCA"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7≤ VMS frequency &lt;9: 41.8%</w:t>
            </w:r>
          </w:p>
          <w:p w14:paraId="585DBAA9"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VMS frequency ≥9: 57.9%</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ECEBCEA"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This was appropriate.</w:t>
            </w:r>
          </w:p>
        </w:tc>
      </w:tr>
      <w:tr w:rsidR="005F69BD" w:rsidRPr="00EB1825" w14:paraId="0625C963" w14:textId="77777777" w:rsidTr="00731E76">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28952C60" w14:textId="77777777" w:rsidR="005F69BD" w:rsidRPr="00EB1825" w:rsidRDefault="005F69BD" w:rsidP="00891F79">
            <w:pPr>
              <w:widowControl w:val="0"/>
              <w:jc w:val="left"/>
              <w:rPr>
                <w:rFonts w:ascii="Times" w:hAnsi="Times" w:cs="Times New Roman"/>
                <w:sz w:val="20"/>
                <w:szCs w:val="20"/>
                <w:lang w:eastAsia="en-GB"/>
              </w:rPr>
            </w:pPr>
            <w:r w:rsidRPr="00EB1825">
              <w:rPr>
                <w:rFonts w:ascii="Arial Narrow" w:hAnsi="Arial Narrow" w:cs="Times New Roman"/>
                <w:sz w:val="20"/>
                <w:lang w:eastAsia="en-GB"/>
              </w:rPr>
              <w:t>Outcomes</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DD421A2" w14:textId="77777777" w:rsidR="005F69BD" w:rsidRPr="00EB1825" w:rsidRDefault="005F69BD" w:rsidP="00891F79">
            <w:pPr>
              <w:widowControl w:val="0"/>
              <w:jc w:val="left"/>
              <w:rPr>
                <w:rFonts w:ascii="Times" w:hAnsi="Times" w:cs="Times New Roman"/>
                <w:sz w:val="20"/>
                <w:szCs w:val="20"/>
                <w:lang w:eastAsia="en-GB"/>
              </w:rPr>
            </w:pPr>
            <w:r w:rsidRPr="00EB1825">
              <w:rPr>
                <w:rFonts w:ascii="Arial Narrow" w:hAnsi="Arial Narrow" w:cs="Times New Roman"/>
                <w:sz w:val="20"/>
                <w:lang w:eastAsia="en-GB"/>
              </w:rPr>
              <w:t>LYG, QALYs</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1B3DFC"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This was appropriate.</w:t>
            </w:r>
          </w:p>
        </w:tc>
      </w:tr>
      <w:tr w:rsidR="005F69BD" w:rsidRPr="00EB1825" w14:paraId="2701A128" w14:textId="77777777" w:rsidTr="00731E76">
        <w:trPr>
          <w:trHeight w:val="20"/>
        </w:trPr>
        <w:tc>
          <w:tcPr>
            <w:tcW w:w="653" w:type="pct"/>
            <w:tcBorders>
              <w:top w:val="single" w:sz="4" w:space="0" w:color="auto"/>
              <w:left w:val="single" w:sz="4" w:space="0" w:color="auto"/>
              <w:bottom w:val="nil"/>
              <w:right w:val="single" w:sz="4" w:space="0" w:color="auto"/>
            </w:tcBorders>
            <w:shd w:val="clear" w:color="auto" w:fill="FFFFFF"/>
            <w:hideMark/>
          </w:tcPr>
          <w:p w14:paraId="72AB9076"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Time horizon</w:t>
            </w:r>
          </w:p>
        </w:tc>
        <w:tc>
          <w:tcPr>
            <w:tcW w:w="1467" w:type="pct"/>
            <w:tcBorders>
              <w:top w:val="single" w:sz="4" w:space="0" w:color="auto"/>
              <w:left w:val="single" w:sz="4" w:space="0" w:color="auto"/>
              <w:bottom w:val="nil"/>
              <w:right w:val="single" w:sz="4" w:space="0" w:color="auto"/>
            </w:tcBorders>
            <w:shd w:val="clear" w:color="auto" w:fill="B8CCE4" w:themeFill="accent1" w:themeFillTint="66"/>
            <w:hideMark/>
          </w:tcPr>
          <w:p w14:paraId="3AD1F33B"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10 years</w:t>
            </w:r>
          </w:p>
        </w:tc>
        <w:tc>
          <w:tcPr>
            <w:tcW w:w="2880" w:type="pct"/>
            <w:tcBorders>
              <w:top w:val="single" w:sz="4" w:space="0" w:color="auto"/>
              <w:left w:val="single" w:sz="4" w:space="0" w:color="auto"/>
              <w:bottom w:val="nil"/>
              <w:right w:val="single" w:sz="4" w:space="0" w:color="auto"/>
            </w:tcBorders>
            <w:hideMark/>
          </w:tcPr>
          <w:p w14:paraId="236CFBB9" w14:textId="671C9C0C" w:rsidR="005F69BD" w:rsidRPr="00EB1825" w:rsidRDefault="005F69BD" w:rsidP="00B853F0">
            <w:pPr>
              <w:widowControl w:val="0"/>
              <w:jc w:val="left"/>
              <w:rPr>
                <w:rFonts w:ascii="Arial Narrow" w:hAnsi="Arial Narrow" w:cs="Times New Roman"/>
                <w:sz w:val="20"/>
                <w:shd w:val="clear" w:color="auto" w:fill="FFFFFF" w:themeFill="background1"/>
                <w:lang w:eastAsia="en-GB"/>
              </w:rPr>
            </w:pPr>
            <w:r w:rsidRPr="00EB1825">
              <w:rPr>
                <w:rFonts w:ascii="Arial Narrow" w:hAnsi="Arial Narrow" w:cs="Times New Roman"/>
                <w:sz w:val="20"/>
                <w:shd w:val="clear" w:color="auto" w:fill="FFFFFF" w:themeFill="background1"/>
                <w:lang w:eastAsia="en-GB"/>
              </w:rPr>
              <w:t>Time horizon remained one of the key drivers of the model.</w:t>
            </w:r>
            <w:r w:rsidR="00DD68D1" w:rsidRPr="00EB1825">
              <w:rPr>
                <w:rFonts w:ascii="Arial Narrow" w:hAnsi="Arial Narrow" w:cs="Times New Roman"/>
                <w:sz w:val="20"/>
                <w:shd w:val="clear" w:color="auto" w:fill="FFFFFF" w:themeFill="background1"/>
                <w:lang w:eastAsia="en-GB"/>
              </w:rPr>
              <w:t xml:space="preserve"> The PSCR </w:t>
            </w:r>
            <w:r w:rsidR="00D04F99" w:rsidRPr="00EB1825">
              <w:rPr>
                <w:rFonts w:ascii="Arial Narrow" w:hAnsi="Arial Narrow" w:cs="Times New Roman"/>
                <w:sz w:val="20"/>
                <w:shd w:val="clear" w:color="auto" w:fill="FFFFFF" w:themeFill="background1"/>
                <w:lang w:eastAsia="en-GB"/>
              </w:rPr>
              <w:t xml:space="preserve"> </w:t>
            </w:r>
            <w:r w:rsidR="00DD68D1" w:rsidRPr="00EB1825">
              <w:rPr>
                <w:rFonts w:ascii="Arial Narrow" w:hAnsi="Arial Narrow" w:cs="Times New Roman"/>
                <w:sz w:val="20"/>
                <w:shd w:val="clear" w:color="auto" w:fill="FFFFFF" w:themeFill="background1"/>
                <w:lang w:eastAsia="en-GB"/>
              </w:rPr>
              <w:t xml:space="preserve">argued that incorporating the probabilities of VMS cessation and treatment discontinuation moderated the assumption of persistent efficacy, yielding a mean treatment duration of 2.88 years over a ten-year time horizon. </w:t>
            </w:r>
            <w:r w:rsidR="008924F2" w:rsidRPr="00EB1825">
              <w:rPr>
                <w:rFonts w:ascii="Arial Narrow" w:hAnsi="Arial Narrow" w:cs="Times New Roman"/>
                <w:sz w:val="20"/>
                <w:shd w:val="clear" w:color="auto" w:fill="FFFFFF" w:themeFill="background1"/>
                <w:lang w:eastAsia="en-GB"/>
              </w:rPr>
              <w:t>However, the ESC con</w:t>
            </w:r>
            <w:r w:rsidR="00B853F0" w:rsidRPr="00EB1825">
              <w:rPr>
                <w:rFonts w:ascii="Arial Narrow" w:hAnsi="Arial Narrow" w:cs="Times New Roman"/>
                <w:sz w:val="20"/>
                <w:shd w:val="clear" w:color="auto" w:fill="FFFFFF" w:themeFill="background1"/>
                <w:lang w:eastAsia="en-GB"/>
              </w:rPr>
              <w:t>sidered that c</w:t>
            </w:r>
            <w:r w:rsidR="00DD68D1" w:rsidRPr="00EB1825">
              <w:rPr>
                <w:rFonts w:ascii="Arial Narrow" w:hAnsi="Arial Narrow" w:cs="Times New Roman"/>
                <w:sz w:val="20"/>
                <w:shd w:val="clear" w:color="auto" w:fill="FFFFFF" w:themeFill="background1"/>
                <w:lang w:eastAsia="en-GB"/>
              </w:rPr>
              <w:t xml:space="preserve">essation of VMS symptoms and discontinuation of treatment is part of the natural </w:t>
            </w:r>
            <w:proofErr w:type="gramStart"/>
            <w:r w:rsidR="00DD68D1" w:rsidRPr="00EB1825">
              <w:rPr>
                <w:rFonts w:ascii="Arial Narrow" w:hAnsi="Arial Narrow" w:cs="Times New Roman"/>
                <w:sz w:val="20"/>
                <w:shd w:val="clear" w:color="auto" w:fill="FFFFFF" w:themeFill="background1"/>
                <w:lang w:eastAsia="en-GB"/>
              </w:rPr>
              <w:t>history, but</w:t>
            </w:r>
            <w:proofErr w:type="gramEnd"/>
            <w:r w:rsidR="00DD68D1" w:rsidRPr="00EB1825">
              <w:rPr>
                <w:rFonts w:ascii="Arial Narrow" w:hAnsi="Arial Narrow" w:cs="Times New Roman"/>
                <w:sz w:val="20"/>
                <w:shd w:val="clear" w:color="auto" w:fill="FFFFFF" w:themeFill="background1"/>
                <w:lang w:eastAsia="en-GB"/>
              </w:rPr>
              <w:t xml:space="preserve"> does not directly address uncertainty related to the assumed sustained treatment effect from weeks 20–24 over a 10-year period for patients remaining on treatment.</w:t>
            </w:r>
            <w:r w:rsidR="00B853F0" w:rsidRPr="00EB1825">
              <w:rPr>
                <w:rFonts w:ascii="Arial Narrow" w:hAnsi="Arial Narrow" w:cs="Times New Roman"/>
                <w:sz w:val="20"/>
                <w:shd w:val="clear" w:color="auto" w:fill="FFFFFF" w:themeFill="background1"/>
                <w:lang w:eastAsia="en-GB"/>
              </w:rPr>
              <w:t xml:space="preserve"> The ESC maintained that a </w:t>
            </w:r>
            <w:proofErr w:type="gramStart"/>
            <w:r w:rsidR="00B853F0" w:rsidRPr="00EB1825">
              <w:rPr>
                <w:rFonts w:ascii="Arial Narrow" w:hAnsi="Arial Narrow" w:cs="Times New Roman"/>
                <w:sz w:val="20"/>
                <w:shd w:val="clear" w:color="auto" w:fill="FFFFFF" w:themeFill="background1"/>
                <w:lang w:eastAsia="en-GB"/>
              </w:rPr>
              <w:t>5 year</w:t>
            </w:r>
            <w:proofErr w:type="gramEnd"/>
            <w:r w:rsidR="00B853F0" w:rsidRPr="00EB1825">
              <w:rPr>
                <w:rFonts w:ascii="Arial Narrow" w:hAnsi="Arial Narrow" w:cs="Times New Roman"/>
                <w:sz w:val="20"/>
                <w:shd w:val="clear" w:color="auto" w:fill="FFFFFF" w:themeFill="background1"/>
                <w:lang w:eastAsia="en-GB"/>
              </w:rPr>
              <w:t xml:space="preserve"> time horizon would be more appropriate.</w:t>
            </w:r>
            <w:r w:rsidRPr="00EB1825">
              <w:rPr>
                <w:rFonts w:ascii="Arial Narrow" w:hAnsi="Arial Narrow" w:cs="Times New Roman"/>
                <w:sz w:val="20"/>
                <w:shd w:val="clear" w:color="auto" w:fill="FFFFFF" w:themeFill="background1"/>
                <w:lang w:eastAsia="en-GB"/>
              </w:rPr>
              <w:t xml:space="preserve"> </w:t>
            </w:r>
          </w:p>
        </w:tc>
      </w:tr>
      <w:tr w:rsidR="00731E76" w:rsidRPr="00EB1825" w14:paraId="1FD0E7AC" w14:textId="77777777" w:rsidTr="00731E76">
        <w:trPr>
          <w:trHeight w:val="20"/>
        </w:trPr>
        <w:tc>
          <w:tcPr>
            <w:tcW w:w="653" w:type="pct"/>
            <w:tcBorders>
              <w:top w:val="nil"/>
              <w:left w:val="single" w:sz="4" w:space="0" w:color="auto"/>
              <w:bottom w:val="single" w:sz="4" w:space="0" w:color="auto"/>
              <w:right w:val="single" w:sz="4" w:space="0" w:color="auto"/>
            </w:tcBorders>
            <w:shd w:val="clear" w:color="auto" w:fill="FFFFFF"/>
          </w:tcPr>
          <w:p w14:paraId="6E008A29" w14:textId="77777777" w:rsidR="00731E76" w:rsidRPr="00EB1825" w:rsidRDefault="00731E76" w:rsidP="00891F79">
            <w:pPr>
              <w:widowControl w:val="0"/>
              <w:jc w:val="left"/>
              <w:rPr>
                <w:rFonts w:ascii="Arial Narrow" w:hAnsi="Arial Narrow" w:cs="Times New Roman"/>
                <w:sz w:val="20"/>
                <w:lang w:eastAsia="en-GB"/>
              </w:rPr>
            </w:pPr>
          </w:p>
        </w:tc>
        <w:tc>
          <w:tcPr>
            <w:tcW w:w="1467" w:type="pct"/>
            <w:tcBorders>
              <w:top w:val="nil"/>
              <w:left w:val="single" w:sz="4" w:space="0" w:color="auto"/>
              <w:bottom w:val="single" w:sz="4" w:space="0" w:color="auto"/>
              <w:right w:val="single" w:sz="4" w:space="0" w:color="auto"/>
            </w:tcBorders>
            <w:shd w:val="clear" w:color="auto" w:fill="B8CCE4" w:themeFill="accent1" w:themeFillTint="66"/>
          </w:tcPr>
          <w:p w14:paraId="25C1296D" w14:textId="77777777" w:rsidR="00731E76" w:rsidRPr="00EB1825" w:rsidRDefault="00731E76" w:rsidP="00891F79">
            <w:pPr>
              <w:widowControl w:val="0"/>
              <w:jc w:val="left"/>
              <w:rPr>
                <w:rFonts w:ascii="Arial Narrow" w:hAnsi="Arial Narrow" w:cs="Times New Roman"/>
                <w:sz w:val="20"/>
                <w:lang w:eastAsia="en-GB"/>
              </w:rPr>
            </w:pPr>
          </w:p>
        </w:tc>
        <w:tc>
          <w:tcPr>
            <w:tcW w:w="2880" w:type="pct"/>
            <w:tcBorders>
              <w:top w:val="nil"/>
              <w:left w:val="single" w:sz="4" w:space="0" w:color="auto"/>
              <w:bottom w:val="single" w:sz="4" w:space="0" w:color="auto"/>
              <w:right w:val="single" w:sz="4" w:space="0" w:color="auto"/>
            </w:tcBorders>
            <w:shd w:val="clear" w:color="auto" w:fill="B8CCE4" w:themeFill="accent1" w:themeFillTint="66"/>
          </w:tcPr>
          <w:p w14:paraId="7E5F0F0A" w14:textId="14C4AD1C" w:rsidR="00731E76" w:rsidRPr="00EB1825" w:rsidRDefault="00731E76" w:rsidP="00B853F0">
            <w:pPr>
              <w:widowControl w:val="0"/>
              <w:jc w:val="left"/>
              <w:rPr>
                <w:rFonts w:ascii="Arial Narrow" w:hAnsi="Arial Narrow" w:cs="Times New Roman"/>
                <w:sz w:val="20"/>
                <w:shd w:val="clear" w:color="auto" w:fill="FFFFFF" w:themeFill="background1"/>
                <w:lang w:eastAsia="en-GB"/>
              </w:rPr>
            </w:pPr>
            <w:r w:rsidRPr="00EB1825">
              <w:rPr>
                <w:rFonts w:ascii="Arial Narrow" w:hAnsi="Arial Narrow" w:cs="Times New Roman"/>
                <w:sz w:val="20"/>
                <w:shd w:val="clear" w:color="auto" w:fill="B8CCE4" w:themeFill="accent1" w:themeFillTint="66"/>
                <w:lang w:eastAsia="en-GB"/>
              </w:rPr>
              <w:t>Treatment effects in the model were extrapolated from 24 weeks (DAYLIGHT) to 10 years, assuming sustained benefit for the duration of treatment.</w:t>
            </w:r>
          </w:p>
        </w:tc>
      </w:tr>
      <w:tr w:rsidR="005F69BD" w:rsidRPr="00EB1825" w14:paraId="37853B82"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049030CF" w14:textId="77777777" w:rsidR="005F69BD" w:rsidRPr="00EB1825" w:rsidRDefault="005F69BD" w:rsidP="00891F79">
            <w:pPr>
              <w:widowControl w:val="0"/>
              <w:jc w:val="left"/>
              <w:rPr>
                <w:rFonts w:ascii="Times" w:hAnsi="Times" w:cs="Times New Roman"/>
                <w:sz w:val="20"/>
                <w:szCs w:val="20"/>
                <w:lang w:eastAsia="en-GB"/>
              </w:rPr>
            </w:pPr>
            <w:r w:rsidRPr="00EB1825">
              <w:rPr>
                <w:rFonts w:ascii="Arial Narrow" w:hAnsi="Arial Narrow" w:cs="Times New Roman"/>
                <w:sz w:val="20"/>
                <w:lang w:eastAsia="en-GB"/>
              </w:rPr>
              <w:t>Methods used to generate results</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AAD2E4C"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Markov model approach</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0D5DCD2"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This approach was reasonable.</w:t>
            </w:r>
          </w:p>
        </w:tc>
      </w:tr>
      <w:tr w:rsidR="005F69BD" w:rsidRPr="00EB1825" w14:paraId="1D2F4E27" w14:textId="77777777" w:rsidTr="00366774">
        <w:trPr>
          <w:cantSplit/>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0D48AE31" w14:textId="77777777" w:rsidR="005F69BD" w:rsidRPr="00EB1825" w:rsidRDefault="005F69BD" w:rsidP="00891F79">
            <w:pPr>
              <w:widowControl w:val="0"/>
              <w:jc w:val="left"/>
              <w:rPr>
                <w:rFonts w:ascii="Times" w:hAnsi="Times" w:cs="Times New Roman"/>
                <w:sz w:val="20"/>
                <w:szCs w:val="20"/>
                <w:lang w:eastAsia="en-GB"/>
              </w:rPr>
            </w:pPr>
            <w:r w:rsidRPr="00EB1825">
              <w:rPr>
                <w:rFonts w:ascii="Arial Narrow" w:hAnsi="Arial Narrow" w:cs="Times New Roman"/>
                <w:sz w:val="20"/>
                <w:lang w:eastAsia="en-GB"/>
              </w:rPr>
              <w:t>Health states</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4F379D"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xml:space="preserve">• 0 ≤ VMS frequency &lt; 2 </w:t>
            </w:r>
          </w:p>
          <w:p w14:paraId="52154326"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2≤ VMS frequency &lt;7</w:t>
            </w:r>
          </w:p>
          <w:p w14:paraId="14BDDCBA"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7≤ VMS frequency &lt;9</w:t>
            </w:r>
          </w:p>
          <w:p w14:paraId="52C98FD4"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VMS frequency ≥9</w:t>
            </w:r>
          </w:p>
          <w:p w14:paraId="199FA411"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Natural cessation of VMS</w:t>
            </w:r>
          </w:p>
          <w:p w14:paraId="1C65D0CF"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Death</w:t>
            </w:r>
          </w:p>
        </w:tc>
        <w:tc>
          <w:tcPr>
            <w:tcW w:w="2880" w:type="pct"/>
            <w:tcBorders>
              <w:top w:val="single" w:sz="4" w:space="0" w:color="auto"/>
              <w:left w:val="single" w:sz="4" w:space="0" w:color="auto"/>
              <w:bottom w:val="single" w:sz="4" w:space="0" w:color="auto"/>
              <w:right w:val="single" w:sz="4" w:space="0" w:color="auto"/>
            </w:tcBorders>
            <w:hideMark/>
          </w:tcPr>
          <w:p w14:paraId="756DFF96" w14:textId="4D5EA4B7" w:rsidR="005F69BD" w:rsidRPr="00EB1825" w:rsidRDefault="005F69BD" w:rsidP="00891F79">
            <w:pPr>
              <w:widowControl w:val="0"/>
              <w:jc w:val="left"/>
              <w:rPr>
                <w:rFonts w:ascii="Arial Narrow" w:hAnsi="Arial Narrow" w:cs="Times New Roman"/>
                <w:sz w:val="20"/>
                <w:shd w:val="clear" w:color="auto" w:fill="FFFFFF" w:themeFill="background1"/>
                <w:lang w:eastAsia="en-GB"/>
              </w:rPr>
            </w:pPr>
            <w:r w:rsidRPr="00EB1825">
              <w:rPr>
                <w:rFonts w:ascii="Arial Narrow" w:hAnsi="Arial Narrow" w:cs="Times New Roman"/>
                <w:sz w:val="20"/>
                <w:shd w:val="clear" w:color="auto" w:fill="B8CCE4" w:themeFill="accent1" w:themeFillTint="66"/>
                <w:lang w:eastAsia="en-GB"/>
              </w:rPr>
              <w:t>The ESC</w:t>
            </w:r>
            <w:r w:rsidR="00F347DA" w:rsidRPr="00EB1825">
              <w:rPr>
                <w:rFonts w:ascii="Arial Narrow" w:hAnsi="Arial Narrow" w:cs="Times New Roman"/>
                <w:sz w:val="20"/>
                <w:shd w:val="clear" w:color="auto" w:fill="B8CCE4" w:themeFill="accent1" w:themeFillTint="66"/>
                <w:lang w:eastAsia="en-GB"/>
              </w:rPr>
              <w:t xml:space="preserve"> previously</w:t>
            </w:r>
            <w:r w:rsidRPr="00EB1825">
              <w:rPr>
                <w:rFonts w:ascii="Arial Narrow" w:hAnsi="Arial Narrow" w:cs="Times New Roman"/>
                <w:sz w:val="20"/>
                <w:shd w:val="clear" w:color="auto" w:fill="B8CCE4" w:themeFill="accent1" w:themeFillTint="66"/>
                <w:lang w:eastAsia="en-GB"/>
              </w:rPr>
              <w:t xml:space="preserve"> raised concerns about the model structure, as it overlooked VMS severity, showed minimal utility differences between groups, and lacked validation through alternative approaches. It also contradicted the DCE findings (para 6.42-6.47, </w:t>
            </w:r>
            <w:proofErr w:type="spellStart"/>
            <w:r w:rsidRPr="00EB1825">
              <w:rPr>
                <w:rFonts w:ascii="Arial Narrow" w:hAnsi="Arial Narrow" w:cs="Times New Roman"/>
                <w:sz w:val="20"/>
                <w:shd w:val="clear" w:color="auto" w:fill="B8CCE4" w:themeFill="accent1" w:themeFillTint="66"/>
                <w:lang w:eastAsia="en-GB"/>
              </w:rPr>
              <w:t>fezolinetant</w:t>
            </w:r>
            <w:proofErr w:type="spellEnd"/>
            <w:r w:rsidR="00932E19" w:rsidRPr="00EB1825">
              <w:rPr>
                <w:rFonts w:ascii="Arial Narrow" w:hAnsi="Arial Narrow" w:cs="Times New Roman"/>
                <w:sz w:val="20"/>
                <w:shd w:val="clear" w:color="auto" w:fill="B8CCE4" w:themeFill="accent1" w:themeFillTint="66"/>
                <w:lang w:eastAsia="en-GB"/>
              </w:rPr>
              <w:t xml:space="preserve"> </w:t>
            </w:r>
            <w:r w:rsidR="008A09A4" w:rsidRPr="00EB1825">
              <w:rPr>
                <w:rFonts w:ascii="Arial Narrow" w:hAnsi="Arial Narrow" w:cs="Times New Roman"/>
                <w:sz w:val="20"/>
                <w:shd w:val="clear" w:color="auto" w:fill="B8CCE4" w:themeFill="accent1" w:themeFillTint="66"/>
                <w:lang w:eastAsia="en-GB"/>
              </w:rPr>
              <w:t>PSD</w:t>
            </w:r>
            <w:r w:rsidRPr="00EB1825">
              <w:rPr>
                <w:rFonts w:ascii="Arial Narrow" w:hAnsi="Arial Narrow" w:cs="Times New Roman"/>
                <w:sz w:val="20"/>
                <w:shd w:val="clear" w:color="auto" w:fill="B8CCE4" w:themeFill="accent1" w:themeFillTint="66"/>
                <w:lang w:eastAsia="en-GB"/>
              </w:rPr>
              <w:t xml:space="preserve"> March 2025).</w:t>
            </w:r>
            <w:r w:rsidRPr="00EB1825">
              <w:rPr>
                <w:rFonts w:ascii="Arial Narrow" w:hAnsi="Arial Narrow" w:cs="Times New Roman"/>
                <w:sz w:val="20"/>
                <w:lang w:eastAsia="en-GB"/>
              </w:rPr>
              <w:t xml:space="preserve"> The resubmission provided</w:t>
            </w:r>
            <w:r w:rsidRPr="00EB1825">
              <w:rPr>
                <w:rFonts w:ascii="Arial Narrow" w:hAnsi="Arial Narrow" w:cs="Times New Roman"/>
                <w:sz w:val="20"/>
                <w:shd w:val="clear" w:color="auto" w:fill="FFFFFF" w:themeFill="background1"/>
                <w:lang w:eastAsia="en-GB"/>
              </w:rPr>
              <w:t xml:space="preserve"> further justifications to support the model structure, regarding the </w:t>
            </w:r>
            <w:r w:rsidR="00B92B1C" w:rsidRPr="00EB1825">
              <w:rPr>
                <w:rFonts w:ascii="Arial Narrow" w:hAnsi="Arial Narrow" w:cs="Times New Roman"/>
                <w:sz w:val="20"/>
                <w:shd w:val="clear" w:color="auto" w:fill="FFFFFF" w:themeFill="background1"/>
                <w:lang w:eastAsia="en-GB"/>
              </w:rPr>
              <w:t>exclusion</w:t>
            </w:r>
            <w:r w:rsidRPr="00EB1825">
              <w:rPr>
                <w:rFonts w:ascii="Arial Narrow" w:hAnsi="Arial Narrow" w:cs="Times New Roman"/>
                <w:sz w:val="20"/>
                <w:shd w:val="clear" w:color="auto" w:fill="FFFFFF" w:themeFill="background1"/>
                <w:lang w:eastAsia="en-GB"/>
              </w:rPr>
              <w:t xml:space="preserve"> of VMS severity and the use of two separate VMS frequency health states (</w:t>
            </w:r>
            <w:r w:rsidR="00074B4B" w:rsidRPr="00EB1825">
              <w:rPr>
                <w:rFonts w:ascii="Arial Narrow" w:hAnsi="Arial Narrow" w:cs="Times New Roman"/>
                <w:sz w:val="20"/>
                <w:shd w:val="clear" w:color="auto" w:fill="FFFFFF" w:themeFill="background1"/>
                <w:lang w:eastAsia="en-GB"/>
              </w:rPr>
              <w:t>‘</w:t>
            </w:r>
            <w:r w:rsidRPr="00EB1825">
              <w:rPr>
                <w:rFonts w:ascii="Arial Narrow" w:hAnsi="Arial Narrow" w:cs="Times New Roman"/>
                <w:sz w:val="20"/>
                <w:shd w:val="clear" w:color="auto" w:fill="FFFFFF" w:themeFill="background1"/>
                <w:lang w:eastAsia="en-GB"/>
              </w:rPr>
              <w:t>2≤VMS frequency&lt;7’ and ‘7≤VMS frequency&lt;9’), when there was no significant utility difference. However, the results</w:t>
            </w:r>
            <w:r w:rsidR="001D4428" w:rsidRPr="00EB1825">
              <w:rPr>
                <w:rFonts w:ascii="Arial Narrow" w:hAnsi="Arial Narrow" w:cs="Times New Roman"/>
                <w:sz w:val="20"/>
                <w:shd w:val="clear" w:color="auto" w:fill="FFFFFF" w:themeFill="background1"/>
                <w:lang w:eastAsia="en-GB"/>
              </w:rPr>
              <w:t xml:space="preserve"> of the submission’s correlation analysis between VMS frequency and severity</w:t>
            </w:r>
            <w:r w:rsidRPr="00EB1825">
              <w:rPr>
                <w:rFonts w:ascii="Arial Narrow" w:hAnsi="Arial Narrow" w:cs="Times New Roman"/>
                <w:sz w:val="20"/>
                <w:shd w:val="clear" w:color="auto" w:fill="FFFFFF" w:themeFill="background1"/>
                <w:lang w:eastAsia="en-GB"/>
              </w:rPr>
              <w:t xml:space="preserve"> indicated low to moderate correlation between severity and frequency (correlation coefficients 0.236 to 0.477).  </w:t>
            </w:r>
          </w:p>
          <w:p w14:paraId="09084442" w14:textId="4F9B568B" w:rsidR="00C7243B" w:rsidRPr="00EB1825" w:rsidRDefault="00040EA5" w:rsidP="00BF6C12">
            <w:pPr>
              <w:widowControl w:val="0"/>
              <w:jc w:val="left"/>
              <w:rPr>
                <w:rFonts w:ascii="Arial Narrow" w:hAnsi="Arial Narrow" w:cs="Times New Roman"/>
                <w:sz w:val="20"/>
                <w:lang w:eastAsia="en-GB"/>
              </w:rPr>
            </w:pPr>
            <w:r w:rsidRPr="00EB1825">
              <w:rPr>
                <w:rFonts w:ascii="Arial Narrow" w:hAnsi="Arial Narrow" w:cs="Times New Roman"/>
                <w:sz w:val="20"/>
                <w:lang w:eastAsia="en-GB"/>
              </w:rPr>
              <w:t xml:space="preserve">The PSCR argued that the model’s focus on VMS frequency rather than severity was due to the objectivity of frequency as a measure and the lack of standardised scales for clinician-reported severity. </w:t>
            </w:r>
            <w:r w:rsidR="00C7243B" w:rsidRPr="00EB1825">
              <w:rPr>
                <w:rFonts w:ascii="Arial Narrow" w:hAnsi="Arial Narrow" w:cs="Times New Roman"/>
                <w:sz w:val="20"/>
                <w:lang w:eastAsia="en-GB"/>
              </w:rPr>
              <w:t>It</w:t>
            </w:r>
            <w:r w:rsidRPr="00EB1825">
              <w:rPr>
                <w:rFonts w:ascii="Arial Narrow" w:hAnsi="Arial Narrow" w:cs="Times New Roman"/>
                <w:sz w:val="20"/>
                <w:lang w:eastAsia="en-GB"/>
              </w:rPr>
              <w:t xml:space="preserve"> noted that excluding severity was unlikely to introduce bias in favour of </w:t>
            </w:r>
            <w:proofErr w:type="spellStart"/>
            <w:r w:rsidRPr="00EB1825">
              <w:rPr>
                <w:rFonts w:ascii="Arial Narrow" w:hAnsi="Arial Narrow" w:cs="Times New Roman"/>
                <w:sz w:val="20"/>
                <w:lang w:eastAsia="en-GB"/>
              </w:rPr>
              <w:t>fezolinetant</w:t>
            </w:r>
            <w:proofErr w:type="spellEnd"/>
            <w:r w:rsidRPr="00EB1825">
              <w:rPr>
                <w:rFonts w:ascii="Arial Narrow" w:hAnsi="Arial Narrow" w:cs="Times New Roman"/>
                <w:sz w:val="20"/>
                <w:lang w:eastAsia="en-GB"/>
              </w:rPr>
              <w:t xml:space="preserve">, given the significantly greater reduction in severity compared with placebo, and that severity was still captured indirectly through utility measures. </w:t>
            </w:r>
          </w:p>
        </w:tc>
      </w:tr>
      <w:tr w:rsidR="005F69BD" w:rsidRPr="00EB1825" w14:paraId="726ADDAF"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3AD5EE28" w14:textId="77777777" w:rsidR="005F69BD" w:rsidRPr="00EB1825" w:rsidRDefault="005F69BD" w:rsidP="00891F79">
            <w:pPr>
              <w:widowControl w:val="0"/>
              <w:jc w:val="left"/>
              <w:rPr>
                <w:rFonts w:ascii="Times" w:hAnsi="Times" w:cs="Times New Roman"/>
                <w:sz w:val="20"/>
                <w:szCs w:val="20"/>
                <w:lang w:eastAsia="en-GB"/>
              </w:rPr>
            </w:pPr>
            <w:r w:rsidRPr="00EB1825">
              <w:rPr>
                <w:rFonts w:ascii="Arial Narrow" w:hAnsi="Arial Narrow" w:cs="Times New Roman"/>
                <w:sz w:val="20"/>
                <w:lang w:eastAsia="en-GB"/>
              </w:rPr>
              <w:t>Cycle length</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1E5304" w14:textId="77777777" w:rsidR="005F69BD" w:rsidRPr="00EB1825" w:rsidRDefault="005F69BD" w:rsidP="00891F79">
            <w:pPr>
              <w:widowControl w:val="0"/>
              <w:jc w:val="left"/>
              <w:rPr>
                <w:rFonts w:ascii="Times" w:hAnsi="Times" w:cs="Times New Roman"/>
                <w:sz w:val="20"/>
                <w:szCs w:val="20"/>
                <w:lang w:eastAsia="en-GB"/>
              </w:rPr>
            </w:pPr>
            <w:r w:rsidRPr="00EB1825">
              <w:rPr>
                <w:rFonts w:ascii="Arial Narrow" w:hAnsi="Arial Narrow" w:cs="Times New Roman"/>
                <w:sz w:val="20"/>
                <w:lang w:eastAsia="en-GB"/>
              </w:rPr>
              <w:t>Four weeks, half cycle correction</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639C2A"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This was appropriate.</w:t>
            </w:r>
          </w:p>
        </w:tc>
      </w:tr>
      <w:tr w:rsidR="005F69BD" w:rsidRPr="00EB1825" w14:paraId="43EB0879"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08C7681B"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Utility values</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4F18C14"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Mean utility values from DAYLIGHT (EQ-5D-5L mapped to UK EQ-5D-3L):</w:t>
            </w:r>
          </w:p>
          <w:p w14:paraId="2197C4EB" w14:textId="77777777" w:rsidR="005F69BD" w:rsidRPr="00EB1825" w:rsidRDefault="005F69BD" w:rsidP="00891F79">
            <w:pPr>
              <w:widowControl w:val="0"/>
              <w:rPr>
                <w:rFonts w:ascii="Arial Narrow" w:hAnsi="Arial Narrow" w:cs="Times New Roman"/>
                <w:sz w:val="20"/>
                <w:lang w:eastAsia="en-GB"/>
              </w:rPr>
            </w:pPr>
            <w:r w:rsidRPr="00EB1825">
              <w:rPr>
                <w:rFonts w:ascii="Arial Narrow" w:hAnsi="Arial Narrow" w:cs="Times New Roman"/>
                <w:sz w:val="20"/>
                <w:lang w:eastAsia="en-GB"/>
              </w:rPr>
              <w:t>• 0 ≤ VMS frequency &lt; 2= 0.833</w:t>
            </w:r>
          </w:p>
          <w:p w14:paraId="566A2331" w14:textId="77777777" w:rsidR="005F69BD" w:rsidRPr="00EB1825" w:rsidRDefault="005F69BD" w:rsidP="00891F79">
            <w:pPr>
              <w:widowControl w:val="0"/>
              <w:rPr>
                <w:rFonts w:ascii="Arial Narrow" w:hAnsi="Arial Narrow" w:cs="Times New Roman"/>
                <w:sz w:val="20"/>
                <w:lang w:eastAsia="en-GB"/>
              </w:rPr>
            </w:pPr>
            <w:r w:rsidRPr="00EB1825">
              <w:rPr>
                <w:rFonts w:ascii="Arial Narrow" w:hAnsi="Arial Narrow" w:cs="Times New Roman"/>
                <w:sz w:val="20"/>
                <w:lang w:eastAsia="en-GB"/>
              </w:rPr>
              <w:t>• 2≤ VMS frequency &lt;7= 0.793</w:t>
            </w:r>
          </w:p>
          <w:p w14:paraId="40D4F501" w14:textId="77777777" w:rsidR="005F69BD" w:rsidRPr="00EB1825" w:rsidRDefault="005F69BD" w:rsidP="00891F79">
            <w:pPr>
              <w:widowControl w:val="0"/>
              <w:rPr>
                <w:rFonts w:ascii="Arial Narrow" w:hAnsi="Arial Narrow" w:cs="Times New Roman"/>
                <w:sz w:val="20"/>
                <w:lang w:eastAsia="en-GB"/>
              </w:rPr>
            </w:pPr>
            <w:r w:rsidRPr="00EB1825">
              <w:rPr>
                <w:rFonts w:ascii="Arial Narrow" w:hAnsi="Arial Narrow" w:cs="Times New Roman"/>
                <w:sz w:val="20"/>
                <w:lang w:eastAsia="en-GB"/>
              </w:rPr>
              <w:t>• 7≤ VMS frequency &lt;9= 0.785</w:t>
            </w:r>
          </w:p>
          <w:p w14:paraId="44C7F7E9" w14:textId="77777777" w:rsidR="005F69BD" w:rsidRPr="00EB1825" w:rsidRDefault="005F69BD" w:rsidP="00891F79">
            <w:pPr>
              <w:widowControl w:val="0"/>
              <w:rPr>
                <w:rFonts w:ascii="Arial Narrow" w:hAnsi="Arial Narrow" w:cs="Times New Roman"/>
                <w:sz w:val="20"/>
                <w:lang w:eastAsia="en-GB"/>
              </w:rPr>
            </w:pPr>
            <w:r w:rsidRPr="00EB1825">
              <w:rPr>
                <w:rFonts w:ascii="Arial Narrow" w:hAnsi="Arial Narrow" w:cs="Times New Roman"/>
                <w:sz w:val="20"/>
                <w:lang w:eastAsia="en-GB"/>
              </w:rPr>
              <w:t>• VMS frequency ≥9= 0.747</w:t>
            </w:r>
          </w:p>
          <w:p w14:paraId="467E8999"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Natural cessation of VMS= 0.843 Other health state utilities were based on Whiteley et al., 2013, and clinician estimates.</w:t>
            </w:r>
          </w:p>
        </w:tc>
        <w:tc>
          <w:tcPr>
            <w:tcW w:w="28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F7664D" w14:textId="3238F057" w:rsidR="005F69BD" w:rsidRPr="00EB1825" w:rsidRDefault="005F69BD" w:rsidP="00891F79">
            <w:pPr>
              <w:widowControl w:val="0"/>
              <w:jc w:val="left"/>
              <w:rPr>
                <w:rFonts w:ascii="Arial Narrow" w:hAnsi="Arial Narrow" w:cs="Times New Roman"/>
                <w:sz w:val="20"/>
                <w:shd w:val="clear" w:color="auto" w:fill="FFFFFF" w:themeFill="background1"/>
                <w:lang w:eastAsia="en-GB"/>
              </w:rPr>
            </w:pPr>
            <w:r w:rsidRPr="00EB1825">
              <w:rPr>
                <w:rFonts w:ascii="Arial Narrow" w:hAnsi="Arial Narrow" w:cs="Times New Roman"/>
                <w:sz w:val="20"/>
                <w:shd w:val="clear" w:color="auto" w:fill="B8CCE4" w:themeFill="accent1" w:themeFillTint="66"/>
                <w:lang w:eastAsia="en-GB"/>
              </w:rPr>
              <w:t xml:space="preserve">The ESC </w:t>
            </w:r>
            <w:r w:rsidR="00F347DA" w:rsidRPr="00EB1825">
              <w:rPr>
                <w:rFonts w:ascii="Arial Narrow" w:hAnsi="Arial Narrow" w:cs="Times New Roman"/>
                <w:sz w:val="20"/>
                <w:shd w:val="clear" w:color="auto" w:fill="B8CCE4" w:themeFill="accent1" w:themeFillTint="66"/>
                <w:lang w:eastAsia="en-GB"/>
              </w:rPr>
              <w:t xml:space="preserve">previously </w:t>
            </w:r>
            <w:r w:rsidRPr="00EB1825">
              <w:rPr>
                <w:rFonts w:ascii="Arial Narrow" w:hAnsi="Arial Narrow" w:cs="Times New Roman"/>
                <w:sz w:val="20"/>
                <w:shd w:val="clear" w:color="auto" w:fill="B8CCE4" w:themeFill="accent1" w:themeFillTint="66"/>
                <w:lang w:eastAsia="en-GB"/>
              </w:rPr>
              <w:t xml:space="preserve">considered that it would be useful to see the Australian value set applied directly to the 5L data in the sensitivity analyses, although it is unlikely to have a substantial impact on the ICER (para 6.51, </w:t>
            </w:r>
            <w:proofErr w:type="spellStart"/>
            <w:r w:rsidRPr="00EB1825">
              <w:rPr>
                <w:rFonts w:ascii="Arial Narrow" w:hAnsi="Arial Narrow" w:cs="Times New Roman"/>
                <w:sz w:val="20"/>
                <w:shd w:val="clear" w:color="auto" w:fill="B8CCE4" w:themeFill="accent1" w:themeFillTint="66"/>
                <w:lang w:eastAsia="en-GB"/>
              </w:rPr>
              <w:t>fezolinetant</w:t>
            </w:r>
            <w:proofErr w:type="spellEnd"/>
            <w:r w:rsidR="008A09A4" w:rsidRPr="00EB1825">
              <w:rPr>
                <w:rFonts w:ascii="Arial Narrow" w:hAnsi="Arial Narrow" w:cs="Times New Roman"/>
                <w:sz w:val="20"/>
                <w:shd w:val="clear" w:color="auto" w:fill="B8CCE4" w:themeFill="accent1" w:themeFillTint="66"/>
                <w:lang w:eastAsia="en-GB"/>
              </w:rPr>
              <w:t xml:space="preserve"> PSD</w:t>
            </w:r>
            <w:r w:rsidRPr="00EB1825">
              <w:rPr>
                <w:rFonts w:ascii="Arial Narrow" w:hAnsi="Arial Narrow" w:cs="Times New Roman"/>
                <w:sz w:val="20"/>
                <w:shd w:val="clear" w:color="auto" w:fill="B8CCE4" w:themeFill="accent1" w:themeFillTint="66"/>
                <w:lang w:eastAsia="en-GB"/>
              </w:rPr>
              <w:t xml:space="preserve"> March 2025).</w:t>
            </w:r>
            <w:r w:rsidRPr="00EB1825">
              <w:rPr>
                <w:rFonts w:ascii="Arial Narrow" w:hAnsi="Arial Narrow" w:cs="Times New Roman"/>
                <w:sz w:val="20"/>
                <w:lang w:eastAsia="en-GB"/>
              </w:rPr>
              <w:t xml:space="preserve"> The</w:t>
            </w:r>
            <w:r w:rsidRPr="00EB1825">
              <w:rPr>
                <w:rFonts w:ascii="Arial Narrow" w:hAnsi="Arial Narrow" w:cs="Times New Roman"/>
                <w:sz w:val="20"/>
                <w:shd w:val="clear" w:color="auto" w:fill="FFFFFF" w:themeFill="background1"/>
                <w:lang w:eastAsia="en-GB"/>
              </w:rPr>
              <w:t xml:space="preserve"> resubmission </w:t>
            </w:r>
            <w:r w:rsidR="00074B4B" w:rsidRPr="00EB1825">
              <w:rPr>
                <w:rFonts w:ascii="Arial Narrow" w:hAnsi="Arial Narrow" w:cs="Times New Roman"/>
                <w:sz w:val="20"/>
                <w:shd w:val="clear" w:color="auto" w:fill="FFFFFF" w:themeFill="background1"/>
                <w:lang w:eastAsia="en-GB"/>
              </w:rPr>
              <w:t>argued</w:t>
            </w:r>
            <w:r w:rsidRPr="00EB1825">
              <w:rPr>
                <w:rFonts w:ascii="Arial Narrow" w:hAnsi="Arial Narrow" w:cs="Times New Roman"/>
                <w:sz w:val="20"/>
                <w:shd w:val="clear" w:color="auto" w:fill="FFFFFF" w:themeFill="background1"/>
                <w:lang w:eastAsia="en-GB"/>
              </w:rPr>
              <w:t xml:space="preserve"> that applying the Australian value set for estimating health state utility values was unlikely to have a substantial impact on model result</w:t>
            </w:r>
            <w:r w:rsidR="00074B4B" w:rsidRPr="00EB1825">
              <w:rPr>
                <w:rFonts w:ascii="Arial Narrow" w:hAnsi="Arial Narrow" w:cs="Times New Roman"/>
                <w:sz w:val="20"/>
                <w:shd w:val="clear" w:color="auto" w:fill="FFFFFF" w:themeFill="background1"/>
                <w:lang w:eastAsia="en-GB"/>
              </w:rPr>
              <w:t>s</w:t>
            </w:r>
            <w:r w:rsidRPr="00EB1825">
              <w:rPr>
                <w:rFonts w:ascii="Arial Narrow" w:hAnsi="Arial Narrow" w:cs="Times New Roman"/>
                <w:sz w:val="20"/>
                <w:shd w:val="clear" w:color="auto" w:fill="FFFFFF" w:themeFill="background1"/>
                <w:lang w:eastAsia="en-GB"/>
              </w:rPr>
              <w:t>; therefore, the health state utility values remain unchanged.</w:t>
            </w:r>
            <w:r w:rsidR="004B7BBB" w:rsidRPr="00EB1825">
              <w:rPr>
                <w:rFonts w:ascii="Arial Narrow" w:hAnsi="Arial Narrow" w:cs="Times New Roman"/>
                <w:sz w:val="20"/>
                <w:shd w:val="clear" w:color="auto" w:fill="FFFFFF" w:themeFill="background1"/>
                <w:lang w:eastAsia="en-GB"/>
              </w:rPr>
              <w:t xml:space="preserve"> The ESC considered that the </w:t>
            </w:r>
            <w:r w:rsidR="0097017D" w:rsidRPr="00EB1825">
              <w:rPr>
                <w:rFonts w:ascii="Arial Narrow" w:hAnsi="Arial Narrow" w:cs="Times New Roman"/>
                <w:sz w:val="20"/>
                <w:shd w:val="clear" w:color="auto" w:fill="FFFFFF" w:themeFill="background1"/>
                <w:lang w:eastAsia="en-GB"/>
              </w:rPr>
              <w:t>Australian value sets should have been presented consistent with the PBAC guidelines (v5.0).</w:t>
            </w:r>
          </w:p>
          <w:p w14:paraId="7F719842" w14:textId="271FEF04" w:rsidR="00BF6C12" w:rsidRPr="00EB1825" w:rsidRDefault="00BF6C12" w:rsidP="00BF6C12">
            <w:pPr>
              <w:widowControl w:val="0"/>
              <w:jc w:val="left"/>
              <w:rPr>
                <w:rFonts w:ascii="Arial Narrow" w:hAnsi="Arial Narrow" w:cs="Times New Roman"/>
                <w:sz w:val="20"/>
                <w:shd w:val="clear" w:color="auto" w:fill="FFFFFF" w:themeFill="background1"/>
                <w:lang w:eastAsia="en-GB"/>
              </w:rPr>
            </w:pPr>
          </w:p>
        </w:tc>
      </w:tr>
      <w:tr w:rsidR="005F69BD" w:rsidRPr="00EB1825" w14:paraId="491F9035"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2AB0E466"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Efficacy data sources</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F36D9BF"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xml:space="preserve">Primary: DAYLIGHT, Secondary: DAYLIGHT + SKYLIGHT 1 &amp; 2 </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64C532C"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This was appropriate.</w:t>
            </w:r>
          </w:p>
        </w:tc>
      </w:tr>
      <w:tr w:rsidR="005F69BD" w:rsidRPr="00EB1825" w14:paraId="3051561B" w14:textId="77777777" w:rsidTr="001325B1">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tcPr>
          <w:p w14:paraId="5AEC1732"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Discontinuation</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42C01E"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0-24 weeks: DAYLIGHT 0-24</w:t>
            </w:r>
          </w:p>
          <w:p w14:paraId="51D10867" w14:textId="6A5BD52F"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24+ weeks: DAYLIGHT 0-24 for no treatment and SKYLIGHT 1 &amp;2 (</w:t>
            </w:r>
            <w:r w:rsidR="007A55CA" w:rsidRPr="00EB1825">
              <w:rPr>
                <w:rFonts w:ascii="Arial Narrow" w:hAnsi="Arial Narrow" w:cs="Times New Roman"/>
                <w:sz w:val="20"/>
                <w:lang w:eastAsia="en-GB"/>
              </w:rPr>
              <w:t>M</w:t>
            </w:r>
            <w:r w:rsidRPr="00EB1825">
              <w:rPr>
                <w:rFonts w:ascii="Arial Narrow" w:hAnsi="Arial Narrow" w:cs="Times New Roman"/>
                <w:sz w:val="20"/>
                <w:lang w:eastAsia="en-GB"/>
              </w:rPr>
              <w:t xml:space="preserve">HT unsuitable, week 24-52) for </w:t>
            </w:r>
            <w:proofErr w:type="spellStart"/>
            <w:r w:rsidRPr="00EB1825">
              <w:rPr>
                <w:rFonts w:ascii="Arial Narrow" w:hAnsi="Arial Narrow" w:cs="Times New Roman"/>
                <w:sz w:val="20"/>
                <w:lang w:eastAsia="en-GB"/>
              </w:rPr>
              <w:t>fezolinetant</w:t>
            </w:r>
            <w:proofErr w:type="spellEnd"/>
            <w:r w:rsidR="001325B1" w:rsidRPr="00EB1825">
              <w:rPr>
                <w:rFonts w:ascii="Arial Narrow" w:hAnsi="Arial Narrow" w:cs="Times New Roman"/>
                <w:sz w:val="20"/>
                <w:lang w:eastAsia="en-GB"/>
              </w:rPr>
              <w:t>.</w:t>
            </w:r>
          </w:p>
        </w:tc>
        <w:tc>
          <w:tcPr>
            <w:tcW w:w="2880" w:type="pct"/>
            <w:tcBorders>
              <w:top w:val="single" w:sz="4" w:space="0" w:color="auto"/>
              <w:left w:val="single" w:sz="4" w:space="0" w:color="auto"/>
              <w:bottom w:val="single" w:sz="4" w:space="0" w:color="auto"/>
              <w:right w:val="single" w:sz="4" w:space="0" w:color="auto"/>
            </w:tcBorders>
          </w:tcPr>
          <w:p w14:paraId="5B3C3886" w14:textId="430307C3" w:rsidR="005F69BD" w:rsidRPr="00EB1825" w:rsidRDefault="001325B1" w:rsidP="00891F79">
            <w:pPr>
              <w:widowControl w:val="0"/>
              <w:jc w:val="left"/>
              <w:rPr>
                <w:rFonts w:ascii="Arial Narrow" w:hAnsi="Arial Narrow" w:cs="Times New Roman"/>
                <w:sz w:val="20"/>
                <w:lang w:eastAsia="en-GB"/>
              </w:rPr>
            </w:pPr>
            <w:r w:rsidRPr="00EB1825">
              <w:rPr>
                <w:rFonts w:ascii="Arial Narrow" w:hAnsi="Arial Narrow" w:cs="Times New Roman"/>
                <w:sz w:val="20"/>
                <w:shd w:val="clear" w:color="auto" w:fill="B8CCE4" w:themeFill="accent1" w:themeFillTint="66"/>
                <w:lang w:eastAsia="en-GB"/>
              </w:rPr>
              <w:t>The ESC</w:t>
            </w:r>
            <w:r w:rsidR="00F347DA" w:rsidRPr="00EB1825">
              <w:rPr>
                <w:rFonts w:ascii="Arial Narrow" w:hAnsi="Arial Narrow" w:cs="Times New Roman"/>
                <w:sz w:val="20"/>
                <w:shd w:val="clear" w:color="auto" w:fill="B8CCE4" w:themeFill="accent1" w:themeFillTint="66"/>
                <w:lang w:eastAsia="en-GB"/>
              </w:rPr>
              <w:t xml:space="preserve"> previously</w:t>
            </w:r>
            <w:r w:rsidRPr="00EB1825">
              <w:rPr>
                <w:rFonts w:ascii="Arial Narrow" w:hAnsi="Arial Narrow" w:cs="Times New Roman"/>
                <w:sz w:val="20"/>
                <w:shd w:val="clear" w:color="auto" w:fill="B8CCE4" w:themeFill="accent1" w:themeFillTint="66"/>
                <w:lang w:eastAsia="en-GB"/>
              </w:rPr>
              <w:t xml:space="preserve"> considered that the assumption that treatment discontinuation is lower in the </w:t>
            </w:r>
            <w:proofErr w:type="spellStart"/>
            <w:r w:rsidRPr="00EB1825">
              <w:rPr>
                <w:rFonts w:ascii="Arial Narrow" w:hAnsi="Arial Narrow" w:cs="Times New Roman"/>
                <w:sz w:val="20"/>
                <w:shd w:val="clear" w:color="auto" w:fill="B8CCE4" w:themeFill="accent1" w:themeFillTint="66"/>
                <w:lang w:eastAsia="en-GB"/>
              </w:rPr>
              <w:t>fezolinetant</w:t>
            </w:r>
            <w:proofErr w:type="spellEnd"/>
            <w:r w:rsidRPr="00EB1825">
              <w:rPr>
                <w:rFonts w:ascii="Arial Narrow" w:hAnsi="Arial Narrow" w:cs="Times New Roman"/>
                <w:sz w:val="20"/>
                <w:shd w:val="clear" w:color="auto" w:fill="B8CCE4" w:themeFill="accent1" w:themeFillTint="66"/>
                <w:lang w:eastAsia="en-GB"/>
              </w:rPr>
              <w:t xml:space="preserve"> arm may be reasonable, however the current model appear</w:t>
            </w:r>
            <w:r w:rsidR="008A3854" w:rsidRPr="00EB1825">
              <w:rPr>
                <w:rFonts w:ascii="Arial Narrow" w:hAnsi="Arial Narrow" w:cs="Times New Roman"/>
                <w:sz w:val="20"/>
                <w:shd w:val="clear" w:color="auto" w:fill="B8CCE4" w:themeFill="accent1" w:themeFillTint="66"/>
                <w:lang w:eastAsia="en-GB"/>
              </w:rPr>
              <w:t>ed</w:t>
            </w:r>
            <w:r w:rsidRPr="00EB1825">
              <w:rPr>
                <w:rFonts w:ascii="Arial Narrow" w:hAnsi="Arial Narrow" w:cs="Times New Roman"/>
                <w:sz w:val="20"/>
                <w:shd w:val="clear" w:color="auto" w:fill="B8CCE4" w:themeFill="accent1" w:themeFillTint="66"/>
                <w:lang w:eastAsia="en-GB"/>
              </w:rPr>
              <w:t xml:space="preserve"> to double-count return to baseline in the no treatment arm, hence biasing the ICER in favour of </w:t>
            </w:r>
            <w:proofErr w:type="spellStart"/>
            <w:r w:rsidRPr="00EB1825">
              <w:rPr>
                <w:rFonts w:ascii="Arial Narrow" w:hAnsi="Arial Narrow" w:cs="Times New Roman"/>
                <w:sz w:val="20"/>
                <w:shd w:val="clear" w:color="auto" w:fill="B8CCE4" w:themeFill="accent1" w:themeFillTint="66"/>
                <w:lang w:eastAsia="en-GB"/>
              </w:rPr>
              <w:t>fezolinetant</w:t>
            </w:r>
            <w:proofErr w:type="spellEnd"/>
            <w:r w:rsidRPr="00EB1825">
              <w:rPr>
                <w:rFonts w:ascii="Arial Narrow" w:hAnsi="Arial Narrow" w:cs="Times New Roman"/>
                <w:sz w:val="20"/>
                <w:shd w:val="clear" w:color="auto" w:fill="B8CCE4" w:themeFill="accent1" w:themeFillTint="66"/>
                <w:lang w:eastAsia="en-GB"/>
              </w:rPr>
              <w:t xml:space="preserve">. The ESC noted the possibility of modelling trial discontinuation based on event frequency, and then to apply those rates to both arms equally (para </w:t>
            </w:r>
            <w:r w:rsidR="00034AE6" w:rsidRPr="00EB1825">
              <w:rPr>
                <w:rFonts w:ascii="Arial Narrow" w:hAnsi="Arial Narrow" w:cs="Times New Roman"/>
                <w:sz w:val="20"/>
                <w:shd w:val="clear" w:color="auto" w:fill="B8CCE4" w:themeFill="accent1" w:themeFillTint="66"/>
                <w:lang w:eastAsia="en-GB"/>
              </w:rPr>
              <w:t xml:space="preserve">6.57, </w:t>
            </w:r>
            <w:proofErr w:type="spellStart"/>
            <w:r w:rsidR="00034AE6" w:rsidRPr="00EB1825">
              <w:rPr>
                <w:rFonts w:ascii="Arial Narrow" w:hAnsi="Arial Narrow" w:cs="Times New Roman"/>
                <w:sz w:val="20"/>
                <w:shd w:val="clear" w:color="auto" w:fill="B8CCE4" w:themeFill="accent1" w:themeFillTint="66"/>
                <w:lang w:eastAsia="en-GB"/>
              </w:rPr>
              <w:t>fezolinetant</w:t>
            </w:r>
            <w:proofErr w:type="spellEnd"/>
            <w:r w:rsidR="00932E19" w:rsidRPr="00EB1825">
              <w:rPr>
                <w:rFonts w:ascii="Arial Narrow" w:hAnsi="Arial Narrow" w:cs="Times New Roman"/>
                <w:sz w:val="20"/>
                <w:shd w:val="clear" w:color="auto" w:fill="B8CCE4" w:themeFill="accent1" w:themeFillTint="66"/>
                <w:lang w:eastAsia="en-GB"/>
              </w:rPr>
              <w:t xml:space="preserve"> </w:t>
            </w:r>
            <w:r w:rsidR="008A09A4" w:rsidRPr="00EB1825">
              <w:rPr>
                <w:rFonts w:ascii="Arial Narrow" w:hAnsi="Arial Narrow" w:cs="Times New Roman"/>
                <w:sz w:val="20"/>
                <w:shd w:val="clear" w:color="auto" w:fill="B8CCE4" w:themeFill="accent1" w:themeFillTint="66"/>
                <w:lang w:eastAsia="en-GB"/>
              </w:rPr>
              <w:t>PSD</w:t>
            </w:r>
            <w:r w:rsidR="00034AE6" w:rsidRPr="00EB1825">
              <w:rPr>
                <w:rFonts w:ascii="Arial Narrow" w:hAnsi="Arial Narrow" w:cs="Times New Roman"/>
                <w:sz w:val="20"/>
                <w:shd w:val="clear" w:color="auto" w:fill="B8CCE4" w:themeFill="accent1" w:themeFillTint="66"/>
                <w:lang w:eastAsia="en-GB"/>
              </w:rPr>
              <w:t xml:space="preserve"> March 2025)</w:t>
            </w:r>
            <w:r w:rsidRPr="00EB1825">
              <w:rPr>
                <w:rFonts w:ascii="Arial Narrow" w:hAnsi="Arial Narrow" w:cs="Times New Roman"/>
                <w:sz w:val="20"/>
                <w:shd w:val="clear" w:color="auto" w:fill="B8CCE4" w:themeFill="accent1" w:themeFillTint="66"/>
                <w:lang w:eastAsia="en-GB"/>
              </w:rPr>
              <w:t>.</w:t>
            </w:r>
            <w:r w:rsidR="00034AE6" w:rsidRPr="00EB1825">
              <w:rPr>
                <w:rFonts w:ascii="Arial Narrow" w:hAnsi="Arial Narrow" w:cs="Times New Roman"/>
                <w:sz w:val="20"/>
                <w:lang w:eastAsia="en-GB"/>
              </w:rPr>
              <w:t xml:space="preserve"> This was not addressed by the resubmission.</w:t>
            </w:r>
            <w:r w:rsidR="008A3854" w:rsidRPr="00EB1825">
              <w:rPr>
                <w:rFonts w:ascii="Arial Narrow" w:hAnsi="Arial Narrow" w:cs="Times New Roman"/>
                <w:sz w:val="20"/>
                <w:lang w:eastAsia="en-GB"/>
              </w:rPr>
              <w:t xml:space="preserve"> Additionally, discontinuation defin</w:t>
            </w:r>
            <w:r w:rsidR="00173ACC" w:rsidRPr="00EB1825">
              <w:rPr>
                <w:rFonts w:ascii="Arial Narrow" w:hAnsi="Arial Narrow" w:cs="Times New Roman"/>
                <w:sz w:val="20"/>
                <w:lang w:eastAsia="en-GB"/>
              </w:rPr>
              <w:t>ed</w:t>
            </w:r>
            <w:r w:rsidR="008A3854" w:rsidRPr="00EB1825">
              <w:rPr>
                <w:rFonts w:ascii="Arial Narrow" w:hAnsi="Arial Narrow" w:cs="Times New Roman"/>
                <w:sz w:val="20"/>
                <w:lang w:eastAsia="en-GB"/>
              </w:rPr>
              <w:t xml:space="preserve"> in DAYLIGHT (due to lack of efficacy, MHT-related side effects, advised by healthcare provider to stop due to length of time on MHT or due to age ≥ 60 years) was different to that in SKYLIGHT1&amp;2 (due to medical concerns), raising further concerns about the accuracy of using the </w:t>
            </w:r>
            <w:r w:rsidR="00273B61" w:rsidRPr="00EB1825">
              <w:rPr>
                <w:rFonts w:ascii="Arial Narrow" w:hAnsi="Arial Narrow" w:cs="Times New Roman"/>
                <w:sz w:val="20"/>
                <w:lang w:eastAsia="en-GB"/>
              </w:rPr>
              <w:t xml:space="preserve">SKYLIGHT-reported </w:t>
            </w:r>
            <w:r w:rsidR="00467B96" w:rsidRPr="00EB1825">
              <w:rPr>
                <w:rFonts w:ascii="Arial Narrow" w:hAnsi="Arial Narrow" w:cs="Times New Roman"/>
                <w:sz w:val="20"/>
                <w:lang w:eastAsia="en-GB"/>
              </w:rPr>
              <w:t>discontinuation rate</w:t>
            </w:r>
            <w:r w:rsidR="00273B61" w:rsidRPr="00EB1825">
              <w:t xml:space="preserve"> </w:t>
            </w:r>
            <w:r w:rsidR="00273B61" w:rsidRPr="00EB1825">
              <w:rPr>
                <w:rFonts w:ascii="Arial Narrow" w:hAnsi="Arial Narrow" w:cs="Times New Roman"/>
                <w:sz w:val="20"/>
                <w:lang w:eastAsia="en-GB"/>
              </w:rPr>
              <w:t>for</w:t>
            </w:r>
            <w:r w:rsidR="001506E4" w:rsidRPr="00EB1825">
              <w:rPr>
                <w:rFonts w:ascii="Arial Narrow" w:hAnsi="Arial Narrow" w:cs="Times New Roman"/>
                <w:sz w:val="20"/>
                <w:lang w:eastAsia="en-GB"/>
              </w:rPr>
              <w:t xml:space="preserve"> the </w:t>
            </w:r>
            <w:proofErr w:type="spellStart"/>
            <w:r w:rsidR="00273B61" w:rsidRPr="00EB1825">
              <w:rPr>
                <w:rFonts w:ascii="Arial Narrow" w:hAnsi="Arial Narrow" w:cs="Times New Roman"/>
                <w:sz w:val="20"/>
                <w:lang w:eastAsia="en-GB"/>
              </w:rPr>
              <w:t>fezolinetant</w:t>
            </w:r>
            <w:proofErr w:type="spellEnd"/>
            <w:r w:rsidR="00273B61" w:rsidRPr="00EB1825">
              <w:rPr>
                <w:rFonts w:ascii="Arial Narrow" w:hAnsi="Arial Narrow" w:cs="Times New Roman"/>
                <w:sz w:val="20"/>
                <w:lang w:eastAsia="en-GB"/>
              </w:rPr>
              <w:t xml:space="preserve"> arm</w:t>
            </w:r>
            <w:r w:rsidR="008A3854" w:rsidRPr="00EB1825">
              <w:rPr>
                <w:rFonts w:ascii="Arial Narrow" w:hAnsi="Arial Narrow" w:cs="Times New Roman"/>
                <w:sz w:val="20"/>
                <w:lang w:eastAsia="en-GB"/>
              </w:rPr>
              <w:t xml:space="preserve"> from </w:t>
            </w:r>
            <w:r w:rsidR="00932E19" w:rsidRPr="00EB1825">
              <w:rPr>
                <w:rFonts w:ascii="Arial Narrow" w:hAnsi="Arial Narrow" w:cs="Times New Roman"/>
                <w:sz w:val="20"/>
                <w:lang w:eastAsia="en-GB"/>
              </w:rPr>
              <w:t>W</w:t>
            </w:r>
            <w:r w:rsidR="008A3854" w:rsidRPr="00EB1825">
              <w:rPr>
                <w:rFonts w:ascii="Arial Narrow" w:hAnsi="Arial Narrow" w:cs="Times New Roman"/>
                <w:sz w:val="20"/>
                <w:lang w:eastAsia="en-GB"/>
              </w:rPr>
              <w:t xml:space="preserve">eek 24 onwards. </w:t>
            </w:r>
          </w:p>
        </w:tc>
      </w:tr>
      <w:tr w:rsidR="005F69BD" w:rsidRPr="00EB1825" w14:paraId="33DD6108"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3B611317"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VMS cessation</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626258F"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Median duration of symptoms= 7.4 years (source: Avis et al., 2015)</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07BAE5F"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This was appropriate.</w:t>
            </w:r>
          </w:p>
        </w:tc>
      </w:tr>
      <w:tr w:rsidR="005F69BD" w:rsidRPr="00EB1825" w14:paraId="4F600C04"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4EE046AC"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Treatment costs</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D041B5D" w14:textId="1BFCD898"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AEMP=$</w:t>
            </w:r>
            <w:r w:rsidR="00E901B5" w:rsidRPr="00E901B5">
              <w:rPr>
                <w:rFonts w:ascii="Arial Narrow" w:hAnsi="Arial Narrow" w:cs="Times New Roman"/>
                <w:sz w:val="20"/>
                <w:highlight w:val="black"/>
                <w:lang w:eastAsia="en-GB"/>
              </w:rPr>
              <w:t>&amp;&amp;&amp;&amp;</w:t>
            </w:r>
            <w:r w:rsidRPr="00EB1825">
              <w:rPr>
                <w:rFonts w:ascii="Arial Narrow" w:hAnsi="Arial Narrow" w:cs="Times New Roman"/>
                <w:sz w:val="20"/>
                <w:lang w:eastAsia="en-GB"/>
              </w:rPr>
              <w:t xml:space="preserve">/pack. </w:t>
            </w:r>
          </w:p>
        </w:tc>
        <w:tc>
          <w:tcPr>
            <w:tcW w:w="2880" w:type="pct"/>
            <w:tcBorders>
              <w:top w:val="single" w:sz="4" w:space="0" w:color="auto"/>
              <w:left w:val="single" w:sz="4" w:space="0" w:color="auto"/>
              <w:bottom w:val="single" w:sz="4" w:space="0" w:color="auto"/>
              <w:right w:val="single" w:sz="4" w:space="0" w:color="auto"/>
            </w:tcBorders>
            <w:hideMark/>
          </w:tcPr>
          <w:p w14:paraId="719A8152" w14:textId="670FF419"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xml:space="preserve">The AEMP was decreased by </w:t>
            </w:r>
            <w:r w:rsidR="00E901B5" w:rsidRPr="00E901B5">
              <w:rPr>
                <w:rFonts w:ascii="Arial Narrow" w:hAnsi="Arial Narrow" w:cs="Times New Roman"/>
                <w:sz w:val="20"/>
                <w:highlight w:val="black"/>
                <w:lang w:eastAsia="en-GB"/>
              </w:rPr>
              <w:t>&amp;&amp;&amp;&amp;</w:t>
            </w:r>
            <w:r w:rsidRPr="00EB1825">
              <w:rPr>
                <w:rFonts w:ascii="Arial Narrow" w:hAnsi="Arial Narrow" w:cs="Times New Roman"/>
                <w:sz w:val="20"/>
                <w:lang w:eastAsia="en-GB"/>
              </w:rPr>
              <w:t>% to AEMP=$</w:t>
            </w:r>
            <w:r w:rsidR="00E901B5" w:rsidRPr="00E901B5">
              <w:rPr>
                <w:rFonts w:ascii="Arial Narrow" w:hAnsi="Arial Narrow" w:cs="Times New Roman"/>
                <w:sz w:val="20"/>
                <w:highlight w:val="black"/>
                <w:lang w:eastAsia="en-GB"/>
              </w:rPr>
              <w:t>&amp;&amp;&amp;&amp;</w:t>
            </w:r>
            <w:r w:rsidRPr="00EB1825">
              <w:rPr>
                <w:rFonts w:ascii="Arial Narrow" w:hAnsi="Arial Narrow" w:cs="Times New Roman"/>
                <w:sz w:val="20"/>
                <w:lang w:eastAsia="en-GB"/>
              </w:rPr>
              <w:t>/pack in the resubmission.</w:t>
            </w:r>
          </w:p>
        </w:tc>
      </w:tr>
      <w:tr w:rsidR="005F69BD" w:rsidRPr="00EB1825" w14:paraId="7D61C96D" w14:textId="77777777" w:rsidTr="00366774">
        <w:trPr>
          <w:cantSplit/>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32B9DE94"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Compliance rate</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F9CA78A"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Assumed to be 100%</w:t>
            </w:r>
          </w:p>
        </w:tc>
        <w:tc>
          <w:tcPr>
            <w:tcW w:w="2880" w:type="pct"/>
            <w:tcBorders>
              <w:top w:val="single" w:sz="4" w:space="0" w:color="auto"/>
              <w:left w:val="single" w:sz="4" w:space="0" w:color="auto"/>
              <w:bottom w:val="single" w:sz="4" w:space="0" w:color="auto"/>
              <w:right w:val="single" w:sz="4" w:space="0" w:color="auto"/>
            </w:tcBorders>
            <w:hideMark/>
          </w:tcPr>
          <w:p w14:paraId="57D40F74" w14:textId="4C9E5BE3"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xml:space="preserve">The resubmission included a compliance rate of 77.9%, based on real-world data. This was estimated using the utilisation and compliance data for </w:t>
            </w:r>
            <w:proofErr w:type="spellStart"/>
            <w:r w:rsidRPr="00EB1825">
              <w:rPr>
                <w:rFonts w:ascii="Arial Narrow" w:hAnsi="Arial Narrow" w:cs="Times New Roman"/>
                <w:sz w:val="20"/>
                <w:lang w:eastAsia="en-GB"/>
              </w:rPr>
              <w:t>fezolinetant</w:t>
            </w:r>
            <w:proofErr w:type="spellEnd"/>
            <w:r w:rsidRPr="00EB1825">
              <w:rPr>
                <w:rFonts w:ascii="Arial Narrow" w:hAnsi="Arial Narrow" w:cs="Times New Roman"/>
                <w:sz w:val="20"/>
                <w:lang w:eastAsia="en-GB"/>
              </w:rPr>
              <w:t xml:space="preserve"> from </w:t>
            </w:r>
            <w:r w:rsidR="00950467" w:rsidRPr="00EB1825">
              <w:rPr>
                <w:rFonts w:ascii="Arial Narrow" w:hAnsi="Arial Narrow" w:cs="Times New Roman"/>
                <w:sz w:val="20"/>
                <w:lang w:eastAsia="en-GB"/>
              </w:rPr>
              <w:t xml:space="preserve">10 </w:t>
            </w:r>
            <w:r w:rsidRPr="00EB1825">
              <w:rPr>
                <w:rFonts w:ascii="Arial Narrow" w:hAnsi="Arial Narrow" w:cs="Times New Roman"/>
                <w:sz w:val="20"/>
                <w:lang w:eastAsia="en-GB"/>
              </w:rPr>
              <w:t>countries where the treatment was available, including Australia (Attachment 16 of the resubmission</w:t>
            </w:r>
            <w:r w:rsidR="007641CD">
              <w:rPr>
                <w:rFonts w:ascii="Arial Narrow" w:hAnsi="Arial Narrow" w:cs="Times New Roman"/>
                <w:sz w:val="20"/>
                <w:lang w:eastAsia="en-GB"/>
              </w:rPr>
              <w:t>)</w:t>
            </w:r>
            <w:r w:rsidR="00FA7470" w:rsidRPr="00EB1825">
              <w:rPr>
                <w:rFonts w:ascii="Arial Narrow" w:hAnsi="Arial Narrow" w:cs="Times New Roman"/>
                <w:sz w:val="20"/>
                <w:lang w:eastAsia="en-GB"/>
              </w:rPr>
              <w:t xml:space="preserve">. </w:t>
            </w:r>
            <w:r w:rsidR="0033384E" w:rsidRPr="00EB1825">
              <w:rPr>
                <w:rFonts w:ascii="Arial Narrow" w:hAnsi="Arial Narrow" w:cs="Times New Roman"/>
                <w:sz w:val="20"/>
                <w:lang w:eastAsia="en-GB"/>
              </w:rPr>
              <w:t xml:space="preserve">The real-world compliance rate was higher than the DAYLIGHT study’s ≥168-day exposure rate (68.1%, para 5.6, DAYLIGHT CSR). </w:t>
            </w:r>
          </w:p>
        </w:tc>
      </w:tr>
      <w:tr w:rsidR="005F69BD" w:rsidRPr="00EB1825" w14:paraId="416A89C3"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2B795734"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Health state costs</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913426D"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No consideration of LFT. Costs were based on 2022-2023.</w:t>
            </w:r>
          </w:p>
        </w:tc>
        <w:tc>
          <w:tcPr>
            <w:tcW w:w="2880" w:type="pct"/>
            <w:tcBorders>
              <w:top w:val="single" w:sz="4" w:space="0" w:color="auto"/>
              <w:left w:val="single" w:sz="4" w:space="0" w:color="auto"/>
              <w:bottom w:val="single" w:sz="4" w:space="0" w:color="auto"/>
              <w:right w:val="single" w:sz="4" w:space="0" w:color="auto"/>
            </w:tcBorders>
            <w:hideMark/>
          </w:tcPr>
          <w:p w14:paraId="22E835F4"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 xml:space="preserve">The resubmission included LFT costs for all patients receiving </w:t>
            </w:r>
            <w:proofErr w:type="spellStart"/>
            <w:r w:rsidRPr="00EB1825">
              <w:rPr>
                <w:rFonts w:ascii="Arial Narrow" w:hAnsi="Arial Narrow" w:cs="Times New Roman"/>
                <w:sz w:val="20"/>
                <w:lang w:eastAsia="en-GB"/>
              </w:rPr>
              <w:t>fezolinetant</w:t>
            </w:r>
            <w:proofErr w:type="spellEnd"/>
            <w:r w:rsidRPr="00EB1825">
              <w:rPr>
                <w:rFonts w:ascii="Arial Narrow" w:hAnsi="Arial Narrow" w:cs="Times New Roman"/>
                <w:sz w:val="20"/>
                <w:lang w:eastAsia="en-GB"/>
              </w:rPr>
              <w:t xml:space="preserve"> at baseline, and at 1, 2, 3, 6, and 9 months, in accordance with FDA and EMA labelling requirements. This was appropriate.</w:t>
            </w:r>
          </w:p>
        </w:tc>
      </w:tr>
      <w:tr w:rsidR="005F69BD" w:rsidRPr="00EB1825" w14:paraId="018E3739"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2F33D98E"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Discounting</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32DDCA6"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5% (costs and QALYs)</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76B1C2"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Appropriate.</w:t>
            </w:r>
          </w:p>
        </w:tc>
      </w:tr>
      <w:tr w:rsidR="005F69BD" w:rsidRPr="00EB1825" w14:paraId="5140EEB5" w14:textId="77777777" w:rsidTr="00891F79">
        <w:trPr>
          <w:trHeight w:val="20"/>
        </w:trPr>
        <w:tc>
          <w:tcPr>
            <w:tcW w:w="653" w:type="pct"/>
            <w:tcBorders>
              <w:top w:val="single" w:sz="4" w:space="0" w:color="auto"/>
              <w:left w:val="single" w:sz="4" w:space="0" w:color="auto"/>
              <w:bottom w:val="single" w:sz="4" w:space="0" w:color="auto"/>
              <w:right w:val="single" w:sz="4" w:space="0" w:color="auto"/>
            </w:tcBorders>
            <w:shd w:val="clear" w:color="auto" w:fill="FFFFFF"/>
            <w:hideMark/>
          </w:tcPr>
          <w:p w14:paraId="47E92DB8" w14:textId="77777777" w:rsidR="005F69BD" w:rsidRPr="00EB1825" w:rsidRDefault="005F69BD" w:rsidP="00891F79">
            <w:pPr>
              <w:widowControl w:val="0"/>
              <w:jc w:val="left"/>
              <w:rPr>
                <w:rFonts w:ascii="Times" w:hAnsi="Times" w:cs="Times New Roman"/>
                <w:sz w:val="20"/>
                <w:szCs w:val="20"/>
                <w:lang w:eastAsia="en-GB"/>
              </w:rPr>
            </w:pPr>
            <w:r w:rsidRPr="00EB1825">
              <w:rPr>
                <w:rFonts w:ascii="Arial Narrow" w:hAnsi="Arial Narrow" w:cs="Times New Roman"/>
                <w:sz w:val="20"/>
                <w:lang w:eastAsia="en-GB"/>
              </w:rPr>
              <w:t>Software</w:t>
            </w:r>
          </w:p>
        </w:tc>
        <w:tc>
          <w:tcPr>
            <w:tcW w:w="14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8BC588" w14:textId="77777777" w:rsidR="005F69BD" w:rsidRPr="00EB1825" w:rsidRDefault="005F69BD" w:rsidP="00891F79">
            <w:pPr>
              <w:widowControl w:val="0"/>
              <w:jc w:val="left"/>
              <w:rPr>
                <w:rFonts w:ascii="Times" w:hAnsi="Times" w:cs="Times New Roman"/>
                <w:sz w:val="20"/>
                <w:szCs w:val="20"/>
                <w:lang w:eastAsia="en-GB"/>
              </w:rPr>
            </w:pPr>
            <w:r w:rsidRPr="00EB1825">
              <w:rPr>
                <w:rFonts w:ascii="Arial Narrow" w:hAnsi="Arial Narrow" w:cs="Times New Roman"/>
                <w:sz w:val="20"/>
                <w:lang w:eastAsia="en-GB"/>
              </w:rPr>
              <w:t>Excel 2016</w:t>
            </w:r>
          </w:p>
        </w:tc>
        <w:tc>
          <w:tcPr>
            <w:tcW w:w="288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825E7F8" w14:textId="77777777" w:rsidR="005F69BD" w:rsidRPr="00EB1825" w:rsidRDefault="005F69BD" w:rsidP="00891F79">
            <w:pPr>
              <w:widowControl w:val="0"/>
              <w:jc w:val="left"/>
              <w:rPr>
                <w:rFonts w:ascii="Arial Narrow" w:hAnsi="Arial Narrow" w:cs="Times New Roman"/>
                <w:sz w:val="20"/>
                <w:lang w:eastAsia="en-GB"/>
              </w:rPr>
            </w:pPr>
            <w:r w:rsidRPr="00EB1825">
              <w:rPr>
                <w:rFonts w:ascii="Arial Narrow" w:hAnsi="Arial Narrow" w:cs="Times New Roman"/>
                <w:sz w:val="20"/>
                <w:lang w:eastAsia="en-GB"/>
              </w:rPr>
              <w:t>Appropriate.</w:t>
            </w:r>
          </w:p>
        </w:tc>
      </w:tr>
    </w:tbl>
    <w:p w14:paraId="36B45BDB" w14:textId="77777777" w:rsidR="005F69BD" w:rsidRPr="00EB1825" w:rsidRDefault="005F69BD" w:rsidP="005F69BD">
      <w:pPr>
        <w:rPr>
          <w:rFonts w:ascii="Arial Narrow" w:hAnsi="Arial Narrow"/>
          <w:snapToGrid w:val="0"/>
          <w:sz w:val="18"/>
          <w:szCs w:val="22"/>
        </w:rPr>
      </w:pPr>
      <w:r w:rsidRPr="00EB1825">
        <w:rPr>
          <w:rFonts w:ascii="Arial Narrow" w:hAnsi="Arial Narrow"/>
          <w:snapToGrid w:val="0"/>
          <w:sz w:val="18"/>
          <w:szCs w:val="22"/>
        </w:rPr>
        <w:t>Source: Table 3.1-1, p68 of the resubmission, and compiled during the evaluation.</w:t>
      </w:r>
    </w:p>
    <w:p w14:paraId="4034ADA9" w14:textId="77777777" w:rsidR="005F69BD" w:rsidRPr="00EB1825" w:rsidRDefault="005F69BD" w:rsidP="00BF04CC">
      <w:pPr>
        <w:pStyle w:val="TableFigureFooter"/>
        <w:keepNext/>
        <w:spacing w:after="0"/>
        <w:jc w:val="both"/>
        <w:rPr>
          <w:rStyle w:val="CommentReference"/>
          <w:b w:val="0"/>
          <w:sz w:val="18"/>
          <w:szCs w:val="22"/>
        </w:rPr>
      </w:pPr>
      <w:r w:rsidRPr="00EB1825">
        <w:t>AEMP=Approved Ex Manufacturer Price, LFT=liver function test; LYG=life-years gained; MHT=menopausal hormone therapy, Nov.=November; QALY= quality-adjusted life-years; VMS=vasomotor symptoms</w:t>
      </w:r>
      <w:r w:rsidRPr="00EB1825">
        <w:rPr>
          <w:rStyle w:val="CommentReference"/>
          <w:b w:val="0"/>
          <w:sz w:val="18"/>
          <w:szCs w:val="22"/>
        </w:rPr>
        <w:t>.</w:t>
      </w:r>
    </w:p>
    <w:p w14:paraId="3EC9EF42" w14:textId="22E3DB0A" w:rsidR="00BF04CC" w:rsidRPr="00EB1825" w:rsidRDefault="00BF04CC" w:rsidP="00BF04CC">
      <w:pPr>
        <w:contextualSpacing/>
        <w:rPr>
          <w:rFonts w:ascii="Arial Narrow" w:hAnsi="Arial Narrow"/>
          <w:snapToGrid w:val="0"/>
          <w:sz w:val="18"/>
          <w:szCs w:val="22"/>
        </w:rPr>
      </w:pPr>
      <w:r w:rsidRPr="00EB1825">
        <w:rPr>
          <w:rFonts w:ascii="Arial Narrow" w:hAnsi="Arial Narrow"/>
          <w:snapToGrid w:val="0"/>
          <w:sz w:val="18"/>
          <w:szCs w:val="22"/>
          <w:shd w:val="clear" w:color="auto" w:fill="BDD6EE"/>
        </w:rPr>
        <w:t>Blue</w:t>
      </w:r>
      <w:r w:rsidRPr="00EB1825">
        <w:rPr>
          <w:rFonts w:ascii="Arial Narrow" w:hAnsi="Arial Narrow"/>
          <w:snapToGrid w:val="0"/>
          <w:sz w:val="18"/>
          <w:szCs w:val="22"/>
        </w:rPr>
        <w:t xml:space="preserve"> shading indicates data previously seen by the PBAC. </w:t>
      </w:r>
    </w:p>
    <w:p w14:paraId="6E328B3D" w14:textId="77777777" w:rsidR="00BF04CC" w:rsidRPr="00EB1825" w:rsidRDefault="00BF04CC" w:rsidP="00BF04CC">
      <w:pPr>
        <w:pStyle w:val="FooterTableFigure"/>
      </w:pPr>
    </w:p>
    <w:p w14:paraId="3FF702B6" w14:textId="01D0D702" w:rsidR="005F69BD" w:rsidRPr="00E500EF" w:rsidRDefault="005F69BD" w:rsidP="00766C07">
      <w:pPr>
        <w:pStyle w:val="3-BodyText"/>
      </w:pPr>
      <w:r w:rsidRPr="00E500EF">
        <w:t xml:space="preserve">The updated literature review conducted by the sponsor did not identify any new studies. </w:t>
      </w:r>
      <w:r w:rsidR="002C07FD" w:rsidRPr="00E500EF">
        <w:t>An independent</w:t>
      </w:r>
      <w:r w:rsidRPr="00E500EF">
        <w:t xml:space="preserve"> search </w:t>
      </w:r>
      <w:r w:rsidR="00467B96" w:rsidRPr="00E500EF">
        <w:t xml:space="preserve">conducted </w:t>
      </w:r>
      <w:r w:rsidR="002C07FD" w:rsidRPr="00E500EF">
        <w:t xml:space="preserve">during the evaluation </w:t>
      </w:r>
      <w:r w:rsidRPr="00E500EF">
        <w:t xml:space="preserve">identified the NICE draft guideline on </w:t>
      </w:r>
      <w:proofErr w:type="spellStart"/>
      <w:r w:rsidRPr="00E500EF">
        <w:t>fezolinetant</w:t>
      </w:r>
      <w:proofErr w:type="spellEnd"/>
      <w:r w:rsidRPr="00E500EF">
        <w:t xml:space="preserve"> for treating VMS associated with menopause. </w:t>
      </w:r>
      <w:r w:rsidR="00724062" w:rsidRPr="00E500EF">
        <w:t>T</w:t>
      </w:r>
      <w:r w:rsidRPr="00E500EF">
        <w:t>he guideline was marked as 'in progress' and</w:t>
      </w:r>
      <w:r w:rsidR="00724062" w:rsidRPr="00E500EF">
        <w:t xml:space="preserve"> </w:t>
      </w:r>
      <w:r w:rsidRPr="00E500EF">
        <w:t xml:space="preserve">indicated that the treatment was 'not recommended,' pending the company's response to the draft. The reason for this recommendation was stated as: ‘This is because there is not enough evidence to determine whether </w:t>
      </w:r>
      <w:proofErr w:type="spellStart"/>
      <w:r w:rsidRPr="00E500EF">
        <w:t>fezolinetant</w:t>
      </w:r>
      <w:proofErr w:type="spellEnd"/>
      <w:r w:rsidRPr="00E500EF">
        <w:t xml:space="preserve"> is value for money’. The NICE draft guideline indicated that:</w:t>
      </w:r>
    </w:p>
    <w:p w14:paraId="022FE38D" w14:textId="77777777" w:rsidR="005F69BD" w:rsidRPr="00EB1825" w:rsidRDefault="005F69BD" w:rsidP="00580C2F">
      <w:pPr>
        <w:pStyle w:val="ListParagraph"/>
        <w:numPr>
          <w:ilvl w:val="0"/>
          <w:numId w:val="12"/>
        </w:numPr>
        <w:snapToGrid w:val="0"/>
        <w:ind w:left="1021" w:hanging="284"/>
      </w:pPr>
      <w:r w:rsidRPr="00EB1825">
        <w:t xml:space="preserve">‘Using a structure based solely on frequency does not capture the impact on severity. Clinical advice was that using frequency as a proxy for severity was a concern and not usual NHS practice. The external assessment group (EAG) considered that the data presented by the company for correlation between vasomotor symptom severity and frequency only showed moderate to weak correlation’. </w:t>
      </w:r>
    </w:p>
    <w:p w14:paraId="02394D20" w14:textId="77777777" w:rsidR="005F69BD" w:rsidRPr="00EB1825" w:rsidRDefault="005F69BD" w:rsidP="00580C2F">
      <w:pPr>
        <w:pStyle w:val="ListParagraph"/>
        <w:numPr>
          <w:ilvl w:val="0"/>
          <w:numId w:val="12"/>
        </w:numPr>
        <w:snapToGrid w:val="0"/>
        <w:ind w:left="1021" w:hanging="284"/>
      </w:pPr>
      <w:r w:rsidRPr="00EB1825">
        <w:t xml:space="preserve">‘The EAG had concerns that the methods used to determine frequency thresholds for the health states included using utility values to define health states. This is because EQ-5D is also likely to capture quality of life for menopause symptoms other than vasomotor symptoms. Also, the differences between each health state’s estimated utility values were small with overlapping confidence intervals. The committee noted that by not incorporating severity, which was a separate outcome in the trials, the current model may not be capturing all the benefits of </w:t>
      </w:r>
      <w:proofErr w:type="spellStart"/>
      <w:r w:rsidRPr="00EB1825">
        <w:t>fezolinetant</w:t>
      </w:r>
      <w:proofErr w:type="spellEnd"/>
      <w:r w:rsidRPr="00EB1825">
        <w:t>’.</w:t>
      </w:r>
    </w:p>
    <w:p w14:paraId="6B50813E" w14:textId="1C3F9D29" w:rsidR="005F69BD" w:rsidRPr="00EB1825" w:rsidRDefault="005F69BD" w:rsidP="00580C2F">
      <w:pPr>
        <w:pStyle w:val="ListParagraph"/>
        <w:numPr>
          <w:ilvl w:val="0"/>
          <w:numId w:val="12"/>
        </w:numPr>
        <w:snapToGrid w:val="0"/>
        <w:ind w:left="1021" w:hanging="284"/>
      </w:pPr>
      <w:r w:rsidRPr="00EB1825">
        <w:t>‘The committee noted the patient experts’ experiences that frequency was less of a consideration than the severe impact of symptoms.</w:t>
      </w:r>
      <w:r w:rsidR="0012404C" w:rsidRPr="00EB1825">
        <w:t>’</w:t>
      </w:r>
      <w:r w:rsidR="002F48BB" w:rsidRPr="00EB1825">
        <w:t xml:space="preserve"> It should be noted that this was not consistent with the sponsor’s DCE (para 6.9), which indicated that improvement in VMS severity was a less important factor for performance compared to VMS frequency.</w:t>
      </w:r>
    </w:p>
    <w:p w14:paraId="0A7B1657" w14:textId="77777777" w:rsidR="005F69BD" w:rsidRPr="00EB1825" w:rsidRDefault="005F69BD" w:rsidP="002C07FD">
      <w:pPr>
        <w:ind w:left="709"/>
        <w:rPr>
          <w:rFonts w:ascii="Times New Roman" w:hAnsi="Times New Roman" w:cs="Times New Roman"/>
        </w:rPr>
      </w:pPr>
      <w:r w:rsidRPr="00EB1825">
        <w:t xml:space="preserve">The NICE draft guideline concluded that ‘the model structure does not adequately capture health states relevant to people with moderate to severe vasomotor symptoms and that it was inappropriate for decision making’ </w:t>
      </w:r>
      <w:r w:rsidRPr="00EB1825">
        <w:rPr>
          <w:rFonts w:cs="Times New Roman"/>
          <w:lang w:eastAsia="en-GB"/>
        </w:rPr>
        <w:t>(para 3.10, pp14-15, NICE Draft Guideline, March 2025)</w:t>
      </w:r>
      <w:r w:rsidRPr="00EB1825">
        <w:rPr>
          <w:rFonts w:eastAsia="SimSun"/>
          <w:vertAlign w:val="superscript"/>
          <w:lang w:eastAsia="en-GB"/>
        </w:rPr>
        <w:t xml:space="preserve"> </w:t>
      </w:r>
      <w:r w:rsidRPr="00EB1825">
        <w:rPr>
          <w:rFonts w:eastAsia="SimSun"/>
          <w:vertAlign w:val="superscript"/>
          <w:lang w:eastAsia="en-GB"/>
        </w:rPr>
        <w:footnoteReference w:id="11"/>
      </w:r>
      <w:r w:rsidRPr="00EB1825">
        <w:t>.</w:t>
      </w:r>
      <w:r w:rsidRPr="00EB1825">
        <w:rPr>
          <w:rFonts w:ascii="Times New Roman" w:hAnsi="Times New Roman" w:cs="Times New Roman"/>
        </w:rPr>
        <w:t xml:space="preserve"> </w:t>
      </w:r>
    </w:p>
    <w:p w14:paraId="2F14CC51" w14:textId="1CCF5C1A" w:rsidR="005F69BD" w:rsidRPr="00EB1825" w:rsidRDefault="005F69BD" w:rsidP="00766C07">
      <w:pPr>
        <w:pStyle w:val="3-BodyText"/>
      </w:pPr>
      <w:r w:rsidRPr="00EB1825">
        <w:t>The structure and approach of the economic evaluation</w:t>
      </w:r>
      <w:r w:rsidR="00074B4B" w:rsidRPr="00EB1825">
        <w:t>,</w:t>
      </w:r>
      <w:r w:rsidRPr="00EB1825">
        <w:t xml:space="preserve"> consisting of a Markov cohort based on the average daily frequency of VMS events, remained unchanged from the March 2025 submission. </w:t>
      </w:r>
      <w:r w:rsidRPr="00EB1825">
        <w:rPr>
          <w:shd w:val="clear" w:color="auto" w:fill="B8CCE4" w:themeFill="accent1" w:themeFillTint="66"/>
        </w:rPr>
        <w:t>The discrete health states (i.e., VMS&lt;2, 2≤VMS&lt;7, 7≤VMS&lt;9, and VMS≥9) were determined based on a post hoc analysis of DAYLIGHT to group VMS frequencies by EQ-5D utility values. The ESC</w:t>
      </w:r>
      <w:r w:rsidR="008E0677" w:rsidRPr="00EB1825">
        <w:rPr>
          <w:shd w:val="clear" w:color="auto" w:fill="B8CCE4" w:themeFill="accent1" w:themeFillTint="66"/>
        </w:rPr>
        <w:t xml:space="preserve"> previously</w:t>
      </w:r>
      <w:r w:rsidRPr="00EB1825">
        <w:rPr>
          <w:shd w:val="clear" w:color="auto" w:fill="B8CCE4" w:themeFill="accent1" w:themeFillTint="66"/>
        </w:rPr>
        <w:t xml:space="preserve"> noted that there was a clear drop in mean utility at 9 daily VMS episodes</w:t>
      </w:r>
      <w:r w:rsidR="00074B4B" w:rsidRPr="00EB1825">
        <w:rPr>
          <w:shd w:val="clear" w:color="auto" w:fill="B8CCE4" w:themeFill="accent1" w:themeFillTint="66"/>
        </w:rPr>
        <w:t>,</w:t>
      </w:r>
      <w:r w:rsidRPr="00EB1825">
        <w:rPr>
          <w:shd w:val="clear" w:color="auto" w:fill="B8CCE4" w:themeFill="accent1" w:themeFillTint="66"/>
        </w:rPr>
        <w:t xml:space="preserve"> which suggested this cut point was reasonable, however</w:t>
      </w:r>
      <w:r w:rsidR="00074B4B" w:rsidRPr="00EB1825">
        <w:rPr>
          <w:shd w:val="clear" w:color="auto" w:fill="B8CCE4" w:themeFill="accent1" w:themeFillTint="66"/>
        </w:rPr>
        <w:t>,</w:t>
      </w:r>
      <w:r w:rsidRPr="00EB1825">
        <w:rPr>
          <w:shd w:val="clear" w:color="auto" w:fill="B8CCE4" w:themeFill="accent1" w:themeFillTint="66"/>
        </w:rPr>
        <w:t xml:space="preserve"> the other utility categories appeared somewhat arbitrary. The ESC </w:t>
      </w:r>
      <w:r w:rsidR="00096ADF" w:rsidRPr="00EB1825">
        <w:rPr>
          <w:shd w:val="clear" w:color="auto" w:fill="B8CCE4" w:themeFill="accent1" w:themeFillTint="66"/>
        </w:rPr>
        <w:t xml:space="preserve">previously </w:t>
      </w:r>
      <w:r w:rsidRPr="00EB1825">
        <w:rPr>
          <w:shd w:val="clear" w:color="auto" w:fill="B8CCE4" w:themeFill="accent1" w:themeFillTint="66"/>
        </w:rPr>
        <w:t>noted that it was not possible to test the effect of using different threshold categories in the model (para</w:t>
      </w:r>
      <w:r w:rsidR="00467B96" w:rsidRPr="00EB1825">
        <w:rPr>
          <w:shd w:val="clear" w:color="auto" w:fill="B8CCE4" w:themeFill="accent1" w:themeFillTint="66"/>
        </w:rPr>
        <w:t>graph</w:t>
      </w:r>
      <w:r w:rsidRPr="00EB1825">
        <w:rPr>
          <w:shd w:val="clear" w:color="auto" w:fill="B8CCE4" w:themeFill="accent1" w:themeFillTint="66"/>
        </w:rPr>
        <w:t xml:space="preserve"> 6.45, </w:t>
      </w:r>
      <w:proofErr w:type="spellStart"/>
      <w:r w:rsidRPr="00EB1825">
        <w:rPr>
          <w:shd w:val="clear" w:color="auto" w:fill="B8CCE4" w:themeFill="accent1" w:themeFillTint="66"/>
        </w:rPr>
        <w:t>fezolinetant</w:t>
      </w:r>
      <w:proofErr w:type="spellEnd"/>
      <w:r w:rsidR="00467B96" w:rsidRPr="00EB1825">
        <w:rPr>
          <w:shd w:val="clear" w:color="auto" w:fill="B8CCE4" w:themeFill="accent1" w:themeFillTint="66"/>
        </w:rPr>
        <w:t xml:space="preserve"> </w:t>
      </w:r>
      <w:r w:rsidR="00F65CAF" w:rsidRPr="00EB1825">
        <w:rPr>
          <w:shd w:val="clear" w:color="auto" w:fill="B8CCE4" w:themeFill="accent1" w:themeFillTint="66"/>
        </w:rPr>
        <w:t>PSD</w:t>
      </w:r>
      <w:r w:rsidRPr="00EB1825">
        <w:rPr>
          <w:shd w:val="clear" w:color="auto" w:fill="B8CCE4" w:themeFill="accent1" w:themeFillTint="66"/>
        </w:rPr>
        <w:t xml:space="preserve"> March 2025</w:t>
      </w:r>
      <w:r w:rsidR="00034AE6" w:rsidRPr="00EB1825">
        <w:rPr>
          <w:shd w:val="clear" w:color="auto" w:fill="B8CCE4" w:themeFill="accent1" w:themeFillTint="66"/>
        </w:rPr>
        <w:t xml:space="preserve"> PBAC meeting</w:t>
      </w:r>
      <w:r w:rsidRPr="00EB1825">
        <w:rPr>
          <w:shd w:val="clear" w:color="auto" w:fill="B8CCE4" w:themeFill="accent1" w:themeFillTint="66"/>
        </w:rPr>
        <w:t>). The resubmission did not present alternative analyses, such as latent class analysis, to validate the final VMS frequency groupings.</w:t>
      </w:r>
    </w:p>
    <w:p w14:paraId="4BEF088E" w14:textId="6FF4E0FA" w:rsidR="005F69BD" w:rsidRPr="00EB1825" w:rsidRDefault="005F69BD" w:rsidP="00766C07">
      <w:pPr>
        <w:pStyle w:val="3-BodyText"/>
      </w:pPr>
      <w:r w:rsidRPr="00EB1825">
        <w:rPr>
          <w:shd w:val="clear" w:color="auto" w:fill="B8CCE4" w:themeFill="accent1" w:themeFillTint="66"/>
        </w:rPr>
        <w:t xml:space="preserve">VMS severity was not considered when determining the health states. The ESC </w:t>
      </w:r>
      <w:r w:rsidR="00DA52AB" w:rsidRPr="00EB1825">
        <w:rPr>
          <w:shd w:val="clear" w:color="auto" w:fill="B8CCE4" w:themeFill="accent1" w:themeFillTint="66"/>
        </w:rPr>
        <w:t xml:space="preserve">previously </w:t>
      </w:r>
      <w:r w:rsidRPr="00EB1825">
        <w:rPr>
          <w:shd w:val="clear" w:color="auto" w:fill="B8CCE4" w:themeFill="accent1" w:themeFillTint="66"/>
        </w:rPr>
        <w:t>advised that use of VMS frequency alone was likely to be reasonable as frequency is a more objective measure, is likely to be correlated with severity, and including both severity and frequency in the model would likely result in substantial double-counting of the benefit (para</w:t>
      </w:r>
      <w:r w:rsidR="00467B96" w:rsidRPr="00EB1825">
        <w:rPr>
          <w:shd w:val="clear" w:color="auto" w:fill="B8CCE4" w:themeFill="accent1" w:themeFillTint="66"/>
        </w:rPr>
        <w:t>graph</w:t>
      </w:r>
      <w:r w:rsidRPr="00EB1825">
        <w:rPr>
          <w:shd w:val="clear" w:color="auto" w:fill="B8CCE4" w:themeFill="accent1" w:themeFillTint="66"/>
        </w:rPr>
        <w:t xml:space="preserve"> 6.47, </w:t>
      </w:r>
      <w:proofErr w:type="spellStart"/>
      <w:r w:rsidRPr="00EB1825">
        <w:rPr>
          <w:shd w:val="clear" w:color="auto" w:fill="B8CCE4" w:themeFill="accent1" w:themeFillTint="66"/>
        </w:rPr>
        <w:t>fezolinetant</w:t>
      </w:r>
      <w:proofErr w:type="spellEnd"/>
      <w:r w:rsidR="00467B96" w:rsidRPr="00EB1825">
        <w:rPr>
          <w:shd w:val="clear" w:color="auto" w:fill="B8CCE4" w:themeFill="accent1" w:themeFillTint="66"/>
        </w:rPr>
        <w:t xml:space="preserve"> </w:t>
      </w:r>
      <w:r w:rsidR="008A09A4" w:rsidRPr="00EB1825">
        <w:rPr>
          <w:shd w:val="clear" w:color="auto" w:fill="B8CCE4" w:themeFill="accent1" w:themeFillTint="66"/>
        </w:rPr>
        <w:t>PSD</w:t>
      </w:r>
      <w:r w:rsidRPr="00EB1825">
        <w:rPr>
          <w:shd w:val="clear" w:color="auto" w:fill="B8CCE4" w:themeFill="accent1" w:themeFillTint="66"/>
        </w:rPr>
        <w:t xml:space="preserve"> March 2025</w:t>
      </w:r>
      <w:r w:rsidR="00034AE6" w:rsidRPr="00EB1825">
        <w:rPr>
          <w:shd w:val="clear" w:color="auto" w:fill="B8CCE4" w:themeFill="accent1" w:themeFillTint="66"/>
        </w:rPr>
        <w:t xml:space="preserve"> PBAC meeting</w:t>
      </w:r>
      <w:r w:rsidRPr="00EB1825">
        <w:rPr>
          <w:shd w:val="clear" w:color="auto" w:fill="B8CCE4" w:themeFill="accent1" w:themeFillTint="66"/>
        </w:rPr>
        <w:t>).</w:t>
      </w:r>
      <w:r w:rsidRPr="00EB1825">
        <w:t xml:space="preserve"> The resubmission indicated that the exclusion of VMS severity from the model was a deliberate decision based on the lack of standardised, objective measures, with frequency chosen instead as a more reliable and widely reported endpoint. </w:t>
      </w:r>
      <w:r w:rsidRPr="00EB1825">
        <w:rPr>
          <w:rFonts w:cs="Times New Roman"/>
          <w:lang w:eastAsia="en-GB"/>
        </w:rPr>
        <w:t xml:space="preserve">The resubmission reported a series of correlation analyses between VMS frequency and severity, demonstrating the correlation between VMS frequency and severity (see </w:t>
      </w:r>
      <w:r w:rsidRPr="00EB1825">
        <w:rPr>
          <w:rFonts w:cs="Times New Roman"/>
          <w:lang w:eastAsia="en-GB"/>
        </w:rPr>
        <w:fldChar w:fldCharType="begin"/>
      </w:r>
      <w:r w:rsidRPr="00EB1825">
        <w:rPr>
          <w:rFonts w:cs="Times New Roman"/>
          <w:lang w:eastAsia="en-GB"/>
        </w:rPr>
        <w:instrText xml:space="preserve"> REF _Ref203643314 \h </w:instrText>
      </w:r>
      <w:r w:rsidR="00DF5B41" w:rsidRPr="00EB1825">
        <w:rPr>
          <w:rFonts w:cs="Times New Roman"/>
          <w:lang w:eastAsia="en-GB"/>
        </w:rPr>
        <w:instrText xml:space="preserve"> \* MERGEFORMAT </w:instrText>
      </w:r>
      <w:r w:rsidRPr="00EB1825">
        <w:rPr>
          <w:rFonts w:cs="Times New Roman"/>
          <w:lang w:eastAsia="en-GB"/>
        </w:rPr>
      </w:r>
      <w:r w:rsidRPr="00EB1825">
        <w:rPr>
          <w:rFonts w:cs="Times New Roman"/>
          <w:lang w:eastAsia="en-GB"/>
        </w:rPr>
        <w:fldChar w:fldCharType="separate"/>
      </w:r>
      <w:r w:rsidR="00946DF5" w:rsidRPr="00EB1825">
        <w:t xml:space="preserve">Table </w:t>
      </w:r>
      <w:r w:rsidR="00946DF5">
        <w:t>11</w:t>
      </w:r>
      <w:r w:rsidRPr="00EB1825">
        <w:rPr>
          <w:rFonts w:cs="Times New Roman"/>
          <w:lang w:eastAsia="en-GB"/>
        </w:rPr>
        <w:fldChar w:fldCharType="end"/>
      </w:r>
      <w:r w:rsidRPr="00EB1825">
        <w:rPr>
          <w:rFonts w:cs="Times New Roman"/>
          <w:lang w:eastAsia="en-GB"/>
        </w:rPr>
        <w:t xml:space="preserve"> and </w:t>
      </w:r>
      <w:r w:rsidRPr="00EB1825">
        <w:rPr>
          <w:rFonts w:cs="Times New Roman"/>
          <w:lang w:eastAsia="en-GB"/>
        </w:rPr>
        <w:fldChar w:fldCharType="begin"/>
      </w:r>
      <w:r w:rsidRPr="00EB1825">
        <w:rPr>
          <w:rFonts w:cs="Times New Roman"/>
          <w:lang w:eastAsia="en-GB"/>
        </w:rPr>
        <w:instrText xml:space="preserve"> REF _Ref203643303 \h </w:instrText>
      </w:r>
      <w:r w:rsidR="00DF5B41" w:rsidRPr="00EB1825">
        <w:rPr>
          <w:rFonts w:cs="Times New Roman"/>
          <w:lang w:eastAsia="en-GB"/>
        </w:rPr>
        <w:instrText xml:space="preserve"> \* MERGEFORMAT </w:instrText>
      </w:r>
      <w:r w:rsidRPr="00EB1825">
        <w:rPr>
          <w:rFonts w:cs="Times New Roman"/>
          <w:lang w:eastAsia="en-GB"/>
        </w:rPr>
      </w:r>
      <w:r w:rsidRPr="00EB1825">
        <w:rPr>
          <w:rFonts w:cs="Times New Roman"/>
          <w:lang w:eastAsia="en-GB"/>
        </w:rPr>
        <w:fldChar w:fldCharType="separate"/>
      </w:r>
      <w:r w:rsidR="00946DF5" w:rsidRPr="00EB1825">
        <w:t xml:space="preserve">Table </w:t>
      </w:r>
      <w:r w:rsidR="00946DF5">
        <w:t>12</w:t>
      </w:r>
      <w:r w:rsidRPr="00EB1825">
        <w:rPr>
          <w:rFonts w:cs="Times New Roman"/>
          <w:lang w:eastAsia="en-GB"/>
        </w:rPr>
        <w:fldChar w:fldCharType="end"/>
      </w:r>
      <w:r w:rsidRPr="00EB1825">
        <w:rPr>
          <w:rFonts w:cs="Times New Roman"/>
          <w:lang w:eastAsia="en-GB"/>
        </w:rPr>
        <w:t>), and argued that incorporating severity alongside frequency could result in double counting treatment effects. These analyses were also reported in the March 2025 pre-PBAC response.</w:t>
      </w:r>
    </w:p>
    <w:p w14:paraId="2C281437" w14:textId="435BF5D9" w:rsidR="005F69BD" w:rsidRPr="00EB1825" w:rsidRDefault="005F69BD" w:rsidP="00366774">
      <w:pPr>
        <w:pStyle w:val="Caption"/>
        <w:rPr>
          <w:rFonts w:eastAsia="SimSun" w:cs="Times New Roman"/>
          <w:szCs w:val="24"/>
        </w:rPr>
      </w:pPr>
      <w:bookmarkStart w:id="56" w:name="_Ref203643314"/>
      <w:r w:rsidRPr="00EB1825">
        <w:t xml:space="preserve">Table </w:t>
      </w:r>
      <w:r w:rsidR="005B6061">
        <w:fldChar w:fldCharType="begin"/>
      </w:r>
      <w:r w:rsidR="005B6061">
        <w:instrText xml:space="preserve"> SEQ Table \* ARABIC </w:instrText>
      </w:r>
      <w:r w:rsidR="005B6061">
        <w:fldChar w:fldCharType="separate"/>
      </w:r>
      <w:r w:rsidR="00946DF5">
        <w:rPr>
          <w:noProof/>
        </w:rPr>
        <w:t>11</w:t>
      </w:r>
      <w:r w:rsidR="005B6061">
        <w:rPr>
          <w:noProof/>
        </w:rPr>
        <w:fldChar w:fldCharType="end"/>
      </w:r>
      <w:bookmarkEnd w:id="56"/>
      <w:r w:rsidRPr="00EB1825">
        <w:t xml:space="preserve">: Patient: Correlation coefficients between VMS frequency and severity for the </w:t>
      </w:r>
      <w:proofErr w:type="spellStart"/>
      <w:r w:rsidRPr="00EB1825">
        <w:t>Fezolinetant</w:t>
      </w:r>
      <w:proofErr w:type="spellEnd"/>
      <w:r w:rsidRPr="00EB1825">
        <w:t xml:space="preserve"> 45 mg</w:t>
      </w:r>
    </w:p>
    <w:tbl>
      <w:tblPr>
        <w:tblStyle w:val="TableGrid"/>
        <w:tblW w:w="4971" w:type="pct"/>
        <w:tblInd w:w="-5" w:type="dxa"/>
        <w:shd w:val="clear" w:color="auto" w:fill="BDD6EE"/>
        <w:tblLook w:val="04A0" w:firstRow="1" w:lastRow="0" w:firstColumn="1" w:lastColumn="0" w:noHBand="0" w:noVBand="1"/>
        <w:tblCaption w:val="Table 11: Patient: Correlation coefficients between VMS frequency and severity for the Fezolinetant 45 mg"/>
      </w:tblPr>
      <w:tblGrid>
        <w:gridCol w:w="2412"/>
        <w:gridCol w:w="1558"/>
        <w:gridCol w:w="1275"/>
        <w:gridCol w:w="3720"/>
      </w:tblGrid>
      <w:tr w:rsidR="005F69BD" w:rsidRPr="00EB1825" w14:paraId="73F45D70" w14:textId="77777777" w:rsidTr="00891F79">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9C59A6" w14:textId="77777777" w:rsidR="005F69BD" w:rsidRPr="00EB1825" w:rsidRDefault="005F69BD" w:rsidP="00366774">
            <w:pPr>
              <w:pStyle w:val="TableText0"/>
              <w:rPr>
                <w:b/>
                <w:bCs w:val="0"/>
              </w:rPr>
            </w:pPr>
            <w:r w:rsidRPr="00EB1825">
              <w:rPr>
                <w:b/>
                <w:bCs w:val="0"/>
              </w:rPr>
              <w:t>Trial</w:t>
            </w:r>
          </w:p>
        </w:tc>
        <w:tc>
          <w:tcPr>
            <w:tcW w:w="86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27FCB6" w14:textId="77777777" w:rsidR="005F69BD" w:rsidRPr="00EB1825" w:rsidRDefault="005F69BD" w:rsidP="00366774">
            <w:pPr>
              <w:pStyle w:val="TableText0"/>
              <w:rPr>
                <w:b/>
                <w:bCs w:val="0"/>
              </w:rPr>
            </w:pPr>
            <w:r w:rsidRPr="00EB1825">
              <w:rPr>
                <w:b/>
                <w:bCs w:val="0"/>
              </w:rPr>
              <w:t>Timepoint</w:t>
            </w:r>
          </w:p>
        </w:tc>
        <w:tc>
          <w:tcPr>
            <w:tcW w:w="7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616AFEE" w14:textId="77777777" w:rsidR="005F69BD" w:rsidRPr="00EB1825" w:rsidRDefault="005F69BD" w:rsidP="00366774">
            <w:pPr>
              <w:pStyle w:val="TableText0"/>
              <w:rPr>
                <w:b/>
                <w:bCs w:val="0"/>
              </w:rPr>
            </w:pPr>
            <w:r w:rsidRPr="00EB1825">
              <w:rPr>
                <w:b/>
                <w:bCs w:val="0"/>
              </w:rPr>
              <w:t>N</w:t>
            </w:r>
          </w:p>
        </w:tc>
        <w:tc>
          <w:tcPr>
            <w:tcW w:w="20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F6800D3" w14:textId="77777777" w:rsidR="005F69BD" w:rsidRPr="00EB1825" w:rsidRDefault="005F69BD" w:rsidP="00366774">
            <w:pPr>
              <w:pStyle w:val="TableText0"/>
              <w:rPr>
                <w:b/>
                <w:bCs w:val="0"/>
              </w:rPr>
            </w:pPr>
            <w:r w:rsidRPr="00EB1825">
              <w:rPr>
                <w:b/>
                <w:bCs w:val="0"/>
              </w:rPr>
              <w:t>Correlation coefficients</w:t>
            </w:r>
          </w:p>
        </w:tc>
      </w:tr>
      <w:tr w:rsidR="005F69BD" w:rsidRPr="00EB1825" w14:paraId="0F9FCCD9" w14:textId="77777777" w:rsidTr="00891F79">
        <w:trPr>
          <w:trHeight w:val="20"/>
        </w:trPr>
        <w:tc>
          <w:tcPr>
            <w:tcW w:w="1345"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0B19A23" w14:textId="77777777" w:rsidR="005F69BD" w:rsidRPr="00EB1825" w:rsidRDefault="005F69BD" w:rsidP="00366774">
            <w:pPr>
              <w:pStyle w:val="TableText0"/>
            </w:pPr>
            <w:r w:rsidRPr="00EB1825">
              <w:t>SKYLIGHT 1</w:t>
            </w:r>
          </w:p>
        </w:tc>
        <w:tc>
          <w:tcPr>
            <w:tcW w:w="86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72DB5A" w14:textId="77777777" w:rsidR="005F69BD" w:rsidRPr="00EB1825" w:rsidRDefault="005F69BD" w:rsidP="00366774">
            <w:pPr>
              <w:pStyle w:val="TableText0"/>
            </w:pPr>
            <w:r w:rsidRPr="00EB1825">
              <w:t>Week 4</w:t>
            </w:r>
          </w:p>
        </w:tc>
        <w:tc>
          <w:tcPr>
            <w:tcW w:w="7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955CCBC" w14:textId="77777777" w:rsidR="005F69BD" w:rsidRPr="00EB1825" w:rsidRDefault="005F69BD" w:rsidP="00366774">
            <w:pPr>
              <w:pStyle w:val="TableText0"/>
              <w:rPr>
                <w:color w:val="000000" w:themeColor="text1"/>
              </w:rPr>
            </w:pPr>
            <w:r w:rsidRPr="00EB1825">
              <w:rPr>
                <w:color w:val="000000" w:themeColor="text1"/>
              </w:rPr>
              <w:t>164</w:t>
            </w:r>
          </w:p>
        </w:tc>
        <w:tc>
          <w:tcPr>
            <w:tcW w:w="20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B9C20B6" w14:textId="77777777" w:rsidR="005F69BD" w:rsidRPr="00EB1825" w:rsidRDefault="005F69BD" w:rsidP="00366774">
            <w:pPr>
              <w:pStyle w:val="TableText0"/>
              <w:rPr>
                <w:color w:val="000000" w:themeColor="text1"/>
              </w:rPr>
            </w:pPr>
            <w:r w:rsidRPr="00EB1825">
              <w:rPr>
                <w:color w:val="000000" w:themeColor="text1"/>
              </w:rPr>
              <w:t>0.467</w:t>
            </w:r>
          </w:p>
        </w:tc>
      </w:tr>
      <w:tr w:rsidR="005F69BD" w:rsidRPr="00EB1825" w14:paraId="792CC6E9" w14:textId="77777777" w:rsidTr="00891F79">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0825570" w14:textId="77777777" w:rsidR="005F69BD" w:rsidRPr="00EB1825" w:rsidRDefault="005F69BD" w:rsidP="00366774">
            <w:pPr>
              <w:keepNext/>
              <w:keepLines/>
              <w:jc w:val="left"/>
              <w:rPr>
                <w:rFonts w:ascii="Arial Narrow" w:eastAsiaTheme="majorEastAsia" w:hAnsi="Arial Narrow" w:cstheme="majorBidi"/>
                <w:bCs/>
                <w:sz w:val="20"/>
              </w:rPr>
            </w:pPr>
          </w:p>
        </w:tc>
        <w:tc>
          <w:tcPr>
            <w:tcW w:w="86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144A6F" w14:textId="77777777" w:rsidR="005F69BD" w:rsidRPr="00EB1825" w:rsidRDefault="005F69BD" w:rsidP="00366774">
            <w:pPr>
              <w:pStyle w:val="TableText0"/>
            </w:pPr>
            <w:r w:rsidRPr="00EB1825">
              <w:t>Week 12</w:t>
            </w:r>
          </w:p>
        </w:tc>
        <w:tc>
          <w:tcPr>
            <w:tcW w:w="7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784643" w14:textId="77777777" w:rsidR="005F69BD" w:rsidRPr="00EB1825" w:rsidRDefault="005F69BD" w:rsidP="00366774">
            <w:pPr>
              <w:pStyle w:val="TableText0"/>
              <w:rPr>
                <w:color w:val="000000" w:themeColor="text1"/>
              </w:rPr>
            </w:pPr>
            <w:r w:rsidRPr="00EB1825">
              <w:rPr>
                <w:color w:val="000000" w:themeColor="text1"/>
              </w:rPr>
              <w:t>146</w:t>
            </w:r>
          </w:p>
        </w:tc>
        <w:tc>
          <w:tcPr>
            <w:tcW w:w="20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D2C57B1" w14:textId="77777777" w:rsidR="005F69BD" w:rsidRPr="00EB1825" w:rsidRDefault="005F69BD" w:rsidP="00366774">
            <w:pPr>
              <w:pStyle w:val="TableText0"/>
              <w:rPr>
                <w:color w:val="000000" w:themeColor="text1"/>
              </w:rPr>
            </w:pPr>
            <w:r w:rsidRPr="00EB1825">
              <w:rPr>
                <w:color w:val="000000" w:themeColor="text1"/>
              </w:rPr>
              <w:t>0.408</w:t>
            </w:r>
          </w:p>
        </w:tc>
      </w:tr>
      <w:tr w:rsidR="005F69BD" w:rsidRPr="00EB1825" w14:paraId="4FC70BBF" w14:textId="77777777" w:rsidTr="00891F79">
        <w:trPr>
          <w:trHeight w:val="20"/>
        </w:trPr>
        <w:tc>
          <w:tcPr>
            <w:tcW w:w="1345"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5D7DFE4" w14:textId="77777777" w:rsidR="005F69BD" w:rsidRPr="00EB1825" w:rsidRDefault="005F69BD" w:rsidP="00366774">
            <w:pPr>
              <w:pStyle w:val="TableText0"/>
            </w:pPr>
            <w:r w:rsidRPr="00EB1825">
              <w:t>SKYLIGHT 2</w:t>
            </w:r>
          </w:p>
        </w:tc>
        <w:tc>
          <w:tcPr>
            <w:tcW w:w="86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5B5026D" w14:textId="77777777" w:rsidR="005F69BD" w:rsidRPr="00EB1825" w:rsidRDefault="005F69BD" w:rsidP="00366774">
            <w:pPr>
              <w:pStyle w:val="TableText0"/>
            </w:pPr>
            <w:r w:rsidRPr="00EB1825">
              <w:t>Week 4</w:t>
            </w:r>
          </w:p>
        </w:tc>
        <w:tc>
          <w:tcPr>
            <w:tcW w:w="7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C2AC5D9" w14:textId="77777777" w:rsidR="005F69BD" w:rsidRPr="00EB1825" w:rsidRDefault="005F69BD" w:rsidP="00366774">
            <w:pPr>
              <w:pStyle w:val="TableText0"/>
              <w:rPr>
                <w:color w:val="000000" w:themeColor="text1"/>
              </w:rPr>
            </w:pPr>
            <w:r w:rsidRPr="00EB1825">
              <w:rPr>
                <w:color w:val="000000" w:themeColor="text1"/>
              </w:rPr>
              <w:t>155</w:t>
            </w:r>
          </w:p>
        </w:tc>
        <w:tc>
          <w:tcPr>
            <w:tcW w:w="20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FF4DCCA" w14:textId="77777777" w:rsidR="005F69BD" w:rsidRPr="00EB1825" w:rsidRDefault="005F69BD" w:rsidP="00366774">
            <w:pPr>
              <w:pStyle w:val="TableText0"/>
              <w:rPr>
                <w:color w:val="000000" w:themeColor="text1"/>
              </w:rPr>
            </w:pPr>
            <w:r w:rsidRPr="00EB1825">
              <w:rPr>
                <w:color w:val="000000" w:themeColor="text1"/>
              </w:rPr>
              <w:t>0.472</w:t>
            </w:r>
          </w:p>
        </w:tc>
      </w:tr>
      <w:tr w:rsidR="005F69BD" w:rsidRPr="00EB1825" w14:paraId="796BE8FD" w14:textId="77777777" w:rsidTr="00891F79">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21A7A7A" w14:textId="77777777" w:rsidR="005F69BD" w:rsidRPr="00EB1825" w:rsidRDefault="005F69BD" w:rsidP="00366774">
            <w:pPr>
              <w:keepNext/>
              <w:keepLines/>
              <w:jc w:val="left"/>
              <w:rPr>
                <w:rFonts w:ascii="Arial Narrow" w:eastAsiaTheme="majorEastAsia" w:hAnsi="Arial Narrow" w:cstheme="majorBidi"/>
                <w:bCs/>
                <w:sz w:val="20"/>
              </w:rPr>
            </w:pPr>
          </w:p>
        </w:tc>
        <w:tc>
          <w:tcPr>
            <w:tcW w:w="86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D956DC" w14:textId="77777777" w:rsidR="005F69BD" w:rsidRPr="00EB1825" w:rsidRDefault="005F69BD" w:rsidP="00366774">
            <w:pPr>
              <w:pStyle w:val="TableText0"/>
            </w:pPr>
            <w:r w:rsidRPr="00EB1825">
              <w:t>Week 12</w:t>
            </w:r>
          </w:p>
        </w:tc>
        <w:tc>
          <w:tcPr>
            <w:tcW w:w="7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8E62D21" w14:textId="77777777" w:rsidR="005F69BD" w:rsidRPr="00EB1825" w:rsidRDefault="005F69BD" w:rsidP="00366774">
            <w:pPr>
              <w:pStyle w:val="TableText0"/>
              <w:rPr>
                <w:color w:val="000000" w:themeColor="text1"/>
              </w:rPr>
            </w:pPr>
            <w:r w:rsidRPr="00EB1825">
              <w:rPr>
                <w:color w:val="000000" w:themeColor="text1"/>
              </w:rPr>
              <w:t>145</w:t>
            </w:r>
          </w:p>
        </w:tc>
        <w:tc>
          <w:tcPr>
            <w:tcW w:w="20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5E4AE4" w14:textId="77777777" w:rsidR="005F69BD" w:rsidRPr="00EB1825" w:rsidRDefault="005F69BD" w:rsidP="00366774">
            <w:pPr>
              <w:pStyle w:val="TableText0"/>
              <w:rPr>
                <w:color w:val="000000" w:themeColor="text1"/>
              </w:rPr>
            </w:pPr>
            <w:r w:rsidRPr="00EB1825">
              <w:rPr>
                <w:color w:val="000000" w:themeColor="text1"/>
              </w:rPr>
              <w:t>0.236</w:t>
            </w:r>
          </w:p>
        </w:tc>
      </w:tr>
      <w:tr w:rsidR="005F69BD" w:rsidRPr="00EB1825" w14:paraId="7E8E7F9D" w14:textId="77777777" w:rsidTr="00891F79">
        <w:trPr>
          <w:trHeight w:val="20"/>
        </w:trPr>
        <w:tc>
          <w:tcPr>
            <w:tcW w:w="1345"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BD61BC9" w14:textId="77777777" w:rsidR="005F69BD" w:rsidRPr="00EB1825" w:rsidRDefault="005F69BD" w:rsidP="00366774">
            <w:pPr>
              <w:pStyle w:val="TableText0"/>
            </w:pPr>
            <w:r w:rsidRPr="00EB1825">
              <w:t>Pooled SKYLIGHT 1 and 2</w:t>
            </w:r>
          </w:p>
        </w:tc>
        <w:tc>
          <w:tcPr>
            <w:tcW w:w="86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FF4BAD3" w14:textId="77777777" w:rsidR="005F69BD" w:rsidRPr="00EB1825" w:rsidRDefault="005F69BD" w:rsidP="00366774">
            <w:pPr>
              <w:pStyle w:val="TableText0"/>
            </w:pPr>
            <w:r w:rsidRPr="00EB1825">
              <w:t>Week 4</w:t>
            </w:r>
          </w:p>
        </w:tc>
        <w:tc>
          <w:tcPr>
            <w:tcW w:w="7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AFEB1A" w14:textId="77777777" w:rsidR="005F69BD" w:rsidRPr="00EB1825" w:rsidRDefault="005F69BD" w:rsidP="00366774">
            <w:pPr>
              <w:pStyle w:val="TableText0"/>
              <w:rPr>
                <w:color w:val="000000" w:themeColor="text1"/>
              </w:rPr>
            </w:pPr>
            <w:r w:rsidRPr="00EB1825">
              <w:rPr>
                <w:color w:val="000000" w:themeColor="text1"/>
              </w:rPr>
              <w:t>319</w:t>
            </w:r>
          </w:p>
        </w:tc>
        <w:tc>
          <w:tcPr>
            <w:tcW w:w="20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DAEBA3" w14:textId="77777777" w:rsidR="005F69BD" w:rsidRPr="00EB1825" w:rsidRDefault="005F69BD" w:rsidP="00366774">
            <w:pPr>
              <w:pStyle w:val="TableText0"/>
              <w:rPr>
                <w:color w:val="000000" w:themeColor="text1"/>
              </w:rPr>
            </w:pPr>
            <w:r w:rsidRPr="00EB1825">
              <w:rPr>
                <w:color w:val="000000" w:themeColor="text1"/>
              </w:rPr>
              <w:t>0.477</w:t>
            </w:r>
          </w:p>
        </w:tc>
      </w:tr>
      <w:tr w:rsidR="005F69BD" w:rsidRPr="00EB1825" w14:paraId="2342352B" w14:textId="77777777" w:rsidTr="00891F79">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BC29B1A" w14:textId="77777777" w:rsidR="005F69BD" w:rsidRPr="00EB1825" w:rsidRDefault="005F69BD" w:rsidP="00366774">
            <w:pPr>
              <w:keepNext/>
              <w:keepLines/>
              <w:jc w:val="left"/>
              <w:rPr>
                <w:rFonts w:ascii="Arial Narrow" w:eastAsiaTheme="majorEastAsia" w:hAnsi="Arial Narrow" w:cstheme="majorBidi"/>
                <w:bCs/>
                <w:sz w:val="20"/>
              </w:rPr>
            </w:pPr>
          </w:p>
        </w:tc>
        <w:tc>
          <w:tcPr>
            <w:tcW w:w="86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C51208" w14:textId="77777777" w:rsidR="005F69BD" w:rsidRPr="00EB1825" w:rsidRDefault="005F69BD" w:rsidP="00366774">
            <w:pPr>
              <w:pStyle w:val="TableText0"/>
            </w:pPr>
            <w:r w:rsidRPr="00EB1825">
              <w:t>Week 12</w:t>
            </w:r>
          </w:p>
        </w:tc>
        <w:tc>
          <w:tcPr>
            <w:tcW w:w="7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A5191BA" w14:textId="77777777" w:rsidR="005F69BD" w:rsidRPr="00EB1825" w:rsidRDefault="005F69BD" w:rsidP="00366774">
            <w:pPr>
              <w:pStyle w:val="TableText0"/>
              <w:rPr>
                <w:color w:val="000000" w:themeColor="text1"/>
              </w:rPr>
            </w:pPr>
            <w:r w:rsidRPr="00EB1825">
              <w:rPr>
                <w:color w:val="000000" w:themeColor="text1"/>
              </w:rPr>
              <w:t>291</w:t>
            </w:r>
          </w:p>
        </w:tc>
        <w:tc>
          <w:tcPr>
            <w:tcW w:w="20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65057BA" w14:textId="77777777" w:rsidR="005F69BD" w:rsidRPr="00EB1825" w:rsidRDefault="005F69BD" w:rsidP="00366774">
            <w:pPr>
              <w:pStyle w:val="TableText0"/>
              <w:rPr>
                <w:color w:val="000000" w:themeColor="text1"/>
              </w:rPr>
            </w:pPr>
            <w:r w:rsidRPr="00EB1825">
              <w:rPr>
                <w:color w:val="000000" w:themeColor="text1"/>
              </w:rPr>
              <w:t>0.310</w:t>
            </w:r>
          </w:p>
        </w:tc>
      </w:tr>
    </w:tbl>
    <w:p w14:paraId="63DEDBE8" w14:textId="77777777" w:rsidR="005F69BD" w:rsidRPr="00EB1825" w:rsidRDefault="005F69BD" w:rsidP="00366774">
      <w:pPr>
        <w:keepNext/>
        <w:keepLines/>
        <w:rPr>
          <w:rFonts w:ascii="Arial Narrow" w:hAnsi="Arial Narrow"/>
          <w:snapToGrid w:val="0"/>
          <w:sz w:val="18"/>
          <w:szCs w:val="22"/>
        </w:rPr>
      </w:pPr>
      <w:r w:rsidRPr="00EB1825">
        <w:rPr>
          <w:rFonts w:ascii="Arial Narrow" w:hAnsi="Arial Narrow"/>
          <w:snapToGrid w:val="0"/>
          <w:sz w:val="18"/>
          <w:szCs w:val="22"/>
        </w:rPr>
        <w:t>Source: Figure 3.2-3, p75 of the resubmission</w:t>
      </w:r>
    </w:p>
    <w:p w14:paraId="77A74518" w14:textId="77777777" w:rsidR="005F69BD" w:rsidRPr="00EB1825" w:rsidRDefault="005F69BD" w:rsidP="00BF04CC">
      <w:pPr>
        <w:rPr>
          <w:rFonts w:ascii="Arial Narrow" w:hAnsi="Arial Narrow"/>
          <w:snapToGrid w:val="0"/>
          <w:sz w:val="18"/>
          <w:szCs w:val="22"/>
        </w:rPr>
      </w:pPr>
      <w:r w:rsidRPr="00EB1825">
        <w:rPr>
          <w:rFonts w:ascii="Arial Narrow" w:hAnsi="Arial Narrow"/>
          <w:snapToGrid w:val="0"/>
          <w:sz w:val="18"/>
          <w:szCs w:val="22"/>
        </w:rPr>
        <w:t>VMS=vasomotor symptoms.</w:t>
      </w:r>
    </w:p>
    <w:p w14:paraId="54A453D9" w14:textId="77777777" w:rsidR="00BF04CC" w:rsidRPr="00EB1825" w:rsidRDefault="00BF04CC" w:rsidP="00BF04CC">
      <w:pPr>
        <w:keepNext/>
        <w:keepLines/>
        <w:rPr>
          <w:rFonts w:ascii="Arial Narrow" w:hAnsi="Arial Narrow"/>
          <w:snapToGrid w:val="0"/>
          <w:sz w:val="18"/>
          <w:szCs w:val="22"/>
        </w:rPr>
      </w:pPr>
      <w:r w:rsidRPr="00EB1825">
        <w:rPr>
          <w:rFonts w:ascii="Arial Narrow" w:hAnsi="Arial Narrow"/>
          <w:snapToGrid w:val="0"/>
          <w:sz w:val="18"/>
          <w:szCs w:val="22"/>
          <w:shd w:val="clear" w:color="auto" w:fill="B8CCE4" w:themeFill="accent1" w:themeFillTint="66"/>
        </w:rPr>
        <w:t>Blue</w:t>
      </w:r>
      <w:r w:rsidRPr="00EB1825">
        <w:rPr>
          <w:rFonts w:ascii="Arial Narrow" w:hAnsi="Arial Narrow"/>
          <w:snapToGrid w:val="0"/>
          <w:sz w:val="18"/>
          <w:szCs w:val="22"/>
        </w:rPr>
        <w:t xml:space="preserve"> shading indicates data previously seen by the PBAC.</w:t>
      </w:r>
    </w:p>
    <w:p w14:paraId="6F88229A" w14:textId="77777777" w:rsidR="00BF04CC" w:rsidRPr="00EB1825" w:rsidRDefault="00BF04CC" w:rsidP="005F69BD">
      <w:pPr>
        <w:spacing w:after="240"/>
        <w:rPr>
          <w:rFonts w:ascii="Arial Narrow" w:hAnsi="Arial Narrow"/>
          <w:snapToGrid w:val="0"/>
          <w:sz w:val="18"/>
          <w:szCs w:val="22"/>
        </w:rPr>
      </w:pPr>
    </w:p>
    <w:p w14:paraId="6712A68C" w14:textId="0BEE0134" w:rsidR="005F69BD" w:rsidRPr="00EB1825" w:rsidRDefault="005F69BD" w:rsidP="00B47E8F">
      <w:pPr>
        <w:pStyle w:val="Caption"/>
      </w:pPr>
      <w:bookmarkStart w:id="57" w:name="_Ref203643303"/>
      <w:bookmarkStart w:id="58" w:name="_Ref201131589"/>
      <w:bookmarkStart w:id="59" w:name="_Toc201177700"/>
      <w:bookmarkStart w:id="60" w:name="_Toc202194146"/>
      <w:r w:rsidRPr="00EB1825">
        <w:t xml:space="preserve">Table </w:t>
      </w:r>
      <w:r w:rsidR="005B6061">
        <w:fldChar w:fldCharType="begin"/>
      </w:r>
      <w:r w:rsidR="005B6061">
        <w:instrText xml:space="preserve"> SEQ Table \* ARABIC </w:instrText>
      </w:r>
      <w:r w:rsidR="005B6061">
        <w:fldChar w:fldCharType="separate"/>
      </w:r>
      <w:r w:rsidR="00946DF5">
        <w:rPr>
          <w:noProof/>
        </w:rPr>
        <w:t>12</w:t>
      </w:r>
      <w:r w:rsidR="005B6061">
        <w:rPr>
          <w:noProof/>
        </w:rPr>
        <w:fldChar w:fldCharType="end"/>
      </w:r>
      <w:bookmarkEnd w:id="57"/>
      <w:r w:rsidRPr="00EB1825">
        <w:t xml:space="preserve">: Association between mean moderate and severe VMS frequency per 24h and PGI-C VMS for </w:t>
      </w:r>
      <w:proofErr w:type="spellStart"/>
      <w:r w:rsidRPr="00EB1825">
        <w:t>fezolinetant</w:t>
      </w:r>
      <w:proofErr w:type="spellEnd"/>
      <w:r w:rsidRPr="00EB1825">
        <w:t xml:space="preserve"> 45 mg and placebo (Full Analysis Set)</w:t>
      </w:r>
      <w:bookmarkEnd w:id="58"/>
      <w:bookmarkEnd w:id="59"/>
      <w:bookmarkEnd w:id="60"/>
    </w:p>
    <w:tbl>
      <w:tblPr>
        <w:tblStyle w:val="TableGrid"/>
        <w:tblW w:w="4971" w:type="pct"/>
        <w:tblInd w:w="-5" w:type="dxa"/>
        <w:shd w:val="clear" w:color="auto" w:fill="BDD6EE"/>
        <w:tblLook w:val="04A0" w:firstRow="1" w:lastRow="0" w:firstColumn="1" w:lastColumn="0" w:noHBand="0" w:noVBand="1"/>
        <w:tblCaption w:val="Table 12: Association between mean moderate and severe VMS frequency per 24h and PGI-C VMS for fezolinetant 45 mg and placebo (Full Analysis Set)"/>
      </w:tblPr>
      <w:tblGrid>
        <w:gridCol w:w="1102"/>
        <w:gridCol w:w="1074"/>
        <w:gridCol w:w="1225"/>
        <w:gridCol w:w="1131"/>
        <w:gridCol w:w="1133"/>
        <w:gridCol w:w="1058"/>
        <w:gridCol w:w="1082"/>
        <w:gridCol w:w="1160"/>
      </w:tblGrid>
      <w:tr w:rsidR="005F69BD" w:rsidRPr="00EB1825" w14:paraId="53F1A7DE" w14:textId="77777777" w:rsidTr="00891F79">
        <w:tc>
          <w:tcPr>
            <w:tcW w:w="615"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8C3A60" w14:textId="77777777" w:rsidR="005F69BD" w:rsidRPr="00EB1825" w:rsidRDefault="005F69BD" w:rsidP="00B47E8F">
            <w:pPr>
              <w:pStyle w:val="TableText0"/>
              <w:rPr>
                <w:b/>
                <w:bCs w:val="0"/>
              </w:rPr>
            </w:pPr>
            <w:r w:rsidRPr="00EB1825">
              <w:rPr>
                <w:b/>
                <w:bCs w:val="0"/>
              </w:rPr>
              <w:t>Mean VMS frequency per 24h</w:t>
            </w:r>
          </w:p>
        </w:tc>
        <w:tc>
          <w:tcPr>
            <w:tcW w:w="4385"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BA855D6" w14:textId="77777777" w:rsidR="005F69BD" w:rsidRPr="00EB1825" w:rsidRDefault="005F69BD" w:rsidP="00B47E8F">
            <w:pPr>
              <w:pStyle w:val="TableText0"/>
              <w:rPr>
                <w:b/>
                <w:bCs w:val="0"/>
              </w:rPr>
            </w:pPr>
            <w:r w:rsidRPr="00EB1825">
              <w:rPr>
                <w:b/>
                <w:bCs w:val="0"/>
              </w:rPr>
              <w:t>PGI-C VMS, n (%)</w:t>
            </w:r>
          </w:p>
        </w:tc>
      </w:tr>
      <w:tr w:rsidR="00966CBE" w:rsidRPr="00EB1825" w14:paraId="0E40F2DE" w14:textId="77777777" w:rsidTr="00891F79">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C1C12B" w14:textId="77777777" w:rsidR="005F69BD" w:rsidRPr="00EB1825" w:rsidRDefault="005F69BD" w:rsidP="00B47E8F">
            <w:pPr>
              <w:keepNext/>
              <w:keepLines/>
              <w:jc w:val="left"/>
              <w:rPr>
                <w:rFonts w:ascii="Arial Narrow" w:eastAsiaTheme="majorEastAsia" w:hAnsi="Arial Narrow" w:cstheme="majorBidi"/>
                <w:b/>
                <w:sz w:val="20"/>
              </w:rPr>
            </w:pP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1C8070" w14:textId="77777777" w:rsidR="005F69BD" w:rsidRPr="00EB1825" w:rsidRDefault="005F69BD" w:rsidP="00B47E8F">
            <w:pPr>
              <w:pStyle w:val="TableText0"/>
              <w:rPr>
                <w:b/>
                <w:bCs w:val="0"/>
              </w:rPr>
            </w:pPr>
            <w:r w:rsidRPr="00EB1825">
              <w:rPr>
                <w:b/>
                <w:bCs w:val="0"/>
              </w:rPr>
              <w:t>Much Better</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781F3B" w14:textId="77777777" w:rsidR="005F69BD" w:rsidRPr="00EB1825" w:rsidRDefault="005F69BD" w:rsidP="00B47E8F">
            <w:pPr>
              <w:pStyle w:val="TableText0"/>
              <w:rPr>
                <w:b/>
                <w:bCs w:val="0"/>
              </w:rPr>
            </w:pPr>
            <w:r w:rsidRPr="00EB1825">
              <w:rPr>
                <w:b/>
                <w:bCs w:val="0"/>
              </w:rPr>
              <w:t>Moderately</w:t>
            </w:r>
          </w:p>
          <w:p w14:paraId="1752EC68" w14:textId="77777777" w:rsidR="005F69BD" w:rsidRPr="00EB1825" w:rsidRDefault="005F69BD" w:rsidP="00B47E8F">
            <w:pPr>
              <w:pStyle w:val="TableText0"/>
              <w:rPr>
                <w:b/>
                <w:bCs w:val="0"/>
              </w:rPr>
            </w:pPr>
            <w:r w:rsidRPr="00EB1825">
              <w:rPr>
                <w:b/>
                <w:bCs w:val="0"/>
              </w:rPr>
              <w:t>Better</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34420AE" w14:textId="77777777" w:rsidR="005F69BD" w:rsidRPr="00EB1825" w:rsidRDefault="005F69BD" w:rsidP="00B47E8F">
            <w:pPr>
              <w:pStyle w:val="TableText0"/>
              <w:rPr>
                <w:b/>
                <w:bCs w:val="0"/>
              </w:rPr>
            </w:pPr>
            <w:r w:rsidRPr="00EB1825">
              <w:rPr>
                <w:b/>
                <w:bCs w:val="0"/>
              </w:rPr>
              <w:t>A little better</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A69751" w14:textId="77777777" w:rsidR="005F69BD" w:rsidRPr="00EB1825" w:rsidRDefault="005F69BD" w:rsidP="00B47E8F">
            <w:pPr>
              <w:pStyle w:val="TableText0"/>
              <w:rPr>
                <w:b/>
                <w:bCs w:val="0"/>
              </w:rPr>
            </w:pPr>
            <w:r w:rsidRPr="00EB1825">
              <w:rPr>
                <w:b/>
                <w:bCs w:val="0"/>
              </w:rPr>
              <w:t>No change</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07CBAD" w14:textId="77777777" w:rsidR="005F69BD" w:rsidRPr="00EB1825" w:rsidRDefault="005F69BD" w:rsidP="00B47E8F">
            <w:pPr>
              <w:pStyle w:val="TableText0"/>
              <w:rPr>
                <w:b/>
                <w:bCs w:val="0"/>
              </w:rPr>
            </w:pPr>
            <w:r w:rsidRPr="00EB1825">
              <w:rPr>
                <w:b/>
                <w:bCs w:val="0"/>
              </w:rPr>
              <w:t>A little worse</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1D901B" w14:textId="77777777" w:rsidR="005F69BD" w:rsidRPr="00EB1825" w:rsidRDefault="005F69BD" w:rsidP="00B47E8F">
            <w:pPr>
              <w:pStyle w:val="TableText0"/>
              <w:rPr>
                <w:b/>
                <w:bCs w:val="0"/>
              </w:rPr>
            </w:pPr>
            <w:r w:rsidRPr="00EB1825">
              <w:rPr>
                <w:b/>
                <w:bCs w:val="0"/>
              </w:rPr>
              <w:t>Moderately worse</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2E10A1" w14:textId="77777777" w:rsidR="005F69BD" w:rsidRPr="00EB1825" w:rsidRDefault="005F69BD" w:rsidP="00B47E8F">
            <w:pPr>
              <w:pStyle w:val="TableText0"/>
              <w:rPr>
                <w:b/>
                <w:bCs w:val="0"/>
              </w:rPr>
            </w:pPr>
            <w:r w:rsidRPr="00EB1825">
              <w:rPr>
                <w:b/>
                <w:bCs w:val="0"/>
              </w:rPr>
              <w:t>Much worse</w:t>
            </w:r>
          </w:p>
        </w:tc>
      </w:tr>
      <w:tr w:rsidR="005F69BD" w:rsidRPr="00EB1825" w14:paraId="7F8D33AC" w14:textId="77777777" w:rsidTr="00891F79">
        <w:tc>
          <w:tcPr>
            <w:tcW w:w="5000" w:type="pct"/>
            <w:gridSpan w:val="8"/>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B1E438" w14:textId="77777777" w:rsidR="005F69BD" w:rsidRPr="00EB1825" w:rsidRDefault="005F69BD" w:rsidP="00B47E8F">
            <w:pPr>
              <w:pStyle w:val="TableText0"/>
              <w:rPr>
                <w:b/>
                <w:bCs w:val="0"/>
              </w:rPr>
            </w:pPr>
            <w:r w:rsidRPr="00EB1825">
              <w:rPr>
                <w:b/>
                <w:bCs w:val="0"/>
              </w:rPr>
              <w:t xml:space="preserve">DAYLIGHT </w:t>
            </w:r>
          </w:p>
        </w:tc>
      </w:tr>
      <w:tr w:rsidR="00966CBE" w:rsidRPr="00EB1825" w14:paraId="33A49EA7"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7044D16" w14:textId="77777777" w:rsidR="005F69BD" w:rsidRPr="00EB1825" w:rsidRDefault="005F69BD" w:rsidP="00B47E8F">
            <w:pPr>
              <w:pStyle w:val="TableText0"/>
            </w:pPr>
            <w:r w:rsidRPr="00EB1825">
              <w:t>&lt;2</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0E2BB8" w14:textId="77777777" w:rsidR="005F69BD" w:rsidRPr="00EB1825" w:rsidRDefault="005F69BD" w:rsidP="00B47E8F">
            <w:pPr>
              <w:pStyle w:val="TableText0"/>
            </w:pPr>
            <w:r w:rsidRPr="00EB1825">
              <w:t>448 (30.7)</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9B00CCE" w14:textId="77777777" w:rsidR="005F69BD" w:rsidRPr="00EB1825" w:rsidRDefault="005F69BD" w:rsidP="00B47E8F">
            <w:pPr>
              <w:pStyle w:val="TableText0"/>
            </w:pPr>
            <w:r w:rsidRPr="00EB1825">
              <w:t>81 (5.6)</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E8284E" w14:textId="77777777" w:rsidR="005F69BD" w:rsidRPr="00EB1825" w:rsidRDefault="005F69BD" w:rsidP="00B47E8F">
            <w:pPr>
              <w:pStyle w:val="TableText0"/>
            </w:pPr>
            <w:r w:rsidRPr="00EB1825">
              <w:t>27 (1.9)</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5F20A3" w14:textId="77777777" w:rsidR="005F69BD" w:rsidRPr="00EB1825" w:rsidRDefault="005F69BD" w:rsidP="00B47E8F">
            <w:pPr>
              <w:pStyle w:val="TableText0"/>
            </w:pPr>
            <w:r w:rsidRPr="00EB1825">
              <w:t>6 (0.4)</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73E110" w14:textId="77777777" w:rsidR="005F69BD" w:rsidRPr="00EB1825" w:rsidRDefault="005F69BD" w:rsidP="00B47E8F">
            <w:pPr>
              <w:pStyle w:val="TableText0"/>
            </w:pPr>
            <w:r w:rsidRPr="00EB1825">
              <w:t>0</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68DE01B" w14:textId="77777777" w:rsidR="005F69BD" w:rsidRPr="00EB1825" w:rsidRDefault="005F69BD" w:rsidP="00B47E8F">
            <w:pPr>
              <w:pStyle w:val="TableText0"/>
            </w:pPr>
            <w:r w:rsidRPr="00EB1825">
              <w:t>0</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BDB359D" w14:textId="77777777" w:rsidR="005F69BD" w:rsidRPr="00EB1825" w:rsidRDefault="005F69BD" w:rsidP="00B47E8F">
            <w:pPr>
              <w:pStyle w:val="TableText0"/>
            </w:pPr>
            <w:r w:rsidRPr="00EB1825">
              <w:t>1 (0.1)</w:t>
            </w:r>
          </w:p>
        </w:tc>
      </w:tr>
      <w:tr w:rsidR="00966CBE" w:rsidRPr="00EB1825" w14:paraId="5C53069B"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67459B" w14:textId="77777777" w:rsidR="005F69BD" w:rsidRPr="00EB1825" w:rsidRDefault="005F69BD" w:rsidP="00B47E8F">
            <w:pPr>
              <w:pStyle w:val="TableText0"/>
            </w:pPr>
            <w:r w:rsidRPr="00EB1825">
              <w:t>≥2 to &lt;7</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DE63C74" w14:textId="77777777" w:rsidR="005F69BD" w:rsidRPr="00EB1825" w:rsidRDefault="005F69BD" w:rsidP="00B47E8F">
            <w:pPr>
              <w:pStyle w:val="TableText0"/>
            </w:pPr>
            <w:r w:rsidRPr="00EB1825">
              <w:t>176 (12.1)</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4A9EC41" w14:textId="77777777" w:rsidR="005F69BD" w:rsidRPr="00EB1825" w:rsidRDefault="005F69BD" w:rsidP="00B47E8F">
            <w:pPr>
              <w:pStyle w:val="TableText0"/>
            </w:pPr>
            <w:r w:rsidRPr="00EB1825">
              <w:t>133 (9.1)</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5D969B5" w14:textId="77777777" w:rsidR="005F69BD" w:rsidRPr="00EB1825" w:rsidRDefault="005F69BD" w:rsidP="00B47E8F">
            <w:pPr>
              <w:pStyle w:val="TableText0"/>
            </w:pPr>
            <w:r w:rsidRPr="00EB1825">
              <w:t>137 (9.4)</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0B91467" w14:textId="77777777" w:rsidR="005F69BD" w:rsidRPr="00EB1825" w:rsidRDefault="005F69BD" w:rsidP="00B47E8F">
            <w:pPr>
              <w:pStyle w:val="TableText0"/>
            </w:pPr>
            <w:r w:rsidRPr="00EB1825">
              <w:t>127 (8.7)</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750907A" w14:textId="77777777" w:rsidR="005F69BD" w:rsidRPr="00EB1825" w:rsidRDefault="005F69BD" w:rsidP="00B47E8F">
            <w:pPr>
              <w:pStyle w:val="TableText0"/>
            </w:pPr>
            <w:r w:rsidRPr="00EB1825">
              <w:t>11 (0.8)</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C38917" w14:textId="77777777" w:rsidR="005F69BD" w:rsidRPr="00EB1825" w:rsidRDefault="005F69BD" w:rsidP="00B47E8F">
            <w:pPr>
              <w:pStyle w:val="TableText0"/>
            </w:pPr>
            <w:r w:rsidRPr="00EB1825">
              <w:t>10 (0.7)</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6EF8FF" w14:textId="77777777" w:rsidR="005F69BD" w:rsidRPr="00EB1825" w:rsidRDefault="005F69BD" w:rsidP="00B47E8F">
            <w:pPr>
              <w:pStyle w:val="TableText0"/>
            </w:pPr>
            <w:r w:rsidRPr="00EB1825">
              <w:t>4 (0.3)</w:t>
            </w:r>
          </w:p>
        </w:tc>
      </w:tr>
      <w:tr w:rsidR="00966CBE" w:rsidRPr="00EB1825" w14:paraId="0211FB9D"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8315C72" w14:textId="77777777" w:rsidR="005F69BD" w:rsidRPr="00EB1825" w:rsidRDefault="005F69BD" w:rsidP="00B47E8F">
            <w:pPr>
              <w:pStyle w:val="TableText0"/>
            </w:pPr>
            <w:r w:rsidRPr="00EB1825">
              <w:t>≥7 to 9</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B47016" w14:textId="77777777" w:rsidR="005F69BD" w:rsidRPr="00EB1825" w:rsidRDefault="005F69BD" w:rsidP="00B47E8F">
            <w:pPr>
              <w:pStyle w:val="TableText0"/>
            </w:pPr>
            <w:r w:rsidRPr="00EB1825">
              <w:t>12 (0.8)</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3CBA68" w14:textId="77777777" w:rsidR="005F69BD" w:rsidRPr="00EB1825" w:rsidRDefault="005F69BD" w:rsidP="00B47E8F">
            <w:pPr>
              <w:pStyle w:val="TableText0"/>
            </w:pPr>
            <w:r w:rsidRPr="00EB1825">
              <w:t>19 (9.1)</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DC80D61" w14:textId="77777777" w:rsidR="005F69BD" w:rsidRPr="00EB1825" w:rsidRDefault="005F69BD" w:rsidP="00B47E8F">
            <w:pPr>
              <w:pStyle w:val="TableText0"/>
            </w:pPr>
            <w:r w:rsidRPr="00EB1825">
              <w:t>23 (1.6)</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EB64E20" w14:textId="77777777" w:rsidR="005F69BD" w:rsidRPr="00EB1825" w:rsidRDefault="005F69BD" w:rsidP="00B47E8F">
            <w:pPr>
              <w:pStyle w:val="TableText0"/>
            </w:pPr>
            <w:r w:rsidRPr="00EB1825">
              <w:t>68 (4.7)</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2E026A0" w14:textId="77777777" w:rsidR="005F69BD" w:rsidRPr="00EB1825" w:rsidRDefault="005F69BD" w:rsidP="00B47E8F">
            <w:pPr>
              <w:pStyle w:val="TableText0"/>
            </w:pPr>
            <w:r w:rsidRPr="00EB1825">
              <w:t>6 (0.4)</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368B7C" w14:textId="77777777" w:rsidR="005F69BD" w:rsidRPr="00EB1825" w:rsidRDefault="005F69BD" w:rsidP="00B47E8F">
            <w:pPr>
              <w:pStyle w:val="TableText0"/>
            </w:pPr>
            <w:r w:rsidRPr="00EB1825">
              <w:t>3 (0.2)</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1F933" w14:textId="77777777" w:rsidR="005F69BD" w:rsidRPr="00EB1825" w:rsidRDefault="005F69BD" w:rsidP="00B47E8F">
            <w:pPr>
              <w:pStyle w:val="TableText0"/>
            </w:pPr>
            <w:r w:rsidRPr="00EB1825">
              <w:t>5 (0.3)</w:t>
            </w:r>
          </w:p>
        </w:tc>
      </w:tr>
      <w:tr w:rsidR="00966CBE" w:rsidRPr="00EB1825" w14:paraId="49940E9F"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6EE6099" w14:textId="77777777" w:rsidR="005F69BD" w:rsidRPr="00EB1825" w:rsidRDefault="005F69BD" w:rsidP="00B47E8F">
            <w:pPr>
              <w:pStyle w:val="TableText0"/>
            </w:pPr>
            <w:r w:rsidRPr="00EB1825">
              <w:t>≥9</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FC87A8" w14:textId="77777777" w:rsidR="005F69BD" w:rsidRPr="00EB1825" w:rsidRDefault="005F69BD" w:rsidP="00B47E8F">
            <w:pPr>
              <w:pStyle w:val="TableText0"/>
            </w:pPr>
            <w:r w:rsidRPr="00EB1825">
              <w:t>5 (0.3)</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ECF9BC" w14:textId="77777777" w:rsidR="005F69BD" w:rsidRPr="00EB1825" w:rsidRDefault="005F69BD" w:rsidP="00B47E8F">
            <w:pPr>
              <w:pStyle w:val="TableText0"/>
            </w:pPr>
            <w:r w:rsidRPr="00EB1825">
              <w:t>12 (0.8)</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357758" w14:textId="77777777" w:rsidR="005F69BD" w:rsidRPr="00EB1825" w:rsidRDefault="005F69BD" w:rsidP="00B47E8F">
            <w:pPr>
              <w:pStyle w:val="TableText0"/>
            </w:pPr>
            <w:r w:rsidRPr="00EB1825">
              <w:t>32 (2.2)</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B3050F3" w14:textId="77777777" w:rsidR="005F69BD" w:rsidRPr="00EB1825" w:rsidRDefault="005F69BD" w:rsidP="00B47E8F">
            <w:pPr>
              <w:pStyle w:val="TableText0"/>
            </w:pPr>
            <w:r w:rsidRPr="00EB1825">
              <w:t>89 (6.1)</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9E35EB" w14:textId="77777777" w:rsidR="005F69BD" w:rsidRPr="00EB1825" w:rsidRDefault="005F69BD" w:rsidP="00B47E8F">
            <w:pPr>
              <w:pStyle w:val="TableText0"/>
            </w:pPr>
            <w:r w:rsidRPr="00EB1825">
              <w:t>8 (0.5)</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8768B0" w14:textId="77777777" w:rsidR="005F69BD" w:rsidRPr="00EB1825" w:rsidRDefault="005F69BD" w:rsidP="00B47E8F">
            <w:pPr>
              <w:pStyle w:val="TableText0"/>
            </w:pPr>
            <w:r w:rsidRPr="00EB1825">
              <w:t>8 (0.5)</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C80C7E" w14:textId="77777777" w:rsidR="005F69BD" w:rsidRPr="00EB1825" w:rsidRDefault="005F69BD" w:rsidP="00B47E8F">
            <w:pPr>
              <w:pStyle w:val="TableText0"/>
            </w:pPr>
            <w:r w:rsidRPr="00EB1825">
              <w:t>7 (0.5)</w:t>
            </w:r>
          </w:p>
        </w:tc>
      </w:tr>
      <w:tr w:rsidR="005F69BD" w:rsidRPr="00EB1825" w14:paraId="6EAB5D43" w14:textId="77777777" w:rsidTr="00891F79">
        <w:tc>
          <w:tcPr>
            <w:tcW w:w="5000" w:type="pct"/>
            <w:gridSpan w:val="8"/>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001C33A" w14:textId="77777777" w:rsidR="005F69BD" w:rsidRPr="00EB1825" w:rsidRDefault="005F69BD" w:rsidP="00B47E8F">
            <w:pPr>
              <w:pStyle w:val="TableText0"/>
              <w:rPr>
                <w:b/>
                <w:bCs w:val="0"/>
              </w:rPr>
            </w:pPr>
            <w:r w:rsidRPr="00EB1825">
              <w:rPr>
                <w:b/>
                <w:bCs w:val="0"/>
              </w:rPr>
              <w:t xml:space="preserve">Pooled SKYLIGHT 1 and SKYLIGHT 2 (MHT unsuitable subpopulation, up to Week 12) and DAYLIGHT </w:t>
            </w:r>
          </w:p>
        </w:tc>
      </w:tr>
      <w:tr w:rsidR="00966CBE" w:rsidRPr="00EB1825" w14:paraId="4F7CB5B6"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25C156" w14:textId="77777777" w:rsidR="005F69BD" w:rsidRPr="00EB1825" w:rsidRDefault="005F69BD" w:rsidP="00B47E8F">
            <w:pPr>
              <w:pStyle w:val="TableText0"/>
            </w:pPr>
            <w:r w:rsidRPr="00EB1825">
              <w:t>&lt;2</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76CC99" w14:textId="77777777" w:rsidR="005F69BD" w:rsidRPr="00EB1825" w:rsidRDefault="005F69BD" w:rsidP="00B47E8F">
            <w:pPr>
              <w:pStyle w:val="TableText0"/>
            </w:pPr>
            <w:r w:rsidRPr="00EB1825">
              <w:t>634 (25.9)</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693C095" w14:textId="77777777" w:rsidR="005F69BD" w:rsidRPr="00EB1825" w:rsidRDefault="005F69BD" w:rsidP="00B47E8F">
            <w:pPr>
              <w:pStyle w:val="TableText0"/>
            </w:pPr>
            <w:r w:rsidRPr="00EB1825">
              <w:t>122 (5.0)</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4FD40B" w14:textId="77777777" w:rsidR="005F69BD" w:rsidRPr="00EB1825" w:rsidRDefault="005F69BD" w:rsidP="00B47E8F">
            <w:pPr>
              <w:pStyle w:val="TableText0"/>
            </w:pPr>
            <w:r w:rsidRPr="00EB1825">
              <w:t>43 (1.8)</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A868183" w14:textId="77777777" w:rsidR="005F69BD" w:rsidRPr="00EB1825" w:rsidRDefault="005F69BD" w:rsidP="00B47E8F">
            <w:pPr>
              <w:pStyle w:val="TableText0"/>
            </w:pPr>
            <w:r w:rsidRPr="00EB1825">
              <w:t>10 (0.4)</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5235E6C" w14:textId="77777777" w:rsidR="005F69BD" w:rsidRPr="00EB1825" w:rsidRDefault="005F69BD" w:rsidP="00B47E8F">
            <w:pPr>
              <w:pStyle w:val="TableText0"/>
            </w:pPr>
            <w:r w:rsidRPr="00EB1825">
              <w:t>3 (0.1)</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8EA3B49" w14:textId="77777777" w:rsidR="005F69BD" w:rsidRPr="00EB1825" w:rsidRDefault="005F69BD" w:rsidP="00B47E8F">
            <w:pPr>
              <w:pStyle w:val="TableText0"/>
            </w:pPr>
            <w:r w:rsidRPr="00EB1825">
              <w:t>1 (0.0)</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F148A4" w14:textId="77777777" w:rsidR="005F69BD" w:rsidRPr="00EB1825" w:rsidRDefault="005F69BD" w:rsidP="00B47E8F">
            <w:pPr>
              <w:pStyle w:val="TableText0"/>
            </w:pPr>
            <w:r w:rsidRPr="00EB1825">
              <w:t>1 (0.0)</w:t>
            </w:r>
          </w:p>
        </w:tc>
      </w:tr>
      <w:tr w:rsidR="00966CBE" w:rsidRPr="00EB1825" w14:paraId="02210B88"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E53E3F3" w14:textId="77777777" w:rsidR="005F69BD" w:rsidRPr="00EB1825" w:rsidRDefault="005F69BD" w:rsidP="00B47E8F">
            <w:pPr>
              <w:pStyle w:val="TableText0"/>
            </w:pPr>
            <w:r w:rsidRPr="00EB1825">
              <w:t>≥2 to &lt;7</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35CE380" w14:textId="77777777" w:rsidR="005F69BD" w:rsidRPr="00EB1825" w:rsidRDefault="005F69BD" w:rsidP="00B47E8F">
            <w:pPr>
              <w:pStyle w:val="TableText0"/>
            </w:pPr>
            <w:r w:rsidRPr="00EB1825">
              <w:t>293 (12.0)</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909A03" w14:textId="77777777" w:rsidR="005F69BD" w:rsidRPr="00EB1825" w:rsidRDefault="005F69BD" w:rsidP="00B47E8F">
            <w:pPr>
              <w:pStyle w:val="TableText0"/>
            </w:pPr>
            <w:r w:rsidRPr="00EB1825">
              <w:t>231 (9.4)</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715050" w14:textId="77777777" w:rsidR="005F69BD" w:rsidRPr="00EB1825" w:rsidRDefault="005F69BD" w:rsidP="00B47E8F">
            <w:pPr>
              <w:pStyle w:val="TableText0"/>
            </w:pPr>
            <w:r w:rsidRPr="00EB1825">
              <w:t>247 (10.1)</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922E420" w14:textId="77777777" w:rsidR="005F69BD" w:rsidRPr="00EB1825" w:rsidRDefault="005F69BD" w:rsidP="00B47E8F">
            <w:pPr>
              <w:pStyle w:val="TableText0"/>
            </w:pPr>
            <w:r w:rsidRPr="00EB1825">
              <w:t>176 (7.2)</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A96A260" w14:textId="77777777" w:rsidR="005F69BD" w:rsidRPr="00EB1825" w:rsidRDefault="005F69BD" w:rsidP="00B47E8F">
            <w:pPr>
              <w:pStyle w:val="TableText0"/>
            </w:pPr>
            <w:r w:rsidRPr="00EB1825">
              <w:t>15 (0.6)</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E0155E" w14:textId="77777777" w:rsidR="005F69BD" w:rsidRPr="00EB1825" w:rsidRDefault="005F69BD" w:rsidP="00B47E8F">
            <w:pPr>
              <w:pStyle w:val="TableText0"/>
            </w:pPr>
            <w:r w:rsidRPr="00EB1825">
              <w:t>13 (0.5)</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A07E7B" w14:textId="77777777" w:rsidR="005F69BD" w:rsidRPr="00EB1825" w:rsidRDefault="005F69BD" w:rsidP="00B47E8F">
            <w:pPr>
              <w:pStyle w:val="TableText0"/>
            </w:pPr>
            <w:r w:rsidRPr="00EB1825">
              <w:t>7 (0.3)</w:t>
            </w:r>
          </w:p>
        </w:tc>
      </w:tr>
      <w:tr w:rsidR="00966CBE" w:rsidRPr="00EB1825" w14:paraId="1C7CFB07"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C40186" w14:textId="77777777" w:rsidR="005F69BD" w:rsidRPr="00EB1825" w:rsidRDefault="005F69BD" w:rsidP="00B47E8F">
            <w:pPr>
              <w:pStyle w:val="TableText0"/>
            </w:pPr>
            <w:r w:rsidRPr="00EB1825">
              <w:t>≥7 to 9</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7B5676" w14:textId="77777777" w:rsidR="005F69BD" w:rsidRPr="00EB1825" w:rsidRDefault="005F69BD" w:rsidP="00B47E8F">
            <w:pPr>
              <w:pStyle w:val="TableText0"/>
            </w:pPr>
            <w:r w:rsidRPr="00EB1825">
              <w:t>23 (0.9)</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B0C31B" w14:textId="77777777" w:rsidR="005F69BD" w:rsidRPr="00EB1825" w:rsidRDefault="005F69BD" w:rsidP="00B47E8F">
            <w:pPr>
              <w:pStyle w:val="TableText0"/>
            </w:pPr>
            <w:r w:rsidRPr="00EB1825">
              <w:t>37 (1.5)</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39E5A2" w14:textId="77777777" w:rsidR="005F69BD" w:rsidRPr="00EB1825" w:rsidRDefault="005F69BD" w:rsidP="00B47E8F">
            <w:pPr>
              <w:pStyle w:val="TableText0"/>
            </w:pPr>
            <w:r w:rsidRPr="00EB1825">
              <w:t>67 (2.7)</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2B5762" w14:textId="77777777" w:rsidR="005F69BD" w:rsidRPr="00EB1825" w:rsidRDefault="005F69BD" w:rsidP="00B47E8F">
            <w:pPr>
              <w:pStyle w:val="TableText0"/>
            </w:pPr>
            <w:r w:rsidRPr="00EB1825">
              <w:t>119 (4.9)</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9C43B25" w14:textId="77777777" w:rsidR="005F69BD" w:rsidRPr="00EB1825" w:rsidRDefault="005F69BD" w:rsidP="00B47E8F">
            <w:pPr>
              <w:pStyle w:val="TableText0"/>
            </w:pPr>
            <w:r w:rsidRPr="00EB1825">
              <w:t>9 (0.4)</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81DCDB1" w14:textId="77777777" w:rsidR="005F69BD" w:rsidRPr="00EB1825" w:rsidRDefault="005F69BD" w:rsidP="00B47E8F">
            <w:pPr>
              <w:pStyle w:val="TableText0"/>
            </w:pPr>
            <w:r w:rsidRPr="00EB1825">
              <w:t>4 (0.2)</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A68AB35" w14:textId="77777777" w:rsidR="005F69BD" w:rsidRPr="00EB1825" w:rsidRDefault="005F69BD" w:rsidP="00B47E8F">
            <w:pPr>
              <w:pStyle w:val="TableText0"/>
            </w:pPr>
            <w:r w:rsidRPr="00EB1825">
              <w:t>8 (0.3)</w:t>
            </w:r>
          </w:p>
        </w:tc>
      </w:tr>
      <w:tr w:rsidR="00966CBE" w:rsidRPr="00EB1825" w14:paraId="4E2C87E9"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B70F3E" w14:textId="77777777" w:rsidR="005F69BD" w:rsidRPr="00EB1825" w:rsidRDefault="005F69BD" w:rsidP="00B47E8F">
            <w:pPr>
              <w:pStyle w:val="TableText0"/>
            </w:pPr>
            <w:r w:rsidRPr="00EB1825">
              <w:t>≥9</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D06CE0" w14:textId="77777777" w:rsidR="005F69BD" w:rsidRPr="00EB1825" w:rsidRDefault="005F69BD" w:rsidP="00B47E8F">
            <w:pPr>
              <w:pStyle w:val="TableText0"/>
            </w:pPr>
            <w:r w:rsidRPr="00EB1825">
              <w:t>20 (0.8)</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4EDC5C9" w14:textId="77777777" w:rsidR="005F69BD" w:rsidRPr="00EB1825" w:rsidRDefault="005F69BD" w:rsidP="00B47E8F">
            <w:pPr>
              <w:pStyle w:val="TableText0"/>
            </w:pPr>
            <w:r w:rsidRPr="00EB1825">
              <w:t>37 (1.5)</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C99CE5" w14:textId="77777777" w:rsidR="005F69BD" w:rsidRPr="00EB1825" w:rsidRDefault="005F69BD" w:rsidP="00B47E8F">
            <w:pPr>
              <w:pStyle w:val="TableText0"/>
            </w:pPr>
            <w:r w:rsidRPr="00EB1825">
              <w:t>104 (4.2)</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194ADBF" w14:textId="77777777" w:rsidR="005F69BD" w:rsidRPr="00EB1825" w:rsidRDefault="005F69BD" w:rsidP="00B47E8F">
            <w:pPr>
              <w:pStyle w:val="TableText0"/>
            </w:pPr>
            <w:r w:rsidRPr="00EB1825">
              <w:t>178 (7.3)</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FDA46D6" w14:textId="77777777" w:rsidR="005F69BD" w:rsidRPr="00EB1825" w:rsidRDefault="005F69BD" w:rsidP="00B47E8F">
            <w:pPr>
              <w:pStyle w:val="TableText0"/>
            </w:pPr>
            <w:r w:rsidRPr="00EB1825">
              <w:t>18 (0.7)</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3DC6066" w14:textId="77777777" w:rsidR="005F69BD" w:rsidRPr="00EB1825" w:rsidRDefault="005F69BD" w:rsidP="00B47E8F">
            <w:pPr>
              <w:pStyle w:val="TableText0"/>
            </w:pPr>
            <w:r w:rsidRPr="00EB1825">
              <w:t>16 (0.7)</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6B0F08" w14:textId="77777777" w:rsidR="005F69BD" w:rsidRPr="00EB1825" w:rsidRDefault="005F69BD" w:rsidP="00B47E8F">
            <w:pPr>
              <w:pStyle w:val="TableText0"/>
            </w:pPr>
            <w:r w:rsidRPr="00EB1825">
              <w:t>12 (0.5)</w:t>
            </w:r>
          </w:p>
        </w:tc>
      </w:tr>
      <w:tr w:rsidR="005F69BD" w:rsidRPr="00EB1825" w14:paraId="0F90F2ED" w14:textId="77777777" w:rsidTr="00891F79">
        <w:tc>
          <w:tcPr>
            <w:tcW w:w="5000" w:type="pct"/>
            <w:gridSpan w:val="8"/>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D66E5F7" w14:textId="77777777" w:rsidR="005F69BD" w:rsidRPr="00EB1825" w:rsidRDefault="005F69BD" w:rsidP="00B47E8F">
            <w:pPr>
              <w:pStyle w:val="TableText0"/>
              <w:rPr>
                <w:b/>
                <w:bCs w:val="0"/>
              </w:rPr>
            </w:pPr>
            <w:r w:rsidRPr="00EB1825">
              <w:rPr>
                <w:b/>
                <w:bCs w:val="0"/>
              </w:rPr>
              <w:t xml:space="preserve">Pooled SKYLIGHT 1 and SKYLIGHT 2 (MHT unsuitable subpopulation, up to Week 52 for </w:t>
            </w:r>
            <w:proofErr w:type="spellStart"/>
            <w:r w:rsidRPr="00EB1825">
              <w:rPr>
                <w:b/>
                <w:bCs w:val="0"/>
              </w:rPr>
              <w:t>fezolinetant</w:t>
            </w:r>
            <w:proofErr w:type="spellEnd"/>
            <w:r w:rsidRPr="00EB1825">
              <w:rPr>
                <w:b/>
                <w:bCs w:val="0"/>
              </w:rPr>
              <w:t xml:space="preserve"> patients and up to Week 12 for placebo patients) and DAYLIGHT</w:t>
            </w:r>
          </w:p>
        </w:tc>
      </w:tr>
      <w:tr w:rsidR="00966CBE" w:rsidRPr="00EB1825" w14:paraId="05D5939E"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6C4186F" w14:textId="77777777" w:rsidR="005F69BD" w:rsidRPr="00EB1825" w:rsidRDefault="005F69BD" w:rsidP="00B47E8F">
            <w:pPr>
              <w:pStyle w:val="TableText0"/>
            </w:pPr>
            <w:r w:rsidRPr="00EB1825">
              <w:t>&lt;2</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EA25D9" w14:textId="77777777" w:rsidR="005F69BD" w:rsidRPr="00EB1825" w:rsidRDefault="005F69BD" w:rsidP="00B47E8F">
            <w:pPr>
              <w:pStyle w:val="TableText0"/>
            </w:pPr>
            <w:r w:rsidRPr="00EB1825">
              <w:t>761 (27.5)</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BAF9A2" w14:textId="77777777" w:rsidR="005F69BD" w:rsidRPr="00EB1825" w:rsidRDefault="005F69BD" w:rsidP="00B47E8F">
            <w:pPr>
              <w:pStyle w:val="TableText0"/>
            </w:pPr>
            <w:r w:rsidRPr="00EB1825">
              <w:t>148 (5.3)</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0782CE" w14:textId="77777777" w:rsidR="005F69BD" w:rsidRPr="00EB1825" w:rsidRDefault="005F69BD" w:rsidP="00B47E8F">
            <w:pPr>
              <w:pStyle w:val="TableText0"/>
            </w:pPr>
            <w:r w:rsidRPr="00EB1825">
              <w:t>51 (1.8)</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32198F" w14:textId="77777777" w:rsidR="005F69BD" w:rsidRPr="00EB1825" w:rsidRDefault="005F69BD" w:rsidP="00B47E8F">
            <w:pPr>
              <w:pStyle w:val="TableText0"/>
            </w:pPr>
            <w:r w:rsidRPr="00EB1825">
              <w:t>12 (0.4)</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0B858C" w14:textId="77777777" w:rsidR="005F69BD" w:rsidRPr="00EB1825" w:rsidRDefault="005F69BD" w:rsidP="00B47E8F">
            <w:pPr>
              <w:pStyle w:val="TableText0"/>
            </w:pPr>
            <w:r w:rsidRPr="00EB1825">
              <w:t>5 (0.2)</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0F3CC6" w14:textId="77777777" w:rsidR="005F69BD" w:rsidRPr="00EB1825" w:rsidRDefault="005F69BD" w:rsidP="00B47E8F">
            <w:pPr>
              <w:pStyle w:val="TableText0"/>
            </w:pPr>
            <w:r w:rsidRPr="00EB1825">
              <w:t>1 (0.0)</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9B6DF2" w14:textId="77777777" w:rsidR="005F69BD" w:rsidRPr="00EB1825" w:rsidRDefault="005F69BD" w:rsidP="00B47E8F">
            <w:pPr>
              <w:pStyle w:val="TableText0"/>
            </w:pPr>
            <w:r w:rsidRPr="00EB1825">
              <w:t>1 (0.0)</w:t>
            </w:r>
          </w:p>
        </w:tc>
      </w:tr>
      <w:tr w:rsidR="00966CBE" w:rsidRPr="00EB1825" w14:paraId="1E588DF3"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D8CB870" w14:textId="77777777" w:rsidR="005F69BD" w:rsidRPr="00EB1825" w:rsidRDefault="005F69BD" w:rsidP="00B47E8F">
            <w:pPr>
              <w:pStyle w:val="TableText0"/>
            </w:pPr>
            <w:r w:rsidRPr="00EB1825">
              <w:t>≥2 to &lt;7</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A8C88B0" w14:textId="77777777" w:rsidR="005F69BD" w:rsidRPr="00EB1825" w:rsidRDefault="005F69BD" w:rsidP="00B47E8F">
            <w:pPr>
              <w:pStyle w:val="TableText0"/>
            </w:pPr>
            <w:r w:rsidRPr="00EB1825">
              <w:t>335 (12.1)</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C64A647" w14:textId="77777777" w:rsidR="005F69BD" w:rsidRPr="00EB1825" w:rsidRDefault="005F69BD" w:rsidP="00B47E8F">
            <w:pPr>
              <w:pStyle w:val="TableText0"/>
            </w:pPr>
            <w:r w:rsidRPr="00EB1825">
              <w:t>262 (9.5)</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C4B9935" w14:textId="77777777" w:rsidR="005F69BD" w:rsidRPr="00EB1825" w:rsidRDefault="005F69BD" w:rsidP="00B47E8F">
            <w:pPr>
              <w:pStyle w:val="TableText0"/>
            </w:pPr>
            <w:r w:rsidRPr="00EB1825">
              <w:t>275 (9.9)</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B414E8F" w14:textId="77777777" w:rsidR="005F69BD" w:rsidRPr="00EB1825" w:rsidRDefault="005F69BD" w:rsidP="00B47E8F">
            <w:pPr>
              <w:pStyle w:val="TableText0"/>
            </w:pPr>
            <w:r w:rsidRPr="00EB1825">
              <w:t>181 (6.5)</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6FA8A8" w14:textId="77777777" w:rsidR="005F69BD" w:rsidRPr="00EB1825" w:rsidRDefault="005F69BD" w:rsidP="00B47E8F">
            <w:pPr>
              <w:pStyle w:val="TableText0"/>
            </w:pPr>
            <w:r w:rsidRPr="00EB1825">
              <w:t>16 (0.6)</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DA5ED4E" w14:textId="77777777" w:rsidR="005F69BD" w:rsidRPr="00EB1825" w:rsidRDefault="005F69BD" w:rsidP="00B47E8F">
            <w:pPr>
              <w:pStyle w:val="TableText0"/>
            </w:pPr>
            <w:r w:rsidRPr="00EB1825">
              <w:t>16 (0.6)</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8D8C9F" w14:textId="77777777" w:rsidR="005F69BD" w:rsidRPr="00EB1825" w:rsidRDefault="005F69BD" w:rsidP="00B47E8F">
            <w:pPr>
              <w:pStyle w:val="TableText0"/>
            </w:pPr>
            <w:r w:rsidRPr="00EB1825">
              <w:t>9 (0.3)</w:t>
            </w:r>
          </w:p>
        </w:tc>
      </w:tr>
      <w:tr w:rsidR="00966CBE" w:rsidRPr="00EB1825" w14:paraId="2556E851"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64A631E" w14:textId="77777777" w:rsidR="005F69BD" w:rsidRPr="00EB1825" w:rsidRDefault="005F69BD" w:rsidP="00B47E8F">
            <w:pPr>
              <w:pStyle w:val="TableText0"/>
            </w:pPr>
            <w:r w:rsidRPr="00EB1825">
              <w:t>≥7 to 9</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EC94673" w14:textId="77777777" w:rsidR="005F69BD" w:rsidRPr="00EB1825" w:rsidRDefault="005F69BD" w:rsidP="00B47E8F">
            <w:pPr>
              <w:pStyle w:val="TableText0"/>
            </w:pPr>
            <w:r w:rsidRPr="00EB1825">
              <w:t>25 (0.9)</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AA0675D" w14:textId="77777777" w:rsidR="005F69BD" w:rsidRPr="00EB1825" w:rsidRDefault="005F69BD" w:rsidP="00B47E8F">
            <w:pPr>
              <w:pStyle w:val="TableText0"/>
            </w:pPr>
            <w:r w:rsidRPr="00EB1825">
              <w:t>40 (1.4)</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6AA66D3" w14:textId="77777777" w:rsidR="005F69BD" w:rsidRPr="00EB1825" w:rsidRDefault="005F69BD" w:rsidP="00B47E8F">
            <w:pPr>
              <w:pStyle w:val="TableText0"/>
            </w:pPr>
            <w:r w:rsidRPr="00EB1825">
              <w:t>72 (2.6)</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37993A" w14:textId="77777777" w:rsidR="005F69BD" w:rsidRPr="00EB1825" w:rsidRDefault="005F69BD" w:rsidP="00B47E8F">
            <w:pPr>
              <w:pStyle w:val="TableText0"/>
            </w:pPr>
            <w:r w:rsidRPr="00EB1825">
              <w:t>120 (4.3)</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9FE0131" w14:textId="77777777" w:rsidR="005F69BD" w:rsidRPr="00EB1825" w:rsidRDefault="005F69BD" w:rsidP="00B47E8F">
            <w:pPr>
              <w:pStyle w:val="TableText0"/>
            </w:pPr>
            <w:r w:rsidRPr="00EB1825">
              <w:t>9 (0.3)</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807458" w14:textId="77777777" w:rsidR="005F69BD" w:rsidRPr="00EB1825" w:rsidRDefault="005F69BD" w:rsidP="00B47E8F">
            <w:pPr>
              <w:pStyle w:val="TableText0"/>
            </w:pPr>
            <w:r w:rsidRPr="00EB1825">
              <w:t>4 (0.1)</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AFC1FA6" w14:textId="77777777" w:rsidR="005F69BD" w:rsidRPr="00EB1825" w:rsidRDefault="005F69BD" w:rsidP="00B47E8F">
            <w:pPr>
              <w:pStyle w:val="TableText0"/>
            </w:pPr>
            <w:r w:rsidRPr="00EB1825">
              <w:t>8 (0.3)</w:t>
            </w:r>
          </w:p>
        </w:tc>
      </w:tr>
      <w:tr w:rsidR="00966CBE" w:rsidRPr="00EB1825" w14:paraId="188CDB95" w14:textId="77777777" w:rsidTr="00891F79">
        <w:tc>
          <w:tcPr>
            <w:tcW w:w="6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1B2A12" w14:textId="77777777" w:rsidR="005F69BD" w:rsidRPr="00EB1825" w:rsidRDefault="005F69BD" w:rsidP="00B47E8F">
            <w:pPr>
              <w:pStyle w:val="TableText0"/>
            </w:pPr>
            <w:r w:rsidRPr="00EB1825">
              <w:t>≥9</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729A252" w14:textId="77777777" w:rsidR="005F69BD" w:rsidRPr="00EB1825" w:rsidRDefault="005F69BD" w:rsidP="00B47E8F">
            <w:pPr>
              <w:pStyle w:val="TableText0"/>
            </w:pPr>
            <w:r w:rsidRPr="00EB1825">
              <w:t>25 (0.9)</w:t>
            </w:r>
          </w:p>
        </w:tc>
        <w:tc>
          <w:tcPr>
            <w:tcW w:w="6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344FCF4" w14:textId="77777777" w:rsidR="005F69BD" w:rsidRPr="00EB1825" w:rsidRDefault="005F69BD" w:rsidP="00B47E8F">
            <w:pPr>
              <w:pStyle w:val="TableText0"/>
            </w:pPr>
            <w:r w:rsidRPr="00EB1825">
              <w:t>50 (1.8)</w:t>
            </w:r>
          </w:p>
        </w:tc>
        <w:tc>
          <w:tcPr>
            <w:tcW w:w="63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A8FC54" w14:textId="77777777" w:rsidR="005F69BD" w:rsidRPr="00EB1825" w:rsidRDefault="005F69BD" w:rsidP="00B47E8F">
            <w:pPr>
              <w:pStyle w:val="TableText0"/>
            </w:pPr>
            <w:r w:rsidRPr="00EB1825">
              <w:t>113 (4.1)</w:t>
            </w:r>
          </w:p>
        </w:tc>
        <w:tc>
          <w:tcPr>
            <w:tcW w:w="63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5E4D445" w14:textId="77777777" w:rsidR="005F69BD" w:rsidRPr="00EB1825" w:rsidRDefault="005F69BD" w:rsidP="00B47E8F">
            <w:pPr>
              <w:pStyle w:val="TableText0"/>
            </w:pPr>
            <w:r w:rsidRPr="00EB1825">
              <w:t>181 (6.5)</w:t>
            </w:r>
          </w:p>
        </w:tc>
        <w:tc>
          <w:tcPr>
            <w:tcW w:w="59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6B025EB" w14:textId="77777777" w:rsidR="005F69BD" w:rsidRPr="00EB1825" w:rsidRDefault="005F69BD" w:rsidP="00B47E8F">
            <w:pPr>
              <w:pStyle w:val="TableText0"/>
            </w:pPr>
            <w:r w:rsidRPr="00EB1825">
              <w:t>18 (0.7)</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EAB93D2" w14:textId="77777777" w:rsidR="005F69BD" w:rsidRPr="00EB1825" w:rsidRDefault="005F69BD" w:rsidP="00B47E8F">
            <w:pPr>
              <w:pStyle w:val="TableText0"/>
            </w:pPr>
            <w:r w:rsidRPr="00EB1825">
              <w:t>16 (0.6)</w:t>
            </w:r>
          </w:p>
        </w:tc>
        <w:tc>
          <w:tcPr>
            <w:tcW w:w="64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52A4E5" w14:textId="77777777" w:rsidR="005F69BD" w:rsidRPr="00EB1825" w:rsidRDefault="005F69BD" w:rsidP="00B47E8F">
            <w:pPr>
              <w:pStyle w:val="TableText0"/>
            </w:pPr>
            <w:r w:rsidRPr="00EB1825">
              <w:t>13 (0.5)</w:t>
            </w:r>
          </w:p>
        </w:tc>
      </w:tr>
    </w:tbl>
    <w:p w14:paraId="53230A7F" w14:textId="77777777" w:rsidR="005F69BD" w:rsidRPr="00EB1825" w:rsidRDefault="005F69BD" w:rsidP="00B47E8F">
      <w:pPr>
        <w:keepNext/>
        <w:keepLines/>
        <w:rPr>
          <w:rFonts w:ascii="Arial Narrow" w:hAnsi="Arial Narrow"/>
          <w:snapToGrid w:val="0"/>
          <w:sz w:val="18"/>
          <w:szCs w:val="22"/>
        </w:rPr>
      </w:pPr>
      <w:r w:rsidRPr="00EB1825">
        <w:rPr>
          <w:rFonts w:ascii="Arial Narrow" w:hAnsi="Arial Narrow"/>
          <w:snapToGrid w:val="0"/>
          <w:sz w:val="18"/>
          <w:szCs w:val="22"/>
        </w:rPr>
        <w:t>Source: Figure 3.2-4, p75 of the resubmission</w:t>
      </w:r>
    </w:p>
    <w:p w14:paraId="0256942A" w14:textId="77777777" w:rsidR="005F69BD" w:rsidRPr="00EB1825" w:rsidRDefault="005F69BD" w:rsidP="00B47E8F">
      <w:pPr>
        <w:keepNext/>
        <w:keepLines/>
        <w:rPr>
          <w:rFonts w:ascii="Arial Narrow" w:hAnsi="Arial Narrow"/>
          <w:snapToGrid w:val="0"/>
          <w:sz w:val="18"/>
          <w:szCs w:val="22"/>
        </w:rPr>
      </w:pPr>
      <w:r w:rsidRPr="00EB1825">
        <w:rPr>
          <w:rFonts w:ascii="Arial Narrow" w:hAnsi="Arial Narrow"/>
          <w:snapToGrid w:val="0"/>
          <w:sz w:val="18"/>
          <w:szCs w:val="22"/>
        </w:rPr>
        <w:t xml:space="preserve">MHT=menopausal hormone therapy, PGI-C=Patient Global Impression of Change; VMS=vasomotor symptoms. </w:t>
      </w:r>
    </w:p>
    <w:p w14:paraId="4E7EC38F" w14:textId="77777777" w:rsidR="005F69BD" w:rsidRPr="00EB1825" w:rsidRDefault="005F69BD" w:rsidP="00BF04CC">
      <w:pPr>
        <w:keepNext/>
        <w:keepLines/>
        <w:rPr>
          <w:rFonts w:ascii="Arial Narrow" w:hAnsi="Arial Narrow"/>
          <w:snapToGrid w:val="0"/>
          <w:sz w:val="18"/>
          <w:szCs w:val="22"/>
        </w:rPr>
      </w:pPr>
      <w:r w:rsidRPr="00EB1825">
        <w:rPr>
          <w:rFonts w:ascii="Arial Narrow" w:hAnsi="Arial Narrow"/>
          <w:snapToGrid w:val="0"/>
          <w:sz w:val="18"/>
          <w:szCs w:val="22"/>
        </w:rPr>
        <w:t xml:space="preserve">Note: Each cell represents the number of visits at which a particular PGI-C VMS response and a particular mean frequency of moderate to severe VMS occurs. Only data from the placebo and </w:t>
      </w:r>
      <w:proofErr w:type="spellStart"/>
      <w:r w:rsidRPr="00EB1825">
        <w:rPr>
          <w:rFonts w:ascii="Arial Narrow" w:hAnsi="Arial Narrow"/>
          <w:snapToGrid w:val="0"/>
          <w:sz w:val="18"/>
          <w:szCs w:val="22"/>
        </w:rPr>
        <w:t>fezolinetant</w:t>
      </w:r>
      <w:proofErr w:type="spellEnd"/>
      <w:r w:rsidRPr="00EB1825">
        <w:rPr>
          <w:rFonts w:ascii="Arial Narrow" w:hAnsi="Arial Narrow"/>
          <w:snapToGrid w:val="0"/>
          <w:sz w:val="18"/>
          <w:szCs w:val="22"/>
        </w:rPr>
        <w:t xml:space="preserve"> 45mg are included in this analysis. Each patient contributed all the visits for which they had both endpoints recorded.</w:t>
      </w:r>
    </w:p>
    <w:p w14:paraId="3F78F4DA" w14:textId="77777777" w:rsidR="00BF04CC" w:rsidRPr="00EB1825" w:rsidRDefault="00BF04CC" w:rsidP="00BF04CC">
      <w:pPr>
        <w:keepNext/>
        <w:keepLines/>
        <w:rPr>
          <w:rFonts w:ascii="Arial Narrow" w:hAnsi="Arial Narrow"/>
          <w:snapToGrid w:val="0"/>
          <w:sz w:val="18"/>
          <w:szCs w:val="22"/>
        </w:rPr>
      </w:pPr>
      <w:r w:rsidRPr="00EB1825">
        <w:rPr>
          <w:rFonts w:ascii="Arial Narrow" w:hAnsi="Arial Narrow"/>
          <w:snapToGrid w:val="0"/>
          <w:sz w:val="18"/>
          <w:szCs w:val="22"/>
          <w:shd w:val="clear" w:color="auto" w:fill="B8CCE4" w:themeFill="accent1" w:themeFillTint="66"/>
        </w:rPr>
        <w:t>Blue</w:t>
      </w:r>
      <w:r w:rsidRPr="00EB1825">
        <w:rPr>
          <w:rFonts w:ascii="Arial Narrow" w:hAnsi="Arial Narrow"/>
          <w:snapToGrid w:val="0"/>
          <w:sz w:val="18"/>
          <w:szCs w:val="22"/>
        </w:rPr>
        <w:t xml:space="preserve"> shading indicates data previously seen by the PBAC.</w:t>
      </w:r>
    </w:p>
    <w:p w14:paraId="7021168C" w14:textId="5B6A6978" w:rsidR="005F69BD" w:rsidRPr="00EB1825" w:rsidRDefault="005F69BD" w:rsidP="00766C07">
      <w:pPr>
        <w:pStyle w:val="3-BodyText"/>
        <w:rPr>
          <w:lang w:eastAsia="en-GB"/>
        </w:rPr>
      </w:pPr>
      <w:r w:rsidRPr="00EB1825">
        <w:rPr>
          <w:shd w:val="clear" w:color="auto" w:fill="B8CCE4" w:themeFill="accent1" w:themeFillTint="66"/>
          <w:lang w:eastAsia="en-GB"/>
        </w:rPr>
        <w:t xml:space="preserve">The results indicated low to moderate correlation between severity and frequency (correlation coefficients 0.236 to 0.477). </w:t>
      </w:r>
      <w:r w:rsidR="00724062" w:rsidRPr="00EB1825">
        <w:rPr>
          <w:shd w:val="clear" w:color="auto" w:fill="B8CCE4" w:themeFill="accent1" w:themeFillTint="66"/>
          <w:lang w:eastAsia="en-GB"/>
        </w:rPr>
        <w:t>The presented information on a</w:t>
      </w:r>
      <w:r w:rsidR="00034AE6" w:rsidRPr="00EB1825">
        <w:rPr>
          <w:shd w:val="clear" w:color="auto" w:fill="B8CCE4" w:themeFill="accent1" w:themeFillTint="66"/>
          <w:lang w:eastAsia="en-GB"/>
        </w:rPr>
        <w:t xml:space="preserve">ssociation between mean moderate and severe VMS frequency per 24-hour and Patient Global Impression of Change (PGI-C) VMS for </w:t>
      </w:r>
      <w:proofErr w:type="spellStart"/>
      <w:r w:rsidR="00034AE6" w:rsidRPr="00EB1825">
        <w:rPr>
          <w:shd w:val="clear" w:color="auto" w:fill="B8CCE4" w:themeFill="accent1" w:themeFillTint="66"/>
          <w:lang w:eastAsia="en-GB"/>
        </w:rPr>
        <w:t>fezolinetant</w:t>
      </w:r>
      <w:proofErr w:type="spellEnd"/>
      <w:r w:rsidR="00034AE6" w:rsidRPr="00EB1825">
        <w:rPr>
          <w:shd w:val="clear" w:color="auto" w:fill="B8CCE4" w:themeFill="accent1" w:themeFillTint="66"/>
          <w:lang w:eastAsia="en-GB"/>
        </w:rPr>
        <w:t xml:space="preserve"> and placebo</w:t>
      </w:r>
      <w:r w:rsidR="00034AE6" w:rsidRPr="00EB1825" w:rsidDel="00034AE6">
        <w:rPr>
          <w:shd w:val="clear" w:color="auto" w:fill="B8CCE4" w:themeFill="accent1" w:themeFillTint="66"/>
          <w:lang w:eastAsia="en-GB"/>
        </w:rPr>
        <w:t xml:space="preserve"> </w:t>
      </w:r>
      <w:r w:rsidRPr="00EB1825">
        <w:rPr>
          <w:shd w:val="clear" w:color="auto" w:fill="B8CCE4" w:themeFill="accent1" w:themeFillTint="66"/>
          <w:lang w:eastAsia="en-GB"/>
        </w:rPr>
        <w:t>was difficult to interpret as there were more patients reporting an improvement versus worsening on PGI-C for each VMS frequency category.</w:t>
      </w:r>
      <w:r w:rsidRPr="00EB1825">
        <w:rPr>
          <w:lang w:eastAsia="en-GB"/>
        </w:rPr>
        <w:t xml:space="preserve"> </w:t>
      </w:r>
    </w:p>
    <w:p w14:paraId="406AE249" w14:textId="720ABB97" w:rsidR="005F69BD" w:rsidRPr="00EB1825" w:rsidRDefault="005F69BD" w:rsidP="00766C07">
      <w:pPr>
        <w:pStyle w:val="3-BodyText"/>
      </w:pPr>
      <w:r w:rsidRPr="00EB1825">
        <w:rPr>
          <w:shd w:val="clear" w:color="auto" w:fill="B8CCE4" w:themeFill="accent1" w:themeFillTint="66"/>
        </w:rPr>
        <w:t>The model used four-weekly transition probability matrices up to Week 24, derived from DAYLIGHT (Week</w:t>
      </w:r>
      <w:r w:rsidR="00074B4B" w:rsidRPr="00EB1825">
        <w:rPr>
          <w:shd w:val="clear" w:color="auto" w:fill="B8CCE4" w:themeFill="accent1" w:themeFillTint="66"/>
        </w:rPr>
        <w:t>s</w:t>
      </w:r>
      <w:r w:rsidRPr="00EB1825">
        <w:rPr>
          <w:shd w:val="clear" w:color="auto" w:fill="B8CCE4" w:themeFill="accent1" w:themeFillTint="66"/>
        </w:rPr>
        <w:t xml:space="preserve"> 0–24). Beyond Week 24, data from Weeks 20–24 of DAYLIGHT were assumed constant and carried forward until model end (or until treatment discontinuation).</w:t>
      </w:r>
      <w:r w:rsidRPr="00EB1825">
        <w:t xml:space="preserve"> The resubmission indicated that the transition probabilities remained similar to the March 2025 submission for both the intervention and comparator. The resubmission further noted that although the proposed revised population excludes the MHT-averse subgroup, it is a subgroup of </w:t>
      </w:r>
      <w:proofErr w:type="gramStart"/>
      <w:r w:rsidRPr="00EB1825">
        <w:t>the majority of</w:t>
      </w:r>
      <w:proofErr w:type="gramEnd"/>
      <w:r w:rsidRPr="00EB1825">
        <w:t xml:space="preserve"> trial patients and </w:t>
      </w:r>
      <w:r w:rsidR="00074B4B" w:rsidRPr="00EB1825">
        <w:t xml:space="preserve">has </w:t>
      </w:r>
      <w:r w:rsidRPr="00EB1825">
        <w:t xml:space="preserve">similar outcomes to the ITT population. Hence, the efficacy and utility inputs for the economic model were still applicable and were unchanged. </w:t>
      </w:r>
      <w:r w:rsidR="00FC636B" w:rsidRPr="00EB1825">
        <w:t xml:space="preserve">The resubmission reported </w:t>
      </w:r>
      <w:r w:rsidR="006516CD" w:rsidRPr="00EB1825">
        <w:t xml:space="preserve">the change from baseline in </w:t>
      </w:r>
      <w:r w:rsidR="00FC636B" w:rsidRPr="00EB1825">
        <w:t xml:space="preserve">VMS frequency and severity at </w:t>
      </w:r>
      <w:r w:rsidR="00A52BAE" w:rsidRPr="00EB1825">
        <w:t>W</w:t>
      </w:r>
      <w:r w:rsidR="00FC636B" w:rsidRPr="00EB1825">
        <w:t xml:space="preserve">eek 24 </w:t>
      </w:r>
      <w:r w:rsidR="00932E19" w:rsidRPr="00EB1825">
        <w:t>for</w:t>
      </w:r>
      <w:r w:rsidR="00FC636B" w:rsidRPr="00EB1825">
        <w:t xml:space="preserve"> the DAYLIGHT </w:t>
      </w:r>
      <w:r w:rsidR="006516CD" w:rsidRPr="00EB1825">
        <w:t>post hoc MHT unsuitable (excluding MHT averse)</w:t>
      </w:r>
      <w:r w:rsidR="00E524A9" w:rsidRPr="00EB1825">
        <w:t xml:space="preserve"> population</w:t>
      </w:r>
      <w:r w:rsidR="006516CD" w:rsidRPr="00EB1825">
        <w:t xml:space="preserve">, which </w:t>
      </w:r>
      <w:r w:rsidR="0069357A" w:rsidRPr="00EB1825">
        <w:t xml:space="preserve">the evaluation considered </w:t>
      </w:r>
      <w:r w:rsidR="006516CD" w:rsidRPr="00EB1825">
        <w:t xml:space="preserve">was </w:t>
      </w:r>
      <w:r w:rsidR="0055348F" w:rsidRPr="00EB1825">
        <w:t>generally consistent with the overall DAYLIGHT MHT-unsuitable population</w:t>
      </w:r>
      <w:r w:rsidR="0055348F" w:rsidRPr="00EB1825" w:rsidDel="00A52BAE">
        <w:t xml:space="preserve"> </w:t>
      </w:r>
      <w:r w:rsidR="000A78A6" w:rsidRPr="00EB1825">
        <w:t xml:space="preserve">(see </w:t>
      </w:r>
      <w:r w:rsidR="000A78A6" w:rsidRPr="00EB1825">
        <w:fldChar w:fldCharType="begin"/>
      </w:r>
      <w:r w:rsidR="000A78A6" w:rsidRPr="00EB1825">
        <w:instrText xml:space="preserve"> REF _Ref205455763 \h </w:instrText>
      </w:r>
      <w:r w:rsidR="00A52BAE" w:rsidRPr="00EB1825">
        <w:instrText xml:space="preserve"> \* MERGEFORMAT </w:instrText>
      </w:r>
      <w:r w:rsidR="000A78A6" w:rsidRPr="00EB1825">
        <w:fldChar w:fldCharType="separate"/>
      </w:r>
      <w:r w:rsidR="00946DF5" w:rsidRPr="00EB1825">
        <w:t xml:space="preserve">Table </w:t>
      </w:r>
      <w:r w:rsidR="00946DF5">
        <w:t>5</w:t>
      </w:r>
      <w:r w:rsidR="000A78A6" w:rsidRPr="00EB1825">
        <w:fldChar w:fldCharType="end"/>
      </w:r>
      <w:r w:rsidR="000A78A6" w:rsidRPr="00EB1825">
        <w:t xml:space="preserve"> and </w:t>
      </w:r>
      <w:r w:rsidR="000A78A6" w:rsidRPr="00EB1825">
        <w:fldChar w:fldCharType="begin"/>
      </w:r>
      <w:r w:rsidR="000A78A6" w:rsidRPr="00EB1825">
        <w:instrText xml:space="preserve"> REF _Ref205455787 \h </w:instrText>
      </w:r>
      <w:r w:rsidR="00A52BAE" w:rsidRPr="00EB1825">
        <w:instrText xml:space="preserve"> \* MERGEFORMAT </w:instrText>
      </w:r>
      <w:r w:rsidR="000A78A6" w:rsidRPr="00EB1825">
        <w:fldChar w:fldCharType="separate"/>
      </w:r>
      <w:r w:rsidR="00946DF5" w:rsidRPr="00EB1825">
        <w:t xml:space="preserve">Table </w:t>
      </w:r>
      <w:r w:rsidR="00946DF5">
        <w:t>6</w:t>
      </w:r>
      <w:r w:rsidR="000A78A6" w:rsidRPr="00EB1825">
        <w:fldChar w:fldCharType="end"/>
      </w:r>
      <w:r w:rsidR="000A78A6" w:rsidRPr="00EB1825">
        <w:t>)</w:t>
      </w:r>
      <w:r w:rsidRPr="00EB1825">
        <w:t>.</w:t>
      </w:r>
      <w:r w:rsidR="009405C7" w:rsidRPr="00EB1825">
        <w:t xml:space="preserve"> The ESC considered this was reasonable. </w:t>
      </w:r>
    </w:p>
    <w:p w14:paraId="1469E640" w14:textId="51DB8EC6" w:rsidR="00CA6A9B" w:rsidRPr="00CA6A9B" w:rsidRDefault="00CA6A9B" w:rsidP="00766C07">
      <w:pPr>
        <w:pStyle w:val="3-BodyText"/>
        <w:rPr>
          <w:i/>
          <w:iCs/>
        </w:rPr>
      </w:pPr>
      <w:bookmarkStart w:id="61" w:name="_Ref213938876"/>
      <w:r w:rsidRPr="00CA6A9B">
        <w:t>The resubmission’s model continued to assume sustained treatment effect over 10 years despite no data beyond 52 weeks</w:t>
      </w:r>
      <w:r w:rsidR="0002070F">
        <w:t>.</w:t>
      </w:r>
      <w:r w:rsidRPr="00CA6A9B">
        <w:t xml:space="preserve"> The pre-PBAC response</w:t>
      </w:r>
      <w:r w:rsidR="008B6738">
        <w:t xml:space="preserve"> </w:t>
      </w:r>
      <w:r w:rsidRPr="00CA6A9B">
        <w:t>contented that the model</w:t>
      </w:r>
      <w:r w:rsidR="0002070F">
        <w:t>led</w:t>
      </w:r>
      <w:r w:rsidRPr="00CA6A9B">
        <w:t xml:space="preserve"> </w:t>
      </w:r>
      <w:r w:rsidR="0002070F">
        <w:t>s</w:t>
      </w:r>
      <w:r w:rsidR="00C33BBE" w:rsidRPr="00C33BBE">
        <w:t>ustained symptom reduction has been demonstrated through 52 weeks in the pooled SKYLIGHT-1 and -2 trials, with no evidence of waning efficacy or emergent tolerance</w:t>
      </w:r>
      <w:r w:rsidR="00A25D01">
        <w:t xml:space="preserve">. </w:t>
      </w:r>
      <w:r w:rsidR="009C5653">
        <w:t>The pre-PBAC</w:t>
      </w:r>
      <w:r w:rsidR="000425C0">
        <w:t xml:space="preserve"> response</w:t>
      </w:r>
      <w:r w:rsidR="009C5653">
        <w:t xml:space="preserve"> also </w:t>
      </w:r>
      <w:r w:rsidR="001E269A">
        <w:t>noted that</w:t>
      </w:r>
      <w:r w:rsidR="000425C0">
        <w:t xml:space="preserve"> despite the </w:t>
      </w:r>
      <w:proofErr w:type="gramStart"/>
      <w:r w:rsidR="000425C0">
        <w:t>10 year</w:t>
      </w:r>
      <w:proofErr w:type="gramEnd"/>
      <w:r w:rsidR="000425C0">
        <w:t xml:space="preserve"> </w:t>
      </w:r>
      <w:r w:rsidR="00584CDA">
        <w:t>model horizon</w:t>
      </w:r>
      <w:r w:rsidR="001E269A">
        <w:t xml:space="preserve"> </w:t>
      </w:r>
      <w:r w:rsidR="005B048C" w:rsidRPr="005B048C">
        <w:t xml:space="preserve">median treatment duration in the model is only 28.5 months </w:t>
      </w:r>
      <w:r w:rsidR="00D05102">
        <w:t>and only</w:t>
      </w:r>
      <w:r w:rsidR="005B048C" w:rsidRPr="005B048C">
        <w:t xml:space="preserve"> 12.5% of patients are still on </w:t>
      </w:r>
      <w:proofErr w:type="spellStart"/>
      <w:r w:rsidR="005B048C" w:rsidRPr="005B048C">
        <w:t>fezolinetant</w:t>
      </w:r>
      <w:proofErr w:type="spellEnd"/>
      <w:r w:rsidR="005B048C" w:rsidRPr="005B048C">
        <w:t xml:space="preserve"> treatment by 7.5 years</w:t>
      </w:r>
      <w:r w:rsidR="009227F1">
        <w:t>.</w:t>
      </w:r>
      <w:r w:rsidR="005B048C" w:rsidRPr="005B048C">
        <w:t xml:space="preserve"> </w:t>
      </w:r>
      <w:bookmarkEnd w:id="61"/>
    </w:p>
    <w:p w14:paraId="2167DA50" w14:textId="203CABF9" w:rsidR="0018191C" w:rsidRPr="00EB1825" w:rsidRDefault="005F69BD" w:rsidP="00766C07">
      <w:pPr>
        <w:pStyle w:val="3-BodyText"/>
        <w:rPr>
          <w:bCs/>
          <w:shd w:val="clear" w:color="auto" w:fill="FFFFFF" w:themeFill="background1"/>
          <w:lang w:eastAsia="en-GB"/>
        </w:rPr>
      </w:pPr>
      <w:r w:rsidRPr="00EB1825">
        <w:rPr>
          <w:shd w:val="clear" w:color="auto" w:fill="B8CCE4" w:themeFill="accent1" w:themeFillTint="66"/>
          <w:lang w:eastAsia="en-GB"/>
        </w:rPr>
        <w:t xml:space="preserve">For women discontinuing </w:t>
      </w:r>
      <w:proofErr w:type="spellStart"/>
      <w:r w:rsidRPr="00EB1825">
        <w:rPr>
          <w:shd w:val="clear" w:color="auto" w:fill="B8CCE4" w:themeFill="accent1" w:themeFillTint="66"/>
          <w:lang w:eastAsia="en-GB"/>
        </w:rPr>
        <w:t>fezolinetant</w:t>
      </w:r>
      <w:proofErr w:type="spellEnd"/>
      <w:r w:rsidRPr="00EB1825">
        <w:rPr>
          <w:shd w:val="clear" w:color="auto" w:fill="B8CCE4" w:themeFill="accent1" w:themeFillTint="66"/>
          <w:lang w:eastAsia="en-GB"/>
        </w:rPr>
        <w:t xml:space="preserve"> and no treatment at any point, the model assumed they would lose all treatment benefits and return to their baseline VMS values, with potential natural cessation of VMS. The ESC </w:t>
      </w:r>
      <w:r w:rsidR="000F64DD" w:rsidRPr="00EB1825">
        <w:rPr>
          <w:shd w:val="clear" w:color="auto" w:fill="B8CCE4" w:themeFill="accent1" w:themeFillTint="66"/>
          <w:lang w:eastAsia="en-GB"/>
        </w:rPr>
        <w:t xml:space="preserve">previously </w:t>
      </w:r>
      <w:r w:rsidRPr="00EB1825">
        <w:rPr>
          <w:shd w:val="clear" w:color="auto" w:fill="B8CCE4" w:themeFill="accent1" w:themeFillTint="66"/>
          <w:lang w:eastAsia="en-GB"/>
        </w:rPr>
        <w:t xml:space="preserve">noted that treatment discontinuation rates were sourced differently for </w:t>
      </w:r>
      <w:proofErr w:type="spellStart"/>
      <w:r w:rsidRPr="00EB1825">
        <w:rPr>
          <w:shd w:val="clear" w:color="auto" w:fill="B8CCE4" w:themeFill="accent1" w:themeFillTint="66"/>
          <w:lang w:eastAsia="en-GB"/>
        </w:rPr>
        <w:t>fezolinetant</w:t>
      </w:r>
      <w:proofErr w:type="spellEnd"/>
      <w:r w:rsidRPr="00EB1825">
        <w:rPr>
          <w:shd w:val="clear" w:color="auto" w:fill="B8CCE4" w:themeFill="accent1" w:themeFillTint="66"/>
          <w:lang w:eastAsia="en-GB"/>
        </w:rPr>
        <w:t xml:space="preserve"> (DAYLIGHT and SKYLIGHT1&amp;2) and the no treatment arm (DAYLIGHT), with the latter potentially double-counting return to baseline due to higher symptom recurrence and discontinuation. This may bias the ICER in favour of </w:t>
      </w:r>
      <w:proofErr w:type="spellStart"/>
      <w:r w:rsidRPr="00EB1825">
        <w:rPr>
          <w:shd w:val="clear" w:color="auto" w:fill="B8CCE4" w:themeFill="accent1" w:themeFillTint="66"/>
          <w:lang w:eastAsia="en-GB"/>
        </w:rPr>
        <w:t>fezolinetant</w:t>
      </w:r>
      <w:proofErr w:type="spellEnd"/>
      <w:r w:rsidRPr="00EB1825">
        <w:rPr>
          <w:shd w:val="clear" w:color="auto" w:fill="B8CCE4" w:themeFill="accent1" w:themeFillTint="66"/>
          <w:lang w:eastAsia="en-GB"/>
        </w:rPr>
        <w:t xml:space="preserve"> (</w:t>
      </w:r>
      <w:r w:rsidR="00594680" w:rsidRPr="00EB1825">
        <w:rPr>
          <w:shd w:val="clear" w:color="auto" w:fill="B8CCE4" w:themeFill="accent1" w:themeFillTint="66"/>
          <w:lang w:eastAsia="en-GB"/>
        </w:rPr>
        <w:t>para</w:t>
      </w:r>
      <w:r w:rsidR="00932E19" w:rsidRPr="00EB1825">
        <w:rPr>
          <w:shd w:val="clear" w:color="auto" w:fill="B8CCE4" w:themeFill="accent1" w:themeFillTint="66"/>
          <w:lang w:eastAsia="en-GB"/>
        </w:rPr>
        <w:t>graph</w:t>
      </w:r>
      <w:r w:rsidRPr="00EB1825">
        <w:rPr>
          <w:shd w:val="clear" w:color="auto" w:fill="B8CCE4" w:themeFill="accent1" w:themeFillTint="66"/>
          <w:lang w:eastAsia="en-GB"/>
        </w:rPr>
        <w:t xml:space="preserve"> 6.57, </w:t>
      </w:r>
      <w:proofErr w:type="spellStart"/>
      <w:r w:rsidRPr="00EB1825">
        <w:rPr>
          <w:shd w:val="clear" w:color="auto" w:fill="B8CCE4" w:themeFill="accent1" w:themeFillTint="66"/>
          <w:lang w:eastAsia="en-GB"/>
        </w:rPr>
        <w:t>fezolinetant</w:t>
      </w:r>
      <w:proofErr w:type="spellEnd"/>
      <w:r w:rsidR="00932E19" w:rsidRPr="00EB1825">
        <w:rPr>
          <w:shd w:val="clear" w:color="auto" w:fill="B8CCE4" w:themeFill="accent1" w:themeFillTint="66"/>
          <w:lang w:eastAsia="en-GB"/>
        </w:rPr>
        <w:t xml:space="preserve"> </w:t>
      </w:r>
      <w:r w:rsidR="008A09A4" w:rsidRPr="00EB1825">
        <w:rPr>
          <w:shd w:val="clear" w:color="auto" w:fill="B8CCE4" w:themeFill="accent1" w:themeFillTint="66"/>
          <w:lang w:eastAsia="en-GB"/>
        </w:rPr>
        <w:t>PSD</w:t>
      </w:r>
      <w:r w:rsidRPr="00EB1825">
        <w:rPr>
          <w:shd w:val="clear" w:color="auto" w:fill="B8CCE4" w:themeFill="accent1" w:themeFillTint="66"/>
          <w:lang w:eastAsia="en-GB"/>
        </w:rPr>
        <w:t xml:space="preserve"> March 2025</w:t>
      </w:r>
      <w:r w:rsidR="00594680" w:rsidRPr="00EB1825">
        <w:rPr>
          <w:shd w:val="clear" w:color="auto" w:fill="B8CCE4" w:themeFill="accent1" w:themeFillTint="66"/>
          <w:lang w:eastAsia="en-GB"/>
        </w:rPr>
        <w:t xml:space="preserve"> PBAC meeting</w:t>
      </w:r>
      <w:r w:rsidRPr="00EB1825">
        <w:rPr>
          <w:shd w:val="clear" w:color="auto" w:fill="B8CCE4" w:themeFill="accent1" w:themeFillTint="66"/>
          <w:lang w:eastAsia="en-GB"/>
        </w:rPr>
        <w:t>).</w:t>
      </w:r>
      <w:r w:rsidRPr="00EB1825">
        <w:rPr>
          <w:shd w:val="clear" w:color="auto" w:fill="FFFFFF" w:themeFill="background1"/>
          <w:lang w:eastAsia="en-GB"/>
        </w:rPr>
        <w:t xml:space="preserve"> This remained unaddressed in the resubmission.</w:t>
      </w:r>
      <w:r w:rsidR="00AB5105" w:rsidRPr="00EB1825">
        <w:rPr>
          <w:shd w:val="clear" w:color="auto" w:fill="FFFFFF" w:themeFill="background1"/>
          <w:lang w:eastAsia="en-GB"/>
        </w:rPr>
        <w:t xml:space="preserve"> </w:t>
      </w:r>
      <w:r w:rsidR="008C43B3" w:rsidRPr="00EB1825">
        <w:rPr>
          <w:bCs/>
          <w:shd w:val="clear" w:color="auto" w:fill="FFFFFF" w:themeFill="background1"/>
          <w:lang w:eastAsia="en-GB"/>
        </w:rPr>
        <w:t xml:space="preserve">The PSCR argued that discontinuation rates were appropriately derived from clinical trials, with health state frequencies and discontinuation carried forward from the RCT. </w:t>
      </w:r>
      <w:r w:rsidR="0018191C" w:rsidRPr="00EB1825">
        <w:rPr>
          <w:rFonts w:cstheme="minorHAnsi"/>
          <w:bCs/>
        </w:rPr>
        <w:t xml:space="preserve">The ESC considered it would be more appropriate to set the </w:t>
      </w:r>
      <w:proofErr w:type="spellStart"/>
      <w:r w:rsidR="0018191C" w:rsidRPr="00EB1825">
        <w:rPr>
          <w:rFonts w:cstheme="minorHAnsi"/>
          <w:bCs/>
        </w:rPr>
        <w:t>fezolinetant</w:t>
      </w:r>
      <w:proofErr w:type="spellEnd"/>
      <w:r w:rsidR="0018191C" w:rsidRPr="00EB1825">
        <w:rPr>
          <w:rFonts w:cstheme="minorHAnsi"/>
          <w:bCs/>
        </w:rPr>
        <w:t xml:space="preserve"> discontinuation rate for the entire model equal to the week 0-24 discontinuation rate from DAYLIGHT (i</w:t>
      </w:r>
      <w:r w:rsidR="00282482">
        <w:rPr>
          <w:rFonts w:cstheme="minorHAnsi"/>
          <w:bCs/>
        </w:rPr>
        <w:t>.</w:t>
      </w:r>
      <w:r w:rsidR="0018191C" w:rsidRPr="00EB1825">
        <w:rPr>
          <w:rFonts w:cstheme="minorHAnsi"/>
          <w:bCs/>
        </w:rPr>
        <w:t>e</w:t>
      </w:r>
      <w:r w:rsidR="00282482">
        <w:rPr>
          <w:rFonts w:cstheme="minorHAnsi"/>
          <w:bCs/>
        </w:rPr>
        <w:t>.,</w:t>
      </w:r>
      <w:r w:rsidR="0018191C" w:rsidRPr="00EB1825">
        <w:rPr>
          <w:rFonts w:cstheme="minorHAnsi"/>
          <w:bCs/>
        </w:rPr>
        <w:t xml:space="preserve"> 2.4%).</w:t>
      </w:r>
      <w:r w:rsidR="00E028FA">
        <w:rPr>
          <w:rFonts w:cstheme="minorHAnsi"/>
          <w:bCs/>
        </w:rPr>
        <w:t xml:space="preserve"> The </w:t>
      </w:r>
      <w:proofErr w:type="gramStart"/>
      <w:r w:rsidR="00E028FA">
        <w:rPr>
          <w:rFonts w:cstheme="minorHAnsi"/>
          <w:bCs/>
        </w:rPr>
        <w:t>Pre-PBAC</w:t>
      </w:r>
      <w:proofErr w:type="gramEnd"/>
      <w:r w:rsidR="00E028FA">
        <w:rPr>
          <w:rFonts w:cstheme="minorHAnsi"/>
          <w:bCs/>
        </w:rPr>
        <w:t xml:space="preserve"> response </w:t>
      </w:r>
      <w:r w:rsidR="0041627A">
        <w:rPr>
          <w:rFonts w:cstheme="minorHAnsi"/>
          <w:bCs/>
        </w:rPr>
        <w:t>maintained</w:t>
      </w:r>
      <w:r w:rsidR="009E710D">
        <w:rPr>
          <w:rFonts w:cstheme="minorHAnsi"/>
          <w:bCs/>
        </w:rPr>
        <w:t xml:space="preserve"> that “</w:t>
      </w:r>
      <w:r w:rsidR="00E028FA" w:rsidRPr="00E028FA">
        <w:rPr>
          <w:rFonts w:cstheme="minorHAnsi"/>
          <w:bCs/>
        </w:rPr>
        <w:t xml:space="preserve">For </w:t>
      </w:r>
      <w:proofErr w:type="spellStart"/>
      <w:r w:rsidR="00E028FA" w:rsidRPr="00E028FA">
        <w:rPr>
          <w:rFonts w:cstheme="minorHAnsi"/>
          <w:bCs/>
        </w:rPr>
        <w:t>fezolinetant</w:t>
      </w:r>
      <w:proofErr w:type="spellEnd"/>
      <w:r w:rsidR="00E028FA" w:rsidRPr="00E028FA">
        <w:rPr>
          <w:rFonts w:cstheme="minorHAnsi"/>
          <w:bCs/>
        </w:rPr>
        <w:t>, long-term trial follow-up (from SKYLIGHT trials) indicates a stable, low discontinuation rate (</w:t>
      </w:r>
      <w:proofErr w:type="spellStart"/>
      <w:r w:rsidR="00E028FA" w:rsidRPr="00E028FA">
        <w:rPr>
          <w:rFonts w:cstheme="minorHAnsi"/>
          <w:bCs/>
        </w:rPr>
        <w:t>fezolinetant</w:t>
      </w:r>
      <w:proofErr w:type="spellEnd"/>
      <w:r w:rsidR="00E028FA" w:rsidRPr="00E028FA">
        <w:rPr>
          <w:rFonts w:cstheme="minorHAnsi"/>
          <w:bCs/>
        </w:rPr>
        <w:t xml:space="preserve"> approx. 1.32% per cycle), which is carried forward because the patients remaining are likely responders</w:t>
      </w:r>
      <w:r w:rsidR="00FA2AFF">
        <w:rPr>
          <w:rFonts w:cstheme="minorHAnsi"/>
          <w:bCs/>
        </w:rPr>
        <w:t>.</w:t>
      </w:r>
      <w:r w:rsidR="00E028FA" w:rsidRPr="00E028FA">
        <w:rPr>
          <w:rFonts w:cstheme="minorHAnsi"/>
          <w:bCs/>
        </w:rPr>
        <w:t xml:space="preserve"> The model conservatively keeps the placebo discontinuation rate unchanged from the initial trial period, although the placebo effect is likely to diminish over time and therefore increase real-world discontinuation in patients receiving no treatment.</w:t>
      </w:r>
      <w:r w:rsidR="002A4842">
        <w:rPr>
          <w:rFonts w:cstheme="minorHAnsi"/>
          <w:bCs/>
        </w:rPr>
        <w:t>”</w:t>
      </w:r>
    </w:p>
    <w:p w14:paraId="0CEEDFB8" w14:textId="67ADFF79" w:rsidR="00AF661A" w:rsidRPr="00EB1825" w:rsidRDefault="00AF661A" w:rsidP="00766C07">
      <w:pPr>
        <w:pStyle w:val="3-BodyText"/>
        <w:rPr>
          <w:shd w:val="clear" w:color="auto" w:fill="FFFFFF" w:themeFill="background1"/>
          <w:lang w:eastAsia="en-GB"/>
        </w:rPr>
      </w:pPr>
      <w:bookmarkStart w:id="62" w:name="_Ref213938885"/>
      <w:r w:rsidRPr="00EB1825">
        <w:rPr>
          <w:shd w:val="clear" w:color="auto" w:fill="FFFFFF" w:themeFill="background1"/>
          <w:lang w:eastAsia="en-GB"/>
        </w:rPr>
        <w:t>The PSCR noted that, given the artificial nature of placebo, the effectiveness of the no-treatment arm was likely overestimated, while discontinuation was likely underestimated. The ESC considered, g</w:t>
      </w:r>
      <w:r w:rsidRPr="00EB1825">
        <w:rPr>
          <w:rFonts w:cstheme="minorHAnsi"/>
        </w:rPr>
        <w:t xml:space="preserve">iven the placebo effect observed in the trial was likely in part due to regression to the mean, a more conservative assumption would have been to assume that the no treatment arm in the trial represented the natural history of the disease and the incremental benefit of </w:t>
      </w:r>
      <w:proofErr w:type="spellStart"/>
      <w:r w:rsidRPr="00EB1825">
        <w:rPr>
          <w:rFonts w:cstheme="minorHAnsi"/>
        </w:rPr>
        <w:t>fezolinetant</w:t>
      </w:r>
      <w:proofErr w:type="spellEnd"/>
      <w:r w:rsidRPr="00EB1825">
        <w:rPr>
          <w:rFonts w:cstheme="minorHAnsi"/>
        </w:rPr>
        <w:t xml:space="preserve"> </w:t>
      </w:r>
      <w:r w:rsidR="00DF176E" w:rsidRPr="00EB1825">
        <w:rPr>
          <w:rFonts w:cstheme="minorHAnsi"/>
        </w:rPr>
        <w:t>be</w:t>
      </w:r>
      <w:r w:rsidRPr="00EB1825">
        <w:rPr>
          <w:rFonts w:cstheme="minorHAnsi"/>
        </w:rPr>
        <w:t xml:space="preserve"> restricted to the incremental difference observed between the two arms in the trial (i.e., excluding additional benefit from returning patients to baseline VMS frequency post discontinuation).</w:t>
      </w:r>
      <w:bookmarkEnd w:id="62"/>
      <w:r w:rsidRPr="00EB1825">
        <w:rPr>
          <w:rFonts w:cstheme="minorHAnsi"/>
        </w:rPr>
        <w:t xml:space="preserve"> </w:t>
      </w:r>
    </w:p>
    <w:p w14:paraId="12F6550A" w14:textId="1F8CB5D1" w:rsidR="009B037F" w:rsidRPr="00EB1825" w:rsidRDefault="0060405C" w:rsidP="00766C07">
      <w:pPr>
        <w:pStyle w:val="3-BodyText"/>
      </w:pPr>
      <w:bookmarkStart w:id="63" w:name="_Ref213929990"/>
      <w:r w:rsidRPr="00EB1825">
        <w:t>The ESC noted that the previous submission applied a compliance rate of 100%</w:t>
      </w:r>
      <w:r w:rsidR="007E2139" w:rsidRPr="00EB1825">
        <w:t xml:space="preserve"> in calculation of drug costs</w:t>
      </w:r>
      <w:r w:rsidR="00CB08D3" w:rsidRPr="00EB1825">
        <w:t xml:space="preserve"> whereas t</w:t>
      </w:r>
      <w:r w:rsidR="001A1087" w:rsidRPr="00EB1825">
        <w:t>he resubmission included a compliance rate of 77.9%</w:t>
      </w:r>
      <w:r w:rsidR="00CB08D3" w:rsidRPr="00EB1825">
        <w:t>.</w:t>
      </w:r>
      <w:r w:rsidR="001A1087" w:rsidRPr="00EB1825">
        <w:t xml:space="preserve"> </w:t>
      </w:r>
      <w:r w:rsidR="00CB08D3" w:rsidRPr="00EB1825">
        <w:t>Compared to the previous submission model, the application of a compliance rate only affects costs (i.e.</w:t>
      </w:r>
      <w:r w:rsidR="00282482">
        <w:t>,</w:t>
      </w:r>
      <w:r w:rsidR="00CB08D3" w:rsidRPr="00EB1825">
        <w:t xml:space="preserve"> reduces costs for </w:t>
      </w:r>
      <w:proofErr w:type="spellStart"/>
      <w:r w:rsidR="00CB08D3" w:rsidRPr="00EB1825">
        <w:t>fezolinetant</w:t>
      </w:r>
      <w:proofErr w:type="spellEnd"/>
      <w:r w:rsidR="00CB08D3" w:rsidRPr="00EB1825">
        <w:t xml:space="preserve">) whereas outcomes in the resubmission model were unchanged from the previous model. The compliance rate was </w:t>
      </w:r>
      <w:r w:rsidR="001A1087" w:rsidRPr="00EB1825">
        <w:t xml:space="preserve">based on real-world utilisation and compliance data for </w:t>
      </w:r>
      <w:proofErr w:type="spellStart"/>
      <w:r w:rsidR="001A1087" w:rsidRPr="00EB1825">
        <w:t>fezolinetant</w:t>
      </w:r>
      <w:proofErr w:type="spellEnd"/>
      <w:r w:rsidR="001A1087" w:rsidRPr="00EB1825">
        <w:t xml:space="preserve"> from 10 countries where the treatment was available, including Australia (Attachment 16 of the resubmission). In Australia, the compliance rate was 73% over 12 months on the market, while the average across the 10 countries was 77.9% over an average observation period of 13 months. </w:t>
      </w:r>
      <w:r w:rsidR="00E813C4" w:rsidRPr="00EB1825">
        <w:t>The evaluation considered that a</w:t>
      </w:r>
      <w:r w:rsidR="001A1087" w:rsidRPr="00EB1825">
        <w:t>pplying the compliance rate from the real-world study, which may already reflect some degree of discontinuation, may risk double counting, introducing uncertainty.</w:t>
      </w:r>
      <w:r w:rsidR="00E813C4" w:rsidRPr="00EB1825">
        <w:t xml:space="preserve"> </w:t>
      </w:r>
      <w:r w:rsidR="005D5B5D" w:rsidRPr="00EB1825">
        <w:t>The ESC noted that it</w:t>
      </w:r>
      <w:r w:rsidR="00A37F82" w:rsidRPr="00EB1825">
        <w:t xml:space="preserve"> was unclear from the real-world data </w:t>
      </w:r>
      <w:r w:rsidR="00B26421" w:rsidRPr="00EB1825">
        <w:t xml:space="preserve">(Attachment 16 of the submission) </w:t>
      </w:r>
      <w:r w:rsidR="00A37F82" w:rsidRPr="00EB1825">
        <w:t xml:space="preserve">whether the </w:t>
      </w:r>
      <w:r w:rsidR="000C4891" w:rsidRPr="00EB1825">
        <w:t xml:space="preserve">compliance </w:t>
      </w:r>
      <w:r w:rsidR="00A37F82" w:rsidRPr="00EB1825">
        <w:t xml:space="preserve">rates reported also captured </w:t>
      </w:r>
      <w:r w:rsidR="004E3F57" w:rsidRPr="00EB1825">
        <w:t xml:space="preserve">discontinuation, in which case </w:t>
      </w:r>
      <w:r w:rsidR="001A1087" w:rsidRPr="00EB1825">
        <w:t xml:space="preserve">it </w:t>
      </w:r>
      <w:r w:rsidR="0092442C" w:rsidRPr="00EB1825">
        <w:t xml:space="preserve">would </w:t>
      </w:r>
      <w:r w:rsidR="001A1087" w:rsidRPr="00EB1825">
        <w:t>not</w:t>
      </w:r>
      <w:r w:rsidR="0092442C" w:rsidRPr="00EB1825">
        <w:t xml:space="preserve"> be</w:t>
      </w:r>
      <w:r w:rsidR="001A1087" w:rsidRPr="00EB1825">
        <w:t xml:space="preserve"> appropriate to apply both discontinuation and compliance rates. </w:t>
      </w:r>
      <w:r w:rsidR="0092442C" w:rsidRPr="00EB1825">
        <w:t xml:space="preserve">However, the ESC noted </w:t>
      </w:r>
      <w:r w:rsidR="00974FB0" w:rsidRPr="00EB1825">
        <w:t>the compliance rate was consistent with additional data presented in figure 1 of the PSCR (</w:t>
      </w:r>
      <w:r w:rsidR="005F1BED" w:rsidRPr="00EB1825">
        <w:t>which reflected adherence based on medic</w:t>
      </w:r>
      <w:r w:rsidR="00197C02" w:rsidRPr="00EB1825">
        <w:t>ation</w:t>
      </w:r>
      <w:r w:rsidR="005F1BED" w:rsidRPr="00EB1825">
        <w:t xml:space="preserve"> possession ratio)</w:t>
      </w:r>
      <w:r w:rsidR="00FB0918" w:rsidRPr="00EB1825">
        <w:t>. In addition,</w:t>
      </w:r>
      <w:r w:rsidR="0092442C" w:rsidRPr="00EB1825">
        <w:t xml:space="preserve"> t</w:t>
      </w:r>
      <w:r w:rsidR="00E813C4" w:rsidRPr="00EB1825">
        <w:t>he real-world compliance rate was higher than the DAYLIGHT study’s ≥168-day exposure rate (68.1%, para 5.6, DAYLIGHT CSR).</w:t>
      </w:r>
      <w:r w:rsidR="0092442C" w:rsidRPr="00EB1825">
        <w:t xml:space="preserve"> Use of the higher compliance rate </w:t>
      </w:r>
      <w:r w:rsidR="008831D1" w:rsidRPr="00EB1825">
        <w:t xml:space="preserve">from the real-world data </w:t>
      </w:r>
      <w:r w:rsidR="00856F2A" w:rsidRPr="00EB1825">
        <w:t xml:space="preserve">for calculation of drug costs, </w:t>
      </w:r>
      <w:r w:rsidR="008831D1" w:rsidRPr="00EB1825">
        <w:t>without adjustment of the trial outcomes</w:t>
      </w:r>
      <w:r w:rsidR="00823789" w:rsidRPr="00EB1825">
        <w:t>,</w:t>
      </w:r>
      <w:r w:rsidR="008831D1" w:rsidRPr="00EB1825">
        <w:t xml:space="preserve"> would therefore be </w:t>
      </w:r>
      <w:r w:rsidRPr="00EB1825">
        <w:t xml:space="preserve">a </w:t>
      </w:r>
      <w:r w:rsidR="00856F2A" w:rsidRPr="00EB1825">
        <w:t>conservative</w:t>
      </w:r>
      <w:r w:rsidR="007C1B31" w:rsidRPr="00EB1825">
        <w:t xml:space="preserve"> approach and</w:t>
      </w:r>
      <w:r w:rsidR="00C13650" w:rsidRPr="00EB1825">
        <w:t xml:space="preserve"> the ESC considered this</w:t>
      </w:r>
      <w:r w:rsidR="007C1B31" w:rsidRPr="00EB1825">
        <w:t xml:space="preserve"> may be </w:t>
      </w:r>
      <w:r w:rsidR="00C13650" w:rsidRPr="00EB1825">
        <w:t>reasonable.</w:t>
      </w:r>
      <w:bookmarkEnd w:id="63"/>
      <w:r w:rsidR="0068497D">
        <w:t xml:space="preserve"> </w:t>
      </w:r>
      <w:r w:rsidR="00032E38">
        <w:t xml:space="preserve">The pre-PBAC response </w:t>
      </w:r>
      <w:r w:rsidR="000E6BE2">
        <w:t>considered that use of the 100% compliance rate in the original submission was overly conservative.</w:t>
      </w:r>
    </w:p>
    <w:p w14:paraId="13080B8C" w14:textId="3053A874" w:rsidR="005F69BD" w:rsidRPr="00EB1825" w:rsidRDefault="005F69BD" w:rsidP="00766C07">
      <w:pPr>
        <w:pStyle w:val="3-BodyText"/>
      </w:pPr>
      <w:r w:rsidRPr="00EB1825">
        <w:fldChar w:fldCharType="begin"/>
      </w:r>
      <w:r w:rsidRPr="00EB1825">
        <w:instrText xml:space="preserve"> REF _Ref203644862 \h </w:instrText>
      </w:r>
      <w:r w:rsidR="0069357A" w:rsidRPr="00EB1825">
        <w:instrText xml:space="preserve"> \* MERGEFORMAT </w:instrText>
      </w:r>
      <w:r w:rsidRPr="00EB1825">
        <w:fldChar w:fldCharType="separate"/>
      </w:r>
      <w:r w:rsidR="00946DF5" w:rsidRPr="00EB1825">
        <w:t xml:space="preserve">Table </w:t>
      </w:r>
      <w:r w:rsidR="00946DF5">
        <w:t>13</w:t>
      </w:r>
      <w:r w:rsidRPr="00EB1825">
        <w:fldChar w:fldCharType="end"/>
      </w:r>
      <w:r w:rsidRPr="00EB1825">
        <w:t xml:space="preserve"> summarises health care resource use and costs in the economic evaluation. </w:t>
      </w:r>
      <w:bookmarkStart w:id="64" w:name="_Hlk153810399"/>
      <w:r w:rsidRPr="00EB1825">
        <w:t xml:space="preserve">The effective AEMP of </w:t>
      </w:r>
      <w:proofErr w:type="spellStart"/>
      <w:r w:rsidRPr="00EB1825">
        <w:t>fezolinetant</w:t>
      </w:r>
      <w:proofErr w:type="spellEnd"/>
      <w:r w:rsidRPr="00EB1825">
        <w:t xml:space="preserve"> was $</w:t>
      </w:r>
      <w:r w:rsidR="00E901B5" w:rsidRPr="00E901B5">
        <w:rPr>
          <w:highlight w:val="black"/>
        </w:rPr>
        <w:t>&amp;&amp;&amp;&amp;</w:t>
      </w:r>
      <w:r w:rsidRPr="00EB1825">
        <w:t>, resulting in a DPMQ of $</w:t>
      </w:r>
      <w:r w:rsidR="00E901B5" w:rsidRPr="00E901B5">
        <w:rPr>
          <w:highlight w:val="black"/>
        </w:rPr>
        <w:t>&amp;&amp;&amp;&amp;</w:t>
      </w:r>
      <w:r w:rsidRPr="00EB1825">
        <w:t xml:space="preserve"> for a pack of 30 </w:t>
      </w:r>
      <w:r w:rsidRPr="00EB1825">
        <w:rPr>
          <w:rFonts w:cs="Calibri"/>
        </w:rPr>
        <w:t xml:space="preserve">× </w:t>
      </w:r>
      <w:r w:rsidRPr="00EB1825">
        <w:t xml:space="preserve">45mg tablets of </w:t>
      </w:r>
      <w:proofErr w:type="spellStart"/>
      <w:r w:rsidRPr="00EB1825">
        <w:t>fezolinetant</w:t>
      </w:r>
      <w:proofErr w:type="spellEnd"/>
      <w:r w:rsidRPr="00EB1825">
        <w:t>.</w:t>
      </w:r>
      <w:bookmarkEnd w:id="64"/>
      <w:r w:rsidRPr="00EB1825">
        <w:t xml:space="preserve"> The AEMP proposed in the resubmission was </w:t>
      </w:r>
      <w:r w:rsidR="00E901B5" w:rsidRPr="00E901B5">
        <w:rPr>
          <w:highlight w:val="black"/>
        </w:rPr>
        <w:t>&amp;&amp;&amp;&amp;</w:t>
      </w:r>
      <w:r w:rsidRPr="00EB1825">
        <w:t>% lower than that proposed in the March 2025 submission.</w:t>
      </w:r>
    </w:p>
    <w:p w14:paraId="36AFC52A" w14:textId="0F8290A0" w:rsidR="005F69BD" w:rsidRPr="00EB1825" w:rsidRDefault="005F69BD" w:rsidP="002B316D">
      <w:pPr>
        <w:pStyle w:val="Caption"/>
        <w:widowControl w:val="0"/>
        <w:rPr>
          <w:rStyle w:val="CommentReference"/>
        </w:rPr>
      </w:pPr>
      <w:bookmarkStart w:id="65" w:name="_Ref203644862"/>
      <w:r w:rsidRPr="00EB1825">
        <w:t xml:space="preserve">Table </w:t>
      </w:r>
      <w:r w:rsidR="005B6061">
        <w:fldChar w:fldCharType="begin"/>
      </w:r>
      <w:r w:rsidR="005B6061">
        <w:instrText xml:space="preserve"> SEQ Table \* ARABIC </w:instrText>
      </w:r>
      <w:r w:rsidR="005B6061">
        <w:fldChar w:fldCharType="separate"/>
      </w:r>
      <w:r w:rsidR="00946DF5">
        <w:rPr>
          <w:noProof/>
        </w:rPr>
        <w:t>13</w:t>
      </w:r>
      <w:r w:rsidR="005B6061">
        <w:rPr>
          <w:noProof/>
        </w:rPr>
        <w:fldChar w:fldCharType="end"/>
      </w:r>
      <w:bookmarkEnd w:id="65"/>
      <w:r w:rsidRPr="00EB1825">
        <w:t>: Health care resource items and unit costs included in the economic evaluation</w:t>
      </w:r>
    </w:p>
    <w:tbl>
      <w:tblPr>
        <w:tblStyle w:val="PBAClayout"/>
        <w:tblW w:w="9322" w:type="dxa"/>
        <w:tblLook w:val="04A0" w:firstRow="1" w:lastRow="0" w:firstColumn="1" w:lastColumn="0" w:noHBand="0" w:noVBand="1"/>
        <w:tblCaption w:val="Table 13: Health care resource items and unit costs included in the economic evaluation"/>
      </w:tblPr>
      <w:tblGrid>
        <w:gridCol w:w="2405"/>
        <w:gridCol w:w="851"/>
        <w:gridCol w:w="2268"/>
        <w:gridCol w:w="1984"/>
        <w:gridCol w:w="1814"/>
      </w:tblGrid>
      <w:tr w:rsidR="005F69BD" w:rsidRPr="00EB1825" w14:paraId="16CB719D" w14:textId="77777777" w:rsidTr="00891F79">
        <w:tc>
          <w:tcPr>
            <w:tcW w:w="2405" w:type="dxa"/>
            <w:vMerge w:val="restart"/>
            <w:tcBorders>
              <w:top w:val="single" w:sz="4" w:space="0" w:color="auto"/>
              <w:left w:val="single" w:sz="4" w:space="0" w:color="auto"/>
              <w:bottom w:val="single" w:sz="4" w:space="0" w:color="auto"/>
              <w:right w:val="single" w:sz="4" w:space="0" w:color="auto"/>
            </w:tcBorders>
            <w:hideMark/>
          </w:tcPr>
          <w:p w14:paraId="102BA4CB" w14:textId="77777777" w:rsidR="005F69BD" w:rsidRPr="00EB1825" w:rsidRDefault="005F69BD" w:rsidP="002B316D">
            <w:pPr>
              <w:pStyle w:val="In-tableHeading"/>
              <w:widowControl w:val="0"/>
              <w:rPr>
                <w:szCs w:val="20"/>
                <w:lang w:val="en-AU"/>
              </w:rPr>
            </w:pPr>
            <w:r w:rsidRPr="00EB1825">
              <w:rPr>
                <w:szCs w:val="20"/>
                <w:lang w:val="en-AU"/>
              </w:rPr>
              <w:t>Resource item</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55DACA0" w14:textId="77777777" w:rsidR="005F69BD" w:rsidRPr="00EB1825" w:rsidRDefault="005F69BD" w:rsidP="002B316D">
            <w:pPr>
              <w:pStyle w:val="In-tableHeading"/>
              <w:widowControl w:val="0"/>
              <w:jc w:val="center"/>
              <w:rPr>
                <w:szCs w:val="20"/>
                <w:lang w:val="en-AU"/>
              </w:rPr>
            </w:pPr>
            <w:r w:rsidRPr="00EB1825">
              <w:rPr>
                <w:szCs w:val="20"/>
                <w:lang w:val="en-AU"/>
              </w:rPr>
              <w:t>Unit cost</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25B46EC3" w14:textId="77777777" w:rsidR="005F69BD" w:rsidRPr="00EB1825" w:rsidRDefault="005F69BD" w:rsidP="002B316D">
            <w:pPr>
              <w:pStyle w:val="In-tableHeading"/>
              <w:widowControl w:val="0"/>
              <w:jc w:val="center"/>
              <w:rPr>
                <w:szCs w:val="20"/>
                <w:lang w:val="en-AU"/>
              </w:rPr>
            </w:pPr>
            <w:r w:rsidRPr="00EB1825">
              <w:rPr>
                <w:szCs w:val="20"/>
                <w:lang w:val="en-AU"/>
              </w:rPr>
              <w:t>Source of unit cost</w:t>
            </w:r>
          </w:p>
        </w:tc>
        <w:tc>
          <w:tcPr>
            <w:tcW w:w="3798" w:type="dxa"/>
            <w:gridSpan w:val="2"/>
            <w:tcBorders>
              <w:top w:val="single" w:sz="4" w:space="0" w:color="auto"/>
              <w:left w:val="single" w:sz="4" w:space="0" w:color="auto"/>
              <w:bottom w:val="single" w:sz="4" w:space="0" w:color="auto"/>
              <w:right w:val="single" w:sz="4" w:space="0" w:color="auto"/>
            </w:tcBorders>
            <w:hideMark/>
          </w:tcPr>
          <w:p w14:paraId="1609F367" w14:textId="77777777" w:rsidR="005F69BD" w:rsidRPr="00EB1825" w:rsidRDefault="005F69BD" w:rsidP="002B316D">
            <w:pPr>
              <w:pStyle w:val="In-tableHeading"/>
              <w:widowControl w:val="0"/>
              <w:jc w:val="center"/>
              <w:rPr>
                <w:szCs w:val="20"/>
                <w:lang w:val="en-AU"/>
              </w:rPr>
            </w:pPr>
            <w:r w:rsidRPr="00EB1825">
              <w:rPr>
                <w:szCs w:val="20"/>
                <w:lang w:val="en-AU"/>
              </w:rPr>
              <w:t>Usage in the economic evaluation</w:t>
            </w:r>
          </w:p>
        </w:tc>
      </w:tr>
      <w:tr w:rsidR="005F69BD" w:rsidRPr="00EB1825" w14:paraId="310CBF85" w14:textId="77777777" w:rsidTr="00891F79">
        <w:tc>
          <w:tcPr>
            <w:tcW w:w="0" w:type="auto"/>
            <w:vMerge/>
            <w:tcBorders>
              <w:top w:val="single" w:sz="4" w:space="0" w:color="auto"/>
              <w:left w:val="single" w:sz="4" w:space="0" w:color="auto"/>
              <w:bottom w:val="single" w:sz="4" w:space="0" w:color="auto"/>
              <w:right w:val="single" w:sz="4" w:space="0" w:color="auto"/>
            </w:tcBorders>
            <w:hideMark/>
          </w:tcPr>
          <w:p w14:paraId="15D25A8C" w14:textId="77777777" w:rsidR="005F69BD" w:rsidRPr="00EB1825" w:rsidRDefault="005F69BD" w:rsidP="002B316D">
            <w:pPr>
              <w:keepNext/>
              <w:keepLines/>
              <w:widowControl w:val="0"/>
              <w:jc w:val="left"/>
              <w:rPr>
                <w:rFonts w:ascii="Arial Narrow" w:eastAsiaTheme="majorEastAsia" w:hAnsi="Arial Narrow" w:cs="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hideMark/>
          </w:tcPr>
          <w:p w14:paraId="41E85D6A" w14:textId="77777777" w:rsidR="005F69BD" w:rsidRPr="00EB1825" w:rsidRDefault="005F69BD" w:rsidP="002B316D">
            <w:pPr>
              <w:keepNext/>
              <w:keepLines/>
              <w:widowControl w:val="0"/>
              <w:jc w:val="left"/>
              <w:rPr>
                <w:rFonts w:ascii="Arial Narrow" w:eastAsiaTheme="majorEastAsia" w:hAnsi="Arial Narrow" w:cs="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hideMark/>
          </w:tcPr>
          <w:p w14:paraId="0A5479F6" w14:textId="77777777" w:rsidR="005F69BD" w:rsidRPr="00EB1825" w:rsidRDefault="005F69BD" w:rsidP="002B316D">
            <w:pPr>
              <w:keepNext/>
              <w:keepLines/>
              <w:widowControl w:val="0"/>
              <w:jc w:val="left"/>
              <w:rPr>
                <w:rFonts w:ascii="Arial Narrow" w:eastAsiaTheme="majorEastAsia" w:hAnsi="Arial Narrow" w:cs="Times New Roman"/>
                <w:b/>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65D78CA9" w14:textId="77777777" w:rsidR="005F69BD" w:rsidRPr="00EB1825" w:rsidRDefault="005F69BD" w:rsidP="002B316D">
            <w:pPr>
              <w:pStyle w:val="In-tableHeading"/>
              <w:widowControl w:val="0"/>
              <w:jc w:val="center"/>
              <w:rPr>
                <w:szCs w:val="20"/>
                <w:lang w:val="en-AU"/>
              </w:rPr>
            </w:pPr>
            <w:proofErr w:type="spellStart"/>
            <w:r w:rsidRPr="00EB1825">
              <w:rPr>
                <w:szCs w:val="20"/>
                <w:lang w:val="en-AU"/>
              </w:rPr>
              <w:t>Fezolinetant</w:t>
            </w:r>
            <w:proofErr w:type="spellEnd"/>
          </w:p>
        </w:tc>
        <w:tc>
          <w:tcPr>
            <w:tcW w:w="1814" w:type="dxa"/>
            <w:tcBorders>
              <w:top w:val="single" w:sz="4" w:space="0" w:color="auto"/>
              <w:left w:val="single" w:sz="4" w:space="0" w:color="auto"/>
              <w:bottom w:val="single" w:sz="4" w:space="0" w:color="auto"/>
              <w:right w:val="single" w:sz="4" w:space="0" w:color="auto"/>
            </w:tcBorders>
            <w:hideMark/>
          </w:tcPr>
          <w:p w14:paraId="193C1560" w14:textId="77777777" w:rsidR="005F69BD" w:rsidRPr="00EB1825" w:rsidRDefault="005F69BD" w:rsidP="002B316D">
            <w:pPr>
              <w:pStyle w:val="In-tableHeading"/>
              <w:widowControl w:val="0"/>
              <w:jc w:val="center"/>
              <w:rPr>
                <w:szCs w:val="20"/>
                <w:lang w:val="en-AU"/>
              </w:rPr>
            </w:pPr>
            <w:r w:rsidRPr="00EB1825">
              <w:rPr>
                <w:szCs w:val="20"/>
                <w:lang w:val="en-AU"/>
              </w:rPr>
              <w:t>No treatment</w:t>
            </w:r>
          </w:p>
        </w:tc>
      </w:tr>
      <w:tr w:rsidR="005F69BD" w:rsidRPr="00EB1825" w14:paraId="3E4F0A9F" w14:textId="77777777" w:rsidTr="00891F79">
        <w:tc>
          <w:tcPr>
            <w:tcW w:w="9322" w:type="dxa"/>
            <w:gridSpan w:val="5"/>
            <w:tcBorders>
              <w:top w:val="single" w:sz="4" w:space="0" w:color="auto"/>
              <w:left w:val="single" w:sz="4" w:space="0" w:color="auto"/>
              <w:bottom w:val="single" w:sz="4" w:space="0" w:color="auto"/>
              <w:right w:val="single" w:sz="4" w:space="0" w:color="auto"/>
            </w:tcBorders>
            <w:hideMark/>
          </w:tcPr>
          <w:p w14:paraId="511C1B45" w14:textId="77777777" w:rsidR="005F69BD" w:rsidRPr="00EB1825" w:rsidRDefault="005F69BD" w:rsidP="002B316D">
            <w:pPr>
              <w:pStyle w:val="In-tableHeading"/>
              <w:widowControl w:val="0"/>
              <w:rPr>
                <w:szCs w:val="20"/>
                <w:lang w:val="en-AU"/>
              </w:rPr>
            </w:pPr>
            <w:r w:rsidRPr="00EB1825">
              <w:rPr>
                <w:szCs w:val="20"/>
                <w:lang w:val="en-AU"/>
              </w:rPr>
              <w:t>Medicines</w:t>
            </w:r>
          </w:p>
        </w:tc>
      </w:tr>
      <w:tr w:rsidR="005F69BD" w:rsidRPr="00EB1825" w14:paraId="0595DBFE" w14:textId="77777777" w:rsidTr="00074B4B">
        <w:tc>
          <w:tcPr>
            <w:tcW w:w="2405" w:type="dxa"/>
            <w:tcBorders>
              <w:top w:val="single" w:sz="4" w:space="0" w:color="auto"/>
              <w:left w:val="single" w:sz="4" w:space="0" w:color="auto"/>
              <w:bottom w:val="single" w:sz="4" w:space="0" w:color="auto"/>
              <w:right w:val="single" w:sz="4" w:space="0" w:color="auto"/>
            </w:tcBorders>
            <w:hideMark/>
          </w:tcPr>
          <w:p w14:paraId="79574675" w14:textId="77777777" w:rsidR="005F69BD" w:rsidRPr="00EB1825" w:rsidRDefault="005F69BD" w:rsidP="002B316D">
            <w:pPr>
              <w:pStyle w:val="TableText0"/>
              <w:widowControl w:val="0"/>
              <w:rPr>
                <w:szCs w:val="20"/>
              </w:rPr>
            </w:pPr>
            <w:proofErr w:type="spellStart"/>
            <w:r w:rsidRPr="00EB1825">
              <w:rPr>
                <w:szCs w:val="20"/>
              </w:rPr>
              <w:t>Fezolinetant</w:t>
            </w:r>
            <w:proofErr w:type="spellEnd"/>
            <w:r w:rsidRPr="00EB1825">
              <w:rPr>
                <w:szCs w:val="20"/>
              </w:rPr>
              <w:t xml:space="preserve"> (45mg/day)</w:t>
            </w:r>
          </w:p>
        </w:tc>
        <w:tc>
          <w:tcPr>
            <w:tcW w:w="851" w:type="dxa"/>
            <w:tcBorders>
              <w:top w:val="single" w:sz="4" w:space="0" w:color="auto"/>
              <w:left w:val="single" w:sz="4" w:space="0" w:color="auto"/>
              <w:bottom w:val="single" w:sz="4" w:space="0" w:color="auto"/>
              <w:right w:val="single" w:sz="4" w:space="0" w:color="auto"/>
            </w:tcBorders>
            <w:hideMark/>
          </w:tcPr>
          <w:p w14:paraId="2436E866" w14:textId="086A2B09" w:rsidR="005F69BD" w:rsidRPr="00EB1825" w:rsidRDefault="005F69BD" w:rsidP="002B316D">
            <w:pPr>
              <w:pStyle w:val="TableText0"/>
              <w:widowControl w:val="0"/>
              <w:rPr>
                <w:szCs w:val="20"/>
              </w:rPr>
            </w:pPr>
            <w:r w:rsidRPr="00EB1825">
              <w:rPr>
                <w:szCs w:val="20"/>
              </w:rPr>
              <w:t>$</w:t>
            </w:r>
            <w:r w:rsidR="00E901B5" w:rsidRPr="00E901B5">
              <w:rPr>
                <w:szCs w:val="20"/>
                <w:highlight w:val="black"/>
              </w:rPr>
              <w:t>&amp;&amp;&amp;&amp;</w:t>
            </w:r>
          </w:p>
        </w:tc>
        <w:tc>
          <w:tcPr>
            <w:tcW w:w="2268" w:type="dxa"/>
            <w:tcBorders>
              <w:top w:val="single" w:sz="4" w:space="0" w:color="auto"/>
              <w:left w:val="single" w:sz="4" w:space="0" w:color="auto"/>
              <w:bottom w:val="single" w:sz="4" w:space="0" w:color="auto"/>
              <w:right w:val="single" w:sz="4" w:space="0" w:color="auto"/>
            </w:tcBorders>
            <w:hideMark/>
          </w:tcPr>
          <w:p w14:paraId="697E4820" w14:textId="77777777" w:rsidR="005F69BD" w:rsidRPr="00EB1825" w:rsidRDefault="005F69BD" w:rsidP="002B316D">
            <w:pPr>
              <w:pStyle w:val="TableText0"/>
              <w:widowControl w:val="0"/>
              <w:rPr>
                <w:szCs w:val="20"/>
              </w:rPr>
            </w:pPr>
            <w:r w:rsidRPr="00EB1825">
              <w:rPr>
                <w:szCs w:val="20"/>
              </w:rPr>
              <w:t>Requested price</w:t>
            </w:r>
          </w:p>
        </w:tc>
        <w:tc>
          <w:tcPr>
            <w:tcW w:w="1984" w:type="dxa"/>
            <w:tcBorders>
              <w:top w:val="single" w:sz="4" w:space="0" w:color="auto"/>
              <w:left w:val="single" w:sz="4" w:space="0" w:color="auto"/>
              <w:bottom w:val="single" w:sz="4" w:space="0" w:color="auto"/>
              <w:right w:val="single" w:sz="4" w:space="0" w:color="auto"/>
            </w:tcBorders>
            <w:hideMark/>
          </w:tcPr>
          <w:p w14:paraId="2CA1E0DF" w14:textId="19DE30C4" w:rsidR="005F69BD" w:rsidRPr="00EB1825" w:rsidRDefault="005F69BD" w:rsidP="002B316D">
            <w:pPr>
              <w:pStyle w:val="TableText0"/>
              <w:widowControl w:val="0"/>
              <w:jc w:val="center"/>
              <w:rPr>
                <w:szCs w:val="20"/>
              </w:rPr>
            </w:pPr>
            <w:r w:rsidRPr="00EB1825">
              <w:rPr>
                <w:szCs w:val="20"/>
              </w:rPr>
              <w:t>$</w:t>
            </w:r>
            <w:r w:rsidR="00E901B5" w:rsidRPr="00E901B5">
              <w:rPr>
                <w:szCs w:val="20"/>
                <w:highlight w:val="black"/>
              </w:rPr>
              <w:t>&amp;&amp;&amp;&amp;</w:t>
            </w:r>
            <w:r w:rsidRPr="00EB1825">
              <w:rPr>
                <w:szCs w:val="20"/>
              </w:rPr>
              <w:t xml:space="preserve"> per 28-day cycle</w:t>
            </w:r>
          </w:p>
        </w:tc>
        <w:tc>
          <w:tcPr>
            <w:tcW w:w="1814" w:type="dxa"/>
            <w:tcBorders>
              <w:top w:val="single" w:sz="4" w:space="0" w:color="auto"/>
              <w:left w:val="single" w:sz="4" w:space="0" w:color="auto"/>
              <w:bottom w:val="single" w:sz="4" w:space="0" w:color="auto"/>
              <w:right w:val="single" w:sz="4" w:space="0" w:color="auto"/>
            </w:tcBorders>
            <w:hideMark/>
          </w:tcPr>
          <w:p w14:paraId="593C9E68" w14:textId="77777777" w:rsidR="005F69BD" w:rsidRPr="00EB1825" w:rsidRDefault="005F69BD" w:rsidP="002B316D">
            <w:pPr>
              <w:pStyle w:val="TableText0"/>
              <w:widowControl w:val="0"/>
              <w:jc w:val="center"/>
              <w:rPr>
                <w:szCs w:val="20"/>
              </w:rPr>
            </w:pPr>
            <w:r w:rsidRPr="00EB1825">
              <w:rPr>
                <w:szCs w:val="20"/>
              </w:rPr>
              <w:t>$0.00</w:t>
            </w:r>
          </w:p>
        </w:tc>
      </w:tr>
      <w:tr w:rsidR="005F69BD" w:rsidRPr="00EB1825" w14:paraId="7131D26B" w14:textId="77777777" w:rsidTr="00891F79">
        <w:tc>
          <w:tcPr>
            <w:tcW w:w="9322" w:type="dxa"/>
            <w:gridSpan w:val="5"/>
            <w:tcBorders>
              <w:top w:val="single" w:sz="4" w:space="0" w:color="auto"/>
              <w:left w:val="single" w:sz="4" w:space="0" w:color="auto"/>
              <w:bottom w:val="single" w:sz="4" w:space="0" w:color="auto"/>
              <w:right w:val="single" w:sz="4" w:space="0" w:color="auto"/>
            </w:tcBorders>
            <w:hideMark/>
          </w:tcPr>
          <w:p w14:paraId="61255B70" w14:textId="77777777" w:rsidR="005F69BD" w:rsidRPr="00EB1825" w:rsidRDefault="005F69BD" w:rsidP="002B316D">
            <w:pPr>
              <w:pStyle w:val="In-tableHeading"/>
              <w:widowControl w:val="0"/>
              <w:rPr>
                <w:szCs w:val="20"/>
                <w:lang w:val="en-AU"/>
              </w:rPr>
            </w:pPr>
            <w:r w:rsidRPr="00EB1825">
              <w:rPr>
                <w:szCs w:val="20"/>
                <w:lang w:val="en-AU"/>
              </w:rPr>
              <w:t xml:space="preserve">Medical services </w:t>
            </w:r>
            <w:r w:rsidRPr="00EB1825">
              <w:rPr>
                <w:szCs w:val="20"/>
                <w:vertAlign w:val="superscript"/>
                <w:lang w:val="en-AU"/>
              </w:rPr>
              <w:t>a</w:t>
            </w:r>
          </w:p>
        </w:tc>
      </w:tr>
      <w:tr w:rsidR="005F69BD" w:rsidRPr="00EB1825" w14:paraId="42277F1E" w14:textId="77777777" w:rsidTr="00891F79">
        <w:tc>
          <w:tcPr>
            <w:tcW w:w="240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F6240F1" w14:textId="77777777" w:rsidR="005F69BD" w:rsidRPr="00EB1825" w:rsidRDefault="005F69BD" w:rsidP="002B316D">
            <w:pPr>
              <w:pStyle w:val="TableText0"/>
              <w:widowControl w:val="0"/>
              <w:rPr>
                <w:szCs w:val="20"/>
              </w:rPr>
            </w:pPr>
            <w:r w:rsidRPr="00EB1825">
              <w:rPr>
                <w:rFonts w:cstheme="minorHAnsi"/>
                <w:szCs w:val="20"/>
              </w:rPr>
              <w:t>Physician visits (first visit)</w:t>
            </w: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76230F3" w14:textId="77777777" w:rsidR="005F69BD" w:rsidRPr="00EB1825" w:rsidRDefault="005F69BD" w:rsidP="002B316D">
            <w:pPr>
              <w:pStyle w:val="TableText0"/>
              <w:widowControl w:val="0"/>
              <w:rPr>
                <w:szCs w:val="20"/>
              </w:rPr>
            </w:pPr>
            <w:r w:rsidRPr="00EB1825">
              <w:rPr>
                <w:rFonts w:cstheme="minorHAnsi"/>
                <w:color w:val="000000"/>
                <w:szCs w:val="20"/>
              </w:rPr>
              <w:t>$82.90</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FC9420" w14:textId="77777777" w:rsidR="005F69BD" w:rsidRPr="00EB1825" w:rsidRDefault="005F69BD" w:rsidP="002B316D">
            <w:pPr>
              <w:pStyle w:val="TableText0"/>
              <w:widowControl w:val="0"/>
              <w:rPr>
                <w:szCs w:val="20"/>
              </w:rPr>
            </w:pPr>
            <w:r w:rsidRPr="00EB1825">
              <w:rPr>
                <w:rFonts w:cstheme="minorHAnsi"/>
                <w:szCs w:val="20"/>
              </w:rPr>
              <w:t>MBS code 36</w:t>
            </w:r>
          </w:p>
        </w:tc>
        <w:tc>
          <w:tcPr>
            <w:tcW w:w="379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CB4BCA" w14:textId="77777777" w:rsidR="005F69BD" w:rsidRPr="00EB1825" w:rsidRDefault="005F69BD" w:rsidP="002B316D">
            <w:pPr>
              <w:pStyle w:val="TableText0"/>
              <w:widowControl w:val="0"/>
              <w:rPr>
                <w:szCs w:val="20"/>
              </w:rPr>
            </w:pPr>
            <w:r w:rsidRPr="00EB1825">
              <w:rPr>
                <w:szCs w:val="20"/>
              </w:rPr>
              <w:t>Once (as one-off), in all health states with VMS.</w:t>
            </w:r>
          </w:p>
        </w:tc>
      </w:tr>
      <w:tr w:rsidR="005F69BD" w:rsidRPr="00EB1825" w14:paraId="3F845D9C" w14:textId="77777777" w:rsidTr="00891F79">
        <w:tc>
          <w:tcPr>
            <w:tcW w:w="240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04469C2" w14:textId="77777777" w:rsidR="005F69BD" w:rsidRPr="00EB1825" w:rsidRDefault="005F69BD" w:rsidP="002B316D">
            <w:pPr>
              <w:pStyle w:val="TableText0"/>
              <w:widowControl w:val="0"/>
              <w:rPr>
                <w:szCs w:val="20"/>
              </w:rPr>
            </w:pPr>
            <w:r w:rsidRPr="00EB1825">
              <w:rPr>
                <w:rFonts w:cstheme="minorHAnsi"/>
                <w:szCs w:val="20"/>
              </w:rPr>
              <w:t>Physician visits (follow-up visit)</w:t>
            </w: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B99F25E" w14:textId="77777777" w:rsidR="005F69BD" w:rsidRPr="00EB1825" w:rsidRDefault="005F69BD" w:rsidP="002B316D">
            <w:pPr>
              <w:pStyle w:val="TableText0"/>
              <w:widowControl w:val="0"/>
              <w:rPr>
                <w:rFonts w:cstheme="minorHAnsi"/>
                <w:color w:val="000000"/>
                <w:szCs w:val="20"/>
              </w:rPr>
            </w:pPr>
            <w:r w:rsidRPr="00EB1825">
              <w:rPr>
                <w:rFonts w:cstheme="minorHAnsi"/>
                <w:color w:val="000000"/>
                <w:szCs w:val="20"/>
              </w:rPr>
              <w:t>$42.85</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BF3F783" w14:textId="77777777" w:rsidR="005F69BD" w:rsidRPr="00EB1825" w:rsidRDefault="005F69BD" w:rsidP="002B316D">
            <w:pPr>
              <w:pStyle w:val="TableText0"/>
              <w:widowControl w:val="0"/>
              <w:rPr>
                <w:rFonts w:cstheme="minorHAnsi"/>
                <w:szCs w:val="20"/>
              </w:rPr>
            </w:pPr>
            <w:r w:rsidRPr="00EB1825">
              <w:rPr>
                <w:rFonts w:cstheme="minorHAnsi"/>
                <w:szCs w:val="20"/>
              </w:rPr>
              <w:t>MBS code 23</w:t>
            </w:r>
          </w:p>
        </w:tc>
        <w:tc>
          <w:tcPr>
            <w:tcW w:w="379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6B2C04" w14:textId="77777777" w:rsidR="005F69BD" w:rsidRPr="00EB1825" w:rsidRDefault="005F69BD" w:rsidP="002B316D">
            <w:pPr>
              <w:pStyle w:val="TableText0"/>
              <w:widowControl w:val="0"/>
              <w:rPr>
                <w:szCs w:val="20"/>
              </w:rPr>
            </w:pPr>
            <w:r w:rsidRPr="00EB1825">
              <w:rPr>
                <w:szCs w:val="20"/>
              </w:rPr>
              <w:t>Twice per year, in 2≤VMS&lt;7, and four times per year in 7≤VMS&lt;9 &amp; VMS≥9 health states.</w:t>
            </w:r>
          </w:p>
        </w:tc>
      </w:tr>
      <w:tr w:rsidR="005F69BD" w:rsidRPr="00EB1825" w14:paraId="5E666384" w14:textId="77777777" w:rsidTr="00891F79">
        <w:tc>
          <w:tcPr>
            <w:tcW w:w="240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4080070" w14:textId="77777777" w:rsidR="005F69BD" w:rsidRPr="00EB1825" w:rsidRDefault="005F69BD" w:rsidP="002B316D">
            <w:pPr>
              <w:pStyle w:val="TableText0"/>
              <w:widowControl w:val="0"/>
              <w:rPr>
                <w:szCs w:val="20"/>
              </w:rPr>
            </w:pPr>
            <w:r w:rsidRPr="00EB1825">
              <w:rPr>
                <w:rFonts w:cstheme="minorHAnsi"/>
                <w:szCs w:val="20"/>
              </w:rPr>
              <w:t>Specialist visit (first visit)</w:t>
            </w: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05AF90" w14:textId="77777777" w:rsidR="005F69BD" w:rsidRPr="00EB1825" w:rsidRDefault="005F69BD" w:rsidP="002B316D">
            <w:pPr>
              <w:pStyle w:val="TableText0"/>
              <w:widowControl w:val="0"/>
              <w:rPr>
                <w:rFonts w:cstheme="minorHAnsi"/>
                <w:color w:val="000000"/>
                <w:szCs w:val="20"/>
              </w:rPr>
            </w:pPr>
            <w:r w:rsidRPr="00EB1825">
              <w:rPr>
                <w:rFonts w:cstheme="minorHAnsi"/>
                <w:color w:val="000000"/>
                <w:szCs w:val="20"/>
              </w:rPr>
              <w:t>$98.95</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2D1036" w14:textId="77777777" w:rsidR="005F69BD" w:rsidRPr="00EB1825" w:rsidRDefault="005F69BD" w:rsidP="002B316D">
            <w:pPr>
              <w:pStyle w:val="TableText0"/>
              <w:widowControl w:val="0"/>
              <w:rPr>
                <w:rFonts w:cstheme="minorHAnsi"/>
                <w:szCs w:val="20"/>
              </w:rPr>
            </w:pPr>
            <w:r w:rsidRPr="00EB1825">
              <w:rPr>
                <w:rFonts w:cstheme="minorHAnsi"/>
                <w:szCs w:val="20"/>
              </w:rPr>
              <w:t>MBS code 104</w:t>
            </w:r>
          </w:p>
        </w:tc>
        <w:tc>
          <w:tcPr>
            <w:tcW w:w="379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ED3CCD9" w14:textId="77777777" w:rsidR="005F69BD" w:rsidRPr="00EB1825" w:rsidRDefault="005F69BD" w:rsidP="002B316D">
            <w:pPr>
              <w:pStyle w:val="TableText0"/>
              <w:widowControl w:val="0"/>
              <w:rPr>
                <w:szCs w:val="20"/>
              </w:rPr>
            </w:pPr>
            <w:r w:rsidRPr="00EB1825">
              <w:rPr>
                <w:szCs w:val="20"/>
              </w:rPr>
              <w:t>Once (as one-off), in VMS≥9 health state.</w:t>
            </w:r>
          </w:p>
        </w:tc>
      </w:tr>
      <w:tr w:rsidR="005F69BD" w:rsidRPr="00EB1825" w14:paraId="2DCB144D" w14:textId="77777777" w:rsidTr="00891F79">
        <w:tc>
          <w:tcPr>
            <w:tcW w:w="240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04B21F" w14:textId="77777777" w:rsidR="005F69BD" w:rsidRPr="00EB1825" w:rsidRDefault="005F69BD" w:rsidP="002B316D">
            <w:pPr>
              <w:pStyle w:val="TableText0"/>
              <w:widowControl w:val="0"/>
              <w:rPr>
                <w:szCs w:val="20"/>
              </w:rPr>
            </w:pPr>
            <w:r w:rsidRPr="00EB1825">
              <w:rPr>
                <w:rFonts w:cstheme="minorHAnsi"/>
                <w:szCs w:val="20"/>
              </w:rPr>
              <w:t>Specialist visit (follow-up visit)</w:t>
            </w:r>
          </w:p>
        </w:tc>
        <w:tc>
          <w:tcPr>
            <w:tcW w:w="85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43209B4" w14:textId="77777777" w:rsidR="005F69BD" w:rsidRPr="00EB1825" w:rsidRDefault="005F69BD" w:rsidP="002B316D">
            <w:pPr>
              <w:pStyle w:val="TableText0"/>
              <w:widowControl w:val="0"/>
              <w:rPr>
                <w:szCs w:val="20"/>
              </w:rPr>
            </w:pPr>
            <w:r w:rsidRPr="00EB1825">
              <w:rPr>
                <w:rFonts w:cstheme="minorHAnsi"/>
                <w:color w:val="000000"/>
                <w:szCs w:val="20"/>
              </w:rPr>
              <w:t>$49.75</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EAB324D" w14:textId="77777777" w:rsidR="005F69BD" w:rsidRPr="00EB1825" w:rsidRDefault="005F69BD" w:rsidP="002B316D">
            <w:pPr>
              <w:pStyle w:val="TableText0"/>
              <w:widowControl w:val="0"/>
              <w:rPr>
                <w:szCs w:val="20"/>
              </w:rPr>
            </w:pPr>
            <w:r w:rsidRPr="00EB1825">
              <w:rPr>
                <w:rFonts w:cstheme="minorHAnsi"/>
                <w:szCs w:val="20"/>
              </w:rPr>
              <w:t>MBS code 105</w:t>
            </w:r>
          </w:p>
        </w:tc>
        <w:tc>
          <w:tcPr>
            <w:tcW w:w="379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B5B41A" w14:textId="77777777" w:rsidR="005F69BD" w:rsidRPr="00EB1825" w:rsidRDefault="005F69BD" w:rsidP="002B316D">
            <w:pPr>
              <w:pStyle w:val="TableText0"/>
              <w:widowControl w:val="0"/>
              <w:rPr>
                <w:szCs w:val="20"/>
              </w:rPr>
            </w:pPr>
            <w:r w:rsidRPr="00EB1825">
              <w:rPr>
                <w:szCs w:val="20"/>
              </w:rPr>
              <w:t>Not included in the base case.</w:t>
            </w:r>
          </w:p>
        </w:tc>
      </w:tr>
      <w:tr w:rsidR="005F69BD" w:rsidRPr="00EB1825" w14:paraId="650EF64C" w14:textId="77777777" w:rsidTr="00891F79">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D6930E" w14:textId="77777777" w:rsidR="005F69BD" w:rsidRPr="00EB1825" w:rsidRDefault="005F69BD" w:rsidP="002B316D">
            <w:pPr>
              <w:pStyle w:val="TableText0"/>
              <w:widowControl w:val="0"/>
              <w:rPr>
                <w:rFonts w:cstheme="minorHAnsi"/>
                <w:szCs w:val="20"/>
              </w:rPr>
            </w:pPr>
            <w:r w:rsidRPr="00EB1825">
              <w:rPr>
                <w:rFonts w:cstheme="minorHAnsi"/>
                <w:szCs w:val="20"/>
              </w:rPr>
              <w:t>Liver function test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D46C0E" w14:textId="77777777" w:rsidR="005F69BD" w:rsidRPr="00EB1825" w:rsidRDefault="005F69BD" w:rsidP="002B316D">
            <w:pPr>
              <w:pStyle w:val="TableText0"/>
              <w:widowControl w:val="0"/>
              <w:rPr>
                <w:rFonts w:cstheme="minorHAnsi"/>
                <w:szCs w:val="20"/>
              </w:rPr>
            </w:pPr>
            <w:r w:rsidRPr="00EB1825">
              <w:rPr>
                <w:rFonts w:cstheme="minorHAnsi"/>
                <w:szCs w:val="20"/>
              </w:rPr>
              <w:t>$17.7</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424B79" w14:textId="77777777" w:rsidR="005F69BD" w:rsidRPr="00EB1825" w:rsidRDefault="005F69BD" w:rsidP="002B316D">
            <w:pPr>
              <w:pStyle w:val="TableText0"/>
              <w:widowControl w:val="0"/>
              <w:rPr>
                <w:rFonts w:cstheme="minorHAnsi"/>
                <w:szCs w:val="20"/>
              </w:rPr>
            </w:pPr>
            <w:r w:rsidRPr="00EB1825">
              <w:rPr>
                <w:rFonts w:cstheme="minorHAnsi"/>
                <w:szCs w:val="20"/>
              </w:rPr>
              <w:t>MBS code 66512</w:t>
            </w:r>
          </w:p>
        </w:tc>
        <w:tc>
          <w:tcPr>
            <w:tcW w:w="379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6563A7E" w14:textId="38A6B780" w:rsidR="005F69BD" w:rsidRPr="00EB1825" w:rsidRDefault="005F69BD" w:rsidP="002B316D">
            <w:pPr>
              <w:pStyle w:val="TableText0"/>
              <w:widowControl w:val="0"/>
              <w:rPr>
                <w:rFonts w:cstheme="minorHAnsi"/>
                <w:szCs w:val="20"/>
              </w:rPr>
            </w:pPr>
            <w:r w:rsidRPr="00EB1825">
              <w:rPr>
                <w:rFonts w:cstheme="minorHAnsi"/>
                <w:szCs w:val="20"/>
              </w:rPr>
              <w:t>Administered at baseline, 1, 2, 3, 6 and 9 months.</w:t>
            </w:r>
            <w:r w:rsidR="00594680" w:rsidRPr="00EB1825">
              <w:rPr>
                <w:rFonts w:cstheme="minorHAnsi"/>
                <w:szCs w:val="20"/>
              </w:rPr>
              <w:t xml:space="preserve"> </w:t>
            </w:r>
            <w:r w:rsidR="00594680" w:rsidRPr="00EB1825">
              <w:rPr>
                <w:rFonts w:cstheme="minorHAnsi"/>
                <w:szCs w:val="20"/>
                <w:vertAlign w:val="superscript"/>
              </w:rPr>
              <w:t>b</w:t>
            </w:r>
          </w:p>
        </w:tc>
      </w:tr>
    </w:tbl>
    <w:p w14:paraId="7CC44083" w14:textId="77777777" w:rsidR="005F69BD" w:rsidRPr="00EB1825" w:rsidRDefault="005F69BD" w:rsidP="002B316D">
      <w:pPr>
        <w:pStyle w:val="FooterTableFigure"/>
        <w:keepNext/>
        <w:keepLines/>
        <w:widowControl w:val="0"/>
        <w:rPr>
          <w:snapToGrid/>
        </w:rPr>
      </w:pPr>
      <w:r w:rsidRPr="00EB1825">
        <w:t>Source: Table 3.6-1, p89, Table 3.6-2, p90, Table 3.6-5, p90 and Table 3.6-6, p90 of the resubmission.</w:t>
      </w:r>
    </w:p>
    <w:p w14:paraId="0FEBD98E" w14:textId="77777777" w:rsidR="005F69BD" w:rsidRPr="00EB1825" w:rsidRDefault="005F69BD" w:rsidP="002B316D">
      <w:pPr>
        <w:pStyle w:val="FooterTableFigure"/>
        <w:keepNext/>
        <w:keepLines/>
        <w:widowControl w:val="0"/>
      </w:pPr>
      <w:r w:rsidRPr="00EB1825">
        <w:t>VMS=vasomotor symptoms</w:t>
      </w:r>
    </w:p>
    <w:p w14:paraId="4A1DC488" w14:textId="77777777" w:rsidR="00594680" w:rsidRPr="00EB1825" w:rsidRDefault="005F69BD" w:rsidP="002B316D">
      <w:pPr>
        <w:pStyle w:val="FooterTableFigure"/>
        <w:keepNext/>
        <w:keepLines/>
        <w:widowControl w:val="0"/>
        <w:spacing w:after="0"/>
        <w:ind w:left="170" w:hanging="170"/>
        <w:rPr>
          <w:vertAlign w:val="superscript"/>
        </w:rPr>
      </w:pPr>
      <w:r w:rsidRPr="00EB1825">
        <w:rPr>
          <w:vertAlign w:val="superscript"/>
        </w:rPr>
        <w:t>a</w:t>
      </w:r>
      <w:r w:rsidR="00074B4B" w:rsidRPr="00EB1825">
        <w:rPr>
          <w:vertAlign w:val="superscript"/>
        </w:rPr>
        <w:tab/>
      </w:r>
      <w:r w:rsidRPr="00EB1825">
        <w:rPr>
          <w:vertAlign w:val="superscript"/>
        </w:rPr>
        <w:t xml:space="preserve"> </w:t>
      </w:r>
      <w:r w:rsidRPr="00EB1825">
        <w:t>Healthcare resource use costs were applied per cycle, converted from annual costs. No treatment or resource use costs were applied to the "cessation of VMS" health state.</w:t>
      </w:r>
      <w:r w:rsidR="00594680" w:rsidRPr="00EB1825">
        <w:rPr>
          <w:vertAlign w:val="superscript"/>
        </w:rPr>
        <w:t xml:space="preserve"> </w:t>
      </w:r>
    </w:p>
    <w:p w14:paraId="6605C8B7" w14:textId="64A89775" w:rsidR="005F69BD" w:rsidRPr="00EB1825" w:rsidRDefault="00594680" w:rsidP="002B316D">
      <w:pPr>
        <w:pStyle w:val="FooterTableFigure"/>
        <w:keepNext/>
        <w:keepLines/>
        <w:widowControl w:val="0"/>
        <w:spacing w:after="0"/>
        <w:ind w:left="170" w:hanging="170"/>
        <w:rPr>
          <w:szCs w:val="20"/>
        </w:rPr>
      </w:pPr>
      <w:r w:rsidRPr="00EB1825">
        <w:rPr>
          <w:vertAlign w:val="superscript"/>
        </w:rPr>
        <w:t>b</w:t>
      </w:r>
      <w:r w:rsidRPr="00EB1825">
        <w:rPr>
          <w:vertAlign w:val="superscript"/>
        </w:rPr>
        <w:tab/>
        <w:t xml:space="preserve"> </w:t>
      </w:r>
      <w:r w:rsidRPr="00EB1825">
        <w:rPr>
          <w:szCs w:val="20"/>
        </w:rPr>
        <w:t>LFTs from the second year onwards were not included in the economic model, which may be inappropriate. The</w:t>
      </w:r>
      <w:r w:rsidR="00F011E6" w:rsidRPr="00EB1825">
        <w:rPr>
          <w:szCs w:val="20"/>
        </w:rPr>
        <w:t xml:space="preserve"> revised</w:t>
      </w:r>
      <w:r w:rsidRPr="00EB1825">
        <w:rPr>
          <w:szCs w:val="20"/>
        </w:rPr>
        <w:t xml:space="preserve"> Australian PI</w:t>
      </w:r>
      <w:r w:rsidR="00F011E6" w:rsidRPr="00EB1825">
        <w:rPr>
          <w:szCs w:val="20"/>
        </w:rPr>
        <w:t xml:space="preserve">, presented by the </w:t>
      </w:r>
      <w:r w:rsidR="00DE438D" w:rsidRPr="00EB1825">
        <w:rPr>
          <w:szCs w:val="20"/>
        </w:rPr>
        <w:t>re</w:t>
      </w:r>
      <w:r w:rsidR="00F011E6" w:rsidRPr="00EB1825">
        <w:rPr>
          <w:szCs w:val="20"/>
        </w:rPr>
        <w:t>submission,</w:t>
      </w:r>
      <w:r w:rsidRPr="00EB1825">
        <w:rPr>
          <w:szCs w:val="20"/>
        </w:rPr>
        <w:t xml:space="preserve"> indicates follow-up evaluation of hepatic function is recommended monthly for the first three months of initiating </w:t>
      </w:r>
      <w:proofErr w:type="spellStart"/>
      <w:r w:rsidRPr="00EB1825">
        <w:rPr>
          <w:szCs w:val="20"/>
        </w:rPr>
        <w:t>fezolinetant</w:t>
      </w:r>
      <w:proofErr w:type="spellEnd"/>
      <w:r w:rsidRPr="00EB1825">
        <w:rPr>
          <w:szCs w:val="20"/>
        </w:rPr>
        <w:t xml:space="preserve"> and thereafter periodically based on clinical judgement (para 4.4, </w:t>
      </w:r>
      <w:proofErr w:type="spellStart"/>
      <w:r w:rsidRPr="00EB1825">
        <w:rPr>
          <w:szCs w:val="20"/>
        </w:rPr>
        <w:t>fezolinetant</w:t>
      </w:r>
      <w:proofErr w:type="spellEnd"/>
      <w:r w:rsidRPr="00EB1825">
        <w:rPr>
          <w:szCs w:val="20"/>
        </w:rPr>
        <w:t xml:space="preserve"> PI). </w:t>
      </w:r>
      <w:r w:rsidR="00F011E6" w:rsidRPr="00EB1825">
        <w:rPr>
          <w:szCs w:val="20"/>
        </w:rPr>
        <w:t>The Australian PI (July 2024) indicates a baseline and subsequent periodic follow-up evaluation of hepatic function (at least once within the first 3 months of treatment).</w:t>
      </w:r>
    </w:p>
    <w:p w14:paraId="2C711B40" w14:textId="76B86045" w:rsidR="00BF04CC" w:rsidRPr="00EB1825" w:rsidRDefault="00BF04CC" w:rsidP="002B316D">
      <w:pPr>
        <w:keepNext/>
        <w:keepLines/>
        <w:widowControl w:val="0"/>
        <w:rPr>
          <w:rFonts w:ascii="Arial Narrow" w:hAnsi="Arial Narrow"/>
          <w:snapToGrid w:val="0"/>
          <w:sz w:val="18"/>
          <w:szCs w:val="22"/>
        </w:rPr>
      </w:pPr>
      <w:r w:rsidRPr="00EB1825">
        <w:rPr>
          <w:rFonts w:ascii="Arial Narrow" w:hAnsi="Arial Narrow"/>
          <w:snapToGrid w:val="0"/>
          <w:sz w:val="18"/>
          <w:szCs w:val="22"/>
          <w:shd w:val="clear" w:color="auto" w:fill="B8CCE4" w:themeFill="accent1" w:themeFillTint="66"/>
        </w:rPr>
        <w:t>Blue</w:t>
      </w:r>
      <w:r w:rsidRPr="00EB1825">
        <w:rPr>
          <w:rFonts w:ascii="Arial Narrow" w:hAnsi="Arial Narrow"/>
          <w:snapToGrid w:val="0"/>
          <w:sz w:val="18"/>
          <w:szCs w:val="22"/>
        </w:rPr>
        <w:t xml:space="preserve"> shading indicates data previously seen by the PBAC. </w:t>
      </w:r>
    </w:p>
    <w:p w14:paraId="62A69A0F" w14:textId="77777777" w:rsidR="00BF04CC" w:rsidRPr="00EB1825" w:rsidRDefault="00BF04CC" w:rsidP="00074B4B">
      <w:pPr>
        <w:pStyle w:val="FooterTableFigure"/>
        <w:keepNext/>
        <w:ind w:left="170" w:hanging="170"/>
      </w:pPr>
    </w:p>
    <w:p w14:paraId="06F21429" w14:textId="1AF1F31A" w:rsidR="005F69BD" w:rsidRPr="00EB1825" w:rsidRDefault="005F69BD" w:rsidP="00766C07">
      <w:pPr>
        <w:pStyle w:val="3-BodyText"/>
      </w:pPr>
      <w:r w:rsidRPr="00EB1825">
        <w:t>The resubmission reported that, according to PBAC advice (para</w:t>
      </w:r>
      <w:r w:rsidR="00932E19" w:rsidRPr="00EB1825">
        <w:t>graph</w:t>
      </w:r>
      <w:r w:rsidRPr="00EB1825">
        <w:t xml:space="preserve"> 6.49, </w:t>
      </w:r>
      <w:proofErr w:type="spellStart"/>
      <w:r w:rsidRPr="00EB1825">
        <w:t>fezolinetant</w:t>
      </w:r>
      <w:proofErr w:type="spellEnd"/>
      <w:r w:rsidR="00932E19" w:rsidRPr="00EB1825">
        <w:t xml:space="preserve"> </w:t>
      </w:r>
      <w:r w:rsidR="002B316D" w:rsidRPr="00EB1825">
        <w:t>PSD</w:t>
      </w:r>
      <w:r w:rsidRPr="00EB1825">
        <w:t xml:space="preserve"> March 2025</w:t>
      </w:r>
      <w:r w:rsidR="00594680" w:rsidRPr="00EB1825">
        <w:t xml:space="preserve"> PBAC meeting</w:t>
      </w:r>
      <w:r w:rsidRPr="00EB1825">
        <w:t xml:space="preserve">), an additional </w:t>
      </w:r>
      <w:r w:rsidR="00932E19" w:rsidRPr="00EB1825">
        <w:t>LFT</w:t>
      </w:r>
      <w:r w:rsidRPr="00EB1825">
        <w:t xml:space="preserve"> was recommended for all patients receiving </w:t>
      </w:r>
      <w:proofErr w:type="spellStart"/>
      <w:r w:rsidRPr="00EB1825">
        <w:t>fezolinetant</w:t>
      </w:r>
      <w:proofErr w:type="spellEnd"/>
      <w:r w:rsidRPr="00EB1825">
        <w:t xml:space="preserve">. In line with </w:t>
      </w:r>
      <w:r w:rsidR="00365262">
        <w:t>the revised PI</w:t>
      </w:r>
      <w:r w:rsidRPr="00EB1825">
        <w:t xml:space="preserve">, </w:t>
      </w:r>
      <w:r w:rsidR="00932E19" w:rsidRPr="00EB1825">
        <w:t>LFTs</w:t>
      </w:r>
      <w:r w:rsidRPr="00EB1825">
        <w:t xml:space="preserve"> should be conducted at baseline and at 1, 2, 3, 6, and 9 months</w:t>
      </w:r>
      <w:r w:rsidR="00DA6BDF">
        <w:t xml:space="preserve"> and </w:t>
      </w:r>
      <w:r w:rsidR="00CE2DD1" w:rsidRPr="00EB1825">
        <w:t>thereafter periodically based on clinical judgement</w:t>
      </w:r>
      <w:r w:rsidRPr="00EB1825">
        <w:t>.</w:t>
      </w:r>
    </w:p>
    <w:p w14:paraId="0FFC3028" w14:textId="40E4CE1B" w:rsidR="005F69BD" w:rsidRPr="00EB1825" w:rsidRDefault="005F69BD" w:rsidP="00766C07">
      <w:pPr>
        <w:pStyle w:val="3-BodyText"/>
      </w:pPr>
      <w:r w:rsidRPr="00EB1825">
        <w:rPr>
          <w:shd w:val="clear" w:color="auto" w:fill="B8CCE4" w:themeFill="accent1" w:themeFillTint="66"/>
          <w:lang w:eastAsia="en-GB"/>
        </w:rPr>
        <w:t xml:space="preserve">The model included an option to account for indirect costs, including productivity loss and travel expenses as a sensitivity analysis. </w:t>
      </w:r>
      <w:r w:rsidRPr="00EB1825">
        <w:rPr>
          <w:lang w:eastAsia="en-GB"/>
        </w:rPr>
        <w:t>Productivity loss-related costs and travel expenses remained unchanged from the March 2025 submission. These costs were appropriately excluded in the base case.</w:t>
      </w:r>
    </w:p>
    <w:p w14:paraId="58D0180A" w14:textId="4ED8C7B1" w:rsidR="005F69BD" w:rsidRPr="00EB1825" w:rsidRDefault="005F69BD" w:rsidP="00766C07">
      <w:pPr>
        <w:pStyle w:val="3-BodyText"/>
      </w:pPr>
      <w:r w:rsidRPr="00EB1825">
        <w:t xml:space="preserve">A summary of the key drivers of the model is presented </w:t>
      </w:r>
      <w:r w:rsidR="00CF3947" w:rsidRPr="00EB1825">
        <w:t xml:space="preserve">in </w:t>
      </w:r>
      <w:r w:rsidR="00CF3947" w:rsidRPr="00EB1825">
        <w:fldChar w:fldCharType="begin"/>
      </w:r>
      <w:r w:rsidR="00CF3947" w:rsidRPr="00EB1825">
        <w:instrText xml:space="preserve"> REF _Ref204857037 \h </w:instrText>
      </w:r>
      <w:r w:rsidR="00DF5B41" w:rsidRPr="00EB1825">
        <w:instrText xml:space="preserve"> \* MERGEFORMAT </w:instrText>
      </w:r>
      <w:r w:rsidR="00CF3947" w:rsidRPr="00EB1825">
        <w:fldChar w:fldCharType="separate"/>
      </w:r>
      <w:r w:rsidR="00946DF5" w:rsidRPr="00EB1825">
        <w:t xml:space="preserve">Table </w:t>
      </w:r>
      <w:r w:rsidR="00946DF5">
        <w:t>14</w:t>
      </w:r>
      <w:r w:rsidR="00CF3947" w:rsidRPr="00EB1825">
        <w:fldChar w:fldCharType="end"/>
      </w:r>
      <w:r w:rsidRPr="00EB1825">
        <w:t>.</w:t>
      </w:r>
    </w:p>
    <w:p w14:paraId="42372999" w14:textId="1694C406" w:rsidR="005F69BD" w:rsidRPr="00EB1825" w:rsidRDefault="005F69BD" w:rsidP="005F69BD">
      <w:pPr>
        <w:pStyle w:val="Caption"/>
        <w:jc w:val="left"/>
        <w:rPr>
          <w:rStyle w:val="CommentReference"/>
          <w:b/>
          <w:szCs w:val="24"/>
        </w:rPr>
      </w:pPr>
      <w:bookmarkStart w:id="66" w:name="_Ref204857037"/>
      <w:r w:rsidRPr="00EB1825">
        <w:t xml:space="preserve">Table </w:t>
      </w:r>
      <w:r w:rsidR="005B6061">
        <w:fldChar w:fldCharType="begin"/>
      </w:r>
      <w:r w:rsidR="005B6061">
        <w:instrText xml:space="preserve"> SEQ Table \* ARABIC </w:instrText>
      </w:r>
      <w:r w:rsidR="005B6061">
        <w:fldChar w:fldCharType="separate"/>
      </w:r>
      <w:r w:rsidR="00946DF5">
        <w:rPr>
          <w:noProof/>
        </w:rPr>
        <w:t>14</w:t>
      </w:r>
      <w:r w:rsidR="005B6061">
        <w:rPr>
          <w:noProof/>
        </w:rPr>
        <w:fldChar w:fldCharType="end"/>
      </w:r>
      <w:bookmarkEnd w:id="66"/>
      <w:r w:rsidRPr="00EB1825">
        <w:t>:</w:t>
      </w:r>
      <w:r w:rsidRPr="00EB1825">
        <w:rPr>
          <w:rStyle w:val="CommentReference"/>
          <w:b/>
          <w:szCs w:val="24"/>
        </w:rPr>
        <w:t xml:space="preserve"> Key drivers of the model</w:t>
      </w:r>
    </w:p>
    <w:tbl>
      <w:tblPr>
        <w:tblStyle w:val="PBAClayout"/>
        <w:tblW w:w="5000" w:type="pct"/>
        <w:tblLook w:val="04A0" w:firstRow="1" w:lastRow="0" w:firstColumn="1" w:lastColumn="0" w:noHBand="0" w:noVBand="1"/>
        <w:tblCaption w:val="Table 14: Key drivers of the model"/>
      </w:tblPr>
      <w:tblGrid>
        <w:gridCol w:w="1311"/>
        <w:gridCol w:w="5507"/>
        <w:gridCol w:w="2199"/>
      </w:tblGrid>
      <w:tr w:rsidR="005F69BD" w:rsidRPr="00EA029A" w14:paraId="7140264C" w14:textId="77777777" w:rsidTr="0087612A">
        <w:trPr>
          <w:trHeight w:val="20"/>
        </w:trPr>
        <w:tc>
          <w:tcPr>
            <w:tcW w:w="705" w:type="pct"/>
            <w:tcBorders>
              <w:top w:val="single" w:sz="4" w:space="0" w:color="auto"/>
              <w:left w:val="single" w:sz="4" w:space="0" w:color="auto"/>
              <w:bottom w:val="single" w:sz="4" w:space="0" w:color="auto"/>
              <w:right w:val="single" w:sz="4" w:space="0" w:color="auto"/>
            </w:tcBorders>
          </w:tcPr>
          <w:p w14:paraId="5943B6FC" w14:textId="77777777" w:rsidR="005F69BD" w:rsidRPr="00EA029A" w:rsidRDefault="005F69BD" w:rsidP="00EA029A">
            <w:pPr>
              <w:pStyle w:val="In-tableHeading"/>
            </w:pPr>
            <w:r w:rsidRPr="00EA029A">
              <w:t>Description</w:t>
            </w:r>
          </w:p>
        </w:tc>
        <w:tc>
          <w:tcPr>
            <w:tcW w:w="3065" w:type="pct"/>
            <w:tcBorders>
              <w:top w:val="single" w:sz="4" w:space="0" w:color="auto"/>
              <w:left w:val="single" w:sz="4" w:space="0" w:color="auto"/>
              <w:bottom w:val="single" w:sz="4" w:space="0" w:color="auto"/>
              <w:right w:val="single" w:sz="4" w:space="0" w:color="auto"/>
            </w:tcBorders>
          </w:tcPr>
          <w:p w14:paraId="15CFCAAD" w14:textId="77777777" w:rsidR="005F69BD" w:rsidRPr="00EA029A" w:rsidRDefault="005F69BD" w:rsidP="00EA029A">
            <w:pPr>
              <w:pStyle w:val="In-tableHeading"/>
            </w:pPr>
            <w:r w:rsidRPr="00EA029A">
              <w:t>Method/Value</w:t>
            </w:r>
          </w:p>
        </w:tc>
        <w:tc>
          <w:tcPr>
            <w:tcW w:w="1230" w:type="pct"/>
            <w:tcBorders>
              <w:top w:val="single" w:sz="4" w:space="0" w:color="auto"/>
              <w:left w:val="single" w:sz="4" w:space="0" w:color="auto"/>
              <w:bottom w:val="single" w:sz="4" w:space="0" w:color="auto"/>
              <w:right w:val="single" w:sz="4" w:space="0" w:color="auto"/>
            </w:tcBorders>
          </w:tcPr>
          <w:p w14:paraId="5F9EFC41" w14:textId="60F39F66" w:rsidR="005F69BD" w:rsidRPr="00EA029A" w:rsidRDefault="005F69BD" w:rsidP="00EA029A">
            <w:pPr>
              <w:pStyle w:val="In-tableHeading"/>
            </w:pPr>
            <w:r w:rsidRPr="00EA029A">
              <w:t xml:space="preserve">Impact (Base case: </w:t>
            </w:r>
            <w:proofErr w:type="gramStart"/>
            <w:r w:rsidRPr="00EA029A">
              <w:t>$</w:t>
            </w:r>
            <w:r w:rsidR="00E901B5" w:rsidRPr="00E901B5">
              <w:rPr>
                <w:highlight w:val="black"/>
              </w:rPr>
              <w:t>&amp;&amp;&amp;</w:t>
            </w:r>
            <w:proofErr w:type="gramEnd"/>
            <w:r w:rsidR="00E901B5" w:rsidRPr="00E901B5">
              <w:rPr>
                <w:highlight w:val="black"/>
              </w:rPr>
              <w:t>&amp;</w:t>
            </w:r>
            <w:r w:rsidR="00E97629">
              <w:rPr>
                <w:b w:val="0"/>
                <w:bCs/>
                <w:vertAlign w:val="superscript"/>
              </w:rPr>
              <w:t>1</w:t>
            </w:r>
            <w:r w:rsidRPr="00EA029A">
              <w:t>/QALY gained)</w:t>
            </w:r>
          </w:p>
        </w:tc>
      </w:tr>
      <w:tr w:rsidR="005F69BD" w:rsidRPr="00EB1825" w14:paraId="6854E46C" w14:textId="77777777" w:rsidTr="00441C5B">
        <w:trPr>
          <w:trHeight w:val="20"/>
        </w:trPr>
        <w:tc>
          <w:tcPr>
            <w:tcW w:w="7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0A25E6" w14:textId="77777777" w:rsidR="005F69BD" w:rsidRPr="00EB1825" w:rsidRDefault="005F69BD" w:rsidP="00891F79">
            <w:pPr>
              <w:pStyle w:val="TableText0"/>
            </w:pPr>
            <w:r w:rsidRPr="00EB1825">
              <w:t>Model structure</w:t>
            </w:r>
          </w:p>
        </w:tc>
        <w:tc>
          <w:tcPr>
            <w:tcW w:w="306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5CBECC" w14:textId="68048CD5" w:rsidR="005F69BD" w:rsidRPr="00EB1825" w:rsidRDefault="005F69BD" w:rsidP="00891F79">
            <w:pPr>
              <w:pStyle w:val="TableText0"/>
            </w:pPr>
            <w:r w:rsidRPr="00EB1825">
              <w:t>Model structure was based on VMS frequency. The final four health states adopted in the submission may not be entirely appropriate</w:t>
            </w:r>
            <w:r w:rsidR="00074B4B" w:rsidRPr="00EB1825">
              <w:t xml:space="preserve">, </w:t>
            </w:r>
            <w:r w:rsidRPr="00EB1825">
              <w:t xml:space="preserve">given </w:t>
            </w:r>
            <w:r w:rsidR="00074B4B" w:rsidRPr="00EB1825">
              <w:t xml:space="preserve">that </w:t>
            </w:r>
            <w:r w:rsidRPr="00EB1825">
              <w:t xml:space="preserve">mean utilities did not significantly differ between patients with </w:t>
            </w:r>
            <w:r w:rsidR="00074B4B" w:rsidRPr="00EB1825">
              <w:t>‘</w:t>
            </w:r>
            <w:r w:rsidRPr="00EB1825">
              <w:t>2≤ VMS frequency &lt;7’ and ‘7 ≤VMS frequency &lt;9’ based on DAYLIGHT.  Additionally, VMS severity was not considered when determining the health states. The submission also failed to present any alternative analyses, such as latent class analysis, to validate the final VMS frequency groupings. Furthermore, the chosen model structure deviated from the submission's DCE results, which indicated that patients place greater value on a 50% relative reduction in VMS frequency. The model’s structural assumptions are likely very impactful on the ICER but cannot be tested in sensitivity analysis.</w:t>
            </w:r>
          </w:p>
        </w:tc>
        <w:tc>
          <w:tcPr>
            <w:tcW w:w="123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107492" w14:textId="77777777" w:rsidR="005F69BD" w:rsidRPr="00EB1825" w:rsidRDefault="005F69BD" w:rsidP="00891F79">
            <w:pPr>
              <w:pStyle w:val="TableText0"/>
            </w:pPr>
            <w:r w:rsidRPr="00EB1825">
              <w:t>Unclear, can’t be tested.</w:t>
            </w:r>
          </w:p>
        </w:tc>
      </w:tr>
      <w:tr w:rsidR="005F69BD" w:rsidRPr="00EB1825" w14:paraId="42690CD8" w14:textId="77777777" w:rsidTr="00441C5B">
        <w:trPr>
          <w:trHeight w:val="20"/>
        </w:trPr>
        <w:tc>
          <w:tcPr>
            <w:tcW w:w="70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BCBE5D8" w14:textId="77777777" w:rsidR="005F69BD" w:rsidRPr="00EB1825" w:rsidRDefault="005F69BD" w:rsidP="00891F79">
            <w:pPr>
              <w:pStyle w:val="TableText0"/>
            </w:pPr>
            <w:r w:rsidRPr="00EB1825">
              <w:t xml:space="preserve">Time horizon </w:t>
            </w:r>
          </w:p>
        </w:tc>
        <w:tc>
          <w:tcPr>
            <w:tcW w:w="306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3D4471" w14:textId="2934E69D" w:rsidR="005F69BD" w:rsidRPr="00EB1825" w:rsidRDefault="005F69BD" w:rsidP="00891F79">
            <w:pPr>
              <w:pStyle w:val="TableText0"/>
            </w:pPr>
            <w:r w:rsidRPr="00EB1825">
              <w:t>Base case time horizon was 10 years. Data w</w:t>
            </w:r>
            <w:r w:rsidR="000F54F9" w:rsidRPr="00EB1825">
              <w:t>ere</w:t>
            </w:r>
            <w:r w:rsidRPr="00EB1825">
              <w:t>, however, only available for up to 24 weeks in DAYLIGHT. Beyond 24 weeks, treatment effects in the model were extrapolated based on the assumption of maintaining the same benefit whilst on treatment.</w:t>
            </w:r>
          </w:p>
        </w:tc>
        <w:tc>
          <w:tcPr>
            <w:tcW w:w="1230" w:type="pct"/>
            <w:tcBorders>
              <w:top w:val="single" w:sz="4" w:space="0" w:color="auto"/>
              <w:left w:val="single" w:sz="4" w:space="0" w:color="auto"/>
              <w:bottom w:val="single" w:sz="4" w:space="0" w:color="auto"/>
              <w:right w:val="single" w:sz="4" w:space="0" w:color="auto"/>
            </w:tcBorders>
          </w:tcPr>
          <w:p w14:paraId="61778CFF" w14:textId="2C030C9D" w:rsidR="005F69BD" w:rsidRPr="00EB1825" w:rsidRDefault="005F69BD" w:rsidP="00891F79">
            <w:pPr>
              <w:pStyle w:val="TableText0"/>
            </w:pPr>
            <w:r w:rsidRPr="00EB1825">
              <w:t xml:space="preserve">High, favours </w:t>
            </w:r>
            <w:proofErr w:type="spellStart"/>
            <w:r w:rsidRPr="00EB1825">
              <w:t>fezolinetant</w:t>
            </w:r>
            <w:proofErr w:type="spellEnd"/>
            <w:r w:rsidRPr="00EB1825">
              <w:t xml:space="preserve">. Reducing the time horizon to 5 years increased the ICER </w:t>
            </w:r>
            <w:r w:rsidR="00932E19" w:rsidRPr="00EB1825">
              <w:t xml:space="preserve">by </w:t>
            </w:r>
            <w:r w:rsidR="00E901B5" w:rsidRPr="00E901B5">
              <w:rPr>
                <w:highlight w:val="black"/>
              </w:rPr>
              <w:t>&amp;&amp;&amp;&amp;</w:t>
            </w:r>
            <w:r w:rsidRPr="00EB1825">
              <w:t>% to $</w:t>
            </w:r>
            <w:r w:rsidR="00E901B5" w:rsidRPr="00E901B5">
              <w:rPr>
                <w:highlight w:val="black"/>
              </w:rPr>
              <w:t>&amp;&amp;&amp;&amp;</w:t>
            </w:r>
            <w:r w:rsidR="00050BA0">
              <w:rPr>
                <w:vertAlign w:val="superscript"/>
              </w:rPr>
              <w:t>2</w:t>
            </w:r>
            <w:r w:rsidRPr="00EB1825">
              <w:t xml:space="preserve"> per QALY gained.</w:t>
            </w:r>
          </w:p>
        </w:tc>
      </w:tr>
      <w:tr w:rsidR="005F69BD" w:rsidRPr="00EB1825" w14:paraId="7ACDE3B4" w14:textId="77777777" w:rsidTr="00441C5B">
        <w:trPr>
          <w:trHeight w:val="20"/>
        </w:trPr>
        <w:tc>
          <w:tcPr>
            <w:tcW w:w="705" w:type="pct"/>
            <w:tcBorders>
              <w:top w:val="single" w:sz="4" w:space="0" w:color="auto"/>
              <w:left w:val="single" w:sz="4" w:space="0" w:color="auto"/>
              <w:bottom w:val="single" w:sz="4" w:space="0" w:color="auto"/>
              <w:right w:val="single" w:sz="4" w:space="0" w:color="auto"/>
            </w:tcBorders>
            <w:shd w:val="clear" w:color="auto" w:fill="FFFFFF" w:themeFill="background1"/>
          </w:tcPr>
          <w:p w14:paraId="531E9E1F" w14:textId="77777777" w:rsidR="005F69BD" w:rsidRPr="00EB1825" w:rsidRDefault="005F69BD" w:rsidP="00891F79">
            <w:pPr>
              <w:pStyle w:val="TableText0"/>
            </w:pPr>
            <w:r w:rsidRPr="00EB1825">
              <w:t>Treatment discontinuation</w:t>
            </w:r>
          </w:p>
        </w:tc>
        <w:tc>
          <w:tcPr>
            <w:tcW w:w="3065" w:type="pct"/>
            <w:tcBorders>
              <w:top w:val="single" w:sz="4" w:space="0" w:color="auto"/>
              <w:left w:val="single" w:sz="4" w:space="0" w:color="auto"/>
              <w:bottom w:val="single" w:sz="4" w:space="0" w:color="auto"/>
              <w:right w:val="single" w:sz="4" w:space="0" w:color="auto"/>
            </w:tcBorders>
            <w:shd w:val="clear" w:color="auto" w:fill="FFFFFF" w:themeFill="background1"/>
          </w:tcPr>
          <w:p w14:paraId="58A4FB6E" w14:textId="2442BF70" w:rsidR="005F69BD" w:rsidRPr="00EB1825" w:rsidRDefault="005F69BD" w:rsidP="00891F79">
            <w:pPr>
              <w:pStyle w:val="TableText0"/>
            </w:pPr>
            <w:r w:rsidRPr="00EB1825">
              <w:rPr>
                <w:shd w:val="clear" w:color="auto" w:fill="B8CCE4" w:themeFill="accent1" w:themeFillTint="66"/>
              </w:rPr>
              <w:t>Discontinuation was sourced from DAYLIGHT and SKYLIGHT</w:t>
            </w:r>
            <w:r w:rsidR="00932E19" w:rsidRPr="00EB1825">
              <w:rPr>
                <w:shd w:val="clear" w:color="auto" w:fill="B8CCE4" w:themeFill="accent1" w:themeFillTint="66"/>
              </w:rPr>
              <w:t xml:space="preserve"> </w:t>
            </w:r>
            <w:r w:rsidRPr="00EB1825">
              <w:rPr>
                <w:shd w:val="clear" w:color="auto" w:fill="B8CCE4" w:themeFill="accent1" w:themeFillTint="66"/>
              </w:rPr>
              <w:t xml:space="preserve">1 and 2 for </w:t>
            </w:r>
            <w:proofErr w:type="spellStart"/>
            <w:r w:rsidRPr="00EB1825">
              <w:rPr>
                <w:shd w:val="clear" w:color="auto" w:fill="B8CCE4" w:themeFill="accent1" w:themeFillTint="66"/>
              </w:rPr>
              <w:t>fezolinetant</w:t>
            </w:r>
            <w:proofErr w:type="spellEnd"/>
            <w:r w:rsidRPr="00EB1825">
              <w:rPr>
                <w:shd w:val="clear" w:color="auto" w:fill="B8CCE4" w:themeFill="accent1" w:themeFillTint="66"/>
              </w:rPr>
              <w:t xml:space="preserve">, and from DAYLIGHT for the no treatment arm. At discontinuation, the model assumed that the patient returns to baseline event frequency. The ESC </w:t>
            </w:r>
            <w:r w:rsidR="00BA58FF" w:rsidRPr="00EB1825">
              <w:rPr>
                <w:shd w:val="clear" w:color="auto" w:fill="B8CCE4" w:themeFill="accent1" w:themeFillTint="66"/>
              </w:rPr>
              <w:t xml:space="preserve">previously </w:t>
            </w:r>
            <w:r w:rsidRPr="00EB1825">
              <w:rPr>
                <w:shd w:val="clear" w:color="auto" w:fill="B8CCE4" w:themeFill="accent1" w:themeFillTint="66"/>
              </w:rPr>
              <w:t xml:space="preserve">noted that the model may have double-counted discontinuation in the no treatment arm by assuming both a higher likelihood of symptom worsening and a higher discontinuation rate leading to a return to baseline, potentially biasing the results in favour of </w:t>
            </w:r>
            <w:proofErr w:type="spellStart"/>
            <w:r w:rsidRPr="00EB1825">
              <w:rPr>
                <w:shd w:val="clear" w:color="auto" w:fill="B8CCE4" w:themeFill="accent1" w:themeFillTint="66"/>
              </w:rPr>
              <w:t>fezolinetant</w:t>
            </w:r>
            <w:proofErr w:type="spellEnd"/>
            <w:r w:rsidRPr="00EB1825">
              <w:rPr>
                <w:shd w:val="clear" w:color="auto" w:fill="B8CCE4" w:themeFill="accent1" w:themeFillTint="66"/>
              </w:rPr>
              <w:t xml:space="preserve">. The ESC recommended modelling discontinuation based on event frequency and applying it equally (para 6.57, </w:t>
            </w:r>
            <w:proofErr w:type="spellStart"/>
            <w:r w:rsidRPr="00EB1825">
              <w:rPr>
                <w:shd w:val="clear" w:color="auto" w:fill="B8CCE4" w:themeFill="accent1" w:themeFillTint="66"/>
              </w:rPr>
              <w:t>fezolinetant</w:t>
            </w:r>
            <w:proofErr w:type="spellEnd"/>
            <w:r w:rsidR="00932E19" w:rsidRPr="00EB1825">
              <w:rPr>
                <w:shd w:val="clear" w:color="auto" w:fill="B8CCE4" w:themeFill="accent1" w:themeFillTint="66"/>
              </w:rPr>
              <w:t xml:space="preserve"> </w:t>
            </w:r>
            <w:r w:rsidR="008A09A4" w:rsidRPr="00EB1825">
              <w:rPr>
                <w:shd w:val="clear" w:color="auto" w:fill="B8CCE4" w:themeFill="accent1" w:themeFillTint="66"/>
              </w:rPr>
              <w:t>PSD</w:t>
            </w:r>
            <w:r w:rsidRPr="00EB1825">
              <w:rPr>
                <w:shd w:val="clear" w:color="auto" w:fill="B8CCE4" w:themeFill="accent1" w:themeFillTint="66"/>
              </w:rPr>
              <w:t xml:space="preserve"> March 2025</w:t>
            </w:r>
            <w:r w:rsidR="007F4DFB" w:rsidRPr="00EB1825">
              <w:rPr>
                <w:shd w:val="clear" w:color="auto" w:fill="B8CCE4" w:themeFill="accent1" w:themeFillTint="66"/>
              </w:rPr>
              <w:t>)</w:t>
            </w:r>
            <w:r w:rsidR="00ED5F92" w:rsidRPr="00EB1825">
              <w:t>.</w:t>
            </w:r>
            <w:r w:rsidR="007F4DFB" w:rsidRPr="00EB1825">
              <w:t xml:space="preserve"> </w:t>
            </w:r>
            <w:r w:rsidR="00ED5F92" w:rsidRPr="00EB1825">
              <w:t>This</w:t>
            </w:r>
            <w:r w:rsidR="007F4DFB" w:rsidRPr="00EB1825">
              <w:t xml:space="preserve"> was not addressed by the resubmission.</w:t>
            </w:r>
          </w:p>
        </w:tc>
        <w:tc>
          <w:tcPr>
            <w:tcW w:w="1230" w:type="pct"/>
            <w:tcBorders>
              <w:top w:val="single" w:sz="4" w:space="0" w:color="auto"/>
              <w:left w:val="single" w:sz="4" w:space="0" w:color="auto"/>
              <w:bottom w:val="single" w:sz="4" w:space="0" w:color="auto"/>
              <w:right w:val="single" w:sz="4" w:space="0" w:color="auto"/>
            </w:tcBorders>
            <w:shd w:val="clear" w:color="auto" w:fill="FFFFFF" w:themeFill="background1"/>
          </w:tcPr>
          <w:p w14:paraId="4C4E8194" w14:textId="36C04925" w:rsidR="005F69BD" w:rsidRPr="00EB1825" w:rsidRDefault="005F69BD" w:rsidP="00891F79">
            <w:pPr>
              <w:pStyle w:val="TableText0"/>
            </w:pPr>
            <w:r w:rsidRPr="00EB1825">
              <w:t xml:space="preserve">High, favours </w:t>
            </w:r>
            <w:proofErr w:type="spellStart"/>
            <w:r w:rsidRPr="00EB1825">
              <w:t>fezolinetant</w:t>
            </w:r>
            <w:proofErr w:type="spellEnd"/>
            <w:r w:rsidRPr="00EB1825">
              <w:t>. The impact was not test</w:t>
            </w:r>
            <w:r w:rsidR="00074B4B" w:rsidRPr="00EB1825">
              <w:t>ed</w:t>
            </w:r>
            <w:r w:rsidRPr="00EB1825">
              <w:t xml:space="preserve"> by the resubmission</w:t>
            </w:r>
            <w:r w:rsidR="00074B4B" w:rsidRPr="00EB1825">
              <w:t xml:space="preserve">. The </w:t>
            </w:r>
            <w:r w:rsidRPr="00EB1825">
              <w:t>impact remain</w:t>
            </w:r>
            <w:r w:rsidR="00074B4B" w:rsidRPr="00EB1825">
              <w:t>ed</w:t>
            </w:r>
            <w:r w:rsidRPr="00EB1825">
              <w:t xml:space="preserve"> unclear.</w:t>
            </w:r>
          </w:p>
        </w:tc>
      </w:tr>
      <w:tr w:rsidR="007F0DBD" w:rsidRPr="00EB1825" w14:paraId="6EAC54D5" w14:textId="77777777" w:rsidTr="00441C5B">
        <w:trPr>
          <w:trHeight w:val="20"/>
        </w:trPr>
        <w:tc>
          <w:tcPr>
            <w:tcW w:w="705" w:type="pct"/>
            <w:tcBorders>
              <w:top w:val="single" w:sz="4" w:space="0" w:color="auto"/>
              <w:left w:val="single" w:sz="4" w:space="0" w:color="auto"/>
              <w:bottom w:val="single" w:sz="4" w:space="0" w:color="auto"/>
              <w:right w:val="single" w:sz="4" w:space="0" w:color="auto"/>
            </w:tcBorders>
            <w:shd w:val="clear" w:color="auto" w:fill="FFFFFF" w:themeFill="background1"/>
          </w:tcPr>
          <w:p w14:paraId="496CBDE9" w14:textId="791AD60C" w:rsidR="00F011E6" w:rsidRPr="00EB1825" w:rsidRDefault="00F011E6" w:rsidP="00F011E6">
            <w:pPr>
              <w:pStyle w:val="TableText0"/>
            </w:pPr>
            <w:r w:rsidRPr="00EB1825">
              <w:t>Compliance rate</w:t>
            </w:r>
          </w:p>
        </w:tc>
        <w:tc>
          <w:tcPr>
            <w:tcW w:w="3065" w:type="pct"/>
            <w:tcBorders>
              <w:top w:val="single" w:sz="4" w:space="0" w:color="auto"/>
              <w:left w:val="single" w:sz="4" w:space="0" w:color="auto"/>
              <w:bottom w:val="single" w:sz="4" w:space="0" w:color="auto"/>
              <w:right w:val="single" w:sz="4" w:space="0" w:color="auto"/>
            </w:tcBorders>
            <w:shd w:val="clear" w:color="auto" w:fill="FFFFFF" w:themeFill="background1"/>
          </w:tcPr>
          <w:p w14:paraId="5059781D" w14:textId="71C0FD47" w:rsidR="00192344" w:rsidRPr="00EB1825" w:rsidRDefault="007C1336" w:rsidP="00F011E6">
            <w:pPr>
              <w:pStyle w:val="TableText0"/>
            </w:pPr>
            <w:r w:rsidRPr="00EB1825">
              <w:t xml:space="preserve">The base-case compliance rate from a real-world study was 77.9%, higher than the DAYLIGHT study’s ≥168-day exposure rate of 68.1% (para 5.6, DAYLIGHT CSR). </w:t>
            </w:r>
            <w:proofErr w:type="gramStart"/>
            <w:r w:rsidR="002D555C" w:rsidRPr="00EB1825">
              <w:t>However</w:t>
            </w:r>
            <w:proofErr w:type="gramEnd"/>
            <w:r w:rsidR="002D555C" w:rsidRPr="00EB1825">
              <w:t xml:space="preserve"> application of a compliance rate </w:t>
            </w:r>
            <w:r w:rsidR="004F7A69" w:rsidRPr="00EB1825">
              <w:t>was less conservative that the previous submission.</w:t>
            </w:r>
          </w:p>
          <w:p w14:paraId="6BBE610B" w14:textId="65B0D56C" w:rsidR="00F011E6" w:rsidRPr="00EB1825" w:rsidRDefault="00CF5064" w:rsidP="00F011E6">
            <w:pPr>
              <w:pStyle w:val="TableText0"/>
            </w:pPr>
            <w:r w:rsidRPr="00EB1825">
              <w:t xml:space="preserve"> </w:t>
            </w:r>
          </w:p>
        </w:tc>
        <w:tc>
          <w:tcPr>
            <w:tcW w:w="1230" w:type="pct"/>
            <w:tcBorders>
              <w:top w:val="single" w:sz="4" w:space="0" w:color="auto"/>
              <w:left w:val="single" w:sz="4" w:space="0" w:color="auto"/>
              <w:bottom w:val="single" w:sz="4" w:space="0" w:color="auto"/>
              <w:right w:val="single" w:sz="4" w:space="0" w:color="auto"/>
            </w:tcBorders>
            <w:shd w:val="clear" w:color="auto" w:fill="FFFFFF" w:themeFill="background1"/>
          </w:tcPr>
          <w:p w14:paraId="245332B1" w14:textId="197F2DB9" w:rsidR="006C39F3" w:rsidRPr="00EB1825" w:rsidRDefault="00392092" w:rsidP="00F011E6">
            <w:pPr>
              <w:pStyle w:val="TableText0"/>
            </w:pPr>
            <w:r w:rsidRPr="00EB1825">
              <w:t>Unclear</w:t>
            </w:r>
            <w:r w:rsidR="00F011E6" w:rsidRPr="00EB1825">
              <w:t xml:space="preserve">. </w:t>
            </w:r>
          </w:p>
          <w:p w14:paraId="019DD531" w14:textId="15E92166" w:rsidR="00F011E6" w:rsidRPr="00EB1825" w:rsidRDefault="00F011E6" w:rsidP="00F011E6">
            <w:pPr>
              <w:pStyle w:val="TableText0"/>
            </w:pPr>
            <w:r w:rsidRPr="00EB1825">
              <w:t xml:space="preserve">Adjusting this to the compliance rate observed in DAYLIGHT results in a </w:t>
            </w:r>
            <w:r w:rsidR="00E901B5" w:rsidRPr="00E901B5">
              <w:rPr>
                <w:highlight w:val="black"/>
              </w:rPr>
              <w:t>&amp;&amp;&amp;&amp;</w:t>
            </w:r>
            <w:r w:rsidRPr="00EB1825">
              <w:t>% decrease in the ICER.</w:t>
            </w:r>
            <w:r w:rsidR="00EB7127" w:rsidRPr="00EB1825">
              <w:t xml:space="preserve"> Additionally, assuming a 100% compliance rate increases the ICER by </w:t>
            </w:r>
            <w:r w:rsidR="00E901B5" w:rsidRPr="00E901B5">
              <w:rPr>
                <w:highlight w:val="black"/>
              </w:rPr>
              <w:t>&amp;&amp;&amp;&amp;</w:t>
            </w:r>
            <w:r w:rsidR="00EB7127" w:rsidRPr="00EB1825">
              <w:t>%.</w:t>
            </w:r>
          </w:p>
        </w:tc>
      </w:tr>
    </w:tbl>
    <w:p w14:paraId="2001EA08" w14:textId="77777777" w:rsidR="005F69BD" w:rsidRPr="00EB1825" w:rsidRDefault="005F69BD" w:rsidP="005F69BD">
      <w:pPr>
        <w:pStyle w:val="TableFigureFooter"/>
      </w:pPr>
      <w:r w:rsidRPr="00EB1825">
        <w:t xml:space="preserve">Source: compiled during the evaluation. </w:t>
      </w:r>
    </w:p>
    <w:p w14:paraId="047BF845" w14:textId="431F5404" w:rsidR="005F69BD" w:rsidRPr="00EB1825" w:rsidRDefault="007C1336" w:rsidP="00BF04CC">
      <w:pPr>
        <w:pStyle w:val="TableFigureFooter"/>
        <w:spacing w:after="0"/>
        <w:rPr>
          <w:rStyle w:val="CommentReference"/>
          <w:b w:val="0"/>
          <w:sz w:val="18"/>
          <w:szCs w:val="22"/>
        </w:rPr>
      </w:pPr>
      <w:r w:rsidRPr="00EB1825">
        <w:t xml:space="preserve">CSR=clinical study report; </w:t>
      </w:r>
      <w:r w:rsidR="005F69BD" w:rsidRPr="00EB1825">
        <w:t>DCE= discrete choice experiment, VMS=vasomotor symptoms, ICER=incremental cost-effectiveness ratio, QALYs=quality-adjusted life-yea</w:t>
      </w:r>
      <w:r w:rsidR="005F69BD" w:rsidRPr="00EB1825">
        <w:rPr>
          <w:rStyle w:val="CommentReference"/>
          <w:b w:val="0"/>
          <w:sz w:val="18"/>
          <w:szCs w:val="22"/>
        </w:rPr>
        <w:t>r.</w:t>
      </w:r>
    </w:p>
    <w:p w14:paraId="1C6153FC" w14:textId="77777777" w:rsidR="007F1D1A" w:rsidRDefault="00BF04CC" w:rsidP="00401D31">
      <w:pPr>
        <w:rPr>
          <w:rFonts w:ascii="Arial Narrow" w:hAnsi="Arial Narrow"/>
          <w:snapToGrid w:val="0"/>
          <w:sz w:val="18"/>
          <w:szCs w:val="22"/>
        </w:rPr>
      </w:pPr>
      <w:r w:rsidRPr="00EB1825">
        <w:rPr>
          <w:rFonts w:ascii="Arial Narrow" w:hAnsi="Arial Narrow"/>
          <w:snapToGrid w:val="0"/>
          <w:sz w:val="18"/>
          <w:szCs w:val="22"/>
          <w:shd w:val="clear" w:color="auto" w:fill="B8CCE4" w:themeFill="accent1" w:themeFillTint="66"/>
        </w:rPr>
        <w:t>Blue</w:t>
      </w:r>
      <w:r w:rsidRPr="00EB1825">
        <w:rPr>
          <w:rFonts w:ascii="Arial Narrow" w:hAnsi="Arial Narrow"/>
          <w:snapToGrid w:val="0"/>
          <w:sz w:val="18"/>
          <w:szCs w:val="22"/>
        </w:rPr>
        <w:t xml:space="preserve"> shading indicates data previously seen by the PBAC.</w:t>
      </w:r>
    </w:p>
    <w:p w14:paraId="222370AB" w14:textId="0845A981" w:rsidR="00401D31" w:rsidRPr="00401D31" w:rsidRDefault="00401D31" w:rsidP="00401D31">
      <w:pPr>
        <w:rPr>
          <w:rFonts w:ascii="Arial Narrow" w:hAnsi="Arial Narrow"/>
          <w:i/>
          <w:snapToGrid w:val="0"/>
          <w:sz w:val="18"/>
          <w:szCs w:val="22"/>
        </w:rPr>
      </w:pPr>
      <w:r w:rsidRPr="00401D31">
        <w:rPr>
          <w:rFonts w:ascii="Arial Narrow" w:hAnsi="Arial Narrow"/>
          <w:i/>
          <w:snapToGrid w:val="0"/>
          <w:sz w:val="18"/>
          <w:szCs w:val="22"/>
        </w:rPr>
        <w:t xml:space="preserve">The redacted values correspond to the following ranges: </w:t>
      </w:r>
    </w:p>
    <w:p w14:paraId="09D522E1" w14:textId="77777777" w:rsidR="00E97629" w:rsidRDefault="00401D31" w:rsidP="00401D31">
      <w:pPr>
        <w:rPr>
          <w:rFonts w:ascii="Arial Narrow" w:hAnsi="Arial Narrow"/>
          <w:i/>
          <w:snapToGrid w:val="0"/>
          <w:sz w:val="18"/>
          <w:szCs w:val="22"/>
        </w:rPr>
      </w:pPr>
      <w:r w:rsidRPr="00401D31">
        <w:rPr>
          <w:rFonts w:ascii="Arial Narrow" w:hAnsi="Arial Narrow"/>
          <w:i/>
          <w:snapToGrid w:val="0"/>
          <w:sz w:val="18"/>
          <w:szCs w:val="22"/>
          <w:vertAlign w:val="superscript"/>
        </w:rPr>
        <w:t>1</w:t>
      </w:r>
      <w:r w:rsidRPr="00401D31">
        <w:rPr>
          <w:rFonts w:ascii="Arial Narrow" w:hAnsi="Arial Narrow"/>
          <w:i/>
          <w:snapToGrid w:val="0"/>
          <w:sz w:val="18"/>
          <w:szCs w:val="22"/>
        </w:rPr>
        <w:t xml:space="preserve"> </w:t>
      </w:r>
      <w:r w:rsidR="00E97629" w:rsidRPr="00E97629">
        <w:rPr>
          <w:rFonts w:ascii="Arial Narrow" w:hAnsi="Arial Narrow"/>
          <w:i/>
          <w:snapToGrid w:val="0"/>
          <w:sz w:val="18"/>
          <w:szCs w:val="22"/>
        </w:rPr>
        <w:t>$15,000 to &lt; $25,000</w:t>
      </w:r>
    </w:p>
    <w:p w14:paraId="44A61E45" w14:textId="0E877BE7" w:rsidR="00401D31" w:rsidRPr="00401D31" w:rsidRDefault="00E97629" w:rsidP="00401D31">
      <w:pPr>
        <w:rPr>
          <w:rFonts w:ascii="Arial Narrow" w:hAnsi="Arial Narrow"/>
          <w:i/>
          <w:snapToGrid w:val="0"/>
          <w:sz w:val="18"/>
          <w:szCs w:val="22"/>
          <w:vertAlign w:val="superscript"/>
        </w:rPr>
      </w:pPr>
      <w:r>
        <w:rPr>
          <w:rFonts w:ascii="Arial Narrow" w:hAnsi="Arial Narrow"/>
          <w:i/>
          <w:snapToGrid w:val="0"/>
          <w:sz w:val="18"/>
          <w:szCs w:val="22"/>
          <w:vertAlign w:val="superscript"/>
        </w:rPr>
        <w:t>2</w:t>
      </w:r>
      <w:r w:rsidR="00392D87">
        <w:rPr>
          <w:rFonts w:ascii="Arial Narrow" w:hAnsi="Arial Narrow"/>
          <w:i/>
          <w:snapToGrid w:val="0"/>
          <w:sz w:val="18"/>
          <w:szCs w:val="22"/>
          <w:vertAlign w:val="superscript"/>
        </w:rPr>
        <w:t xml:space="preserve"> </w:t>
      </w:r>
      <w:r w:rsidR="00392D87" w:rsidRPr="00392D87">
        <w:rPr>
          <w:rFonts w:ascii="Arial Narrow" w:hAnsi="Arial Narrow"/>
          <w:i/>
          <w:snapToGrid w:val="0"/>
          <w:sz w:val="18"/>
          <w:szCs w:val="22"/>
        </w:rPr>
        <w:t>$25,000 to &lt; $35,000</w:t>
      </w:r>
    </w:p>
    <w:p w14:paraId="24040963" w14:textId="33E42837" w:rsidR="00BF04CC" w:rsidRPr="00EB1825" w:rsidRDefault="00BF04CC" w:rsidP="00BF04CC">
      <w:pPr>
        <w:rPr>
          <w:rFonts w:ascii="Arial Narrow" w:hAnsi="Arial Narrow"/>
          <w:snapToGrid w:val="0"/>
          <w:sz w:val="18"/>
          <w:szCs w:val="22"/>
        </w:rPr>
      </w:pPr>
    </w:p>
    <w:p w14:paraId="4D3B5CD1" w14:textId="77777777" w:rsidR="00BF04CC" w:rsidRPr="00EB1825" w:rsidRDefault="00BF04CC" w:rsidP="00BF04CC">
      <w:pPr>
        <w:pStyle w:val="FooterTableFigure"/>
      </w:pPr>
    </w:p>
    <w:p w14:paraId="22F02DDC" w14:textId="0B9CA5FA" w:rsidR="005F69BD" w:rsidRPr="00EB1825" w:rsidRDefault="005F69BD" w:rsidP="00766C07">
      <w:pPr>
        <w:pStyle w:val="3-BodyText"/>
      </w:pPr>
      <w:r w:rsidRPr="00EB1825">
        <w:t>A summary of the stepped economic analyses is presented in</w:t>
      </w:r>
      <w:r w:rsidR="00CF3947" w:rsidRPr="00EB1825">
        <w:t xml:space="preserve"> </w:t>
      </w:r>
      <w:r w:rsidR="00CF3947" w:rsidRPr="00EB1825">
        <w:fldChar w:fldCharType="begin"/>
      </w:r>
      <w:r w:rsidR="00CF3947" w:rsidRPr="00EB1825">
        <w:instrText xml:space="preserve"> REF _Ref204857069 \h </w:instrText>
      </w:r>
      <w:r w:rsidR="00225768" w:rsidRPr="00EB1825">
        <w:instrText xml:space="preserve"> \* MERGEFORMAT </w:instrText>
      </w:r>
      <w:r w:rsidR="00CF3947" w:rsidRPr="00EB1825">
        <w:fldChar w:fldCharType="separate"/>
      </w:r>
      <w:r w:rsidR="00946DF5" w:rsidRPr="00EB1825">
        <w:t xml:space="preserve">Table </w:t>
      </w:r>
      <w:r w:rsidR="00946DF5">
        <w:t>15</w:t>
      </w:r>
      <w:r w:rsidR="00CF3947" w:rsidRPr="00EB1825">
        <w:fldChar w:fldCharType="end"/>
      </w:r>
      <w:r w:rsidRPr="00EB1825">
        <w:t>. The estimated base case ICER for the proposed scenario (</w:t>
      </w:r>
      <w:proofErr w:type="spellStart"/>
      <w:r w:rsidRPr="00EB1825">
        <w:t>fezolinetant</w:t>
      </w:r>
      <w:proofErr w:type="spellEnd"/>
      <w:r w:rsidRPr="00EB1825">
        <w:t xml:space="preserve">) versus the current scenario (no treatment) was </w:t>
      </w:r>
      <w:r w:rsidR="008A0A84" w:rsidRPr="008A0A84">
        <w:t>$15,000 to &lt; $25,000</w:t>
      </w:r>
      <w:r w:rsidR="008A0A84">
        <w:t xml:space="preserve"> </w:t>
      </w:r>
      <w:r w:rsidRPr="00EB1825">
        <w:t xml:space="preserve">per QALY gained. </w:t>
      </w:r>
    </w:p>
    <w:p w14:paraId="731C0CA3" w14:textId="0CD632D4" w:rsidR="005F69BD" w:rsidRPr="00EB1825" w:rsidRDefault="005F69BD" w:rsidP="005F69BD">
      <w:pPr>
        <w:pStyle w:val="Caption"/>
      </w:pPr>
      <w:bookmarkStart w:id="67" w:name="_Ref204857069"/>
      <w:r w:rsidRPr="00EB1825">
        <w:t xml:space="preserve">Table </w:t>
      </w:r>
      <w:r w:rsidR="005B6061">
        <w:fldChar w:fldCharType="begin"/>
      </w:r>
      <w:r w:rsidR="005B6061">
        <w:instrText xml:space="preserve"> SEQ Table \* ARABIC </w:instrText>
      </w:r>
      <w:r w:rsidR="005B6061">
        <w:fldChar w:fldCharType="separate"/>
      </w:r>
      <w:r w:rsidR="00946DF5">
        <w:rPr>
          <w:noProof/>
        </w:rPr>
        <w:t>15</w:t>
      </w:r>
      <w:r w:rsidR="005B6061">
        <w:rPr>
          <w:noProof/>
        </w:rPr>
        <w:fldChar w:fldCharType="end"/>
      </w:r>
      <w:bookmarkEnd w:id="67"/>
      <w:r w:rsidRPr="00EB1825">
        <w:t>:</w:t>
      </w:r>
      <w:r w:rsidRPr="00EB1825">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w:tblPr>
      <w:tblGrid>
        <w:gridCol w:w="2264"/>
        <w:gridCol w:w="1134"/>
        <w:gridCol w:w="1134"/>
        <w:gridCol w:w="1134"/>
        <w:gridCol w:w="1133"/>
        <w:gridCol w:w="1221"/>
        <w:gridCol w:w="997"/>
      </w:tblGrid>
      <w:tr w:rsidR="005F69BD" w:rsidRPr="00EB1825" w14:paraId="08D57A91" w14:textId="77777777" w:rsidTr="00891F79">
        <w:trPr>
          <w:tblHeader/>
        </w:trPr>
        <w:tc>
          <w:tcPr>
            <w:tcW w:w="1255" w:type="pct"/>
            <w:tcBorders>
              <w:top w:val="single" w:sz="4" w:space="0" w:color="auto"/>
              <w:left w:val="single" w:sz="4" w:space="0" w:color="auto"/>
              <w:bottom w:val="single" w:sz="4" w:space="0" w:color="auto"/>
              <w:right w:val="single" w:sz="4" w:space="0" w:color="auto"/>
            </w:tcBorders>
          </w:tcPr>
          <w:p w14:paraId="161DC081" w14:textId="77777777" w:rsidR="005F69BD" w:rsidRPr="00EB1825" w:rsidRDefault="005F69BD" w:rsidP="00891F79">
            <w:pPr>
              <w:pStyle w:val="In-tableHeading"/>
              <w:rPr>
                <w:szCs w:val="20"/>
                <w:lang w:val="en-AU"/>
              </w:rPr>
            </w:pPr>
          </w:p>
        </w:tc>
        <w:tc>
          <w:tcPr>
            <w:tcW w:w="1886"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E6ECEF0" w14:textId="77777777" w:rsidR="005F69BD" w:rsidRPr="00EB1825" w:rsidRDefault="005F69BD" w:rsidP="00891F79">
            <w:pPr>
              <w:pStyle w:val="In-tableHeading"/>
              <w:jc w:val="center"/>
              <w:rPr>
                <w:szCs w:val="20"/>
                <w:lang w:val="en-AU"/>
              </w:rPr>
            </w:pPr>
            <w:r w:rsidRPr="00EB1825">
              <w:rPr>
                <w:szCs w:val="20"/>
                <w:lang w:val="en-AU"/>
              </w:rPr>
              <w:t>March 2025 submission</w:t>
            </w:r>
          </w:p>
        </w:tc>
        <w:tc>
          <w:tcPr>
            <w:tcW w:w="1858" w:type="pct"/>
            <w:gridSpan w:val="3"/>
            <w:tcBorders>
              <w:top w:val="single" w:sz="4" w:space="0" w:color="auto"/>
              <w:left w:val="single" w:sz="4" w:space="0" w:color="auto"/>
              <w:bottom w:val="single" w:sz="4" w:space="0" w:color="auto"/>
              <w:right w:val="single" w:sz="4" w:space="0" w:color="auto"/>
            </w:tcBorders>
            <w:hideMark/>
          </w:tcPr>
          <w:p w14:paraId="4C0577E5" w14:textId="77777777" w:rsidR="005F69BD" w:rsidRPr="00EB1825" w:rsidRDefault="005F69BD" w:rsidP="00891F79">
            <w:pPr>
              <w:pStyle w:val="In-tableHeading"/>
              <w:jc w:val="center"/>
              <w:rPr>
                <w:szCs w:val="20"/>
                <w:lang w:val="en-AU"/>
              </w:rPr>
            </w:pPr>
            <w:r w:rsidRPr="00EB1825">
              <w:rPr>
                <w:szCs w:val="20"/>
                <w:lang w:val="en-AU"/>
              </w:rPr>
              <w:t>Resubmission</w:t>
            </w:r>
          </w:p>
        </w:tc>
      </w:tr>
      <w:tr w:rsidR="005F69BD" w:rsidRPr="00EB1825" w14:paraId="49A3EF4D" w14:textId="77777777" w:rsidTr="00891F79">
        <w:trPr>
          <w:tblHeader/>
        </w:trPr>
        <w:tc>
          <w:tcPr>
            <w:tcW w:w="1255" w:type="pct"/>
            <w:tcBorders>
              <w:top w:val="single" w:sz="4" w:space="0" w:color="auto"/>
              <w:left w:val="single" w:sz="4" w:space="0" w:color="auto"/>
              <w:bottom w:val="single" w:sz="4" w:space="0" w:color="auto"/>
              <w:right w:val="single" w:sz="4" w:space="0" w:color="auto"/>
            </w:tcBorders>
            <w:hideMark/>
          </w:tcPr>
          <w:p w14:paraId="00CBAF26" w14:textId="77777777" w:rsidR="005F69BD" w:rsidRPr="00EB1825" w:rsidRDefault="005F69BD" w:rsidP="00891F79">
            <w:pPr>
              <w:pStyle w:val="In-tableHeading"/>
              <w:rPr>
                <w:szCs w:val="20"/>
                <w:lang w:val="en-AU"/>
              </w:rPr>
            </w:pPr>
            <w:r w:rsidRPr="00EB1825">
              <w:rPr>
                <w:szCs w:val="20"/>
                <w:lang w:val="en-AU"/>
              </w:rPr>
              <w:t>Step and component</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10AE733" w14:textId="77777777" w:rsidR="005F69BD" w:rsidRPr="00EB1825" w:rsidRDefault="005F69BD" w:rsidP="00891F79">
            <w:pPr>
              <w:pStyle w:val="In-tableHeading"/>
              <w:jc w:val="center"/>
              <w:rPr>
                <w:szCs w:val="20"/>
                <w:lang w:val="en-AU"/>
              </w:rPr>
            </w:pPr>
            <w:proofErr w:type="spellStart"/>
            <w:r w:rsidRPr="00EB1825">
              <w:rPr>
                <w:szCs w:val="20"/>
                <w:lang w:val="en-AU"/>
              </w:rPr>
              <w:t>Fezolinetant</w:t>
            </w:r>
            <w:proofErr w:type="spellEnd"/>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A545151" w14:textId="77777777" w:rsidR="005F69BD" w:rsidRPr="00EB1825" w:rsidRDefault="005F69BD" w:rsidP="00891F79">
            <w:pPr>
              <w:pStyle w:val="In-tableHeading"/>
              <w:jc w:val="center"/>
              <w:rPr>
                <w:szCs w:val="20"/>
                <w:lang w:val="en-AU"/>
              </w:rPr>
            </w:pPr>
            <w:r w:rsidRPr="00EB1825">
              <w:rPr>
                <w:szCs w:val="20"/>
                <w:lang w:val="en-AU"/>
              </w:rPr>
              <w:t>No treatment</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C061D6" w14:textId="77777777" w:rsidR="005F69BD" w:rsidRPr="00EB1825" w:rsidRDefault="005F69BD" w:rsidP="00891F79">
            <w:pPr>
              <w:pStyle w:val="In-tableHeading"/>
              <w:jc w:val="center"/>
              <w:rPr>
                <w:szCs w:val="20"/>
                <w:lang w:val="en-AU"/>
              </w:rPr>
            </w:pPr>
            <w:r w:rsidRPr="00EB1825">
              <w:rPr>
                <w:szCs w:val="20"/>
                <w:lang w:val="en-AU"/>
              </w:rPr>
              <w:t>Increment</w:t>
            </w:r>
          </w:p>
        </w:tc>
        <w:tc>
          <w:tcPr>
            <w:tcW w:w="628" w:type="pct"/>
            <w:tcBorders>
              <w:top w:val="single" w:sz="4" w:space="0" w:color="auto"/>
              <w:left w:val="single" w:sz="4" w:space="0" w:color="auto"/>
              <w:bottom w:val="single" w:sz="4" w:space="0" w:color="auto"/>
              <w:right w:val="single" w:sz="4" w:space="0" w:color="auto"/>
            </w:tcBorders>
            <w:hideMark/>
          </w:tcPr>
          <w:p w14:paraId="227622F7" w14:textId="77777777" w:rsidR="005F69BD" w:rsidRPr="00EB1825" w:rsidRDefault="005F69BD" w:rsidP="00891F79">
            <w:pPr>
              <w:pStyle w:val="In-tableHeading"/>
              <w:jc w:val="center"/>
              <w:rPr>
                <w:szCs w:val="20"/>
                <w:lang w:val="en-AU"/>
              </w:rPr>
            </w:pPr>
            <w:proofErr w:type="spellStart"/>
            <w:r w:rsidRPr="00EB1825">
              <w:rPr>
                <w:szCs w:val="20"/>
                <w:lang w:val="en-AU"/>
              </w:rPr>
              <w:t>Fezolinetant</w:t>
            </w:r>
            <w:proofErr w:type="spellEnd"/>
          </w:p>
        </w:tc>
        <w:tc>
          <w:tcPr>
            <w:tcW w:w="677" w:type="pct"/>
            <w:tcBorders>
              <w:top w:val="single" w:sz="4" w:space="0" w:color="auto"/>
              <w:left w:val="single" w:sz="4" w:space="0" w:color="auto"/>
              <w:bottom w:val="single" w:sz="4" w:space="0" w:color="auto"/>
              <w:right w:val="single" w:sz="4" w:space="0" w:color="auto"/>
            </w:tcBorders>
            <w:hideMark/>
          </w:tcPr>
          <w:p w14:paraId="29281780" w14:textId="77777777" w:rsidR="005F69BD" w:rsidRPr="00EB1825" w:rsidRDefault="005F69BD" w:rsidP="00891F79">
            <w:pPr>
              <w:pStyle w:val="In-tableHeading"/>
              <w:jc w:val="center"/>
              <w:rPr>
                <w:szCs w:val="20"/>
                <w:lang w:val="en-AU"/>
              </w:rPr>
            </w:pPr>
            <w:r w:rsidRPr="00EB1825">
              <w:rPr>
                <w:szCs w:val="20"/>
                <w:lang w:val="en-AU"/>
              </w:rPr>
              <w:t>No treatment</w:t>
            </w:r>
          </w:p>
        </w:tc>
        <w:tc>
          <w:tcPr>
            <w:tcW w:w="553" w:type="pct"/>
            <w:tcBorders>
              <w:top w:val="single" w:sz="4" w:space="0" w:color="auto"/>
              <w:left w:val="single" w:sz="4" w:space="0" w:color="auto"/>
              <w:bottom w:val="single" w:sz="4" w:space="0" w:color="auto"/>
              <w:right w:val="single" w:sz="4" w:space="0" w:color="auto"/>
            </w:tcBorders>
            <w:hideMark/>
          </w:tcPr>
          <w:p w14:paraId="021A6511" w14:textId="77777777" w:rsidR="005F69BD" w:rsidRPr="00EB1825" w:rsidRDefault="005F69BD" w:rsidP="00891F79">
            <w:pPr>
              <w:pStyle w:val="In-tableHeading"/>
              <w:jc w:val="center"/>
              <w:rPr>
                <w:szCs w:val="20"/>
                <w:lang w:val="en-AU"/>
              </w:rPr>
            </w:pPr>
            <w:r w:rsidRPr="00EB1825">
              <w:rPr>
                <w:szCs w:val="20"/>
                <w:lang w:val="en-AU"/>
              </w:rPr>
              <w:t>Increment</w:t>
            </w:r>
          </w:p>
        </w:tc>
      </w:tr>
      <w:tr w:rsidR="005F69BD" w:rsidRPr="00EB1825" w14:paraId="3EDD6FF7" w14:textId="77777777" w:rsidTr="00891F79">
        <w:tc>
          <w:tcPr>
            <w:tcW w:w="5000" w:type="pct"/>
            <w:gridSpan w:val="7"/>
            <w:tcBorders>
              <w:top w:val="single" w:sz="4" w:space="0" w:color="auto"/>
              <w:left w:val="single" w:sz="4" w:space="0" w:color="auto"/>
              <w:bottom w:val="single" w:sz="4" w:space="0" w:color="auto"/>
              <w:right w:val="single" w:sz="4" w:space="0" w:color="auto"/>
            </w:tcBorders>
            <w:hideMark/>
          </w:tcPr>
          <w:p w14:paraId="31204AAC" w14:textId="77777777" w:rsidR="005F69BD" w:rsidRPr="00EB1825" w:rsidRDefault="005F69BD" w:rsidP="00891F79">
            <w:pPr>
              <w:pStyle w:val="TableText0"/>
              <w:rPr>
                <w:b/>
                <w:bCs w:val="0"/>
                <w:szCs w:val="20"/>
              </w:rPr>
            </w:pPr>
            <w:r w:rsidRPr="00EB1825">
              <w:rPr>
                <w:b/>
                <w:bCs w:val="0"/>
                <w:szCs w:val="20"/>
              </w:rPr>
              <w:t>Step 1: Trial-based analysis, 24 weeks data from the DAYLIGHT trial (costs=drug costs, outcome=VMS frequency)</w:t>
            </w:r>
          </w:p>
        </w:tc>
      </w:tr>
      <w:tr w:rsidR="005F69BD" w:rsidRPr="00EB1825" w14:paraId="5689400C" w14:textId="77777777" w:rsidTr="00891F79">
        <w:tc>
          <w:tcPr>
            <w:tcW w:w="1255" w:type="pct"/>
            <w:tcBorders>
              <w:top w:val="single" w:sz="4" w:space="0" w:color="auto"/>
              <w:left w:val="single" w:sz="4" w:space="0" w:color="auto"/>
              <w:bottom w:val="single" w:sz="4" w:space="0" w:color="auto"/>
              <w:right w:val="single" w:sz="4" w:space="0" w:color="auto"/>
            </w:tcBorders>
            <w:hideMark/>
          </w:tcPr>
          <w:p w14:paraId="501D3B82" w14:textId="77777777" w:rsidR="005F69BD" w:rsidRPr="00EB1825" w:rsidRDefault="005F69BD" w:rsidP="00891F79">
            <w:pPr>
              <w:pStyle w:val="TableText0"/>
              <w:rPr>
                <w:rFonts w:ascii="Times" w:hAnsi="Times"/>
                <w:szCs w:val="20"/>
              </w:rPr>
            </w:pPr>
            <w:r w:rsidRPr="00EB1825">
              <w:rPr>
                <w:szCs w:val="20"/>
              </w:rPr>
              <w:t>Costs: drug acquisition</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C80CFD5" w14:textId="0B976E08" w:rsidR="005F69BD" w:rsidRPr="00EB1825" w:rsidRDefault="005F69BD" w:rsidP="00891F79">
            <w:pPr>
              <w:pStyle w:val="TableText0"/>
              <w:rPr>
                <w:szCs w:val="20"/>
              </w:rPr>
            </w:pPr>
            <w:r w:rsidRPr="00EB1825">
              <w:rPr>
                <w:szCs w:val="20"/>
              </w:rPr>
              <w:t>$</w:t>
            </w:r>
            <w:r w:rsidR="00E901B5" w:rsidRPr="00E901B5">
              <w:rPr>
                <w:szCs w:val="20"/>
                <w:highlight w:val="black"/>
              </w:rPr>
              <w:t>&amp;&amp;&amp;&amp;</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B1DD8B" w14:textId="77777777" w:rsidR="005F69BD" w:rsidRPr="00EB1825" w:rsidRDefault="005F69BD" w:rsidP="00891F79">
            <w:pPr>
              <w:pStyle w:val="TableText0"/>
              <w:rPr>
                <w:szCs w:val="20"/>
              </w:rPr>
            </w:pPr>
            <w:r w:rsidRPr="00EB1825">
              <w:rPr>
                <w:szCs w:val="20"/>
              </w:rPr>
              <w:t>$0.00</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68CFC0D" w14:textId="76FFF1ED" w:rsidR="005F69BD" w:rsidRPr="00EB1825" w:rsidRDefault="005F69BD" w:rsidP="00891F79">
            <w:pPr>
              <w:pStyle w:val="TableText0"/>
              <w:rPr>
                <w:szCs w:val="20"/>
              </w:rPr>
            </w:pPr>
            <w:r w:rsidRPr="00EB1825">
              <w:rPr>
                <w:szCs w:val="20"/>
              </w:rPr>
              <w:t>$</w:t>
            </w:r>
            <w:r w:rsidR="00E901B5" w:rsidRPr="00E901B5">
              <w:rPr>
                <w:szCs w:val="20"/>
                <w:highlight w:val="black"/>
              </w:rPr>
              <w:t>&amp;&amp;&amp;&amp;</w:t>
            </w:r>
          </w:p>
        </w:tc>
        <w:tc>
          <w:tcPr>
            <w:tcW w:w="628" w:type="pct"/>
            <w:tcBorders>
              <w:top w:val="single" w:sz="4" w:space="0" w:color="auto"/>
              <w:left w:val="single" w:sz="4" w:space="0" w:color="auto"/>
              <w:bottom w:val="single" w:sz="4" w:space="0" w:color="auto"/>
              <w:right w:val="single" w:sz="4" w:space="0" w:color="auto"/>
            </w:tcBorders>
            <w:hideMark/>
          </w:tcPr>
          <w:p w14:paraId="19AE87C5" w14:textId="615CD24A" w:rsidR="005F69BD" w:rsidRPr="00EB1825" w:rsidRDefault="005F69BD" w:rsidP="00891F79">
            <w:pPr>
              <w:pStyle w:val="TableText0"/>
              <w:rPr>
                <w:szCs w:val="20"/>
              </w:rPr>
            </w:pPr>
            <w:r w:rsidRPr="00EB1825">
              <w:rPr>
                <w:szCs w:val="20"/>
              </w:rPr>
              <w:t>$</w:t>
            </w:r>
            <w:r w:rsidR="00E901B5" w:rsidRPr="00E901B5">
              <w:rPr>
                <w:szCs w:val="20"/>
                <w:highlight w:val="black"/>
              </w:rPr>
              <w:t>&amp;&amp;&amp;&amp;</w:t>
            </w:r>
          </w:p>
        </w:tc>
        <w:tc>
          <w:tcPr>
            <w:tcW w:w="677" w:type="pct"/>
            <w:tcBorders>
              <w:top w:val="single" w:sz="4" w:space="0" w:color="auto"/>
              <w:left w:val="single" w:sz="4" w:space="0" w:color="auto"/>
              <w:bottom w:val="single" w:sz="4" w:space="0" w:color="auto"/>
              <w:right w:val="single" w:sz="4" w:space="0" w:color="auto"/>
            </w:tcBorders>
            <w:hideMark/>
          </w:tcPr>
          <w:p w14:paraId="579B4C95" w14:textId="77777777" w:rsidR="005F69BD" w:rsidRPr="00EB1825" w:rsidRDefault="005F69BD" w:rsidP="00891F79">
            <w:pPr>
              <w:pStyle w:val="TableText0"/>
              <w:rPr>
                <w:szCs w:val="20"/>
              </w:rPr>
            </w:pPr>
            <w:r w:rsidRPr="00EB1825">
              <w:rPr>
                <w:szCs w:val="20"/>
              </w:rPr>
              <w:t>$0</w:t>
            </w:r>
          </w:p>
        </w:tc>
        <w:tc>
          <w:tcPr>
            <w:tcW w:w="553" w:type="pct"/>
            <w:tcBorders>
              <w:top w:val="single" w:sz="4" w:space="0" w:color="auto"/>
              <w:left w:val="single" w:sz="4" w:space="0" w:color="auto"/>
              <w:bottom w:val="single" w:sz="4" w:space="0" w:color="auto"/>
              <w:right w:val="single" w:sz="4" w:space="0" w:color="auto"/>
            </w:tcBorders>
            <w:hideMark/>
          </w:tcPr>
          <w:p w14:paraId="7BD5DCEC" w14:textId="2814F4FE" w:rsidR="005F69BD" w:rsidRPr="00EB1825" w:rsidRDefault="005F69BD" w:rsidP="00891F79">
            <w:pPr>
              <w:pStyle w:val="TableText0"/>
              <w:rPr>
                <w:szCs w:val="20"/>
              </w:rPr>
            </w:pPr>
            <w:r w:rsidRPr="00EB1825">
              <w:rPr>
                <w:szCs w:val="20"/>
              </w:rPr>
              <w:t>$</w:t>
            </w:r>
            <w:r w:rsidR="00E901B5" w:rsidRPr="00E901B5">
              <w:rPr>
                <w:szCs w:val="20"/>
                <w:highlight w:val="black"/>
              </w:rPr>
              <w:t>&amp;&amp;&amp;&amp;</w:t>
            </w:r>
          </w:p>
        </w:tc>
      </w:tr>
      <w:tr w:rsidR="005F69BD" w:rsidRPr="00EB1825" w14:paraId="305DF3F9" w14:textId="77777777" w:rsidTr="00891F79">
        <w:tc>
          <w:tcPr>
            <w:tcW w:w="1255" w:type="pct"/>
            <w:tcBorders>
              <w:top w:val="single" w:sz="4" w:space="0" w:color="auto"/>
              <w:left w:val="single" w:sz="4" w:space="0" w:color="auto"/>
              <w:bottom w:val="single" w:sz="4" w:space="0" w:color="auto"/>
              <w:right w:val="single" w:sz="4" w:space="0" w:color="auto"/>
            </w:tcBorders>
            <w:hideMark/>
          </w:tcPr>
          <w:p w14:paraId="6A6ADF01" w14:textId="77777777" w:rsidR="005F69BD" w:rsidRPr="00EB1825" w:rsidRDefault="005F69BD" w:rsidP="00891F79">
            <w:pPr>
              <w:pStyle w:val="TableText0"/>
              <w:rPr>
                <w:rFonts w:ascii="Times" w:hAnsi="Times"/>
                <w:szCs w:val="20"/>
              </w:rPr>
            </w:pPr>
            <w:r w:rsidRPr="00EB1825">
              <w:rPr>
                <w:szCs w:val="20"/>
              </w:rPr>
              <w:t>Outcome: patient proportion in VMS&lt;7 state (mild)</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FA109E" w14:textId="77777777" w:rsidR="005F69BD" w:rsidRPr="00EB1825" w:rsidRDefault="005F69BD" w:rsidP="00891F79">
            <w:pPr>
              <w:pStyle w:val="TableText0"/>
              <w:rPr>
                <w:szCs w:val="20"/>
              </w:rPr>
            </w:pPr>
            <w:r w:rsidRPr="00EB1825">
              <w:rPr>
                <w:szCs w:val="20"/>
              </w:rPr>
              <w:t>66.18%</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5C3C6A" w14:textId="77777777" w:rsidR="005F69BD" w:rsidRPr="00EB1825" w:rsidRDefault="005F69BD" w:rsidP="00891F79">
            <w:pPr>
              <w:pStyle w:val="TableText0"/>
              <w:rPr>
                <w:szCs w:val="20"/>
              </w:rPr>
            </w:pPr>
            <w:r w:rsidRPr="00EB1825">
              <w:rPr>
                <w:szCs w:val="20"/>
              </w:rPr>
              <w:t>51.04%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867F21" w14:textId="77777777" w:rsidR="005F69BD" w:rsidRPr="00EB1825" w:rsidRDefault="005F69BD" w:rsidP="00891F79">
            <w:pPr>
              <w:pStyle w:val="TableText0"/>
              <w:rPr>
                <w:szCs w:val="20"/>
              </w:rPr>
            </w:pPr>
            <w:r w:rsidRPr="00EB1825">
              <w:rPr>
                <w:szCs w:val="20"/>
              </w:rPr>
              <w:t>15.14%</w:t>
            </w:r>
          </w:p>
        </w:tc>
        <w:tc>
          <w:tcPr>
            <w:tcW w:w="628" w:type="pct"/>
            <w:tcBorders>
              <w:top w:val="single" w:sz="4" w:space="0" w:color="auto"/>
              <w:left w:val="single" w:sz="4" w:space="0" w:color="auto"/>
              <w:bottom w:val="single" w:sz="4" w:space="0" w:color="auto"/>
              <w:right w:val="single" w:sz="4" w:space="0" w:color="auto"/>
            </w:tcBorders>
            <w:hideMark/>
          </w:tcPr>
          <w:p w14:paraId="2FC7FFEA" w14:textId="77777777" w:rsidR="005F69BD" w:rsidRPr="00EB1825" w:rsidRDefault="005F69BD" w:rsidP="00891F79">
            <w:pPr>
              <w:pStyle w:val="TableText0"/>
              <w:rPr>
                <w:szCs w:val="20"/>
              </w:rPr>
            </w:pPr>
            <w:r w:rsidRPr="00EB1825">
              <w:rPr>
                <w:szCs w:val="20"/>
              </w:rPr>
              <w:t>66%</w:t>
            </w:r>
          </w:p>
        </w:tc>
        <w:tc>
          <w:tcPr>
            <w:tcW w:w="677" w:type="pct"/>
            <w:tcBorders>
              <w:top w:val="single" w:sz="4" w:space="0" w:color="auto"/>
              <w:left w:val="single" w:sz="4" w:space="0" w:color="auto"/>
              <w:bottom w:val="single" w:sz="4" w:space="0" w:color="auto"/>
              <w:right w:val="single" w:sz="4" w:space="0" w:color="auto"/>
            </w:tcBorders>
            <w:hideMark/>
          </w:tcPr>
          <w:p w14:paraId="26B16F34" w14:textId="77777777" w:rsidR="005F69BD" w:rsidRPr="00EB1825" w:rsidRDefault="005F69BD" w:rsidP="00891F79">
            <w:pPr>
              <w:pStyle w:val="TableText0"/>
              <w:rPr>
                <w:szCs w:val="20"/>
              </w:rPr>
            </w:pPr>
            <w:r w:rsidRPr="00EB1825">
              <w:rPr>
                <w:szCs w:val="20"/>
              </w:rPr>
              <w:t>51%</w:t>
            </w:r>
          </w:p>
        </w:tc>
        <w:tc>
          <w:tcPr>
            <w:tcW w:w="553" w:type="pct"/>
            <w:tcBorders>
              <w:top w:val="single" w:sz="4" w:space="0" w:color="auto"/>
              <w:left w:val="single" w:sz="4" w:space="0" w:color="auto"/>
              <w:bottom w:val="single" w:sz="4" w:space="0" w:color="auto"/>
              <w:right w:val="single" w:sz="4" w:space="0" w:color="auto"/>
            </w:tcBorders>
            <w:hideMark/>
          </w:tcPr>
          <w:p w14:paraId="0003E467" w14:textId="77777777" w:rsidR="005F69BD" w:rsidRPr="00EB1825" w:rsidRDefault="005F69BD" w:rsidP="00891F79">
            <w:pPr>
              <w:pStyle w:val="TableText0"/>
              <w:rPr>
                <w:szCs w:val="20"/>
              </w:rPr>
            </w:pPr>
            <w:r w:rsidRPr="00EB1825">
              <w:rPr>
                <w:szCs w:val="20"/>
              </w:rPr>
              <w:t>15.6%</w:t>
            </w:r>
          </w:p>
        </w:tc>
      </w:tr>
      <w:tr w:rsidR="005F69BD" w:rsidRPr="00EB1825" w14:paraId="333B4F2E" w14:textId="77777777" w:rsidTr="00891F79">
        <w:tc>
          <w:tcPr>
            <w:tcW w:w="2513" w:type="pct"/>
            <w:gridSpan w:val="3"/>
            <w:tcBorders>
              <w:top w:val="single" w:sz="4" w:space="0" w:color="auto"/>
              <w:left w:val="single" w:sz="4" w:space="0" w:color="auto"/>
              <w:bottom w:val="single" w:sz="4" w:space="0" w:color="auto"/>
              <w:right w:val="single" w:sz="4" w:space="0" w:color="auto"/>
            </w:tcBorders>
            <w:hideMark/>
          </w:tcPr>
          <w:p w14:paraId="1F6565E9" w14:textId="77777777" w:rsidR="005F69BD" w:rsidRPr="00EB1825" w:rsidRDefault="005F69BD" w:rsidP="00891F79">
            <w:pPr>
              <w:pStyle w:val="TableText0"/>
              <w:rPr>
                <w:szCs w:val="20"/>
              </w:rPr>
            </w:pPr>
            <w:r w:rsidRPr="00EB1825">
              <w:rPr>
                <w:szCs w:val="20"/>
              </w:rPr>
              <w:t>Incremental cost per extra ‘patients in the mild state’ gained</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0363C4" w14:textId="04A50596" w:rsidR="005F69BD" w:rsidRPr="00AF4F06" w:rsidRDefault="005F69BD" w:rsidP="00891F79">
            <w:pPr>
              <w:pStyle w:val="TableText0"/>
              <w:rPr>
                <w:szCs w:val="20"/>
                <w:vertAlign w:val="superscript"/>
              </w:rPr>
            </w:pPr>
            <w:r w:rsidRPr="00EB1825">
              <w:rPr>
                <w:szCs w:val="20"/>
              </w:rPr>
              <w:t>$</w:t>
            </w:r>
            <w:r w:rsidR="00E901B5" w:rsidRPr="00E901B5">
              <w:rPr>
                <w:szCs w:val="20"/>
                <w:highlight w:val="black"/>
              </w:rPr>
              <w:t>&amp;&amp;&amp;&amp;</w:t>
            </w:r>
            <w:r w:rsidR="00AF4F06">
              <w:rPr>
                <w:szCs w:val="20"/>
                <w:vertAlign w:val="superscript"/>
              </w:rPr>
              <w:t>1</w:t>
            </w:r>
          </w:p>
        </w:tc>
        <w:tc>
          <w:tcPr>
            <w:tcW w:w="1305" w:type="pct"/>
            <w:gridSpan w:val="2"/>
            <w:tcBorders>
              <w:top w:val="single" w:sz="4" w:space="0" w:color="auto"/>
              <w:left w:val="single" w:sz="4" w:space="0" w:color="auto"/>
              <w:bottom w:val="single" w:sz="4" w:space="0" w:color="auto"/>
              <w:right w:val="single" w:sz="4" w:space="0" w:color="auto"/>
            </w:tcBorders>
          </w:tcPr>
          <w:p w14:paraId="6D17164D" w14:textId="77777777" w:rsidR="005F69BD" w:rsidRPr="00EB1825" w:rsidRDefault="005F69BD" w:rsidP="00891F79">
            <w:pPr>
              <w:pStyle w:val="TableText0"/>
              <w:rPr>
                <w:szCs w:val="20"/>
              </w:rPr>
            </w:pPr>
          </w:p>
        </w:tc>
        <w:tc>
          <w:tcPr>
            <w:tcW w:w="553" w:type="pct"/>
            <w:tcBorders>
              <w:top w:val="single" w:sz="4" w:space="0" w:color="auto"/>
              <w:left w:val="single" w:sz="4" w:space="0" w:color="auto"/>
              <w:bottom w:val="single" w:sz="4" w:space="0" w:color="auto"/>
              <w:right w:val="single" w:sz="4" w:space="0" w:color="auto"/>
            </w:tcBorders>
            <w:hideMark/>
          </w:tcPr>
          <w:p w14:paraId="29BF8418" w14:textId="651A1F91" w:rsidR="005F69BD" w:rsidRPr="00AF4F06" w:rsidRDefault="005F69BD" w:rsidP="00891F79">
            <w:pPr>
              <w:pStyle w:val="TableText0"/>
              <w:rPr>
                <w:szCs w:val="20"/>
                <w:vertAlign w:val="superscript"/>
              </w:rPr>
            </w:pPr>
            <w:r w:rsidRPr="00EB1825">
              <w:rPr>
                <w:szCs w:val="20"/>
              </w:rPr>
              <w:t>$</w:t>
            </w:r>
            <w:r w:rsidR="00E901B5" w:rsidRPr="00E901B5">
              <w:rPr>
                <w:szCs w:val="20"/>
                <w:highlight w:val="black"/>
              </w:rPr>
              <w:t>&amp;&amp;&amp;&amp;</w:t>
            </w:r>
            <w:r w:rsidR="00AF4F06">
              <w:rPr>
                <w:szCs w:val="20"/>
                <w:vertAlign w:val="superscript"/>
              </w:rPr>
              <w:t>1</w:t>
            </w:r>
          </w:p>
        </w:tc>
      </w:tr>
      <w:tr w:rsidR="005F69BD" w:rsidRPr="00EB1825" w14:paraId="540F9843" w14:textId="77777777" w:rsidTr="00891F79">
        <w:tc>
          <w:tcPr>
            <w:tcW w:w="5000" w:type="pct"/>
            <w:gridSpan w:val="7"/>
            <w:tcBorders>
              <w:top w:val="single" w:sz="4" w:space="0" w:color="auto"/>
              <w:left w:val="single" w:sz="4" w:space="0" w:color="auto"/>
              <w:bottom w:val="single" w:sz="4" w:space="0" w:color="auto"/>
              <w:right w:val="single" w:sz="4" w:space="0" w:color="auto"/>
            </w:tcBorders>
            <w:hideMark/>
          </w:tcPr>
          <w:p w14:paraId="055975FA" w14:textId="77777777" w:rsidR="005F69BD" w:rsidRPr="00EB1825" w:rsidRDefault="005F69BD" w:rsidP="00891F79">
            <w:pPr>
              <w:pStyle w:val="In-tableHeading"/>
              <w:rPr>
                <w:szCs w:val="20"/>
                <w:lang w:val="en-AU"/>
              </w:rPr>
            </w:pPr>
            <w:r w:rsidRPr="00EB1825">
              <w:rPr>
                <w:szCs w:val="20"/>
                <w:lang w:val="en-AU"/>
              </w:rPr>
              <w:t>Step 2: Trial-based analysis, 24 weeks data from the DAYLIGHT trial (costs=drug costs + resource utilisation, outcome=VMS frequency)</w:t>
            </w:r>
          </w:p>
        </w:tc>
      </w:tr>
      <w:tr w:rsidR="005F69BD" w:rsidRPr="00EB1825" w14:paraId="6213E17A" w14:textId="77777777" w:rsidTr="00891F79">
        <w:tc>
          <w:tcPr>
            <w:tcW w:w="1255" w:type="pct"/>
            <w:tcBorders>
              <w:top w:val="single" w:sz="4" w:space="0" w:color="auto"/>
              <w:left w:val="single" w:sz="4" w:space="0" w:color="auto"/>
              <w:bottom w:val="single" w:sz="4" w:space="0" w:color="auto"/>
              <w:right w:val="single" w:sz="4" w:space="0" w:color="auto"/>
            </w:tcBorders>
            <w:hideMark/>
          </w:tcPr>
          <w:p w14:paraId="75513521" w14:textId="77777777" w:rsidR="005F69BD" w:rsidRPr="00EB1825" w:rsidRDefault="005F69BD" w:rsidP="00891F79">
            <w:pPr>
              <w:pStyle w:val="TableText0"/>
              <w:rPr>
                <w:rFonts w:ascii="Times" w:hAnsi="Times"/>
                <w:szCs w:val="20"/>
              </w:rPr>
            </w:pPr>
            <w:r w:rsidRPr="00EB1825">
              <w:rPr>
                <w:szCs w:val="20"/>
              </w:rPr>
              <w:t>Costs: drug acquisition + resource use</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701751" w14:textId="64FC49E4" w:rsidR="005F69BD" w:rsidRPr="00EB1825" w:rsidRDefault="005F69BD" w:rsidP="00891F79">
            <w:pPr>
              <w:pStyle w:val="TableText0"/>
              <w:rPr>
                <w:rFonts w:ascii="Times" w:hAnsi="Times"/>
                <w:szCs w:val="20"/>
              </w:rPr>
            </w:pPr>
            <w:r w:rsidRPr="00EB1825">
              <w:rPr>
                <w:szCs w:val="20"/>
              </w:rPr>
              <w:t>$</w:t>
            </w:r>
            <w:r w:rsidR="00E901B5" w:rsidRPr="00E901B5">
              <w:rPr>
                <w:szCs w:val="20"/>
                <w:highlight w:val="black"/>
              </w:rPr>
              <w:t>&amp;&amp;&amp;&amp;</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23B60A8" w14:textId="77777777" w:rsidR="005F69BD" w:rsidRPr="00EB1825" w:rsidRDefault="005F69BD" w:rsidP="00891F79">
            <w:pPr>
              <w:pStyle w:val="TableText0"/>
              <w:rPr>
                <w:rFonts w:ascii="Times" w:hAnsi="Times"/>
                <w:szCs w:val="20"/>
              </w:rPr>
            </w:pPr>
            <w:r w:rsidRPr="00EB1825">
              <w:rPr>
                <w:szCs w:val="20"/>
              </w:rPr>
              <w:t>$150</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AF7EBE4" w14:textId="79379201" w:rsidR="005F69BD" w:rsidRPr="00EB1825" w:rsidRDefault="005F69BD" w:rsidP="00891F79">
            <w:pPr>
              <w:pStyle w:val="TableText0"/>
              <w:rPr>
                <w:rFonts w:ascii="Times" w:hAnsi="Times"/>
                <w:szCs w:val="20"/>
              </w:rPr>
            </w:pPr>
            <w:r w:rsidRPr="00EB1825">
              <w:rPr>
                <w:szCs w:val="20"/>
              </w:rPr>
              <w:t>$</w:t>
            </w:r>
            <w:r w:rsidR="00E901B5" w:rsidRPr="00E901B5">
              <w:rPr>
                <w:szCs w:val="20"/>
                <w:highlight w:val="black"/>
              </w:rPr>
              <w:t>&amp;&amp;&amp;&amp;</w:t>
            </w:r>
          </w:p>
        </w:tc>
        <w:tc>
          <w:tcPr>
            <w:tcW w:w="628" w:type="pct"/>
            <w:tcBorders>
              <w:top w:val="single" w:sz="4" w:space="0" w:color="auto"/>
              <w:left w:val="single" w:sz="4" w:space="0" w:color="auto"/>
              <w:bottom w:val="single" w:sz="4" w:space="0" w:color="auto"/>
              <w:right w:val="single" w:sz="4" w:space="0" w:color="auto"/>
            </w:tcBorders>
            <w:hideMark/>
          </w:tcPr>
          <w:p w14:paraId="04216206" w14:textId="040D1B99" w:rsidR="005F69BD" w:rsidRPr="00EB1825" w:rsidRDefault="005F69BD" w:rsidP="00891F79">
            <w:pPr>
              <w:pStyle w:val="TableText0"/>
              <w:rPr>
                <w:szCs w:val="20"/>
              </w:rPr>
            </w:pPr>
            <w:r w:rsidRPr="00EB1825">
              <w:rPr>
                <w:szCs w:val="20"/>
              </w:rPr>
              <w:t>$</w:t>
            </w:r>
            <w:r w:rsidR="00E901B5" w:rsidRPr="00E901B5">
              <w:rPr>
                <w:szCs w:val="20"/>
                <w:highlight w:val="black"/>
              </w:rPr>
              <w:t>&amp;&amp;&amp;&amp;</w:t>
            </w:r>
          </w:p>
        </w:tc>
        <w:tc>
          <w:tcPr>
            <w:tcW w:w="677" w:type="pct"/>
            <w:tcBorders>
              <w:top w:val="single" w:sz="4" w:space="0" w:color="auto"/>
              <w:left w:val="single" w:sz="4" w:space="0" w:color="auto"/>
              <w:bottom w:val="single" w:sz="4" w:space="0" w:color="auto"/>
              <w:right w:val="single" w:sz="4" w:space="0" w:color="auto"/>
            </w:tcBorders>
            <w:hideMark/>
          </w:tcPr>
          <w:p w14:paraId="0FBA2BA4" w14:textId="77777777" w:rsidR="005F69BD" w:rsidRPr="00EB1825" w:rsidRDefault="005F69BD" w:rsidP="00891F79">
            <w:pPr>
              <w:pStyle w:val="TableText0"/>
              <w:rPr>
                <w:szCs w:val="20"/>
              </w:rPr>
            </w:pPr>
            <w:r w:rsidRPr="00EB1825">
              <w:rPr>
                <w:szCs w:val="20"/>
              </w:rPr>
              <w:t>$151</w:t>
            </w:r>
          </w:p>
        </w:tc>
        <w:tc>
          <w:tcPr>
            <w:tcW w:w="553" w:type="pct"/>
            <w:tcBorders>
              <w:top w:val="single" w:sz="4" w:space="0" w:color="auto"/>
              <w:left w:val="single" w:sz="4" w:space="0" w:color="auto"/>
              <w:bottom w:val="single" w:sz="4" w:space="0" w:color="auto"/>
              <w:right w:val="single" w:sz="4" w:space="0" w:color="auto"/>
            </w:tcBorders>
            <w:hideMark/>
          </w:tcPr>
          <w:p w14:paraId="7428F38A" w14:textId="3ED27BA2" w:rsidR="005F69BD" w:rsidRPr="00EB1825" w:rsidRDefault="005F69BD" w:rsidP="00891F79">
            <w:pPr>
              <w:pStyle w:val="TableText0"/>
              <w:rPr>
                <w:szCs w:val="20"/>
              </w:rPr>
            </w:pPr>
            <w:r w:rsidRPr="00EB1825">
              <w:rPr>
                <w:szCs w:val="20"/>
              </w:rPr>
              <w:t>$</w:t>
            </w:r>
            <w:r w:rsidR="00E901B5" w:rsidRPr="00E901B5">
              <w:rPr>
                <w:szCs w:val="20"/>
                <w:highlight w:val="black"/>
              </w:rPr>
              <w:t>&amp;&amp;&amp;&amp;</w:t>
            </w:r>
          </w:p>
        </w:tc>
      </w:tr>
      <w:tr w:rsidR="005F69BD" w:rsidRPr="00EB1825" w14:paraId="067418F0" w14:textId="77777777" w:rsidTr="00891F79">
        <w:tc>
          <w:tcPr>
            <w:tcW w:w="1255" w:type="pct"/>
            <w:tcBorders>
              <w:top w:val="single" w:sz="4" w:space="0" w:color="auto"/>
              <w:left w:val="single" w:sz="4" w:space="0" w:color="auto"/>
              <w:bottom w:val="single" w:sz="4" w:space="0" w:color="auto"/>
              <w:right w:val="single" w:sz="4" w:space="0" w:color="auto"/>
            </w:tcBorders>
            <w:hideMark/>
          </w:tcPr>
          <w:p w14:paraId="2FBDF856" w14:textId="77777777" w:rsidR="005F69BD" w:rsidRPr="00EB1825" w:rsidRDefault="005F69BD" w:rsidP="00891F79">
            <w:pPr>
              <w:pStyle w:val="TableText0"/>
              <w:rPr>
                <w:rFonts w:ascii="Times" w:hAnsi="Times"/>
                <w:szCs w:val="20"/>
              </w:rPr>
            </w:pPr>
            <w:r w:rsidRPr="00EB1825">
              <w:rPr>
                <w:szCs w:val="20"/>
              </w:rPr>
              <w:t>Outcome: patient proportion in VMS&lt;7 state (mild)</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5ECCE1D" w14:textId="77777777" w:rsidR="005F69BD" w:rsidRPr="00EB1825" w:rsidRDefault="005F69BD" w:rsidP="00891F79">
            <w:pPr>
              <w:pStyle w:val="TableText0"/>
              <w:rPr>
                <w:rFonts w:ascii="Times" w:hAnsi="Times"/>
                <w:szCs w:val="20"/>
              </w:rPr>
            </w:pPr>
            <w:r w:rsidRPr="00EB1825">
              <w:rPr>
                <w:szCs w:val="20"/>
              </w:rPr>
              <w:t>66.18%</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8AC0455" w14:textId="77777777" w:rsidR="005F69BD" w:rsidRPr="00EB1825" w:rsidRDefault="005F69BD" w:rsidP="00891F79">
            <w:pPr>
              <w:pStyle w:val="TableText0"/>
              <w:rPr>
                <w:rFonts w:ascii="Times" w:hAnsi="Times"/>
                <w:szCs w:val="20"/>
              </w:rPr>
            </w:pPr>
            <w:r w:rsidRPr="00EB1825">
              <w:rPr>
                <w:szCs w:val="20"/>
              </w:rPr>
              <w:t>51.04%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A2EE388" w14:textId="77777777" w:rsidR="005F69BD" w:rsidRPr="00EB1825" w:rsidRDefault="005F69BD" w:rsidP="00891F79">
            <w:pPr>
              <w:pStyle w:val="TableText0"/>
              <w:rPr>
                <w:szCs w:val="20"/>
              </w:rPr>
            </w:pPr>
            <w:r w:rsidRPr="00EB1825">
              <w:rPr>
                <w:szCs w:val="20"/>
              </w:rPr>
              <w:t>15.14%</w:t>
            </w:r>
          </w:p>
        </w:tc>
        <w:tc>
          <w:tcPr>
            <w:tcW w:w="628" w:type="pct"/>
            <w:tcBorders>
              <w:top w:val="single" w:sz="4" w:space="0" w:color="auto"/>
              <w:left w:val="single" w:sz="4" w:space="0" w:color="auto"/>
              <w:bottom w:val="single" w:sz="4" w:space="0" w:color="auto"/>
              <w:right w:val="single" w:sz="4" w:space="0" w:color="auto"/>
            </w:tcBorders>
            <w:hideMark/>
          </w:tcPr>
          <w:p w14:paraId="03DBAA28" w14:textId="77777777" w:rsidR="005F69BD" w:rsidRPr="00EB1825" w:rsidRDefault="005F69BD" w:rsidP="00891F79">
            <w:pPr>
              <w:pStyle w:val="TableText0"/>
              <w:rPr>
                <w:szCs w:val="20"/>
              </w:rPr>
            </w:pPr>
            <w:r w:rsidRPr="00EB1825">
              <w:rPr>
                <w:szCs w:val="20"/>
              </w:rPr>
              <w:t>66%</w:t>
            </w:r>
          </w:p>
        </w:tc>
        <w:tc>
          <w:tcPr>
            <w:tcW w:w="677" w:type="pct"/>
            <w:tcBorders>
              <w:top w:val="single" w:sz="4" w:space="0" w:color="auto"/>
              <w:left w:val="single" w:sz="4" w:space="0" w:color="auto"/>
              <w:bottom w:val="single" w:sz="4" w:space="0" w:color="auto"/>
              <w:right w:val="single" w:sz="4" w:space="0" w:color="auto"/>
            </w:tcBorders>
            <w:hideMark/>
          </w:tcPr>
          <w:p w14:paraId="1D1B7A87" w14:textId="77777777" w:rsidR="005F69BD" w:rsidRPr="00EB1825" w:rsidRDefault="005F69BD" w:rsidP="00891F79">
            <w:pPr>
              <w:pStyle w:val="TableText0"/>
              <w:rPr>
                <w:szCs w:val="20"/>
              </w:rPr>
            </w:pPr>
            <w:r w:rsidRPr="00EB1825">
              <w:rPr>
                <w:szCs w:val="20"/>
              </w:rPr>
              <w:t>51%</w:t>
            </w:r>
          </w:p>
        </w:tc>
        <w:tc>
          <w:tcPr>
            <w:tcW w:w="553" w:type="pct"/>
            <w:tcBorders>
              <w:top w:val="single" w:sz="4" w:space="0" w:color="auto"/>
              <w:left w:val="single" w:sz="4" w:space="0" w:color="auto"/>
              <w:bottom w:val="single" w:sz="4" w:space="0" w:color="auto"/>
              <w:right w:val="single" w:sz="4" w:space="0" w:color="auto"/>
            </w:tcBorders>
            <w:hideMark/>
          </w:tcPr>
          <w:p w14:paraId="42385726" w14:textId="77777777" w:rsidR="005F69BD" w:rsidRPr="00EB1825" w:rsidRDefault="005F69BD" w:rsidP="00891F79">
            <w:pPr>
              <w:pStyle w:val="TableText0"/>
              <w:rPr>
                <w:szCs w:val="20"/>
              </w:rPr>
            </w:pPr>
            <w:r w:rsidRPr="00EB1825">
              <w:rPr>
                <w:szCs w:val="20"/>
              </w:rPr>
              <w:t>15.6%</w:t>
            </w:r>
          </w:p>
        </w:tc>
      </w:tr>
      <w:tr w:rsidR="005F69BD" w:rsidRPr="00EB1825" w14:paraId="0B5113E2" w14:textId="77777777" w:rsidTr="00891F79">
        <w:tc>
          <w:tcPr>
            <w:tcW w:w="2513" w:type="pct"/>
            <w:gridSpan w:val="3"/>
            <w:tcBorders>
              <w:top w:val="single" w:sz="4" w:space="0" w:color="auto"/>
              <w:left w:val="single" w:sz="4" w:space="0" w:color="auto"/>
              <w:bottom w:val="single" w:sz="4" w:space="0" w:color="auto"/>
              <w:right w:val="single" w:sz="4" w:space="0" w:color="auto"/>
            </w:tcBorders>
            <w:hideMark/>
          </w:tcPr>
          <w:p w14:paraId="2EED5148" w14:textId="77777777" w:rsidR="005F69BD" w:rsidRPr="00EB1825" w:rsidRDefault="005F69BD" w:rsidP="00891F79">
            <w:pPr>
              <w:pStyle w:val="TableText0"/>
              <w:rPr>
                <w:rFonts w:ascii="Times" w:hAnsi="Times"/>
                <w:szCs w:val="20"/>
              </w:rPr>
            </w:pPr>
            <w:r w:rsidRPr="00EB1825">
              <w:rPr>
                <w:szCs w:val="20"/>
              </w:rPr>
              <w:t>Incremental cost per extra ‘patients in the mild state’ gained</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54036E" w14:textId="7783EA53" w:rsidR="005F69BD" w:rsidRPr="00AF4F06" w:rsidRDefault="005F69BD" w:rsidP="00891F79">
            <w:pPr>
              <w:pStyle w:val="TableText0"/>
              <w:rPr>
                <w:rFonts w:ascii="Times" w:hAnsi="Times"/>
                <w:szCs w:val="20"/>
                <w:vertAlign w:val="superscript"/>
              </w:rPr>
            </w:pPr>
            <w:r w:rsidRPr="00EB1825">
              <w:rPr>
                <w:szCs w:val="20"/>
              </w:rPr>
              <w:t>$</w:t>
            </w:r>
            <w:r w:rsidR="00E901B5" w:rsidRPr="00E901B5">
              <w:rPr>
                <w:szCs w:val="20"/>
                <w:highlight w:val="black"/>
              </w:rPr>
              <w:t>&amp;&amp;&amp;&amp;</w:t>
            </w:r>
            <w:r w:rsidR="00AF4F06">
              <w:rPr>
                <w:szCs w:val="20"/>
                <w:vertAlign w:val="superscript"/>
              </w:rPr>
              <w:t>1</w:t>
            </w:r>
          </w:p>
        </w:tc>
        <w:tc>
          <w:tcPr>
            <w:tcW w:w="1305" w:type="pct"/>
            <w:gridSpan w:val="2"/>
            <w:tcBorders>
              <w:top w:val="single" w:sz="4" w:space="0" w:color="auto"/>
              <w:left w:val="single" w:sz="4" w:space="0" w:color="auto"/>
              <w:bottom w:val="single" w:sz="4" w:space="0" w:color="auto"/>
              <w:right w:val="single" w:sz="4" w:space="0" w:color="auto"/>
            </w:tcBorders>
          </w:tcPr>
          <w:p w14:paraId="6F148FB7" w14:textId="77777777" w:rsidR="005F69BD" w:rsidRPr="00EB1825" w:rsidRDefault="005F69BD" w:rsidP="00891F79">
            <w:pPr>
              <w:pStyle w:val="TableText0"/>
              <w:rPr>
                <w:szCs w:val="20"/>
              </w:rPr>
            </w:pPr>
          </w:p>
        </w:tc>
        <w:tc>
          <w:tcPr>
            <w:tcW w:w="553" w:type="pct"/>
            <w:tcBorders>
              <w:top w:val="single" w:sz="4" w:space="0" w:color="auto"/>
              <w:left w:val="single" w:sz="4" w:space="0" w:color="auto"/>
              <w:bottom w:val="single" w:sz="4" w:space="0" w:color="auto"/>
              <w:right w:val="single" w:sz="4" w:space="0" w:color="auto"/>
            </w:tcBorders>
            <w:hideMark/>
          </w:tcPr>
          <w:p w14:paraId="02DA49E2" w14:textId="0725233A" w:rsidR="005F69BD" w:rsidRPr="00AF4F06" w:rsidRDefault="005F69BD" w:rsidP="00891F79">
            <w:pPr>
              <w:pStyle w:val="TableText0"/>
              <w:rPr>
                <w:szCs w:val="20"/>
                <w:vertAlign w:val="superscript"/>
              </w:rPr>
            </w:pPr>
            <w:r w:rsidRPr="00EB1825">
              <w:rPr>
                <w:szCs w:val="20"/>
              </w:rPr>
              <w:t>$</w:t>
            </w:r>
            <w:r w:rsidR="00E901B5" w:rsidRPr="00E901B5">
              <w:rPr>
                <w:szCs w:val="20"/>
                <w:highlight w:val="black"/>
              </w:rPr>
              <w:t>&amp;&amp;&amp;&amp;</w:t>
            </w:r>
            <w:r w:rsidR="00AF4F06">
              <w:rPr>
                <w:szCs w:val="20"/>
                <w:vertAlign w:val="superscript"/>
              </w:rPr>
              <w:t>1</w:t>
            </w:r>
          </w:p>
        </w:tc>
      </w:tr>
      <w:tr w:rsidR="005F69BD" w:rsidRPr="00EB1825" w14:paraId="50AFBE02" w14:textId="77777777" w:rsidTr="00891F79">
        <w:tc>
          <w:tcPr>
            <w:tcW w:w="5000" w:type="pct"/>
            <w:gridSpan w:val="7"/>
            <w:tcBorders>
              <w:top w:val="single" w:sz="4" w:space="0" w:color="auto"/>
              <w:left w:val="single" w:sz="4" w:space="0" w:color="auto"/>
              <w:bottom w:val="single" w:sz="4" w:space="0" w:color="auto"/>
              <w:right w:val="single" w:sz="4" w:space="0" w:color="auto"/>
            </w:tcBorders>
            <w:hideMark/>
          </w:tcPr>
          <w:p w14:paraId="40748219" w14:textId="77777777" w:rsidR="005F69BD" w:rsidRPr="00EB1825" w:rsidRDefault="005F69BD" w:rsidP="00891F79">
            <w:pPr>
              <w:pStyle w:val="In-tableHeading"/>
              <w:rPr>
                <w:szCs w:val="20"/>
                <w:lang w:val="en-AU"/>
              </w:rPr>
            </w:pPr>
            <w:r w:rsidRPr="00EB1825">
              <w:rPr>
                <w:szCs w:val="20"/>
                <w:lang w:val="en-AU"/>
              </w:rPr>
              <w:t xml:space="preserve">Step 3: Trial-based analysis from Step 2, adding QALYs based on utility estimate by VMS frequency </w:t>
            </w:r>
          </w:p>
        </w:tc>
      </w:tr>
      <w:tr w:rsidR="005F69BD" w:rsidRPr="00EB1825" w14:paraId="48525323" w14:textId="77777777" w:rsidTr="00891F79">
        <w:tc>
          <w:tcPr>
            <w:tcW w:w="1255" w:type="pct"/>
            <w:tcBorders>
              <w:top w:val="single" w:sz="4" w:space="0" w:color="auto"/>
              <w:left w:val="single" w:sz="4" w:space="0" w:color="auto"/>
              <w:bottom w:val="single" w:sz="4" w:space="0" w:color="auto"/>
              <w:right w:val="single" w:sz="4" w:space="0" w:color="auto"/>
            </w:tcBorders>
            <w:hideMark/>
          </w:tcPr>
          <w:p w14:paraId="0119217B" w14:textId="77777777" w:rsidR="005F69BD" w:rsidRPr="00EB1825" w:rsidRDefault="005F69BD" w:rsidP="00891F79">
            <w:pPr>
              <w:pStyle w:val="TableText0"/>
              <w:rPr>
                <w:rFonts w:ascii="Times" w:hAnsi="Times"/>
                <w:szCs w:val="20"/>
              </w:rPr>
            </w:pPr>
            <w:r w:rsidRPr="00EB1825">
              <w:rPr>
                <w:szCs w:val="20"/>
              </w:rPr>
              <w:t>Costs: drug acquisition + resource use</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261B7D" w14:textId="40155A2F" w:rsidR="005F69BD" w:rsidRPr="00EB1825" w:rsidRDefault="005F69BD" w:rsidP="00891F79">
            <w:pPr>
              <w:pStyle w:val="TableText0"/>
              <w:rPr>
                <w:rFonts w:ascii="Times" w:hAnsi="Times"/>
                <w:szCs w:val="20"/>
              </w:rPr>
            </w:pPr>
            <w:r w:rsidRPr="00EB1825">
              <w:rPr>
                <w:szCs w:val="20"/>
              </w:rPr>
              <w:t>$</w:t>
            </w:r>
            <w:r w:rsidR="00E901B5" w:rsidRPr="00E901B5">
              <w:rPr>
                <w:szCs w:val="20"/>
                <w:highlight w:val="black"/>
              </w:rPr>
              <w:t>&amp;&amp;&amp;&amp;</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CF95FE8" w14:textId="77777777" w:rsidR="005F69BD" w:rsidRPr="00EB1825" w:rsidRDefault="005F69BD" w:rsidP="00891F79">
            <w:pPr>
              <w:pStyle w:val="TableText0"/>
              <w:rPr>
                <w:rFonts w:ascii="Times" w:hAnsi="Times"/>
                <w:szCs w:val="20"/>
              </w:rPr>
            </w:pPr>
            <w:r w:rsidRPr="00EB1825">
              <w:rPr>
                <w:szCs w:val="20"/>
              </w:rPr>
              <w:t>$150</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5E10FE4" w14:textId="1C49E548" w:rsidR="005F69BD" w:rsidRPr="00EB1825" w:rsidRDefault="005F69BD" w:rsidP="00891F79">
            <w:pPr>
              <w:pStyle w:val="TableText0"/>
              <w:rPr>
                <w:rFonts w:ascii="Times" w:hAnsi="Times"/>
                <w:szCs w:val="20"/>
              </w:rPr>
            </w:pPr>
            <w:r w:rsidRPr="00EB1825">
              <w:rPr>
                <w:szCs w:val="20"/>
              </w:rPr>
              <w:t>$</w:t>
            </w:r>
            <w:r w:rsidR="00E901B5" w:rsidRPr="00E901B5">
              <w:rPr>
                <w:szCs w:val="20"/>
                <w:highlight w:val="black"/>
              </w:rPr>
              <w:t>&amp;&amp;&amp;&amp;</w:t>
            </w:r>
          </w:p>
        </w:tc>
        <w:tc>
          <w:tcPr>
            <w:tcW w:w="628" w:type="pct"/>
            <w:tcBorders>
              <w:top w:val="single" w:sz="4" w:space="0" w:color="auto"/>
              <w:left w:val="single" w:sz="4" w:space="0" w:color="auto"/>
              <w:bottom w:val="single" w:sz="4" w:space="0" w:color="auto"/>
              <w:right w:val="single" w:sz="4" w:space="0" w:color="auto"/>
            </w:tcBorders>
            <w:hideMark/>
          </w:tcPr>
          <w:p w14:paraId="462B51AE" w14:textId="108D54CA" w:rsidR="005F69BD" w:rsidRPr="00EB1825" w:rsidRDefault="005F69BD" w:rsidP="00891F79">
            <w:pPr>
              <w:pStyle w:val="TableText0"/>
              <w:rPr>
                <w:szCs w:val="20"/>
              </w:rPr>
            </w:pPr>
            <w:r w:rsidRPr="00EB1825">
              <w:rPr>
                <w:szCs w:val="20"/>
              </w:rPr>
              <w:t>$</w:t>
            </w:r>
            <w:r w:rsidR="00E901B5" w:rsidRPr="00E901B5">
              <w:rPr>
                <w:szCs w:val="20"/>
                <w:highlight w:val="black"/>
              </w:rPr>
              <w:t>&amp;&amp;&amp;&amp;</w:t>
            </w:r>
          </w:p>
        </w:tc>
        <w:tc>
          <w:tcPr>
            <w:tcW w:w="677" w:type="pct"/>
            <w:tcBorders>
              <w:top w:val="single" w:sz="4" w:space="0" w:color="auto"/>
              <w:left w:val="single" w:sz="4" w:space="0" w:color="auto"/>
              <w:bottom w:val="single" w:sz="4" w:space="0" w:color="auto"/>
              <w:right w:val="single" w:sz="4" w:space="0" w:color="auto"/>
            </w:tcBorders>
            <w:hideMark/>
          </w:tcPr>
          <w:p w14:paraId="06E94E5D" w14:textId="77777777" w:rsidR="005F69BD" w:rsidRPr="00EB1825" w:rsidRDefault="005F69BD" w:rsidP="00891F79">
            <w:pPr>
              <w:pStyle w:val="TableText0"/>
              <w:rPr>
                <w:szCs w:val="20"/>
              </w:rPr>
            </w:pPr>
            <w:r w:rsidRPr="00EB1825">
              <w:rPr>
                <w:szCs w:val="20"/>
              </w:rPr>
              <w:t>$151</w:t>
            </w:r>
          </w:p>
        </w:tc>
        <w:tc>
          <w:tcPr>
            <w:tcW w:w="553" w:type="pct"/>
            <w:tcBorders>
              <w:top w:val="single" w:sz="4" w:space="0" w:color="auto"/>
              <w:left w:val="single" w:sz="4" w:space="0" w:color="auto"/>
              <w:bottom w:val="single" w:sz="4" w:space="0" w:color="auto"/>
              <w:right w:val="single" w:sz="4" w:space="0" w:color="auto"/>
            </w:tcBorders>
            <w:hideMark/>
          </w:tcPr>
          <w:p w14:paraId="3F700A92" w14:textId="60188D1D" w:rsidR="005F69BD" w:rsidRPr="00EB1825" w:rsidRDefault="005F69BD" w:rsidP="00891F79">
            <w:pPr>
              <w:pStyle w:val="TableText0"/>
              <w:rPr>
                <w:szCs w:val="20"/>
              </w:rPr>
            </w:pPr>
            <w:r w:rsidRPr="00EB1825">
              <w:rPr>
                <w:szCs w:val="20"/>
              </w:rPr>
              <w:t>$</w:t>
            </w:r>
            <w:r w:rsidR="00E901B5" w:rsidRPr="00E901B5">
              <w:rPr>
                <w:szCs w:val="20"/>
                <w:highlight w:val="black"/>
              </w:rPr>
              <w:t>&amp;&amp;&amp;&amp;</w:t>
            </w:r>
          </w:p>
        </w:tc>
      </w:tr>
      <w:tr w:rsidR="005F69BD" w:rsidRPr="00EB1825" w14:paraId="12415437" w14:textId="77777777" w:rsidTr="00891F79">
        <w:tc>
          <w:tcPr>
            <w:tcW w:w="1255" w:type="pct"/>
            <w:tcBorders>
              <w:top w:val="single" w:sz="4" w:space="0" w:color="auto"/>
              <w:left w:val="single" w:sz="4" w:space="0" w:color="auto"/>
              <w:bottom w:val="single" w:sz="4" w:space="0" w:color="auto"/>
              <w:right w:val="single" w:sz="4" w:space="0" w:color="auto"/>
            </w:tcBorders>
            <w:hideMark/>
          </w:tcPr>
          <w:p w14:paraId="194C463A" w14:textId="77777777" w:rsidR="005F69BD" w:rsidRPr="00EB1825" w:rsidRDefault="005F69BD" w:rsidP="00891F79">
            <w:pPr>
              <w:pStyle w:val="TableText0"/>
              <w:rPr>
                <w:rFonts w:ascii="Times" w:hAnsi="Times"/>
                <w:szCs w:val="20"/>
              </w:rPr>
            </w:pPr>
            <w:r w:rsidRPr="00EB1825">
              <w:rPr>
                <w:szCs w:val="20"/>
              </w:rPr>
              <w:t>Outcome: QALYs</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E2ED0C0" w14:textId="77777777" w:rsidR="005F69BD" w:rsidRPr="00EB1825" w:rsidRDefault="005F69BD" w:rsidP="00891F79">
            <w:pPr>
              <w:pStyle w:val="TableText0"/>
              <w:rPr>
                <w:rFonts w:ascii="Times" w:hAnsi="Times"/>
                <w:szCs w:val="20"/>
              </w:rPr>
            </w:pPr>
            <w:r w:rsidRPr="00EB1825">
              <w:t>0.368</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50B19A4" w14:textId="77777777" w:rsidR="005F69BD" w:rsidRPr="00EB1825" w:rsidRDefault="005F69BD" w:rsidP="00891F79">
            <w:pPr>
              <w:pStyle w:val="TableText0"/>
              <w:rPr>
                <w:rFonts w:ascii="Times" w:hAnsi="Times"/>
                <w:szCs w:val="20"/>
              </w:rPr>
            </w:pPr>
            <w:r w:rsidRPr="00EB1825">
              <w:t>0.362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5E34B6C" w14:textId="77777777" w:rsidR="005F69BD" w:rsidRPr="00EB1825" w:rsidRDefault="005F69BD" w:rsidP="00891F79">
            <w:pPr>
              <w:pStyle w:val="TableText0"/>
              <w:rPr>
                <w:szCs w:val="20"/>
              </w:rPr>
            </w:pPr>
            <w:r w:rsidRPr="00EB1825">
              <w:rPr>
                <w:szCs w:val="20"/>
              </w:rPr>
              <w:t>0.006</w:t>
            </w:r>
          </w:p>
        </w:tc>
        <w:tc>
          <w:tcPr>
            <w:tcW w:w="628" w:type="pct"/>
            <w:tcBorders>
              <w:top w:val="single" w:sz="4" w:space="0" w:color="auto"/>
              <w:left w:val="single" w:sz="4" w:space="0" w:color="auto"/>
              <w:bottom w:val="single" w:sz="4" w:space="0" w:color="auto"/>
              <w:right w:val="single" w:sz="4" w:space="0" w:color="auto"/>
            </w:tcBorders>
            <w:hideMark/>
          </w:tcPr>
          <w:p w14:paraId="4BD13378" w14:textId="77777777" w:rsidR="005F69BD" w:rsidRPr="00EB1825" w:rsidRDefault="005F69BD" w:rsidP="00891F79">
            <w:pPr>
              <w:pStyle w:val="TableText0"/>
              <w:rPr>
                <w:szCs w:val="20"/>
              </w:rPr>
            </w:pPr>
            <w:r w:rsidRPr="00EB1825">
              <w:rPr>
                <w:szCs w:val="20"/>
              </w:rPr>
              <w:t>0.368</w:t>
            </w:r>
          </w:p>
        </w:tc>
        <w:tc>
          <w:tcPr>
            <w:tcW w:w="677" w:type="pct"/>
            <w:tcBorders>
              <w:top w:val="single" w:sz="4" w:space="0" w:color="auto"/>
              <w:left w:val="single" w:sz="4" w:space="0" w:color="auto"/>
              <w:bottom w:val="single" w:sz="4" w:space="0" w:color="auto"/>
              <w:right w:val="single" w:sz="4" w:space="0" w:color="auto"/>
            </w:tcBorders>
            <w:hideMark/>
          </w:tcPr>
          <w:p w14:paraId="33B05624" w14:textId="77777777" w:rsidR="005F69BD" w:rsidRPr="00EB1825" w:rsidRDefault="005F69BD" w:rsidP="00891F79">
            <w:pPr>
              <w:pStyle w:val="TableText0"/>
              <w:rPr>
                <w:szCs w:val="20"/>
              </w:rPr>
            </w:pPr>
            <w:r w:rsidRPr="00EB1825">
              <w:rPr>
                <w:szCs w:val="20"/>
              </w:rPr>
              <w:t>0.362</w:t>
            </w:r>
          </w:p>
        </w:tc>
        <w:tc>
          <w:tcPr>
            <w:tcW w:w="553" w:type="pct"/>
            <w:tcBorders>
              <w:top w:val="single" w:sz="4" w:space="0" w:color="auto"/>
              <w:left w:val="single" w:sz="4" w:space="0" w:color="auto"/>
              <w:bottom w:val="single" w:sz="4" w:space="0" w:color="auto"/>
              <w:right w:val="single" w:sz="4" w:space="0" w:color="auto"/>
            </w:tcBorders>
            <w:hideMark/>
          </w:tcPr>
          <w:p w14:paraId="0EE56ADD" w14:textId="77777777" w:rsidR="005F69BD" w:rsidRPr="00EB1825" w:rsidRDefault="005F69BD" w:rsidP="00891F79">
            <w:pPr>
              <w:pStyle w:val="TableText0"/>
              <w:rPr>
                <w:szCs w:val="20"/>
              </w:rPr>
            </w:pPr>
            <w:r w:rsidRPr="00EB1825">
              <w:rPr>
                <w:szCs w:val="20"/>
              </w:rPr>
              <w:t>0.006</w:t>
            </w:r>
          </w:p>
        </w:tc>
      </w:tr>
      <w:tr w:rsidR="005F69BD" w:rsidRPr="00EB1825" w14:paraId="4F8FB003" w14:textId="77777777" w:rsidTr="00891F79">
        <w:tc>
          <w:tcPr>
            <w:tcW w:w="2513" w:type="pct"/>
            <w:gridSpan w:val="3"/>
            <w:tcBorders>
              <w:top w:val="single" w:sz="4" w:space="0" w:color="auto"/>
              <w:left w:val="single" w:sz="4" w:space="0" w:color="auto"/>
              <w:bottom w:val="single" w:sz="4" w:space="0" w:color="auto"/>
              <w:right w:val="single" w:sz="4" w:space="0" w:color="auto"/>
            </w:tcBorders>
            <w:hideMark/>
          </w:tcPr>
          <w:p w14:paraId="6F4870BC" w14:textId="77777777" w:rsidR="005F69BD" w:rsidRPr="00EB1825" w:rsidRDefault="005F69BD" w:rsidP="00891F79">
            <w:pPr>
              <w:pStyle w:val="TableText0"/>
              <w:rPr>
                <w:rFonts w:ascii="Times" w:hAnsi="Times"/>
                <w:szCs w:val="20"/>
              </w:rPr>
            </w:pPr>
            <w:r w:rsidRPr="00EB1825">
              <w:rPr>
                <w:szCs w:val="20"/>
              </w:rPr>
              <w:t>Incremental cost/extra QALYs gained</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919C353" w14:textId="463F9B5D" w:rsidR="005F69BD" w:rsidRPr="00D45ACE" w:rsidRDefault="005F69BD" w:rsidP="00891F79">
            <w:pPr>
              <w:pStyle w:val="TableText0"/>
              <w:rPr>
                <w:rFonts w:ascii="Times" w:hAnsi="Times"/>
                <w:szCs w:val="20"/>
                <w:vertAlign w:val="superscript"/>
              </w:rPr>
            </w:pPr>
            <w:r w:rsidRPr="00EB1825">
              <w:rPr>
                <w:szCs w:val="20"/>
              </w:rPr>
              <w:t>$</w:t>
            </w:r>
            <w:r w:rsidR="00E901B5" w:rsidRPr="00E901B5">
              <w:rPr>
                <w:szCs w:val="20"/>
                <w:highlight w:val="black"/>
              </w:rPr>
              <w:t>&amp;&amp;&amp;&amp;</w:t>
            </w:r>
            <w:r w:rsidR="00D45ACE">
              <w:rPr>
                <w:szCs w:val="20"/>
                <w:vertAlign w:val="superscript"/>
              </w:rPr>
              <w:t>2</w:t>
            </w:r>
          </w:p>
        </w:tc>
        <w:tc>
          <w:tcPr>
            <w:tcW w:w="1305" w:type="pct"/>
            <w:gridSpan w:val="2"/>
            <w:tcBorders>
              <w:top w:val="single" w:sz="4" w:space="0" w:color="auto"/>
              <w:left w:val="single" w:sz="4" w:space="0" w:color="auto"/>
              <w:bottom w:val="single" w:sz="4" w:space="0" w:color="auto"/>
              <w:right w:val="single" w:sz="4" w:space="0" w:color="auto"/>
            </w:tcBorders>
          </w:tcPr>
          <w:p w14:paraId="7C6717B2" w14:textId="77777777" w:rsidR="005F69BD" w:rsidRPr="00EB1825" w:rsidRDefault="005F69BD" w:rsidP="00891F79">
            <w:pPr>
              <w:pStyle w:val="TableText0"/>
              <w:rPr>
                <w:szCs w:val="20"/>
              </w:rPr>
            </w:pPr>
          </w:p>
        </w:tc>
        <w:tc>
          <w:tcPr>
            <w:tcW w:w="553" w:type="pct"/>
            <w:tcBorders>
              <w:top w:val="single" w:sz="4" w:space="0" w:color="auto"/>
              <w:left w:val="single" w:sz="4" w:space="0" w:color="auto"/>
              <w:bottom w:val="single" w:sz="4" w:space="0" w:color="auto"/>
              <w:right w:val="single" w:sz="4" w:space="0" w:color="auto"/>
            </w:tcBorders>
            <w:hideMark/>
          </w:tcPr>
          <w:p w14:paraId="1A0511FC" w14:textId="2F82EA65" w:rsidR="005F69BD" w:rsidRPr="00BC098A" w:rsidRDefault="005F69BD" w:rsidP="00891F79">
            <w:pPr>
              <w:pStyle w:val="TableText0"/>
              <w:rPr>
                <w:szCs w:val="20"/>
                <w:vertAlign w:val="superscript"/>
              </w:rPr>
            </w:pPr>
            <w:r w:rsidRPr="00EB1825">
              <w:rPr>
                <w:szCs w:val="20"/>
              </w:rPr>
              <w:t>$</w:t>
            </w:r>
            <w:r w:rsidR="00E901B5" w:rsidRPr="00E901B5">
              <w:rPr>
                <w:szCs w:val="20"/>
                <w:highlight w:val="black"/>
              </w:rPr>
              <w:t>&amp;&amp;&amp;&amp;</w:t>
            </w:r>
            <w:r w:rsidR="00BC098A">
              <w:rPr>
                <w:szCs w:val="20"/>
                <w:vertAlign w:val="superscript"/>
              </w:rPr>
              <w:t>3</w:t>
            </w:r>
          </w:p>
        </w:tc>
      </w:tr>
      <w:tr w:rsidR="005F69BD" w:rsidRPr="00EB1825" w14:paraId="4430F217" w14:textId="77777777" w:rsidTr="00891F79">
        <w:tc>
          <w:tcPr>
            <w:tcW w:w="5000" w:type="pct"/>
            <w:gridSpan w:val="7"/>
            <w:tcBorders>
              <w:top w:val="single" w:sz="4" w:space="0" w:color="auto"/>
              <w:left w:val="single" w:sz="4" w:space="0" w:color="auto"/>
              <w:bottom w:val="single" w:sz="4" w:space="0" w:color="auto"/>
              <w:right w:val="single" w:sz="4" w:space="0" w:color="auto"/>
            </w:tcBorders>
            <w:hideMark/>
          </w:tcPr>
          <w:p w14:paraId="56603729" w14:textId="77777777" w:rsidR="005F69BD" w:rsidRPr="00EB1825" w:rsidRDefault="005F69BD" w:rsidP="00891F79">
            <w:pPr>
              <w:pStyle w:val="In-tableHeading"/>
              <w:rPr>
                <w:szCs w:val="20"/>
                <w:lang w:val="en-AU"/>
              </w:rPr>
            </w:pPr>
            <w:r w:rsidRPr="00EB1825">
              <w:rPr>
                <w:szCs w:val="20"/>
                <w:lang w:val="en-AU"/>
              </w:rPr>
              <w:t>Step 4: Model-based analysis with 10-year time horizon, discounting of costs and outcomes</w:t>
            </w:r>
          </w:p>
        </w:tc>
      </w:tr>
      <w:tr w:rsidR="005F69BD" w:rsidRPr="00EB1825" w14:paraId="04E6E449" w14:textId="77777777" w:rsidTr="00891F79">
        <w:tc>
          <w:tcPr>
            <w:tcW w:w="1255" w:type="pct"/>
            <w:tcBorders>
              <w:top w:val="single" w:sz="4" w:space="0" w:color="auto"/>
              <w:left w:val="single" w:sz="4" w:space="0" w:color="auto"/>
              <w:bottom w:val="single" w:sz="4" w:space="0" w:color="auto"/>
              <w:right w:val="single" w:sz="4" w:space="0" w:color="auto"/>
            </w:tcBorders>
            <w:hideMark/>
          </w:tcPr>
          <w:p w14:paraId="24C44029" w14:textId="77777777" w:rsidR="005F69BD" w:rsidRPr="00EB1825" w:rsidRDefault="005F69BD" w:rsidP="00891F79">
            <w:pPr>
              <w:pStyle w:val="TableText0"/>
              <w:rPr>
                <w:rFonts w:ascii="Times" w:hAnsi="Times"/>
                <w:szCs w:val="20"/>
              </w:rPr>
            </w:pPr>
            <w:r w:rsidRPr="00EB1825">
              <w:rPr>
                <w:szCs w:val="20"/>
              </w:rPr>
              <w:t>Costs: drug acquisition + resource use</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7DE3CA3" w14:textId="232EBC63" w:rsidR="005F69BD" w:rsidRPr="00EB1825" w:rsidRDefault="005F69BD" w:rsidP="00891F79">
            <w:pPr>
              <w:pStyle w:val="TableText0"/>
              <w:rPr>
                <w:rFonts w:ascii="Times" w:hAnsi="Times"/>
                <w:szCs w:val="20"/>
              </w:rPr>
            </w:pPr>
            <w:r w:rsidRPr="00EB1825">
              <w:t>$</w:t>
            </w:r>
            <w:r w:rsidR="00E901B5" w:rsidRPr="00E901B5">
              <w:rPr>
                <w:highlight w:val="black"/>
              </w:rPr>
              <w:t>&amp;&amp;&amp;&amp;</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3C90797" w14:textId="77777777" w:rsidR="005F69BD" w:rsidRPr="00EB1825" w:rsidRDefault="005F69BD" w:rsidP="00891F79">
            <w:pPr>
              <w:pStyle w:val="TableText0"/>
              <w:rPr>
                <w:rFonts w:ascii="Times" w:hAnsi="Times"/>
                <w:szCs w:val="20"/>
              </w:rPr>
            </w:pPr>
            <w:r w:rsidRPr="00EB1825">
              <w:t>$896</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35058C" w14:textId="70C0ECE6" w:rsidR="005F69BD" w:rsidRPr="00EB1825" w:rsidRDefault="005F69BD" w:rsidP="00891F79">
            <w:pPr>
              <w:pStyle w:val="TableText0"/>
              <w:rPr>
                <w:rFonts w:ascii="Times" w:hAnsi="Times"/>
                <w:szCs w:val="20"/>
              </w:rPr>
            </w:pPr>
            <w:r w:rsidRPr="00EB1825">
              <w:rPr>
                <w:szCs w:val="20"/>
              </w:rPr>
              <w:t>$</w:t>
            </w:r>
            <w:r w:rsidR="00E901B5" w:rsidRPr="00E901B5">
              <w:rPr>
                <w:szCs w:val="20"/>
                <w:highlight w:val="black"/>
              </w:rPr>
              <w:t>&amp;&amp;&amp;&amp;</w:t>
            </w:r>
          </w:p>
        </w:tc>
        <w:tc>
          <w:tcPr>
            <w:tcW w:w="628" w:type="pct"/>
            <w:tcBorders>
              <w:top w:val="single" w:sz="4" w:space="0" w:color="auto"/>
              <w:left w:val="single" w:sz="4" w:space="0" w:color="auto"/>
              <w:bottom w:val="single" w:sz="4" w:space="0" w:color="auto"/>
              <w:right w:val="single" w:sz="4" w:space="0" w:color="auto"/>
            </w:tcBorders>
            <w:hideMark/>
          </w:tcPr>
          <w:p w14:paraId="17228F99" w14:textId="0F041F9B" w:rsidR="005F69BD" w:rsidRPr="00EB1825" w:rsidRDefault="005F69BD" w:rsidP="00891F79">
            <w:pPr>
              <w:pStyle w:val="TableText0"/>
              <w:rPr>
                <w:szCs w:val="20"/>
              </w:rPr>
            </w:pPr>
            <w:r w:rsidRPr="00EB1825">
              <w:rPr>
                <w:szCs w:val="20"/>
              </w:rPr>
              <w:t>$</w:t>
            </w:r>
            <w:r w:rsidR="00E901B5" w:rsidRPr="00E901B5">
              <w:rPr>
                <w:szCs w:val="20"/>
                <w:highlight w:val="black"/>
              </w:rPr>
              <w:t>&amp;&amp;&amp;&amp;</w:t>
            </w:r>
          </w:p>
        </w:tc>
        <w:tc>
          <w:tcPr>
            <w:tcW w:w="677" w:type="pct"/>
            <w:tcBorders>
              <w:top w:val="single" w:sz="4" w:space="0" w:color="auto"/>
              <w:left w:val="single" w:sz="4" w:space="0" w:color="auto"/>
              <w:bottom w:val="single" w:sz="4" w:space="0" w:color="auto"/>
              <w:right w:val="single" w:sz="4" w:space="0" w:color="auto"/>
            </w:tcBorders>
            <w:hideMark/>
          </w:tcPr>
          <w:p w14:paraId="23EB9BDA" w14:textId="77777777" w:rsidR="005F69BD" w:rsidRPr="00EB1825" w:rsidRDefault="005F69BD" w:rsidP="00891F79">
            <w:pPr>
              <w:pStyle w:val="TableText0"/>
              <w:rPr>
                <w:szCs w:val="20"/>
              </w:rPr>
            </w:pPr>
            <w:r w:rsidRPr="00EB1825">
              <w:rPr>
                <w:szCs w:val="20"/>
              </w:rPr>
              <w:t>$896</w:t>
            </w:r>
          </w:p>
        </w:tc>
        <w:tc>
          <w:tcPr>
            <w:tcW w:w="553" w:type="pct"/>
            <w:tcBorders>
              <w:top w:val="single" w:sz="4" w:space="0" w:color="auto"/>
              <w:left w:val="single" w:sz="4" w:space="0" w:color="auto"/>
              <w:bottom w:val="single" w:sz="4" w:space="0" w:color="auto"/>
              <w:right w:val="single" w:sz="4" w:space="0" w:color="auto"/>
            </w:tcBorders>
            <w:hideMark/>
          </w:tcPr>
          <w:p w14:paraId="20C6C7AC" w14:textId="43C47256" w:rsidR="005F69BD" w:rsidRPr="00EB1825" w:rsidRDefault="005F69BD" w:rsidP="00891F79">
            <w:pPr>
              <w:pStyle w:val="TableText0"/>
              <w:rPr>
                <w:szCs w:val="20"/>
              </w:rPr>
            </w:pPr>
            <w:r w:rsidRPr="00EB1825">
              <w:rPr>
                <w:szCs w:val="20"/>
              </w:rPr>
              <w:t>$</w:t>
            </w:r>
            <w:r w:rsidR="00E901B5" w:rsidRPr="00E901B5">
              <w:rPr>
                <w:szCs w:val="20"/>
                <w:highlight w:val="black"/>
              </w:rPr>
              <w:t>&amp;&amp;&amp;&amp;</w:t>
            </w:r>
          </w:p>
        </w:tc>
      </w:tr>
      <w:tr w:rsidR="005F69BD" w:rsidRPr="00EB1825" w14:paraId="362704AB" w14:textId="77777777" w:rsidTr="00891F79">
        <w:tc>
          <w:tcPr>
            <w:tcW w:w="1255" w:type="pct"/>
            <w:tcBorders>
              <w:top w:val="single" w:sz="4" w:space="0" w:color="auto"/>
              <w:left w:val="single" w:sz="4" w:space="0" w:color="auto"/>
              <w:bottom w:val="single" w:sz="4" w:space="0" w:color="auto"/>
              <w:right w:val="single" w:sz="4" w:space="0" w:color="auto"/>
            </w:tcBorders>
            <w:hideMark/>
          </w:tcPr>
          <w:p w14:paraId="28D06CFC" w14:textId="77777777" w:rsidR="005F69BD" w:rsidRPr="00EB1825" w:rsidRDefault="005F69BD" w:rsidP="00891F79">
            <w:pPr>
              <w:pStyle w:val="TableText0"/>
              <w:rPr>
                <w:rFonts w:ascii="Times" w:hAnsi="Times"/>
                <w:szCs w:val="20"/>
              </w:rPr>
            </w:pPr>
            <w:r w:rsidRPr="00EB1825">
              <w:rPr>
                <w:szCs w:val="20"/>
              </w:rPr>
              <w:t>Outcome: QALYs</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EF1B651" w14:textId="77777777" w:rsidR="005F69BD" w:rsidRPr="00EB1825" w:rsidRDefault="005F69BD" w:rsidP="00891F79">
            <w:pPr>
              <w:pStyle w:val="TableText0"/>
              <w:rPr>
                <w:rFonts w:ascii="Times" w:hAnsi="Times"/>
                <w:szCs w:val="20"/>
              </w:rPr>
            </w:pPr>
            <w:r w:rsidRPr="00EB1825">
              <w:t>6.278</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9EC3928" w14:textId="77777777" w:rsidR="005F69BD" w:rsidRPr="00EB1825" w:rsidRDefault="005F69BD" w:rsidP="00891F79">
            <w:pPr>
              <w:pStyle w:val="TableText0"/>
              <w:rPr>
                <w:rFonts w:ascii="Times" w:hAnsi="Times"/>
                <w:szCs w:val="20"/>
              </w:rPr>
            </w:pPr>
            <w:r w:rsidRPr="00EB1825">
              <w:t>6.187</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659BDC5" w14:textId="77777777" w:rsidR="005F69BD" w:rsidRPr="00EB1825" w:rsidRDefault="005F69BD" w:rsidP="00891F79">
            <w:pPr>
              <w:pStyle w:val="TableText0"/>
              <w:rPr>
                <w:szCs w:val="20"/>
              </w:rPr>
            </w:pPr>
            <w:r w:rsidRPr="00EB1825">
              <w:rPr>
                <w:szCs w:val="20"/>
              </w:rPr>
              <w:t>0.091</w:t>
            </w:r>
          </w:p>
        </w:tc>
        <w:tc>
          <w:tcPr>
            <w:tcW w:w="628" w:type="pct"/>
            <w:tcBorders>
              <w:top w:val="single" w:sz="4" w:space="0" w:color="auto"/>
              <w:left w:val="single" w:sz="4" w:space="0" w:color="auto"/>
              <w:bottom w:val="single" w:sz="4" w:space="0" w:color="auto"/>
              <w:right w:val="single" w:sz="4" w:space="0" w:color="auto"/>
            </w:tcBorders>
            <w:hideMark/>
          </w:tcPr>
          <w:p w14:paraId="6BD233B6" w14:textId="77777777" w:rsidR="005F69BD" w:rsidRPr="00EB1825" w:rsidRDefault="005F69BD" w:rsidP="00891F79">
            <w:pPr>
              <w:pStyle w:val="TableText0"/>
              <w:rPr>
                <w:szCs w:val="20"/>
              </w:rPr>
            </w:pPr>
            <w:r w:rsidRPr="00EB1825">
              <w:rPr>
                <w:szCs w:val="20"/>
              </w:rPr>
              <w:t>6.277</w:t>
            </w:r>
          </w:p>
        </w:tc>
        <w:tc>
          <w:tcPr>
            <w:tcW w:w="677" w:type="pct"/>
            <w:tcBorders>
              <w:top w:val="single" w:sz="4" w:space="0" w:color="auto"/>
              <w:left w:val="single" w:sz="4" w:space="0" w:color="auto"/>
              <w:bottom w:val="single" w:sz="4" w:space="0" w:color="auto"/>
              <w:right w:val="single" w:sz="4" w:space="0" w:color="auto"/>
            </w:tcBorders>
            <w:hideMark/>
          </w:tcPr>
          <w:p w14:paraId="7A16C4C6" w14:textId="77777777" w:rsidR="005F69BD" w:rsidRPr="00EB1825" w:rsidRDefault="005F69BD" w:rsidP="00891F79">
            <w:pPr>
              <w:pStyle w:val="TableText0"/>
              <w:rPr>
                <w:szCs w:val="20"/>
              </w:rPr>
            </w:pPr>
            <w:r w:rsidRPr="00EB1825">
              <w:rPr>
                <w:szCs w:val="20"/>
              </w:rPr>
              <w:t>6.185</w:t>
            </w:r>
          </w:p>
        </w:tc>
        <w:tc>
          <w:tcPr>
            <w:tcW w:w="553" w:type="pct"/>
            <w:tcBorders>
              <w:top w:val="single" w:sz="4" w:space="0" w:color="auto"/>
              <w:left w:val="single" w:sz="4" w:space="0" w:color="auto"/>
              <w:bottom w:val="single" w:sz="4" w:space="0" w:color="auto"/>
              <w:right w:val="single" w:sz="4" w:space="0" w:color="auto"/>
            </w:tcBorders>
            <w:hideMark/>
          </w:tcPr>
          <w:p w14:paraId="5687E347" w14:textId="77777777" w:rsidR="005F69BD" w:rsidRPr="00EB1825" w:rsidRDefault="005F69BD" w:rsidP="00891F79">
            <w:pPr>
              <w:pStyle w:val="TableText0"/>
              <w:rPr>
                <w:szCs w:val="20"/>
              </w:rPr>
            </w:pPr>
            <w:r w:rsidRPr="00EB1825">
              <w:rPr>
                <w:szCs w:val="20"/>
              </w:rPr>
              <w:t>0.091</w:t>
            </w:r>
          </w:p>
        </w:tc>
      </w:tr>
      <w:tr w:rsidR="005F69BD" w:rsidRPr="00EB1825" w14:paraId="08B114B4" w14:textId="77777777" w:rsidTr="00891F79">
        <w:tc>
          <w:tcPr>
            <w:tcW w:w="2513" w:type="pct"/>
            <w:gridSpan w:val="3"/>
            <w:tcBorders>
              <w:top w:val="single" w:sz="4" w:space="0" w:color="auto"/>
              <w:left w:val="single" w:sz="4" w:space="0" w:color="auto"/>
              <w:bottom w:val="single" w:sz="4" w:space="0" w:color="auto"/>
              <w:right w:val="single" w:sz="4" w:space="0" w:color="auto"/>
            </w:tcBorders>
            <w:hideMark/>
          </w:tcPr>
          <w:p w14:paraId="11EAE0DA" w14:textId="77777777" w:rsidR="005F69BD" w:rsidRPr="00EB1825" w:rsidRDefault="005F69BD" w:rsidP="00891F79">
            <w:pPr>
              <w:pStyle w:val="TableText0"/>
              <w:rPr>
                <w:rFonts w:ascii="Times" w:hAnsi="Times"/>
                <w:b/>
                <w:szCs w:val="20"/>
              </w:rPr>
            </w:pPr>
            <w:r w:rsidRPr="00EB1825">
              <w:rPr>
                <w:b/>
                <w:szCs w:val="20"/>
              </w:rPr>
              <w:t>Incremental cost/extra QALY gained (base case)</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AC0BEAB" w14:textId="113DFE09" w:rsidR="005F69BD" w:rsidRPr="00ED5813" w:rsidRDefault="005F69BD" w:rsidP="00891F79">
            <w:pPr>
              <w:pStyle w:val="TableText0"/>
              <w:rPr>
                <w:rFonts w:ascii="Times" w:hAnsi="Times"/>
                <w:bCs w:val="0"/>
                <w:szCs w:val="20"/>
                <w:vertAlign w:val="superscript"/>
              </w:rPr>
            </w:pPr>
            <w:r w:rsidRPr="00EB1825">
              <w:rPr>
                <w:b/>
                <w:szCs w:val="20"/>
              </w:rPr>
              <w:t>$</w:t>
            </w:r>
            <w:r w:rsidR="00E901B5" w:rsidRPr="00E901B5">
              <w:rPr>
                <w:b/>
                <w:szCs w:val="20"/>
                <w:highlight w:val="black"/>
              </w:rPr>
              <w:t>&amp;&amp;&amp;&amp;</w:t>
            </w:r>
            <w:r w:rsidR="00ED5813">
              <w:rPr>
                <w:bCs w:val="0"/>
                <w:szCs w:val="20"/>
                <w:vertAlign w:val="superscript"/>
              </w:rPr>
              <w:t>4</w:t>
            </w:r>
          </w:p>
        </w:tc>
        <w:tc>
          <w:tcPr>
            <w:tcW w:w="1305" w:type="pct"/>
            <w:gridSpan w:val="2"/>
            <w:tcBorders>
              <w:top w:val="single" w:sz="4" w:space="0" w:color="auto"/>
              <w:left w:val="single" w:sz="4" w:space="0" w:color="auto"/>
              <w:bottom w:val="single" w:sz="4" w:space="0" w:color="auto"/>
              <w:right w:val="single" w:sz="4" w:space="0" w:color="auto"/>
            </w:tcBorders>
          </w:tcPr>
          <w:p w14:paraId="4F5F9E28" w14:textId="77777777" w:rsidR="005F69BD" w:rsidRPr="00EB1825" w:rsidRDefault="005F69BD" w:rsidP="00891F79">
            <w:pPr>
              <w:pStyle w:val="TableText0"/>
              <w:rPr>
                <w:b/>
                <w:szCs w:val="20"/>
              </w:rPr>
            </w:pPr>
          </w:p>
        </w:tc>
        <w:tc>
          <w:tcPr>
            <w:tcW w:w="553" w:type="pct"/>
            <w:tcBorders>
              <w:top w:val="single" w:sz="4" w:space="0" w:color="auto"/>
              <w:left w:val="single" w:sz="4" w:space="0" w:color="auto"/>
              <w:bottom w:val="single" w:sz="4" w:space="0" w:color="auto"/>
              <w:right w:val="single" w:sz="4" w:space="0" w:color="auto"/>
            </w:tcBorders>
            <w:hideMark/>
          </w:tcPr>
          <w:p w14:paraId="22433E13" w14:textId="57CABDB3" w:rsidR="005F69BD" w:rsidRPr="00CA778D" w:rsidRDefault="005F69BD" w:rsidP="00891F79">
            <w:pPr>
              <w:pStyle w:val="TableText0"/>
              <w:rPr>
                <w:bCs w:val="0"/>
                <w:szCs w:val="20"/>
                <w:vertAlign w:val="superscript"/>
              </w:rPr>
            </w:pPr>
            <w:r w:rsidRPr="00EB1825">
              <w:rPr>
                <w:b/>
                <w:szCs w:val="20"/>
              </w:rPr>
              <w:t>$</w:t>
            </w:r>
            <w:r w:rsidR="00E901B5" w:rsidRPr="00E901B5">
              <w:rPr>
                <w:b/>
                <w:szCs w:val="20"/>
                <w:highlight w:val="black"/>
              </w:rPr>
              <w:t>&amp;&amp;&amp;&amp;</w:t>
            </w:r>
            <w:r w:rsidR="00CA778D">
              <w:rPr>
                <w:bCs w:val="0"/>
                <w:szCs w:val="20"/>
                <w:vertAlign w:val="superscript"/>
              </w:rPr>
              <w:t>5</w:t>
            </w:r>
          </w:p>
        </w:tc>
      </w:tr>
    </w:tbl>
    <w:p w14:paraId="59536AA5" w14:textId="77777777" w:rsidR="005F69BD" w:rsidRPr="00EB1825" w:rsidRDefault="005F69BD" w:rsidP="005F69BD">
      <w:pPr>
        <w:pStyle w:val="TableFigureFooter"/>
      </w:pPr>
      <w:r w:rsidRPr="00EB1825">
        <w:t xml:space="preserve">Source: Para 6.60, </w:t>
      </w:r>
      <w:proofErr w:type="spellStart"/>
      <w:r w:rsidRPr="00EB1825">
        <w:t>fezolinetant</w:t>
      </w:r>
      <w:proofErr w:type="spellEnd"/>
      <w:r w:rsidRPr="00EB1825">
        <w:t>, PBAC MIN, March 2025 and Table 3.9.1, p96 of the resubmission.</w:t>
      </w:r>
    </w:p>
    <w:p w14:paraId="702F15C7" w14:textId="77777777" w:rsidR="005F69BD" w:rsidRPr="00EB1825" w:rsidRDefault="005F69BD" w:rsidP="00BF04CC">
      <w:pPr>
        <w:pStyle w:val="TableFigureFooter"/>
        <w:spacing w:after="0"/>
      </w:pPr>
      <w:r w:rsidRPr="00EB1825">
        <w:t>VMS=vasomotor symptoms, QALYs=quality-adjusted life-years.</w:t>
      </w:r>
    </w:p>
    <w:p w14:paraId="13D45F0C" w14:textId="77777777" w:rsidR="000B7B24" w:rsidRDefault="00BF04CC" w:rsidP="000B7B24">
      <w:pPr>
        <w:rPr>
          <w:rFonts w:ascii="Arial Narrow" w:hAnsi="Arial Narrow"/>
          <w:i/>
          <w:sz w:val="18"/>
          <w:szCs w:val="18"/>
        </w:rPr>
      </w:pPr>
      <w:r w:rsidRPr="00EB1825">
        <w:rPr>
          <w:rStyle w:val="CommentReference"/>
          <w:b w:val="0"/>
          <w:bCs/>
          <w:sz w:val="18"/>
          <w:szCs w:val="18"/>
          <w:shd w:val="clear" w:color="auto" w:fill="B8CCE4" w:themeFill="accent1" w:themeFillTint="66"/>
        </w:rPr>
        <w:t xml:space="preserve">Blue </w:t>
      </w:r>
      <w:r w:rsidRPr="00EB1825">
        <w:rPr>
          <w:rStyle w:val="CommentReference"/>
          <w:b w:val="0"/>
          <w:bCs/>
          <w:sz w:val="18"/>
          <w:szCs w:val="18"/>
        </w:rPr>
        <w:t>shading indicates data previously seen by the PBAC</w:t>
      </w:r>
      <w:bookmarkStart w:id="68" w:name="_Hlk219377728"/>
      <w:r w:rsidR="000B7B24" w:rsidRPr="000B7B24">
        <w:rPr>
          <w:rFonts w:ascii="Arial Narrow" w:hAnsi="Arial Narrow"/>
          <w:i/>
          <w:sz w:val="18"/>
          <w:szCs w:val="18"/>
        </w:rPr>
        <w:t xml:space="preserve"> </w:t>
      </w:r>
    </w:p>
    <w:p w14:paraId="74AB8565" w14:textId="328E3001" w:rsidR="000B7B24" w:rsidRPr="000B7B24" w:rsidRDefault="000B7B24" w:rsidP="000B7B24">
      <w:pPr>
        <w:rPr>
          <w:rFonts w:ascii="Arial Narrow" w:hAnsi="Arial Narrow"/>
          <w:bCs/>
          <w:i/>
          <w:sz w:val="18"/>
          <w:szCs w:val="18"/>
        </w:rPr>
      </w:pPr>
      <w:r w:rsidRPr="000B7B24">
        <w:rPr>
          <w:rFonts w:ascii="Arial Narrow" w:hAnsi="Arial Narrow"/>
          <w:bCs/>
          <w:i/>
          <w:sz w:val="18"/>
          <w:szCs w:val="18"/>
        </w:rPr>
        <w:t xml:space="preserve">The redacted values correspond to the following ranges: </w:t>
      </w:r>
    </w:p>
    <w:p w14:paraId="73296B80" w14:textId="78631C14" w:rsidR="000B7B24" w:rsidRPr="000B7B24" w:rsidRDefault="000B7B24" w:rsidP="000B7B24">
      <w:pPr>
        <w:rPr>
          <w:rFonts w:ascii="Arial Narrow" w:hAnsi="Arial Narrow"/>
          <w:bCs/>
          <w:i/>
          <w:sz w:val="18"/>
          <w:szCs w:val="18"/>
        </w:rPr>
      </w:pPr>
      <w:r w:rsidRPr="000B7B24">
        <w:rPr>
          <w:rFonts w:ascii="Arial Narrow" w:hAnsi="Arial Narrow"/>
          <w:bCs/>
          <w:i/>
          <w:sz w:val="18"/>
          <w:szCs w:val="18"/>
          <w:vertAlign w:val="superscript"/>
        </w:rPr>
        <w:t>1</w:t>
      </w:r>
      <w:r w:rsidRPr="000B7B24">
        <w:rPr>
          <w:rFonts w:ascii="Arial Narrow" w:hAnsi="Arial Narrow"/>
          <w:bCs/>
          <w:i/>
          <w:sz w:val="18"/>
          <w:szCs w:val="18"/>
        </w:rPr>
        <w:t xml:space="preserve"> </w:t>
      </w:r>
      <w:r w:rsidR="00625D51" w:rsidRPr="00625D51">
        <w:rPr>
          <w:rFonts w:ascii="Arial Narrow" w:hAnsi="Arial Narrow"/>
          <w:bCs/>
          <w:i/>
          <w:sz w:val="18"/>
          <w:szCs w:val="18"/>
        </w:rPr>
        <w:t>$0 to &lt; $5,000</w:t>
      </w:r>
    </w:p>
    <w:bookmarkEnd w:id="68"/>
    <w:p w14:paraId="170DF86D" w14:textId="7F30A0F8" w:rsidR="000B7B24" w:rsidRPr="000B7B24" w:rsidRDefault="000B7B24" w:rsidP="000B7B24">
      <w:pPr>
        <w:rPr>
          <w:rFonts w:ascii="Arial Narrow" w:hAnsi="Arial Narrow"/>
          <w:bCs/>
          <w:i/>
          <w:sz w:val="18"/>
          <w:szCs w:val="18"/>
        </w:rPr>
      </w:pPr>
      <w:r w:rsidRPr="000B7B24">
        <w:rPr>
          <w:rFonts w:ascii="Arial Narrow" w:hAnsi="Arial Narrow"/>
          <w:bCs/>
          <w:i/>
          <w:sz w:val="18"/>
          <w:szCs w:val="18"/>
          <w:vertAlign w:val="superscript"/>
        </w:rPr>
        <w:t>2</w:t>
      </w:r>
      <w:r w:rsidRPr="000B7B24">
        <w:rPr>
          <w:rFonts w:ascii="Arial Narrow" w:hAnsi="Arial Narrow"/>
          <w:bCs/>
          <w:i/>
          <w:sz w:val="18"/>
          <w:szCs w:val="18"/>
        </w:rPr>
        <w:t xml:space="preserve"> </w:t>
      </w:r>
      <w:r w:rsidR="00D45ACE" w:rsidRPr="00D45ACE">
        <w:rPr>
          <w:rFonts w:ascii="Arial Narrow" w:hAnsi="Arial Narrow"/>
          <w:bCs/>
          <w:i/>
          <w:sz w:val="18"/>
          <w:szCs w:val="18"/>
        </w:rPr>
        <w:t>$95,000 to &lt; $115,000</w:t>
      </w:r>
    </w:p>
    <w:p w14:paraId="0E0028DF" w14:textId="492AEBF1" w:rsidR="000B7B24" w:rsidRPr="000B7B24" w:rsidRDefault="000B7B24" w:rsidP="000B7B24">
      <w:pPr>
        <w:rPr>
          <w:rFonts w:ascii="Arial Narrow" w:hAnsi="Arial Narrow"/>
          <w:bCs/>
          <w:i/>
          <w:sz w:val="18"/>
          <w:szCs w:val="18"/>
        </w:rPr>
      </w:pPr>
      <w:r w:rsidRPr="000B7B24">
        <w:rPr>
          <w:rFonts w:ascii="Arial Narrow" w:hAnsi="Arial Narrow"/>
          <w:bCs/>
          <w:i/>
          <w:sz w:val="18"/>
          <w:szCs w:val="18"/>
          <w:vertAlign w:val="superscript"/>
        </w:rPr>
        <w:t>3</w:t>
      </w:r>
      <w:r w:rsidRPr="000B7B24">
        <w:rPr>
          <w:rFonts w:ascii="Arial Narrow" w:hAnsi="Arial Narrow"/>
          <w:bCs/>
          <w:i/>
          <w:sz w:val="18"/>
          <w:szCs w:val="18"/>
        </w:rPr>
        <w:t xml:space="preserve"> </w:t>
      </w:r>
      <w:r w:rsidR="00BC098A" w:rsidRPr="00BC098A">
        <w:rPr>
          <w:rFonts w:ascii="Arial Narrow" w:hAnsi="Arial Narrow"/>
          <w:bCs/>
          <w:i/>
          <w:sz w:val="18"/>
          <w:szCs w:val="18"/>
        </w:rPr>
        <w:t xml:space="preserve">$55,000 to &lt; $75,000 </w:t>
      </w:r>
    </w:p>
    <w:p w14:paraId="372C9A20" w14:textId="476535A2" w:rsidR="000B7B24" w:rsidRPr="000B7B24" w:rsidRDefault="000B7B24" w:rsidP="000B7B24">
      <w:pPr>
        <w:rPr>
          <w:rFonts w:ascii="Arial Narrow" w:hAnsi="Arial Narrow"/>
          <w:bCs/>
          <w:i/>
          <w:sz w:val="18"/>
          <w:szCs w:val="18"/>
        </w:rPr>
      </w:pPr>
      <w:r w:rsidRPr="000B7B24">
        <w:rPr>
          <w:rFonts w:ascii="Arial Narrow" w:hAnsi="Arial Narrow"/>
          <w:bCs/>
          <w:i/>
          <w:sz w:val="18"/>
          <w:szCs w:val="18"/>
          <w:vertAlign w:val="superscript"/>
        </w:rPr>
        <w:t>4</w:t>
      </w:r>
      <w:r w:rsidRPr="000B7B24">
        <w:rPr>
          <w:rFonts w:ascii="Arial Narrow" w:hAnsi="Arial Narrow"/>
          <w:bCs/>
          <w:i/>
          <w:sz w:val="18"/>
          <w:szCs w:val="18"/>
        </w:rPr>
        <w:t xml:space="preserve"> </w:t>
      </w:r>
      <w:r w:rsidR="00ED5813" w:rsidRPr="00ED5813">
        <w:rPr>
          <w:rFonts w:ascii="Arial Narrow" w:hAnsi="Arial Narrow"/>
          <w:bCs/>
          <w:i/>
          <w:sz w:val="18"/>
          <w:szCs w:val="18"/>
        </w:rPr>
        <w:t>$35,000 to &lt; $45,000</w:t>
      </w:r>
    </w:p>
    <w:p w14:paraId="2BE910CF" w14:textId="4865D2CB" w:rsidR="00BF04CC" w:rsidRPr="00EB1825" w:rsidRDefault="000B7B24" w:rsidP="00BF04CC">
      <w:pPr>
        <w:rPr>
          <w:rStyle w:val="CommentReference"/>
          <w:b w:val="0"/>
          <w:bCs/>
          <w:sz w:val="18"/>
          <w:szCs w:val="18"/>
        </w:rPr>
      </w:pPr>
      <w:r w:rsidRPr="000B7B24">
        <w:rPr>
          <w:rFonts w:ascii="Arial Narrow" w:hAnsi="Arial Narrow"/>
          <w:bCs/>
          <w:i/>
          <w:sz w:val="18"/>
          <w:szCs w:val="18"/>
          <w:vertAlign w:val="superscript"/>
        </w:rPr>
        <w:t>5</w:t>
      </w:r>
      <w:r w:rsidRPr="000B7B24">
        <w:rPr>
          <w:rFonts w:ascii="Arial Narrow" w:hAnsi="Arial Narrow"/>
          <w:bCs/>
          <w:i/>
          <w:sz w:val="18"/>
          <w:szCs w:val="18"/>
        </w:rPr>
        <w:t xml:space="preserve"> </w:t>
      </w:r>
      <w:r w:rsidR="00CA778D" w:rsidRPr="00CA778D">
        <w:rPr>
          <w:rFonts w:ascii="Arial Narrow" w:hAnsi="Arial Narrow"/>
          <w:bCs/>
          <w:i/>
          <w:sz w:val="18"/>
          <w:szCs w:val="18"/>
        </w:rPr>
        <w:t>$15,000 to &lt; $25,000</w:t>
      </w:r>
    </w:p>
    <w:p w14:paraId="192D850D" w14:textId="77777777" w:rsidR="00BF04CC" w:rsidRPr="00EB1825" w:rsidRDefault="00BF04CC" w:rsidP="00766C07">
      <w:pPr>
        <w:pStyle w:val="3-BodyText"/>
        <w:numPr>
          <w:ilvl w:val="0"/>
          <w:numId w:val="0"/>
        </w:numPr>
        <w:ind w:left="720" w:hanging="720"/>
      </w:pPr>
    </w:p>
    <w:p w14:paraId="59636B54" w14:textId="7E8D0171" w:rsidR="005F69BD" w:rsidRPr="00EB1825" w:rsidRDefault="00E75E51" w:rsidP="00766C07">
      <w:pPr>
        <w:pStyle w:val="3-BodyText"/>
      </w:pPr>
      <w:r w:rsidRPr="00EB1825">
        <w:t>The evaluation</w:t>
      </w:r>
      <w:r w:rsidR="00D04091" w:rsidRPr="00EB1825">
        <w:t xml:space="preserve"> and the ESC</w:t>
      </w:r>
      <w:r w:rsidRPr="00EB1825">
        <w:t xml:space="preserve"> considered that a</w:t>
      </w:r>
      <w:r w:rsidR="005F69BD" w:rsidRPr="00EB1825">
        <w:t xml:space="preserve">s </w:t>
      </w:r>
      <w:r w:rsidR="00321B5D" w:rsidRPr="00EB1825">
        <w:t xml:space="preserve">with the </w:t>
      </w:r>
      <w:r w:rsidR="005F69BD" w:rsidRPr="00EB1825">
        <w:t>March 2025 submission, the</w:t>
      </w:r>
      <w:r w:rsidR="00321B5D" w:rsidRPr="00EB1825">
        <w:t xml:space="preserve"> resubmission’s</w:t>
      </w:r>
      <w:r w:rsidR="005F69BD" w:rsidRPr="00EB1825">
        <w:t xml:space="preserve"> base case ICER may be uncertain because of uncertain assumptions in the model structure, </w:t>
      </w:r>
      <w:r w:rsidR="0011164C" w:rsidRPr="00EB1825">
        <w:t>application of differen</w:t>
      </w:r>
      <w:r w:rsidR="004A73B7" w:rsidRPr="00EB1825">
        <w:t xml:space="preserve">t sources of discontinuation rates, and </w:t>
      </w:r>
      <w:r w:rsidR="005F69BD" w:rsidRPr="00EB1825">
        <w:t xml:space="preserve">extrapolation of </w:t>
      </w:r>
      <w:r w:rsidR="00EC7F54" w:rsidRPr="00EB1825">
        <w:t xml:space="preserve">the </w:t>
      </w:r>
      <w:r w:rsidR="005F69BD" w:rsidRPr="00EB1825">
        <w:t xml:space="preserve">treatment effect beyond </w:t>
      </w:r>
      <w:r w:rsidR="009D2E19" w:rsidRPr="00EB1825">
        <w:t xml:space="preserve">the </w:t>
      </w:r>
      <w:r w:rsidR="005F69BD" w:rsidRPr="00EB1825">
        <w:t>trial.</w:t>
      </w:r>
    </w:p>
    <w:p w14:paraId="56194F0E" w14:textId="77777777" w:rsidR="005F69BD" w:rsidRPr="00EB1825" w:rsidRDefault="005F69BD" w:rsidP="00766C07">
      <w:pPr>
        <w:pStyle w:val="3-BodyText"/>
      </w:pPr>
      <w:r w:rsidRPr="00EB1825">
        <w:t xml:space="preserve">The disaggregated results from the resubmission showed the model was driven by drug costs (i.e., 91% of the total incremental costs) and </w:t>
      </w:r>
      <w:proofErr w:type="spellStart"/>
      <w:r w:rsidRPr="00EB1825">
        <w:t>fezolinetant</w:t>
      </w:r>
      <w:proofErr w:type="spellEnd"/>
      <w:r w:rsidRPr="00EB1825">
        <w:t xml:space="preserve"> treated patients spending more time in the lower VMS frequency health states compared to those in the no treatment arm. QALYs and life years gained remained unchanged from the March 2025 submission.</w:t>
      </w:r>
    </w:p>
    <w:p w14:paraId="23FAA840" w14:textId="0E6CEA1B" w:rsidR="005F69BD" w:rsidRPr="00EB1825" w:rsidRDefault="005F69BD" w:rsidP="00766C07">
      <w:pPr>
        <w:pStyle w:val="3-BodyText"/>
      </w:pPr>
      <w:r w:rsidRPr="00EB1825">
        <w:t>The results of key sensitivity analyses are summarised in</w:t>
      </w:r>
      <w:r w:rsidR="00CF3947" w:rsidRPr="00EB1825">
        <w:t xml:space="preserve"> </w:t>
      </w:r>
      <w:r w:rsidR="00CF3947" w:rsidRPr="00EB1825">
        <w:fldChar w:fldCharType="begin"/>
      </w:r>
      <w:r w:rsidR="00CF3947" w:rsidRPr="00EB1825">
        <w:instrText xml:space="preserve"> REF _Ref204857090 \h </w:instrText>
      </w:r>
      <w:r w:rsidR="00817C2B" w:rsidRPr="00EB1825">
        <w:instrText xml:space="preserve"> \* MERGEFORMAT </w:instrText>
      </w:r>
      <w:r w:rsidR="00CF3947" w:rsidRPr="00EB1825">
        <w:fldChar w:fldCharType="separate"/>
      </w:r>
      <w:r w:rsidR="00946DF5" w:rsidRPr="00EB1825">
        <w:t xml:space="preserve">Table </w:t>
      </w:r>
      <w:r w:rsidR="00946DF5">
        <w:rPr>
          <w:noProof/>
        </w:rPr>
        <w:t>16</w:t>
      </w:r>
      <w:r w:rsidR="00CF3947" w:rsidRPr="00EB1825">
        <w:fldChar w:fldCharType="end"/>
      </w:r>
      <w:r w:rsidRPr="00EB1825">
        <w:t xml:space="preserve">. The ICER was most sensitive to inputs relating to time horizon, treatment discontinuation, treatment compliance rate, and utility estimates. </w:t>
      </w:r>
      <w:r w:rsidR="00817C2B" w:rsidRPr="00EB1825">
        <w:t xml:space="preserve">The evaluation </w:t>
      </w:r>
      <w:r w:rsidR="00842E0C" w:rsidRPr="00EB1825">
        <w:t xml:space="preserve">and the ESC </w:t>
      </w:r>
      <w:r w:rsidR="00817C2B" w:rsidRPr="00EB1825">
        <w:t>considered that s</w:t>
      </w:r>
      <w:r w:rsidRPr="00EB1825">
        <w:t>tructural assumptions within the model were likely the predominant drivers of ICER uncertainty; however, these assumptions are inherently non-parametric and cannot be tested through sensitivity analyses.</w:t>
      </w:r>
    </w:p>
    <w:p w14:paraId="621562C2" w14:textId="56CDC833" w:rsidR="005F69BD" w:rsidRPr="00EB1825" w:rsidRDefault="005F69BD" w:rsidP="005F69BD">
      <w:pPr>
        <w:pStyle w:val="TableFigureHeading"/>
        <w:rPr>
          <w:rStyle w:val="CommentReference"/>
          <w:b/>
          <w:szCs w:val="24"/>
        </w:rPr>
      </w:pPr>
      <w:bookmarkStart w:id="69" w:name="_Ref204857090"/>
      <w:r w:rsidRPr="00EB1825">
        <w:t xml:space="preserve">Table </w:t>
      </w:r>
      <w:r w:rsidR="005B6061">
        <w:fldChar w:fldCharType="begin"/>
      </w:r>
      <w:r w:rsidR="005B6061">
        <w:instrText xml:space="preserve"> SEQ Table \* ARABIC </w:instrText>
      </w:r>
      <w:r w:rsidR="005B6061">
        <w:fldChar w:fldCharType="separate"/>
      </w:r>
      <w:r w:rsidR="00946DF5">
        <w:rPr>
          <w:noProof/>
        </w:rPr>
        <w:t>16</w:t>
      </w:r>
      <w:r w:rsidR="005B6061">
        <w:rPr>
          <w:noProof/>
        </w:rPr>
        <w:fldChar w:fldCharType="end"/>
      </w:r>
      <w:bookmarkEnd w:id="69"/>
      <w:r w:rsidRPr="00EB1825">
        <w:t>:</w:t>
      </w:r>
      <w:r w:rsidRPr="00EB1825">
        <w:rPr>
          <w:rStyle w:val="CommentReference"/>
          <w:b/>
          <w:szCs w:val="24"/>
        </w:rPr>
        <w:t xml:space="preserve"> Sensitivity analyses</w:t>
      </w:r>
    </w:p>
    <w:tbl>
      <w:tblPr>
        <w:tblStyle w:val="PBAClayout"/>
        <w:tblW w:w="9158" w:type="dxa"/>
        <w:tblLayout w:type="fixed"/>
        <w:tblLook w:val="04A0" w:firstRow="1" w:lastRow="0" w:firstColumn="1" w:lastColumn="0" w:noHBand="0" w:noVBand="1"/>
        <w:tblCaption w:val="Table 16: Sensitivity analyses"/>
      </w:tblPr>
      <w:tblGrid>
        <w:gridCol w:w="4587"/>
        <w:gridCol w:w="977"/>
        <w:gridCol w:w="977"/>
        <w:gridCol w:w="1379"/>
        <w:gridCol w:w="1238"/>
      </w:tblGrid>
      <w:tr w:rsidR="005F69BD" w:rsidRPr="00EB1825" w14:paraId="2919DD77" w14:textId="77777777" w:rsidTr="005F0019">
        <w:tc>
          <w:tcPr>
            <w:tcW w:w="4587" w:type="dxa"/>
            <w:tcBorders>
              <w:top w:val="single" w:sz="4" w:space="0" w:color="auto"/>
              <w:left w:val="single" w:sz="4" w:space="0" w:color="auto"/>
              <w:bottom w:val="single" w:sz="4" w:space="0" w:color="auto"/>
              <w:right w:val="single" w:sz="4" w:space="0" w:color="auto"/>
            </w:tcBorders>
            <w:hideMark/>
          </w:tcPr>
          <w:p w14:paraId="697A9F90" w14:textId="77777777" w:rsidR="005F69BD" w:rsidRPr="00EB1825" w:rsidRDefault="005F69BD" w:rsidP="000A3AF5">
            <w:pPr>
              <w:pStyle w:val="In-tableHeading"/>
              <w:jc w:val="center"/>
              <w:rPr>
                <w:lang w:val="en-AU"/>
              </w:rPr>
            </w:pPr>
            <w:r w:rsidRPr="00EB1825">
              <w:rPr>
                <w:lang w:val="en-AU"/>
              </w:rPr>
              <w:t>Analyses</w:t>
            </w:r>
          </w:p>
        </w:tc>
        <w:tc>
          <w:tcPr>
            <w:tcW w:w="977" w:type="dxa"/>
            <w:tcBorders>
              <w:top w:val="single" w:sz="4" w:space="0" w:color="auto"/>
              <w:left w:val="single" w:sz="4" w:space="0" w:color="auto"/>
              <w:bottom w:val="single" w:sz="4" w:space="0" w:color="auto"/>
              <w:right w:val="single" w:sz="4" w:space="0" w:color="auto"/>
            </w:tcBorders>
            <w:hideMark/>
          </w:tcPr>
          <w:p w14:paraId="20485784" w14:textId="77777777" w:rsidR="005F69BD" w:rsidRPr="00EB1825" w:rsidRDefault="005F69BD" w:rsidP="000A3AF5">
            <w:pPr>
              <w:pStyle w:val="In-tableHeading"/>
              <w:jc w:val="center"/>
              <w:rPr>
                <w:lang w:val="en-AU"/>
              </w:rPr>
            </w:pPr>
            <w:r w:rsidRPr="00EB1825">
              <w:rPr>
                <w:lang w:val="en-AU"/>
              </w:rPr>
              <w:t>Incremental cost</w:t>
            </w:r>
          </w:p>
        </w:tc>
        <w:tc>
          <w:tcPr>
            <w:tcW w:w="977" w:type="dxa"/>
            <w:tcBorders>
              <w:top w:val="single" w:sz="4" w:space="0" w:color="auto"/>
              <w:left w:val="single" w:sz="4" w:space="0" w:color="auto"/>
              <w:bottom w:val="single" w:sz="4" w:space="0" w:color="auto"/>
              <w:right w:val="single" w:sz="4" w:space="0" w:color="auto"/>
            </w:tcBorders>
            <w:hideMark/>
          </w:tcPr>
          <w:p w14:paraId="125234A1" w14:textId="77777777" w:rsidR="005F69BD" w:rsidRPr="00EB1825" w:rsidRDefault="005F69BD" w:rsidP="000A3AF5">
            <w:pPr>
              <w:pStyle w:val="In-tableHeading"/>
              <w:jc w:val="center"/>
              <w:rPr>
                <w:lang w:val="en-AU"/>
              </w:rPr>
            </w:pPr>
            <w:r w:rsidRPr="00EB1825">
              <w:rPr>
                <w:lang w:val="en-AU"/>
              </w:rPr>
              <w:t>Incremental QALY</w:t>
            </w:r>
          </w:p>
        </w:tc>
        <w:tc>
          <w:tcPr>
            <w:tcW w:w="1379" w:type="dxa"/>
            <w:tcBorders>
              <w:top w:val="single" w:sz="4" w:space="0" w:color="auto"/>
              <w:left w:val="single" w:sz="4" w:space="0" w:color="auto"/>
              <w:bottom w:val="single" w:sz="4" w:space="0" w:color="auto"/>
              <w:right w:val="single" w:sz="4" w:space="0" w:color="auto"/>
            </w:tcBorders>
            <w:hideMark/>
          </w:tcPr>
          <w:p w14:paraId="76B9B783" w14:textId="77777777" w:rsidR="005F69BD" w:rsidRPr="00EB1825" w:rsidRDefault="005F69BD" w:rsidP="000A3AF5">
            <w:pPr>
              <w:pStyle w:val="In-tableHeading"/>
              <w:jc w:val="center"/>
              <w:rPr>
                <w:lang w:val="en-AU"/>
              </w:rPr>
            </w:pPr>
            <w:r w:rsidRPr="00EB1825">
              <w:rPr>
                <w:lang w:val="en-AU"/>
              </w:rPr>
              <w:t>ICER</w:t>
            </w:r>
          </w:p>
        </w:tc>
        <w:tc>
          <w:tcPr>
            <w:tcW w:w="1238" w:type="dxa"/>
            <w:tcBorders>
              <w:top w:val="single" w:sz="4" w:space="0" w:color="auto"/>
              <w:left w:val="single" w:sz="4" w:space="0" w:color="auto"/>
              <w:bottom w:val="single" w:sz="4" w:space="0" w:color="auto"/>
              <w:right w:val="single" w:sz="4" w:space="0" w:color="auto"/>
            </w:tcBorders>
            <w:hideMark/>
          </w:tcPr>
          <w:p w14:paraId="4DC2112E" w14:textId="77777777" w:rsidR="005F69BD" w:rsidRPr="00EB1825" w:rsidRDefault="005F69BD" w:rsidP="000A3AF5">
            <w:pPr>
              <w:pStyle w:val="In-tableHeading"/>
              <w:jc w:val="center"/>
              <w:rPr>
                <w:lang w:val="en-AU"/>
              </w:rPr>
            </w:pPr>
            <w:r w:rsidRPr="00EB1825">
              <w:rPr>
                <w:lang w:val="en-AU"/>
              </w:rPr>
              <w:t>% Change in ICER</w:t>
            </w:r>
          </w:p>
        </w:tc>
      </w:tr>
      <w:tr w:rsidR="005F69BD" w:rsidRPr="00EB1825" w14:paraId="17C17BFB" w14:textId="77777777" w:rsidTr="005F0019">
        <w:tc>
          <w:tcPr>
            <w:tcW w:w="4587" w:type="dxa"/>
            <w:tcBorders>
              <w:top w:val="single" w:sz="4" w:space="0" w:color="auto"/>
              <w:left w:val="single" w:sz="4" w:space="0" w:color="auto"/>
              <w:bottom w:val="single" w:sz="4" w:space="0" w:color="auto"/>
              <w:right w:val="single" w:sz="4" w:space="0" w:color="auto"/>
            </w:tcBorders>
            <w:hideMark/>
          </w:tcPr>
          <w:p w14:paraId="6051EA35" w14:textId="77777777" w:rsidR="005F69BD" w:rsidRPr="00EB1825" w:rsidRDefault="005F69BD" w:rsidP="000A3AF5">
            <w:pPr>
              <w:pStyle w:val="TableText0"/>
              <w:rPr>
                <w:b/>
              </w:rPr>
            </w:pPr>
            <w:r w:rsidRPr="00EB1825">
              <w:rPr>
                <w:b/>
              </w:rPr>
              <w:t>Base case (resubmission)</w:t>
            </w:r>
          </w:p>
        </w:tc>
        <w:tc>
          <w:tcPr>
            <w:tcW w:w="977" w:type="dxa"/>
            <w:tcBorders>
              <w:top w:val="single" w:sz="4" w:space="0" w:color="auto"/>
              <w:left w:val="single" w:sz="4" w:space="0" w:color="auto"/>
              <w:bottom w:val="single" w:sz="4" w:space="0" w:color="auto"/>
              <w:right w:val="single" w:sz="4" w:space="0" w:color="auto"/>
            </w:tcBorders>
            <w:hideMark/>
          </w:tcPr>
          <w:p w14:paraId="4192D423" w14:textId="7E4F2F5B" w:rsidR="005F69BD" w:rsidRPr="00EB1825" w:rsidRDefault="005F69BD" w:rsidP="000A3AF5">
            <w:pPr>
              <w:pStyle w:val="TableText0"/>
              <w:rPr>
                <w:b/>
              </w:rPr>
            </w:pPr>
            <w:r w:rsidRPr="00EB1825">
              <w:rPr>
                <w:b/>
              </w:rPr>
              <w:t>$</w:t>
            </w:r>
            <w:r w:rsidR="00E901B5" w:rsidRPr="00E901B5">
              <w:rPr>
                <w:b/>
                <w:highlight w:val="black"/>
              </w:rPr>
              <w:t>&amp;&amp;&amp;&amp;</w:t>
            </w:r>
          </w:p>
        </w:tc>
        <w:tc>
          <w:tcPr>
            <w:tcW w:w="977" w:type="dxa"/>
            <w:tcBorders>
              <w:top w:val="single" w:sz="4" w:space="0" w:color="auto"/>
              <w:left w:val="single" w:sz="4" w:space="0" w:color="auto"/>
              <w:bottom w:val="single" w:sz="4" w:space="0" w:color="auto"/>
              <w:right w:val="single" w:sz="4" w:space="0" w:color="auto"/>
            </w:tcBorders>
            <w:hideMark/>
          </w:tcPr>
          <w:p w14:paraId="38E1173C" w14:textId="77777777" w:rsidR="005F69BD" w:rsidRPr="00EB1825" w:rsidRDefault="005F69BD" w:rsidP="000A3AF5">
            <w:pPr>
              <w:pStyle w:val="TableText0"/>
              <w:rPr>
                <w:b/>
              </w:rPr>
            </w:pPr>
            <w:r w:rsidRPr="00EB1825">
              <w:rPr>
                <w:b/>
              </w:rPr>
              <w:t>0.09</w:t>
            </w:r>
          </w:p>
        </w:tc>
        <w:tc>
          <w:tcPr>
            <w:tcW w:w="1379" w:type="dxa"/>
            <w:tcBorders>
              <w:top w:val="single" w:sz="4" w:space="0" w:color="auto"/>
              <w:left w:val="single" w:sz="4" w:space="0" w:color="auto"/>
              <w:bottom w:val="single" w:sz="4" w:space="0" w:color="auto"/>
              <w:right w:val="single" w:sz="4" w:space="0" w:color="auto"/>
            </w:tcBorders>
            <w:hideMark/>
          </w:tcPr>
          <w:p w14:paraId="2E452E71" w14:textId="19A727BE" w:rsidR="005F69BD" w:rsidRPr="00940920" w:rsidRDefault="005F69BD" w:rsidP="000A3AF5">
            <w:pPr>
              <w:pStyle w:val="TableText0"/>
              <w:rPr>
                <w:bCs w:val="0"/>
              </w:rPr>
            </w:pPr>
            <w:r w:rsidRPr="00EB1825">
              <w:rPr>
                <w:b/>
              </w:rPr>
              <w:t>$</w:t>
            </w:r>
            <w:r w:rsidR="00E901B5" w:rsidRPr="00E901B5">
              <w:rPr>
                <w:b/>
                <w:highlight w:val="black"/>
              </w:rPr>
              <w:t>&amp;&amp;&amp;&amp;</w:t>
            </w:r>
            <w:r w:rsidR="00940920">
              <w:rPr>
                <w:bCs w:val="0"/>
                <w:vertAlign w:val="superscript"/>
              </w:rPr>
              <w:t>1</w:t>
            </w:r>
          </w:p>
        </w:tc>
        <w:tc>
          <w:tcPr>
            <w:tcW w:w="1238" w:type="dxa"/>
            <w:tcBorders>
              <w:top w:val="single" w:sz="4" w:space="0" w:color="auto"/>
              <w:left w:val="single" w:sz="4" w:space="0" w:color="auto"/>
              <w:bottom w:val="single" w:sz="4" w:space="0" w:color="auto"/>
              <w:right w:val="single" w:sz="4" w:space="0" w:color="auto"/>
            </w:tcBorders>
            <w:hideMark/>
          </w:tcPr>
          <w:p w14:paraId="2F137021" w14:textId="77777777" w:rsidR="005F69BD" w:rsidRPr="00EB1825" w:rsidRDefault="005F69BD" w:rsidP="000A3AF5">
            <w:pPr>
              <w:pStyle w:val="TableText0"/>
              <w:rPr>
                <w:b/>
              </w:rPr>
            </w:pPr>
            <w:r w:rsidRPr="00EB1825">
              <w:rPr>
                <w:b/>
              </w:rPr>
              <w:t>base</w:t>
            </w:r>
          </w:p>
        </w:tc>
      </w:tr>
      <w:tr w:rsidR="005F69BD" w:rsidRPr="00EB1825" w14:paraId="70F3F033" w14:textId="77777777" w:rsidTr="005F0019">
        <w:tc>
          <w:tcPr>
            <w:tcW w:w="45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4BE056D" w14:textId="77777777" w:rsidR="005F69BD" w:rsidRPr="00EB1825" w:rsidRDefault="005F69BD" w:rsidP="000A3AF5">
            <w:pPr>
              <w:pStyle w:val="TableText0"/>
              <w:rPr>
                <w:bCs w:val="0"/>
              </w:rPr>
            </w:pPr>
            <w:r w:rsidRPr="00EB1825">
              <w:rPr>
                <w:bCs w:val="0"/>
              </w:rPr>
              <w:t>March 2025 submission base case</w:t>
            </w:r>
          </w:p>
        </w:tc>
        <w:tc>
          <w:tcPr>
            <w:tcW w:w="9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E31E1C" w14:textId="3E461166" w:rsidR="005F69BD" w:rsidRPr="00EB1825" w:rsidRDefault="005F69BD" w:rsidP="000A3AF5">
            <w:pPr>
              <w:pStyle w:val="TableText0"/>
              <w:rPr>
                <w:bCs w:val="0"/>
              </w:rPr>
            </w:pPr>
            <w:r w:rsidRPr="00EB1825">
              <w:rPr>
                <w:bCs w:val="0"/>
              </w:rPr>
              <w:t>$</w:t>
            </w:r>
            <w:r w:rsidR="00E901B5" w:rsidRPr="00E901B5">
              <w:rPr>
                <w:bCs w:val="0"/>
                <w:highlight w:val="black"/>
              </w:rPr>
              <w:t>&amp;&amp;&amp;&amp;</w:t>
            </w:r>
          </w:p>
        </w:tc>
        <w:tc>
          <w:tcPr>
            <w:tcW w:w="9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06E738" w14:textId="77777777" w:rsidR="005F69BD" w:rsidRPr="00EB1825" w:rsidRDefault="005F69BD" w:rsidP="000A3AF5">
            <w:pPr>
              <w:pStyle w:val="TableText0"/>
              <w:rPr>
                <w:bCs w:val="0"/>
              </w:rPr>
            </w:pPr>
            <w:r w:rsidRPr="00EB1825">
              <w:rPr>
                <w:bCs w:val="0"/>
              </w:rPr>
              <w:t>0.09</w:t>
            </w:r>
          </w:p>
        </w:tc>
        <w:tc>
          <w:tcPr>
            <w:tcW w:w="137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FE14163" w14:textId="71B02297" w:rsidR="005F69BD" w:rsidRPr="00585564" w:rsidRDefault="005F69BD" w:rsidP="000A3AF5">
            <w:pPr>
              <w:pStyle w:val="TableText0"/>
              <w:rPr>
                <w:bCs w:val="0"/>
                <w:vertAlign w:val="superscript"/>
              </w:rPr>
            </w:pPr>
            <w:r w:rsidRPr="00EB1825">
              <w:rPr>
                <w:bCs w:val="0"/>
              </w:rPr>
              <w:t>$</w:t>
            </w:r>
            <w:r w:rsidR="00E901B5" w:rsidRPr="00E901B5">
              <w:rPr>
                <w:bCs w:val="0"/>
                <w:highlight w:val="black"/>
              </w:rPr>
              <w:t>&amp;&amp;&amp;&amp;</w:t>
            </w:r>
            <w:r w:rsidR="00585564">
              <w:rPr>
                <w:bCs w:val="0"/>
                <w:vertAlign w:val="superscript"/>
              </w:rPr>
              <w:t>2</w:t>
            </w:r>
          </w:p>
        </w:tc>
        <w:tc>
          <w:tcPr>
            <w:tcW w:w="123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F96381F" w14:textId="77777777" w:rsidR="005F69BD" w:rsidRPr="00EB1825" w:rsidRDefault="005F69BD" w:rsidP="000A3AF5">
            <w:pPr>
              <w:pStyle w:val="TableText0"/>
              <w:rPr>
                <w:bCs w:val="0"/>
              </w:rPr>
            </w:pPr>
            <w:r w:rsidRPr="00EB1825">
              <w:rPr>
                <w:bCs w:val="0"/>
              </w:rPr>
              <w:t>-</w:t>
            </w:r>
          </w:p>
        </w:tc>
      </w:tr>
      <w:tr w:rsidR="005F69BD" w:rsidRPr="00EB1825" w14:paraId="727EFAB5" w14:textId="77777777" w:rsidTr="005F0019">
        <w:tc>
          <w:tcPr>
            <w:tcW w:w="4587" w:type="dxa"/>
            <w:tcBorders>
              <w:top w:val="single" w:sz="4" w:space="0" w:color="auto"/>
              <w:left w:val="single" w:sz="4" w:space="0" w:color="auto"/>
              <w:bottom w:val="nil"/>
              <w:right w:val="single" w:sz="4" w:space="0" w:color="auto"/>
            </w:tcBorders>
            <w:hideMark/>
          </w:tcPr>
          <w:p w14:paraId="5952C6F1" w14:textId="77777777" w:rsidR="005F69BD" w:rsidRPr="00EB1825" w:rsidRDefault="005F69BD" w:rsidP="000A3AF5">
            <w:pPr>
              <w:pStyle w:val="TableText0"/>
            </w:pPr>
            <w:r w:rsidRPr="00EB1825">
              <w:t>Discount rate (base case 5% costs and outcomes)</w:t>
            </w:r>
          </w:p>
        </w:tc>
        <w:tc>
          <w:tcPr>
            <w:tcW w:w="977" w:type="dxa"/>
            <w:tcBorders>
              <w:top w:val="single" w:sz="4" w:space="0" w:color="auto"/>
              <w:left w:val="single" w:sz="4" w:space="0" w:color="auto"/>
              <w:bottom w:val="nil"/>
              <w:right w:val="single" w:sz="4" w:space="0" w:color="auto"/>
            </w:tcBorders>
          </w:tcPr>
          <w:p w14:paraId="57A6F37A" w14:textId="77777777" w:rsidR="005F69BD" w:rsidRPr="00EB1825" w:rsidRDefault="005F69BD" w:rsidP="000A3AF5">
            <w:pPr>
              <w:pStyle w:val="TableText0"/>
            </w:pPr>
          </w:p>
        </w:tc>
        <w:tc>
          <w:tcPr>
            <w:tcW w:w="977" w:type="dxa"/>
            <w:tcBorders>
              <w:top w:val="single" w:sz="4" w:space="0" w:color="auto"/>
              <w:left w:val="single" w:sz="4" w:space="0" w:color="auto"/>
              <w:bottom w:val="nil"/>
              <w:right w:val="single" w:sz="4" w:space="0" w:color="auto"/>
            </w:tcBorders>
          </w:tcPr>
          <w:p w14:paraId="3AD766B0" w14:textId="77777777" w:rsidR="005F69BD" w:rsidRPr="00EB1825" w:rsidRDefault="005F69BD" w:rsidP="000A3AF5">
            <w:pPr>
              <w:pStyle w:val="TableText0"/>
            </w:pPr>
          </w:p>
        </w:tc>
        <w:tc>
          <w:tcPr>
            <w:tcW w:w="1379" w:type="dxa"/>
            <w:tcBorders>
              <w:top w:val="single" w:sz="4" w:space="0" w:color="auto"/>
              <w:left w:val="single" w:sz="4" w:space="0" w:color="auto"/>
              <w:bottom w:val="nil"/>
              <w:right w:val="single" w:sz="4" w:space="0" w:color="auto"/>
            </w:tcBorders>
          </w:tcPr>
          <w:p w14:paraId="748B3FD5" w14:textId="77777777" w:rsidR="005F69BD" w:rsidRPr="00EB1825" w:rsidRDefault="005F69BD" w:rsidP="000A3AF5">
            <w:pPr>
              <w:pStyle w:val="TableText0"/>
            </w:pPr>
          </w:p>
        </w:tc>
        <w:tc>
          <w:tcPr>
            <w:tcW w:w="1238" w:type="dxa"/>
            <w:tcBorders>
              <w:top w:val="single" w:sz="4" w:space="0" w:color="auto"/>
              <w:left w:val="single" w:sz="4" w:space="0" w:color="auto"/>
              <w:bottom w:val="nil"/>
              <w:right w:val="single" w:sz="4" w:space="0" w:color="auto"/>
            </w:tcBorders>
          </w:tcPr>
          <w:p w14:paraId="1D1CBCAD" w14:textId="77777777" w:rsidR="005F69BD" w:rsidRPr="00EB1825" w:rsidRDefault="005F69BD" w:rsidP="000A3AF5">
            <w:pPr>
              <w:pStyle w:val="TableText0"/>
            </w:pPr>
          </w:p>
        </w:tc>
      </w:tr>
      <w:tr w:rsidR="005F69BD" w:rsidRPr="00EB1825" w14:paraId="422C58BF" w14:textId="77777777" w:rsidTr="005F0019">
        <w:tc>
          <w:tcPr>
            <w:tcW w:w="4587" w:type="dxa"/>
            <w:tcBorders>
              <w:top w:val="nil"/>
              <w:left w:val="single" w:sz="4" w:space="0" w:color="auto"/>
              <w:bottom w:val="nil"/>
              <w:right w:val="single" w:sz="4" w:space="0" w:color="auto"/>
            </w:tcBorders>
            <w:hideMark/>
          </w:tcPr>
          <w:p w14:paraId="0C64E4FF" w14:textId="77777777" w:rsidR="005F69BD" w:rsidRPr="00EB1825" w:rsidRDefault="005F69BD" w:rsidP="00B12D9B">
            <w:pPr>
              <w:pStyle w:val="TableText0"/>
              <w:keepLines w:val="0"/>
              <w:numPr>
                <w:ilvl w:val="0"/>
                <w:numId w:val="4"/>
              </w:numPr>
            </w:pPr>
            <w:r w:rsidRPr="00EB1825">
              <w:t>0% costs and outcomes</w:t>
            </w:r>
          </w:p>
        </w:tc>
        <w:tc>
          <w:tcPr>
            <w:tcW w:w="977" w:type="dxa"/>
            <w:tcBorders>
              <w:top w:val="nil"/>
              <w:left w:val="single" w:sz="4" w:space="0" w:color="auto"/>
              <w:bottom w:val="nil"/>
              <w:right w:val="single" w:sz="4" w:space="0" w:color="auto"/>
            </w:tcBorders>
            <w:hideMark/>
          </w:tcPr>
          <w:p w14:paraId="15B1CC34" w14:textId="6B31616F"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nil"/>
              <w:right w:val="single" w:sz="4" w:space="0" w:color="auto"/>
            </w:tcBorders>
            <w:hideMark/>
          </w:tcPr>
          <w:p w14:paraId="60F397E4" w14:textId="77777777" w:rsidR="005F69BD" w:rsidRPr="00EB1825" w:rsidRDefault="005F69BD" w:rsidP="000A3AF5">
            <w:pPr>
              <w:pStyle w:val="TableText0"/>
            </w:pPr>
            <w:r w:rsidRPr="00EB1825">
              <w:t>0.11</w:t>
            </w:r>
          </w:p>
        </w:tc>
        <w:tc>
          <w:tcPr>
            <w:tcW w:w="1379" w:type="dxa"/>
            <w:tcBorders>
              <w:top w:val="nil"/>
              <w:left w:val="single" w:sz="4" w:space="0" w:color="auto"/>
              <w:bottom w:val="nil"/>
              <w:right w:val="single" w:sz="4" w:space="0" w:color="auto"/>
            </w:tcBorders>
            <w:hideMark/>
          </w:tcPr>
          <w:p w14:paraId="7C16FE16" w14:textId="5467DD00"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nil"/>
              <w:right w:val="single" w:sz="4" w:space="0" w:color="auto"/>
            </w:tcBorders>
            <w:hideMark/>
          </w:tcPr>
          <w:p w14:paraId="191E804A" w14:textId="2CDA8E41"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5FED28E2" w14:textId="77777777" w:rsidTr="005F0019">
        <w:tc>
          <w:tcPr>
            <w:tcW w:w="4587" w:type="dxa"/>
            <w:tcBorders>
              <w:top w:val="nil"/>
              <w:left w:val="single" w:sz="4" w:space="0" w:color="auto"/>
              <w:bottom w:val="single" w:sz="4" w:space="0" w:color="auto"/>
              <w:right w:val="single" w:sz="4" w:space="0" w:color="auto"/>
            </w:tcBorders>
            <w:hideMark/>
          </w:tcPr>
          <w:p w14:paraId="3A556444" w14:textId="77777777" w:rsidR="005F69BD" w:rsidRPr="00EB1825" w:rsidRDefault="005F69BD" w:rsidP="00B12D9B">
            <w:pPr>
              <w:pStyle w:val="TableText0"/>
              <w:keepLines w:val="0"/>
              <w:numPr>
                <w:ilvl w:val="0"/>
                <w:numId w:val="4"/>
              </w:numPr>
            </w:pPr>
            <w:r w:rsidRPr="00EB1825">
              <w:t>3.5% costs and outcomes</w:t>
            </w:r>
          </w:p>
        </w:tc>
        <w:tc>
          <w:tcPr>
            <w:tcW w:w="977" w:type="dxa"/>
            <w:tcBorders>
              <w:top w:val="nil"/>
              <w:left w:val="single" w:sz="4" w:space="0" w:color="auto"/>
              <w:bottom w:val="single" w:sz="4" w:space="0" w:color="auto"/>
              <w:right w:val="single" w:sz="4" w:space="0" w:color="auto"/>
            </w:tcBorders>
            <w:hideMark/>
          </w:tcPr>
          <w:p w14:paraId="78F4461D" w14:textId="4F638160"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single" w:sz="4" w:space="0" w:color="auto"/>
              <w:right w:val="single" w:sz="4" w:space="0" w:color="auto"/>
            </w:tcBorders>
            <w:hideMark/>
          </w:tcPr>
          <w:p w14:paraId="4E32B654" w14:textId="77777777" w:rsidR="005F69BD" w:rsidRPr="00EB1825" w:rsidRDefault="005F69BD" w:rsidP="000A3AF5">
            <w:pPr>
              <w:pStyle w:val="TableText0"/>
            </w:pPr>
            <w:r w:rsidRPr="00EB1825">
              <w:t>0.10</w:t>
            </w:r>
          </w:p>
        </w:tc>
        <w:tc>
          <w:tcPr>
            <w:tcW w:w="1379" w:type="dxa"/>
            <w:tcBorders>
              <w:top w:val="nil"/>
              <w:left w:val="single" w:sz="4" w:space="0" w:color="auto"/>
              <w:bottom w:val="single" w:sz="4" w:space="0" w:color="auto"/>
              <w:right w:val="single" w:sz="4" w:space="0" w:color="auto"/>
            </w:tcBorders>
            <w:hideMark/>
          </w:tcPr>
          <w:p w14:paraId="0A898EA8" w14:textId="09B6EEA1"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single" w:sz="4" w:space="0" w:color="auto"/>
              <w:right w:val="single" w:sz="4" w:space="0" w:color="auto"/>
            </w:tcBorders>
            <w:hideMark/>
          </w:tcPr>
          <w:p w14:paraId="5A328A36" w14:textId="308BAB46"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02C0AADA" w14:textId="77777777" w:rsidTr="005F0019">
        <w:tc>
          <w:tcPr>
            <w:tcW w:w="4587" w:type="dxa"/>
            <w:tcBorders>
              <w:top w:val="single" w:sz="4" w:space="0" w:color="auto"/>
              <w:left w:val="single" w:sz="4" w:space="0" w:color="auto"/>
              <w:bottom w:val="nil"/>
              <w:right w:val="single" w:sz="4" w:space="0" w:color="auto"/>
            </w:tcBorders>
            <w:hideMark/>
          </w:tcPr>
          <w:p w14:paraId="28465C31" w14:textId="77777777" w:rsidR="005F69BD" w:rsidRPr="00EB1825" w:rsidRDefault="005F69BD" w:rsidP="000A3AF5">
            <w:pPr>
              <w:pStyle w:val="TableText0"/>
            </w:pPr>
            <w:r w:rsidRPr="00EB1825">
              <w:t>Time horizon (base case 10 years)</w:t>
            </w:r>
          </w:p>
        </w:tc>
        <w:tc>
          <w:tcPr>
            <w:tcW w:w="977" w:type="dxa"/>
            <w:tcBorders>
              <w:top w:val="single" w:sz="4" w:space="0" w:color="auto"/>
              <w:left w:val="single" w:sz="4" w:space="0" w:color="auto"/>
              <w:bottom w:val="nil"/>
              <w:right w:val="single" w:sz="4" w:space="0" w:color="auto"/>
            </w:tcBorders>
          </w:tcPr>
          <w:p w14:paraId="2E4B8178" w14:textId="77777777" w:rsidR="005F69BD" w:rsidRPr="00EB1825" w:rsidRDefault="005F69BD" w:rsidP="000A3AF5">
            <w:pPr>
              <w:pStyle w:val="TableText0"/>
            </w:pPr>
          </w:p>
        </w:tc>
        <w:tc>
          <w:tcPr>
            <w:tcW w:w="977" w:type="dxa"/>
            <w:tcBorders>
              <w:top w:val="single" w:sz="4" w:space="0" w:color="auto"/>
              <w:left w:val="single" w:sz="4" w:space="0" w:color="auto"/>
              <w:bottom w:val="nil"/>
              <w:right w:val="single" w:sz="4" w:space="0" w:color="auto"/>
            </w:tcBorders>
          </w:tcPr>
          <w:p w14:paraId="21B29EE1" w14:textId="77777777" w:rsidR="005F69BD" w:rsidRPr="00EB1825" w:rsidRDefault="005F69BD" w:rsidP="000A3AF5">
            <w:pPr>
              <w:pStyle w:val="TableText0"/>
            </w:pPr>
          </w:p>
        </w:tc>
        <w:tc>
          <w:tcPr>
            <w:tcW w:w="1379" w:type="dxa"/>
            <w:tcBorders>
              <w:top w:val="single" w:sz="4" w:space="0" w:color="auto"/>
              <w:left w:val="single" w:sz="4" w:space="0" w:color="auto"/>
              <w:bottom w:val="nil"/>
              <w:right w:val="single" w:sz="4" w:space="0" w:color="auto"/>
            </w:tcBorders>
          </w:tcPr>
          <w:p w14:paraId="5C85DFC0" w14:textId="77777777" w:rsidR="005F69BD" w:rsidRPr="00EB1825" w:rsidRDefault="005F69BD" w:rsidP="000A3AF5">
            <w:pPr>
              <w:pStyle w:val="TableText0"/>
            </w:pPr>
          </w:p>
        </w:tc>
        <w:tc>
          <w:tcPr>
            <w:tcW w:w="1238" w:type="dxa"/>
            <w:tcBorders>
              <w:top w:val="single" w:sz="4" w:space="0" w:color="auto"/>
              <w:left w:val="single" w:sz="4" w:space="0" w:color="auto"/>
              <w:bottom w:val="nil"/>
              <w:right w:val="single" w:sz="4" w:space="0" w:color="auto"/>
            </w:tcBorders>
          </w:tcPr>
          <w:p w14:paraId="16E5A391" w14:textId="77777777" w:rsidR="005F69BD" w:rsidRPr="00EB1825" w:rsidRDefault="005F69BD" w:rsidP="000A3AF5">
            <w:pPr>
              <w:pStyle w:val="TableText0"/>
            </w:pPr>
          </w:p>
        </w:tc>
      </w:tr>
      <w:tr w:rsidR="005F69BD" w:rsidRPr="00EB1825" w14:paraId="45097CEF" w14:textId="77777777" w:rsidTr="005F0019">
        <w:tc>
          <w:tcPr>
            <w:tcW w:w="4587" w:type="dxa"/>
            <w:tcBorders>
              <w:top w:val="nil"/>
              <w:left w:val="single" w:sz="4" w:space="0" w:color="auto"/>
              <w:bottom w:val="nil"/>
              <w:right w:val="single" w:sz="4" w:space="0" w:color="auto"/>
            </w:tcBorders>
            <w:hideMark/>
          </w:tcPr>
          <w:p w14:paraId="34671103" w14:textId="77777777" w:rsidR="005F69BD" w:rsidRPr="00EB1825" w:rsidRDefault="005F69BD" w:rsidP="00B12D9B">
            <w:pPr>
              <w:pStyle w:val="TableText0"/>
              <w:keepLines w:val="0"/>
              <w:numPr>
                <w:ilvl w:val="0"/>
                <w:numId w:val="4"/>
              </w:numPr>
            </w:pPr>
            <w:r w:rsidRPr="00EB1825">
              <w:t>5 years</w:t>
            </w:r>
          </w:p>
        </w:tc>
        <w:tc>
          <w:tcPr>
            <w:tcW w:w="977" w:type="dxa"/>
            <w:tcBorders>
              <w:top w:val="nil"/>
              <w:left w:val="single" w:sz="4" w:space="0" w:color="auto"/>
              <w:bottom w:val="nil"/>
              <w:right w:val="single" w:sz="4" w:space="0" w:color="auto"/>
            </w:tcBorders>
            <w:hideMark/>
          </w:tcPr>
          <w:p w14:paraId="7104732F" w14:textId="360E4D26"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nil"/>
              <w:right w:val="single" w:sz="4" w:space="0" w:color="auto"/>
            </w:tcBorders>
            <w:hideMark/>
          </w:tcPr>
          <w:p w14:paraId="52C3D3C6" w14:textId="77777777" w:rsidR="005F69BD" w:rsidRPr="00EB1825" w:rsidRDefault="005F69BD" w:rsidP="000A3AF5">
            <w:pPr>
              <w:pStyle w:val="TableText0"/>
            </w:pPr>
            <w:r w:rsidRPr="00EB1825">
              <w:t>0.07</w:t>
            </w:r>
          </w:p>
        </w:tc>
        <w:tc>
          <w:tcPr>
            <w:tcW w:w="1379" w:type="dxa"/>
            <w:tcBorders>
              <w:top w:val="nil"/>
              <w:left w:val="single" w:sz="4" w:space="0" w:color="auto"/>
              <w:bottom w:val="nil"/>
              <w:right w:val="single" w:sz="4" w:space="0" w:color="auto"/>
            </w:tcBorders>
            <w:hideMark/>
          </w:tcPr>
          <w:p w14:paraId="3DA03CF4" w14:textId="23FC4699" w:rsidR="005F69BD" w:rsidRPr="0074024C" w:rsidRDefault="005F69BD" w:rsidP="000A3AF5">
            <w:pPr>
              <w:pStyle w:val="TableText0"/>
              <w:rPr>
                <w:vertAlign w:val="superscript"/>
              </w:rPr>
            </w:pPr>
            <w:r w:rsidRPr="00EB1825">
              <w:t>$</w:t>
            </w:r>
            <w:r w:rsidR="00E901B5" w:rsidRPr="00E901B5">
              <w:rPr>
                <w:highlight w:val="black"/>
              </w:rPr>
              <w:t>&amp;&amp;&amp;&amp;</w:t>
            </w:r>
            <w:r w:rsidR="0074024C">
              <w:rPr>
                <w:vertAlign w:val="superscript"/>
              </w:rPr>
              <w:t>3</w:t>
            </w:r>
          </w:p>
        </w:tc>
        <w:tc>
          <w:tcPr>
            <w:tcW w:w="1238" w:type="dxa"/>
            <w:tcBorders>
              <w:top w:val="nil"/>
              <w:left w:val="single" w:sz="4" w:space="0" w:color="auto"/>
              <w:bottom w:val="nil"/>
              <w:right w:val="single" w:sz="4" w:space="0" w:color="auto"/>
            </w:tcBorders>
            <w:hideMark/>
          </w:tcPr>
          <w:p w14:paraId="474F374E" w14:textId="0030CFE1"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2BF8DC95" w14:textId="77777777" w:rsidTr="00D76CA5">
        <w:tc>
          <w:tcPr>
            <w:tcW w:w="4587" w:type="dxa"/>
            <w:tcBorders>
              <w:top w:val="nil"/>
              <w:left w:val="single" w:sz="4" w:space="0" w:color="auto"/>
              <w:bottom w:val="single" w:sz="4" w:space="0" w:color="auto"/>
              <w:right w:val="single" w:sz="4" w:space="0" w:color="auto"/>
            </w:tcBorders>
            <w:hideMark/>
          </w:tcPr>
          <w:p w14:paraId="180AAF40" w14:textId="77777777" w:rsidR="005F69BD" w:rsidRPr="00EB1825" w:rsidRDefault="005F69BD" w:rsidP="00B12D9B">
            <w:pPr>
              <w:pStyle w:val="TableText0"/>
              <w:keepLines w:val="0"/>
              <w:numPr>
                <w:ilvl w:val="0"/>
                <w:numId w:val="4"/>
              </w:numPr>
            </w:pPr>
            <w:r w:rsidRPr="00EB1825">
              <w:t>7 years</w:t>
            </w:r>
          </w:p>
        </w:tc>
        <w:tc>
          <w:tcPr>
            <w:tcW w:w="977" w:type="dxa"/>
            <w:tcBorders>
              <w:top w:val="nil"/>
              <w:left w:val="single" w:sz="4" w:space="0" w:color="auto"/>
              <w:bottom w:val="single" w:sz="4" w:space="0" w:color="auto"/>
              <w:right w:val="single" w:sz="4" w:space="0" w:color="auto"/>
            </w:tcBorders>
            <w:hideMark/>
          </w:tcPr>
          <w:p w14:paraId="6CF1D63B" w14:textId="7C9DD0CF"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single" w:sz="4" w:space="0" w:color="auto"/>
              <w:right w:val="single" w:sz="4" w:space="0" w:color="auto"/>
            </w:tcBorders>
            <w:hideMark/>
          </w:tcPr>
          <w:p w14:paraId="14B4872D" w14:textId="77777777" w:rsidR="005F69BD" w:rsidRPr="00EB1825" w:rsidRDefault="005F69BD" w:rsidP="000A3AF5">
            <w:pPr>
              <w:pStyle w:val="TableText0"/>
            </w:pPr>
            <w:r w:rsidRPr="00EB1825">
              <w:t>0.08</w:t>
            </w:r>
          </w:p>
        </w:tc>
        <w:tc>
          <w:tcPr>
            <w:tcW w:w="1379" w:type="dxa"/>
            <w:tcBorders>
              <w:top w:val="nil"/>
              <w:left w:val="single" w:sz="4" w:space="0" w:color="auto"/>
              <w:bottom w:val="single" w:sz="4" w:space="0" w:color="auto"/>
              <w:right w:val="single" w:sz="4" w:space="0" w:color="auto"/>
            </w:tcBorders>
            <w:hideMark/>
          </w:tcPr>
          <w:p w14:paraId="6CB298FE" w14:textId="0CDD6757"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single" w:sz="4" w:space="0" w:color="auto"/>
              <w:right w:val="single" w:sz="4" w:space="0" w:color="auto"/>
            </w:tcBorders>
            <w:hideMark/>
          </w:tcPr>
          <w:p w14:paraId="1AA44BB3" w14:textId="30078065"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1493516B" w14:textId="77777777" w:rsidTr="00D76CA5">
        <w:tc>
          <w:tcPr>
            <w:tcW w:w="4587" w:type="dxa"/>
            <w:tcBorders>
              <w:top w:val="single" w:sz="4" w:space="0" w:color="auto"/>
              <w:left w:val="single" w:sz="4" w:space="0" w:color="auto"/>
              <w:bottom w:val="nil"/>
              <w:right w:val="single" w:sz="4" w:space="0" w:color="auto"/>
            </w:tcBorders>
            <w:hideMark/>
          </w:tcPr>
          <w:p w14:paraId="05330FB5" w14:textId="7BEAB618" w:rsidR="005F69BD" w:rsidRPr="00EB1825" w:rsidRDefault="005F69BD" w:rsidP="000A3AF5">
            <w:pPr>
              <w:pStyle w:val="TableText0"/>
            </w:pPr>
            <w:r w:rsidRPr="00EB1825">
              <w:t xml:space="preserve">Starting age (base case: </w:t>
            </w:r>
            <w:r w:rsidR="009B3F99" w:rsidRPr="00EB1825">
              <w:t xml:space="preserve">54.5 years, </w:t>
            </w:r>
            <w:r w:rsidRPr="00EB1825">
              <w:t>DAYLIGHT)</w:t>
            </w:r>
          </w:p>
        </w:tc>
        <w:tc>
          <w:tcPr>
            <w:tcW w:w="977" w:type="dxa"/>
            <w:tcBorders>
              <w:top w:val="single" w:sz="4" w:space="0" w:color="auto"/>
              <w:left w:val="single" w:sz="4" w:space="0" w:color="auto"/>
              <w:bottom w:val="nil"/>
              <w:right w:val="single" w:sz="4" w:space="0" w:color="auto"/>
            </w:tcBorders>
          </w:tcPr>
          <w:p w14:paraId="12EE427C" w14:textId="77777777" w:rsidR="005F69BD" w:rsidRPr="00EB1825" w:rsidRDefault="005F69BD" w:rsidP="000A3AF5">
            <w:pPr>
              <w:pStyle w:val="TableText0"/>
            </w:pPr>
          </w:p>
        </w:tc>
        <w:tc>
          <w:tcPr>
            <w:tcW w:w="977" w:type="dxa"/>
            <w:tcBorders>
              <w:top w:val="single" w:sz="4" w:space="0" w:color="auto"/>
              <w:left w:val="single" w:sz="4" w:space="0" w:color="auto"/>
              <w:bottom w:val="nil"/>
              <w:right w:val="single" w:sz="4" w:space="0" w:color="auto"/>
            </w:tcBorders>
          </w:tcPr>
          <w:p w14:paraId="59795D92" w14:textId="77777777" w:rsidR="005F69BD" w:rsidRPr="00EB1825" w:rsidRDefault="005F69BD" w:rsidP="000A3AF5">
            <w:pPr>
              <w:pStyle w:val="TableText0"/>
            </w:pPr>
          </w:p>
        </w:tc>
        <w:tc>
          <w:tcPr>
            <w:tcW w:w="1379" w:type="dxa"/>
            <w:tcBorders>
              <w:top w:val="single" w:sz="4" w:space="0" w:color="auto"/>
              <w:left w:val="single" w:sz="4" w:space="0" w:color="auto"/>
              <w:bottom w:val="nil"/>
              <w:right w:val="single" w:sz="4" w:space="0" w:color="auto"/>
            </w:tcBorders>
          </w:tcPr>
          <w:p w14:paraId="200791AB" w14:textId="77777777" w:rsidR="005F69BD" w:rsidRPr="00EB1825" w:rsidRDefault="005F69BD" w:rsidP="000A3AF5">
            <w:pPr>
              <w:pStyle w:val="TableText0"/>
            </w:pPr>
          </w:p>
        </w:tc>
        <w:tc>
          <w:tcPr>
            <w:tcW w:w="1238" w:type="dxa"/>
            <w:tcBorders>
              <w:top w:val="single" w:sz="4" w:space="0" w:color="auto"/>
              <w:left w:val="single" w:sz="4" w:space="0" w:color="auto"/>
              <w:bottom w:val="nil"/>
              <w:right w:val="single" w:sz="4" w:space="0" w:color="auto"/>
            </w:tcBorders>
          </w:tcPr>
          <w:p w14:paraId="5D6C089D" w14:textId="77777777" w:rsidR="005F69BD" w:rsidRPr="00EB1825" w:rsidRDefault="005F69BD" w:rsidP="000A3AF5">
            <w:pPr>
              <w:pStyle w:val="TableText0"/>
            </w:pPr>
          </w:p>
        </w:tc>
      </w:tr>
      <w:tr w:rsidR="005F69BD" w:rsidRPr="00EB1825" w14:paraId="085507EF" w14:textId="77777777" w:rsidTr="00D76CA5">
        <w:tc>
          <w:tcPr>
            <w:tcW w:w="4587" w:type="dxa"/>
            <w:tcBorders>
              <w:top w:val="nil"/>
              <w:left w:val="single" w:sz="4" w:space="0" w:color="auto"/>
              <w:bottom w:val="single" w:sz="4" w:space="0" w:color="auto"/>
              <w:right w:val="single" w:sz="4" w:space="0" w:color="auto"/>
            </w:tcBorders>
            <w:hideMark/>
          </w:tcPr>
          <w:p w14:paraId="72A73C4D" w14:textId="24C60496" w:rsidR="005F69BD" w:rsidRPr="00EB1825" w:rsidRDefault="005F69BD" w:rsidP="00B12D9B">
            <w:pPr>
              <w:pStyle w:val="TableText0"/>
              <w:keepLines w:val="0"/>
              <w:numPr>
                <w:ilvl w:val="0"/>
                <w:numId w:val="4"/>
              </w:numPr>
            </w:pPr>
            <w:r w:rsidRPr="00EB1825">
              <w:t>Median age of menopause onset in Australia</w:t>
            </w:r>
            <w:r w:rsidR="009B3F99" w:rsidRPr="00EB1825">
              <w:t>: 51.0 years</w:t>
            </w:r>
          </w:p>
        </w:tc>
        <w:tc>
          <w:tcPr>
            <w:tcW w:w="977" w:type="dxa"/>
            <w:tcBorders>
              <w:top w:val="nil"/>
              <w:left w:val="single" w:sz="4" w:space="0" w:color="auto"/>
              <w:bottom w:val="single" w:sz="4" w:space="0" w:color="auto"/>
              <w:right w:val="single" w:sz="4" w:space="0" w:color="auto"/>
            </w:tcBorders>
            <w:hideMark/>
          </w:tcPr>
          <w:p w14:paraId="14C14C4A" w14:textId="57264C78"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single" w:sz="4" w:space="0" w:color="auto"/>
              <w:right w:val="single" w:sz="4" w:space="0" w:color="auto"/>
            </w:tcBorders>
            <w:hideMark/>
          </w:tcPr>
          <w:p w14:paraId="56985F2A" w14:textId="77777777" w:rsidR="005F69BD" w:rsidRPr="00EB1825" w:rsidRDefault="005F69BD" w:rsidP="000A3AF5">
            <w:pPr>
              <w:pStyle w:val="TableText0"/>
            </w:pPr>
            <w:r w:rsidRPr="00EB1825">
              <w:t>0.09</w:t>
            </w:r>
          </w:p>
        </w:tc>
        <w:tc>
          <w:tcPr>
            <w:tcW w:w="1379" w:type="dxa"/>
            <w:tcBorders>
              <w:top w:val="nil"/>
              <w:left w:val="single" w:sz="4" w:space="0" w:color="auto"/>
              <w:bottom w:val="single" w:sz="4" w:space="0" w:color="auto"/>
              <w:right w:val="single" w:sz="4" w:space="0" w:color="auto"/>
            </w:tcBorders>
            <w:hideMark/>
          </w:tcPr>
          <w:p w14:paraId="2E87B583" w14:textId="7418F315"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single" w:sz="4" w:space="0" w:color="auto"/>
              <w:right w:val="single" w:sz="4" w:space="0" w:color="auto"/>
            </w:tcBorders>
            <w:hideMark/>
          </w:tcPr>
          <w:p w14:paraId="274B219B" w14:textId="34B142B2"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3BCD3129" w14:textId="77777777" w:rsidTr="005F0019">
        <w:tc>
          <w:tcPr>
            <w:tcW w:w="9158" w:type="dxa"/>
            <w:gridSpan w:val="5"/>
            <w:tcBorders>
              <w:top w:val="single" w:sz="4" w:space="0" w:color="auto"/>
              <w:left w:val="single" w:sz="4" w:space="0" w:color="auto"/>
              <w:bottom w:val="nil"/>
              <w:right w:val="single" w:sz="4" w:space="0" w:color="auto"/>
            </w:tcBorders>
            <w:hideMark/>
          </w:tcPr>
          <w:p w14:paraId="411E2062" w14:textId="77777777" w:rsidR="005F69BD" w:rsidRPr="00EB1825" w:rsidRDefault="005F69BD" w:rsidP="000A3AF5">
            <w:pPr>
              <w:pStyle w:val="TableText0"/>
            </w:pPr>
            <w:r w:rsidRPr="00EB1825">
              <w:t>Utility (base case: source: DAYLIGHT, VMS frequency 2 to &lt;7: 0.793 and 7 to &lt;9: 0.785, p&lt;0.05)</w:t>
            </w:r>
          </w:p>
        </w:tc>
      </w:tr>
      <w:tr w:rsidR="005F69BD" w:rsidRPr="00EB1825" w14:paraId="4D963430" w14:textId="77777777" w:rsidTr="005F0019">
        <w:tc>
          <w:tcPr>
            <w:tcW w:w="4587" w:type="dxa"/>
            <w:tcBorders>
              <w:top w:val="nil"/>
              <w:left w:val="single" w:sz="4" w:space="0" w:color="auto"/>
              <w:bottom w:val="nil"/>
              <w:right w:val="single" w:sz="4" w:space="0" w:color="auto"/>
            </w:tcBorders>
            <w:hideMark/>
          </w:tcPr>
          <w:p w14:paraId="49E3B867" w14:textId="77777777" w:rsidR="005F69BD" w:rsidRPr="00EB1825" w:rsidRDefault="005F69BD" w:rsidP="00B12D9B">
            <w:pPr>
              <w:pStyle w:val="TableText0"/>
              <w:keepLines w:val="0"/>
              <w:numPr>
                <w:ilvl w:val="0"/>
                <w:numId w:val="4"/>
              </w:numPr>
            </w:pPr>
            <w:r w:rsidRPr="00EB1825">
              <w:t>Source: Whiteley et al., 2013</w:t>
            </w:r>
          </w:p>
        </w:tc>
        <w:tc>
          <w:tcPr>
            <w:tcW w:w="977" w:type="dxa"/>
            <w:tcBorders>
              <w:top w:val="nil"/>
              <w:left w:val="single" w:sz="4" w:space="0" w:color="auto"/>
              <w:bottom w:val="nil"/>
              <w:right w:val="single" w:sz="4" w:space="0" w:color="auto"/>
            </w:tcBorders>
            <w:hideMark/>
          </w:tcPr>
          <w:p w14:paraId="40261E56" w14:textId="51F8DE84"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nil"/>
              <w:right w:val="single" w:sz="4" w:space="0" w:color="auto"/>
            </w:tcBorders>
            <w:hideMark/>
          </w:tcPr>
          <w:p w14:paraId="116697B2" w14:textId="77777777" w:rsidR="005F69BD" w:rsidRPr="00EB1825" w:rsidRDefault="005F69BD" w:rsidP="000A3AF5">
            <w:pPr>
              <w:pStyle w:val="TableText0"/>
            </w:pPr>
            <w:r w:rsidRPr="00EB1825">
              <w:t>0.09</w:t>
            </w:r>
          </w:p>
        </w:tc>
        <w:tc>
          <w:tcPr>
            <w:tcW w:w="1379" w:type="dxa"/>
            <w:tcBorders>
              <w:top w:val="nil"/>
              <w:left w:val="single" w:sz="4" w:space="0" w:color="auto"/>
              <w:bottom w:val="nil"/>
              <w:right w:val="single" w:sz="4" w:space="0" w:color="auto"/>
            </w:tcBorders>
            <w:hideMark/>
          </w:tcPr>
          <w:p w14:paraId="27D641F6" w14:textId="0A1AF2B2"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nil"/>
              <w:right w:val="single" w:sz="4" w:space="0" w:color="auto"/>
            </w:tcBorders>
            <w:hideMark/>
          </w:tcPr>
          <w:p w14:paraId="61AD39FB" w14:textId="321BDCA2"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523605AB" w14:textId="77777777" w:rsidTr="005F0019">
        <w:tc>
          <w:tcPr>
            <w:tcW w:w="4587" w:type="dxa"/>
            <w:tcBorders>
              <w:top w:val="nil"/>
              <w:left w:val="single" w:sz="4" w:space="0" w:color="auto"/>
              <w:bottom w:val="nil"/>
              <w:right w:val="single" w:sz="4" w:space="0" w:color="auto"/>
            </w:tcBorders>
            <w:hideMark/>
          </w:tcPr>
          <w:p w14:paraId="165D05C2" w14:textId="77777777" w:rsidR="005F69BD" w:rsidRPr="00EB1825" w:rsidRDefault="005F69BD" w:rsidP="00B12D9B">
            <w:pPr>
              <w:pStyle w:val="TableText0"/>
              <w:keepLines w:val="0"/>
              <w:numPr>
                <w:ilvl w:val="0"/>
                <w:numId w:val="4"/>
              </w:numPr>
            </w:pPr>
            <w:r w:rsidRPr="00EB1825">
              <w:t>Source: UK clinical estimates</w:t>
            </w:r>
          </w:p>
        </w:tc>
        <w:tc>
          <w:tcPr>
            <w:tcW w:w="977" w:type="dxa"/>
            <w:tcBorders>
              <w:top w:val="nil"/>
              <w:left w:val="single" w:sz="4" w:space="0" w:color="auto"/>
              <w:bottom w:val="nil"/>
              <w:right w:val="single" w:sz="4" w:space="0" w:color="auto"/>
            </w:tcBorders>
            <w:hideMark/>
          </w:tcPr>
          <w:p w14:paraId="09B2A1AC" w14:textId="03266839"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nil"/>
              <w:right w:val="single" w:sz="4" w:space="0" w:color="auto"/>
            </w:tcBorders>
            <w:hideMark/>
          </w:tcPr>
          <w:p w14:paraId="24F0EDD2" w14:textId="77777777" w:rsidR="005F69BD" w:rsidRPr="00EB1825" w:rsidRDefault="005F69BD" w:rsidP="000A3AF5">
            <w:pPr>
              <w:pStyle w:val="TableText0"/>
            </w:pPr>
            <w:r w:rsidRPr="00EB1825">
              <w:t>0.12</w:t>
            </w:r>
          </w:p>
        </w:tc>
        <w:tc>
          <w:tcPr>
            <w:tcW w:w="1379" w:type="dxa"/>
            <w:tcBorders>
              <w:top w:val="nil"/>
              <w:left w:val="single" w:sz="4" w:space="0" w:color="auto"/>
              <w:bottom w:val="nil"/>
              <w:right w:val="single" w:sz="4" w:space="0" w:color="auto"/>
            </w:tcBorders>
            <w:hideMark/>
          </w:tcPr>
          <w:p w14:paraId="49E05CD1" w14:textId="072DF0E3" w:rsidR="005F69BD" w:rsidRPr="00CC58B7" w:rsidRDefault="005F69BD" w:rsidP="000A3AF5">
            <w:pPr>
              <w:pStyle w:val="TableText0"/>
              <w:rPr>
                <w:vertAlign w:val="superscript"/>
              </w:rPr>
            </w:pPr>
            <w:r w:rsidRPr="00EB1825">
              <w:t>$</w:t>
            </w:r>
            <w:r w:rsidR="00E901B5" w:rsidRPr="00E901B5">
              <w:rPr>
                <w:highlight w:val="black"/>
              </w:rPr>
              <w:t>&amp;&amp;&amp;&amp;</w:t>
            </w:r>
            <w:r w:rsidR="00CC58B7">
              <w:rPr>
                <w:vertAlign w:val="superscript"/>
              </w:rPr>
              <w:t>1</w:t>
            </w:r>
          </w:p>
        </w:tc>
        <w:tc>
          <w:tcPr>
            <w:tcW w:w="1238" w:type="dxa"/>
            <w:tcBorders>
              <w:top w:val="nil"/>
              <w:left w:val="single" w:sz="4" w:space="0" w:color="auto"/>
              <w:bottom w:val="nil"/>
              <w:right w:val="single" w:sz="4" w:space="0" w:color="auto"/>
            </w:tcBorders>
            <w:hideMark/>
          </w:tcPr>
          <w:p w14:paraId="3F559B5D" w14:textId="0830133E"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4EBB88CB" w14:textId="77777777" w:rsidTr="005F0019">
        <w:tc>
          <w:tcPr>
            <w:tcW w:w="4587" w:type="dxa"/>
            <w:tcBorders>
              <w:top w:val="nil"/>
              <w:left w:val="single" w:sz="4" w:space="0" w:color="auto"/>
              <w:bottom w:val="nil"/>
              <w:right w:val="single" w:sz="4" w:space="0" w:color="auto"/>
            </w:tcBorders>
            <w:hideMark/>
          </w:tcPr>
          <w:p w14:paraId="7D844483" w14:textId="77777777" w:rsidR="005F69BD" w:rsidRPr="00EB1825" w:rsidRDefault="005F69BD" w:rsidP="00B12D9B">
            <w:pPr>
              <w:pStyle w:val="TableText0"/>
              <w:keepLines w:val="0"/>
              <w:numPr>
                <w:ilvl w:val="0"/>
                <w:numId w:val="4"/>
              </w:numPr>
            </w:pPr>
            <w:r w:rsidRPr="00EB1825">
              <w:t>Similar value for health state 2 ≤ VMS-F &lt; 7 and 7 ≤ VMS-F &lt; 9; State 2 = State 3</w:t>
            </w:r>
          </w:p>
        </w:tc>
        <w:tc>
          <w:tcPr>
            <w:tcW w:w="977" w:type="dxa"/>
            <w:tcBorders>
              <w:top w:val="nil"/>
              <w:left w:val="single" w:sz="4" w:space="0" w:color="auto"/>
              <w:bottom w:val="nil"/>
              <w:right w:val="single" w:sz="4" w:space="0" w:color="auto"/>
            </w:tcBorders>
            <w:hideMark/>
          </w:tcPr>
          <w:p w14:paraId="56455C29" w14:textId="4F97F642"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nil"/>
              <w:right w:val="single" w:sz="4" w:space="0" w:color="auto"/>
            </w:tcBorders>
            <w:hideMark/>
          </w:tcPr>
          <w:p w14:paraId="3DED736D" w14:textId="77777777" w:rsidR="005F69BD" w:rsidRPr="00EB1825" w:rsidRDefault="005F69BD" w:rsidP="000A3AF5">
            <w:pPr>
              <w:pStyle w:val="TableText0"/>
            </w:pPr>
            <w:r w:rsidRPr="00EB1825">
              <w:t>0.09</w:t>
            </w:r>
          </w:p>
        </w:tc>
        <w:tc>
          <w:tcPr>
            <w:tcW w:w="1379" w:type="dxa"/>
            <w:tcBorders>
              <w:top w:val="nil"/>
              <w:left w:val="single" w:sz="4" w:space="0" w:color="auto"/>
              <w:bottom w:val="nil"/>
              <w:right w:val="single" w:sz="4" w:space="0" w:color="auto"/>
            </w:tcBorders>
            <w:hideMark/>
          </w:tcPr>
          <w:p w14:paraId="5971F0F7" w14:textId="098DC812"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nil"/>
              <w:right w:val="single" w:sz="4" w:space="0" w:color="auto"/>
            </w:tcBorders>
            <w:hideMark/>
          </w:tcPr>
          <w:p w14:paraId="033621CE" w14:textId="1CBB0D07"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13FA000E" w14:textId="77777777" w:rsidTr="005F0019">
        <w:tc>
          <w:tcPr>
            <w:tcW w:w="4587" w:type="dxa"/>
            <w:tcBorders>
              <w:top w:val="nil"/>
              <w:left w:val="single" w:sz="4" w:space="0" w:color="auto"/>
              <w:bottom w:val="single" w:sz="4" w:space="0" w:color="auto"/>
              <w:right w:val="single" w:sz="4" w:space="0" w:color="auto"/>
            </w:tcBorders>
            <w:hideMark/>
          </w:tcPr>
          <w:p w14:paraId="0B7BACFE" w14:textId="77777777" w:rsidR="005F69BD" w:rsidRPr="00EB1825" w:rsidRDefault="005F69BD" w:rsidP="00B12D9B">
            <w:pPr>
              <w:pStyle w:val="TableText0"/>
              <w:keepLines w:val="0"/>
              <w:numPr>
                <w:ilvl w:val="0"/>
                <w:numId w:val="4"/>
              </w:numPr>
            </w:pPr>
            <w:r w:rsidRPr="00EB1825">
              <w:t>Similar value for health state 2 ≤ VMS-F &lt; 7 and 7 ≤ VMS-F &lt; 9; State 3 = State 2</w:t>
            </w:r>
          </w:p>
        </w:tc>
        <w:tc>
          <w:tcPr>
            <w:tcW w:w="977" w:type="dxa"/>
            <w:tcBorders>
              <w:top w:val="nil"/>
              <w:left w:val="single" w:sz="4" w:space="0" w:color="auto"/>
              <w:bottom w:val="single" w:sz="4" w:space="0" w:color="auto"/>
              <w:right w:val="single" w:sz="4" w:space="0" w:color="auto"/>
            </w:tcBorders>
            <w:hideMark/>
          </w:tcPr>
          <w:p w14:paraId="22A83D34" w14:textId="5344CF06"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single" w:sz="4" w:space="0" w:color="auto"/>
              <w:right w:val="single" w:sz="4" w:space="0" w:color="auto"/>
            </w:tcBorders>
            <w:hideMark/>
          </w:tcPr>
          <w:p w14:paraId="2B40BED2" w14:textId="77777777" w:rsidR="005F69BD" w:rsidRPr="00EB1825" w:rsidRDefault="005F69BD" w:rsidP="000A3AF5">
            <w:pPr>
              <w:pStyle w:val="TableText0"/>
            </w:pPr>
            <w:r w:rsidRPr="00EB1825">
              <w:t>0.09</w:t>
            </w:r>
          </w:p>
        </w:tc>
        <w:tc>
          <w:tcPr>
            <w:tcW w:w="1379" w:type="dxa"/>
            <w:tcBorders>
              <w:top w:val="nil"/>
              <w:left w:val="single" w:sz="4" w:space="0" w:color="auto"/>
              <w:bottom w:val="single" w:sz="4" w:space="0" w:color="auto"/>
              <w:right w:val="single" w:sz="4" w:space="0" w:color="auto"/>
            </w:tcBorders>
            <w:hideMark/>
          </w:tcPr>
          <w:p w14:paraId="6DE54A57" w14:textId="18D8D351"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single" w:sz="4" w:space="0" w:color="auto"/>
              <w:right w:val="single" w:sz="4" w:space="0" w:color="auto"/>
            </w:tcBorders>
            <w:hideMark/>
          </w:tcPr>
          <w:p w14:paraId="1061D376" w14:textId="29F76ACF"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64989086" w14:textId="77777777" w:rsidTr="005F0019">
        <w:tc>
          <w:tcPr>
            <w:tcW w:w="9158" w:type="dxa"/>
            <w:gridSpan w:val="5"/>
            <w:tcBorders>
              <w:top w:val="single" w:sz="4" w:space="0" w:color="auto"/>
              <w:left w:val="single" w:sz="4" w:space="0" w:color="auto"/>
              <w:bottom w:val="nil"/>
              <w:right w:val="single" w:sz="4" w:space="0" w:color="auto"/>
            </w:tcBorders>
            <w:hideMark/>
          </w:tcPr>
          <w:p w14:paraId="78E0D6AD" w14:textId="77777777" w:rsidR="005F69BD" w:rsidRPr="00EB1825" w:rsidRDefault="005F69BD" w:rsidP="000A3AF5">
            <w:pPr>
              <w:pStyle w:val="TableText0"/>
            </w:pPr>
            <w:r w:rsidRPr="00EB1825">
              <w:t>Efficacy (base case: all arms from Week 24+, will use DAYLIGHT 20-24 values per cycle</w:t>
            </w:r>
          </w:p>
        </w:tc>
      </w:tr>
      <w:tr w:rsidR="005F69BD" w:rsidRPr="00EB1825" w14:paraId="592BD8BE" w14:textId="77777777" w:rsidTr="00071B41">
        <w:tc>
          <w:tcPr>
            <w:tcW w:w="4587" w:type="dxa"/>
            <w:tcBorders>
              <w:top w:val="nil"/>
              <w:left w:val="single" w:sz="4" w:space="0" w:color="auto"/>
              <w:bottom w:val="single" w:sz="4" w:space="0" w:color="auto"/>
              <w:right w:val="nil"/>
            </w:tcBorders>
            <w:hideMark/>
          </w:tcPr>
          <w:p w14:paraId="4BED5140" w14:textId="77777777" w:rsidR="005F69BD" w:rsidRPr="00EB1825" w:rsidRDefault="005F69BD" w:rsidP="00B12D9B">
            <w:pPr>
              <w:pStyle w:val="TableText0"/>
              <w:keepLines w:val="0"/>
              <w:numPr>
                <w:ilvl w:val="0"/>
                <w:numId w:val="4"/>
              </w:numPr>
            </w:pPr>
            <w:r w:rsidRPr="00EB1825">
              <w:t>Use of DAYLIGHT 0-24 average after w 24+</w:t>
            </w:r>
          </w:p>
        </w:tc>
        <w:tc>
          <w:tcPr>
            <w:tcW w:w="977" w:type="dxa"/>
            <w:tcBorders>
              <w:top w:val="nil"/>
              <w:left w:val="nil"/>
              <w:bottom w:val="single" w:sz="4" w:space="0" w:color="auto"/>
              <w:right w:val="single" w:sz="4" w:space="0" w:color="auto"/>
            </w:tcBorders>
            <w:hideMark/>
          </w:tcPr>
          <w:p w14:paraId="6A52E5A8" w14:textId="2F6310E4"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single" w:sz="4" w:space="0" w:color="auto"/>
              <w:right w:val="single" w:sz="4" w:space="0" w:color="auto"/>
            </w:tcBorders>
            <w:hideMark/>
          </w:tcPr>
          <w:p w14:paraId="09413CF8" w14:textId="77777777" w:rsidR="005F69BD" w:rsidRPr="00EB1825" w:rsidRDefault="005F69BD" w:rsidP="000A3AF5">
            <w:pPr>
              <w:pStyle w:val="TableText0"/>
            </w:pPr>
            <w:r w:rsidRPr="00EB1825">
              <w:t>0.09</w:t>
            </w:r>
          </w:p>
        </w:tc>
        <w:tc>
          <w:tcPr>
            <w:tcW w:w="1379" w:type="dxa"/>
            <w:tcBorders>
              <w:top w:val="nil"/>
              <w:left w:val="single" w:sz="4" w:space="0" w:color="auto"/>
              <w:bottom w:val="single" w:sz="4" w:space="0" w:color="auto"/>
              <w:right w:val="single" w:sz="4" w:space="0" w:color="auto"/>
            </w:tcBorders>
            <w:hideMark/>
          </w:tcPr>
          <w:p w14:paraId="26CCAEE4" w14:textId="3E33ACBE"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single" w:sz="4" w:space="0" w:color="auto"/>
              <w:right w:val="single" w:sz="4" w:space="0" w:color="auto"/>
            </w:tcBorders>
            <w:hideMark/>
          </w:tcPr>
          <w:p w14:paraId="155E2E88" w14:textId="68DCE922" w:rsidR="005F69BD" w:rsidRPr="00EB1825" w:rsidRDefault="005F69BD" w:rsidP="000A3AF5">
            <w:pPr>
              <w:pStyle w:val="TableText0"/>
            </w:pPr>
            <w:r w:rsidRPr="00EB1825">
              <w:t>-</w:t>
            </w:r>
            <w:r w:rsidR="00E901B5" w:rsidRPr="00E901B5">
              <w:rPr>
                <w:highlight w:val="black"/>
              </w:rPr>
              <w:t>&amp;&amp;&amp;&amp;</w:t>
            </w:r>
            <w:r w:rsidRPr="00EB1825">
              <w:t>%</w:t>
            </w:r>
          </w:p>
        </w:tc>
      </w:tr>
      <w:tr w:rsidR="004F08BF" w:rsidRPr="00EB1825" w14:paraId="25CE3132" w14:textId="77777777" w:rsidTr="005F0019">
        <w:tc>
          <w:tcPr>
            <w:tcW w:w="9158" w:type="dxa"/>
            <w:gridSpan w:val="5"/>
            <w:tcBorders>
              <w:top w:val="single" w:sz="4" w:space="0" w:color="auto"/>
              <w:left w:val="single" w:sz="4" w:space="0" w:color="auto"/>
              <w:bottom w:val="nil"/>
              <w:right w:val="single" w:sz="4" w:space="0" w:color="auto"/>
            </w:tcBorders>
            <w:hideMark/>
          </w:tcPr>
          <w:p w14:paraId="30D9924C" w14:textId="1AD90A84" w:rsidR="004F08BF" w:rsidRPr="00EB1825" w:rsidRDefault="004F08BF" w:rsidP="000A3AF5">
            <w:pPr>
              <w:pStyle w:val="TableText0"/>
            </w:pPr>
            <w:r w:rsidRPr="00EB1825">
              <w:t xml:space="preserve">Discontinuation (base case: Weeks 0–24 from DAYLIGHT for both </w:t>
            </w:r>
            <w:proofErr w:type="spellStart"/>
            <w:r w:rsidRPr="00EB1825">
              <w:t>fezolinetant</w:t>
            </w:r>
            <w:proofErr w:type="spellEnd"/>
            <w:r w:rsidRPr="00EB1825">
              <w:t xml:space="preserve"> and no treatment</w:t>
            </w:r>
            <w:r w:rsidR="00A27207" w:rsidRPr="00EB1825">
              <w:t xml:space="preserve"> (4-weekly probability: 4.43% and 4.17%, respectively)</w:t>
            </w:r>
            <w:r w:rsidRPr="00EB1825">
              <w:t xml:space="preserve">; Week 24+ from SKYLIGHT for </w:t>
            </w:r>
            <w:proofErr w:type="spellStart"/>
            <w:r w:rsidRPr="00EB1825">
              <w:t>fezolinetant</w:t>
            </w:r>
            <w:proofErr w:type="spellEnd"/>
            <w:r w:rsidRPr="00EB1825">
              <w:t xml:space="preserve"> </w:t>
            </w:r>
            <w:r w:rsidR="00A27207" w:rsidRPr="00EB1825">
              <w:t>(1.32%)</w:t>
            </w:r>
            <w:r w:rsidRPr="00EB1825">
              <w:t>, with no treatment set to 100%</w:t>
            </w:r>
          </w:p>
        </w:tc>
      </w:tr>
      <w:tr w:rsidR="00A27207" w:rsidRPr="00EB1825" w14:paraId="2FFFCA08" w14:textId="77777777" w:rsidTr="00071B41">
        <w:tc>
          <w:tcPr>
            <w:tcW w:w="4587" w:type="dxa"/>
            <w:tcBorders>
              <w:top w:val="nil"/>
              <w:left w:val="single" w:sz="4" w:space="0" w:color="auto"/>
              <w:bottom w:val="nil"/>
              <w:right w:val="single" w:sz="4" w:space="0" w:color="auto"/>
            </w:tcBorders>
          </w:tcPr>
          <w:p w14:paraId="2A02E3A2" w14:textId="24C1EEA3" w:rsidR="00A27207" w:rsidRPr="00EB1825" w:rsidRDefault="00A27207" w:rsidP="00B12D9B">
            <w:pPr>
              <w:pStyle w:val="TableText0"/>
              <w:numPr>
                <w:ilvl w:val="0"/>
                <w:numId w:val="4"/>
              </w:numPr>
            </w:pPr>
            <w:r w:rsidRPr="00EB1825">
              <w:t xml:space="preserve">For </w:t>
            </w:r>
            <w:proofErr w:type="spellStart"/>
            <w:r w:rsidRPr="00EB1825">
              <w:t>fezolinetant</w:t>
            </w:r>
            <w:proofErr w:type="spellEnd"/>
            <w:r w:rsidRPr="00EB1825">
              <w:t xml:space="preserve">, setting the discontinuation rate for </w:t>
            </w:r>
            <w:r w:rsidR="005D014F" w:rsidRPr="00EB1825">
              <w:t>W</w:t>
            </w:r>
            <w:r w:rsidRPr="00EB1825">
              <w:t>eeks 0-24</w:t>
            </w:r>
            <w:r w:rsidR="00E940B5" w:rsidRPr="00EB1825">
              <w:t xml:space="preserve"> and Weeks 24</w:t>
            </w:r>
            <w:r w:rsidRPr="00EB1825">
              <w:t xml:space="preserve">+ </w:t>
            </w:r>
            <w:r w:rsidR="00E940B5" w:rsidRPr="00EB1825">
              <w:t>(</w:t>
            </w:r>
            <w:proofErr w:type="spellStart"/>
            <w:r w:rsidR="00372435" w:rsidRPr="00EB1825">
              <w:t>ie</w:t>
            </w:r>
            <w:proofErr w:type="spellEnd"/>
            <w:r w:rsidR="00372435" w:rsidRPr="00EB1825">
              <w:t xml:space="preserve"> </w:t>
            </w:r>
            <w:r w:rsidR="00E940B5" w:rsidRPr="00EB1825">
              <w:t xml:space="preserve">entire model) </w:t>
            </w:r>
            <w:r w:rsidRPr="00EB1825">
              <w:t xml:space="preserve">equal to the </w:t>
            </w:r>
            <w:r w:rsidR="005D014F" w:rsidRPr="00EB1825">
              <w:t>W</w:t>
            </w:r>
            <w:r w:rsidRPr="00EB1825">
              <w:t>eek 0-24 rate from DAYLIGHT (2.4%)</w:t>
            </w:r>
          </w:p>
        </w:tc>
        <w:tc>
          <w:tcPr>
            <w:tcW w:w="977" w:type="dxa"/>
            <w:tcBorders>
              <w:top w:val="nil"/>
              <w:left w:val="single" w:sz="4" w:space="0" w:color="auto"/>
              <w:bottom w:val="nil"/>
              <w:right w:val="single" w:sz="4" w:space="0" w:color="auto"/>
            </w:tcBorders>
          </w:tcPr>
          <w:p w14:paraId="4BE376CC" w14:textId="602DB6C3" w:rsidR="00A27207" w:rsidRPr="00EB1825" w:rsidRDefault="00A27207" w:rsidP="000A3AF5">
            <w:pPr>
              <w:pStyle w:val="TableText0"/>
            </w:pPr>
            <w:r w:rsidRPr="00EB1825">
              <w:t>$</w:t>
            </w:r>
            <w:r w:rsidR="00E901B5" w:rsidRPr="00E901B5">
              <w:rPr>
                <w:highlight w:val="black"/>
              </w:rPr>
              <w:t>&amp;&amp;&amp;&amp;</w:t>
            </w:r>
          </w:p>
        </w:tc>
        <w:tc>
          <w:tcPr>
            <w:tcW w:w="977" w:type="dxa"/>
            <w:tcBorders>
              <w:top w:val="nil"/>
              <w:left w:val="single" w:sz="4" w:space="0" w:color="auto"/>
              <w:bottom w:val="nil"/>
              <w:right w:val="single" w:sz="4" w:space="0" w:color="auto"/>
            </w:tcBorders>
          </w:tcPr>
          <w:p w14:paraId="70514BBE" w14:textId="47DFDDFB" w:rsidR="00A27207" w:rsidRPr="00EB1825" w:rsidRDefault="00A27207" w:rsidP="000A3AF5">
            <w:pPr>
              <w:pStyle w:val="TableText0"/>
            </w:pPr>
            <w:r w:rsidRPr="00EB1825">
              <w:t>0.05</w:t>
            </w:r>
          </w:p>
        </w:tc>
        <w:tc>
          <w:tcPr>
            <w:tcW w:w="1379" w:type="dxa"/>
            <w:tcBorders>
              <w:top w:val="nil"/>
              <w:left w:val="single" w:sz="4" w:space="0" w:color="auto"/>
              <w:bottom w:val="nil"/>
              <w:right w:val="single" w:sz="4" w:space="0" w:color="auto"/>
            </w:tcBorders>
          </w:tcPr>
          <w:p w14:paraId="79D3BDD8" w14:textId="48D2AD0D" w:rsidR="00A27207" w:rsidRPr="0074024C" w:rsidRDefault="00A27207" w:rsidP="000A3AF5">
            <w:pPr>
              <w:pStyle w:val="TableText0"/>
              <w:rPr>
                <w:vertAlign w:val="superscript"/>
              </w:rPr>
            </w:pPr>
            <w:r w:rsidRPr="00EB1825">
              <w:t>$</w:t>
            </w:r>
            <w:r w:rsidR="00E901B5" w:rsidRPr="00E901B5">
              <w:rPr>
                <w:highlight w:val="black"/>
              </w:rPr>
              <w:t>&amp;&amp;&amp;&amp;</w:t>
            </w:r>
            <w:r w:rsidR="0074024C">
              <w:rPr>
                <w:vertAlign w:val="superscript"/>
              </w:rPr>
              <w:t>3</w:t>
            </w:r>
          </w:p>
        </w:tc>
        <w:tc>
          <w:tcPr>
            <w:tcW w:w="1238" w:type="dxa"/>
            <w:tcBorders>
              <w:top w:val="nil"/>
              <w:left w:val="single" w:sz="4" w:space="0" w:color="auto"/>
              <w:bottom w:val="nil"/>
              <w:right w:val="single" w:sz="4" w:space="0" w:color="auto"/>
            </w:tcBorders>
          </w:tcPr>
          <w:p w14:paraId="4B26F131" w14:textId="6B5D9D73" w:rsidR="00A27207" w:rsidRPr="00EB1825" w:rsidRDefault="00E901B5" w:rsidP="000A3AF5">
            <w:pPr>
              <w:pStyle w:val="TableText0"/>
            </w:pPr>
            <w:r w:rsidRPr="00E901B5">
              <w:rPr>
                <w:highlight w:val="black"/>
              </w:rPr>
              <w:t>&amp;&amp;&amp;&amp;</w:t>
            </w:r>
            <w:r w:rsidR="00A27207" w:rsidRPr="00EB1825">
              <w:t>%</w:t>
            </w:r>
          </w:p>
        </w:tc>
      </w:tr>
      <w:tr w:rsidR="000A3AF5" w:rsidRPr="00EB1825" w14:paraId="585393E1" w14:textId="77777777" w:rsidTr="00071B41">
        <w:tc>
          <w:tcPr>
            <w:tcW w:w="4587" w:type="dxa"/>
            <w:tcBorders>
              <w:top w:val="nil"/>
              <w:left w:val="single" w:sz="4" w:space="0" w:color="auto"/>
              <w:bottom w:val="nil"/>
              <w:right w:val="single" w:sz="4" w:space="0" w:color="auto"/>
            </w:tcBorders>
          </w:tcPr>
          <w:p w14:paraId="5FDA2E28" w14:textId="1DC1AB0A" w:rsidR="000A3AF5" w:rsidRPr="00EB1825" w:rsidRDefault="000A3AF5" w:rsidP="00B12D9B">
            <w:pPr>
              <w:pStyle w:val="TableText0"/>
              <w:numPr>
                <w:ilvl w:val="0"/>
                <w:numId w:val="4"/>
              </w:numPr>
            </w:pPr>
            <w:r w:rsidRPr="00EB1825">
              <w:t xml:space="preserve">For </w:t>
            </w:r>
            <w:proofErr w:type="spellStart"/>
            <w:r w:rsidRPr="00EB1825">
              <w:t>fezolinetant</w:t>
            </w:r>
            <w:proofErr w:type="spellEnd"/>
            <w:r w:rsidRPr="00EB1825">
              <w:t xml:space="preserve">, setting the discontinuation rate for </w:t>
            </w:r>
            <w:r w:rsidR="005D014F" w:rsidRPr="00EB1825">
              <w:t>W</w:t>
            </w:r>
            <w:r w:rsidRPr="00EB1825">
              <w:t>eeks 0-24</w:t>
            </w:r>
            <w:r w:rsidR="00E940B5" w:rsidRPr="00EB1825">
              <w:t xml:space="preserve"> and Weeks 24</w:t>
            </w:r>
            <w:r w:rsidRPr="00EB1825">
              <w:t xml:space="preserve">+ </w:t>
            </w:r>
            <w:r w:rsidR="00E940B5" w:rsidRPr="00EB1825">
              <w:t>(</w:t>
            </w:r>
            <w:proofErr w:type="spellStart"/>
            <w:r w:rsidR="00372435" w:rsidRPr="00EB1825">
              <w:t>ie</w:t>
            </w:r>
            <w:proofErr w:type="spellEnd"/>
            <w:r w:rsidR="00372435" w:rsidRPr="00EB1825">
              <w:t xml:space="preserve"> </w:t>
            </w:r>
            <w:r w:rsidR="00E940B5" w:rsidRPr="00EB1825">
              <w:t xml:space="preserve">entire model) </w:t>
            </w:r>
            <w:r w:rsidRPr="00EB1825">
              <w:t xml:space="preserve">equal to the </w:t>
            </w:r>
            <w:r w:rsidR="005D014F" w:rsidRPr="00EB1825">
              <w:t>W</w:t>
            </w:r>
            <w:r w:rsidRPr="00EB1825">
              <w:t>eek 24+ rate from SKYLIGHT (1.3%)</w:t>
            </w:r>
          </w:p>
        </w:tc>
        <w:tc>
          <w:tcPr>
            <w:tcW w:w="977" w:type="dxa"/>
            <w:tcBorders>
              <w:top w:val="nil"/>
              <w:left w:val="single" w:sz="4" w:space="0" w:color="auto"/>
              <w:bottom w:val="nil"/>
              <w:right w:val="single" w:sz="4" w:space="0" w:color="auto"/>
            </w:tcBorders>
          </w:tcPr>
          <w:p w14:paraId="5029A8E5" w14:textId="7AAA4D59" w:rsidR="000A3AF5" w:rsidRPr="00EB1825" w:rsidRDefault="000A3AF5" w:rsidP="000A3AF5">
            <w:pPr>
              <w:pStyle w:val="TableText0"/>
            </w:pPr>
            <w:r w:rsidRPr="00EB1825">
              <w:t>$</w:t>
            </w:r>
            <w:r w:rsidR="00E901B5" w:rsidRPr="00E901B5">
              <w:rPr>
                <w:highlight w:val="black"/>
              </w:rPr>
              <w:t>&amp;&amp;&amp;&amp;</w:t>
            </w:r>
          </w:p>
        </w:tc>
        <w:tc>
          <w:tcPr>
            <w:tcW w:w="977" w:type="dxa"/>
            <w:tcBorders>
              <w:top w:val="nil"/>
              <w:left w:val="single" w:sz="4" w:space="0" w:color="auto"/>
              <w:bottom w:val="nil"/>
              <w:right w:val="single" w:sz="4" w:space="0" w:color="auto"/>
            </w:tcBorders>
          </w:tcPr>
          <w:p w14:paraId="69413666" w14:textId="70ABD91F" w:rsidR="000A3AF5" w:rsidRPr="00EB1825" w:rsidRDefault="000A3AF5" w:rsidP="000A3AF5">
            <w:pPr>
              <w:pStyle w:val="TableText0"/>
            </w:pPr>
            <w:r w:rsidRPr="00EB1825">
              <w:t>0.10</w:t>
            </w:r>
          </w:p>
        </w:tc>
        <w:tc>
          <w:tcPr>
            <w:tcW w:w="1379" w:type="dxa"/>
            <w:tcBorders>
              <w:top w:val="nil"/>
              <w:left w:val="single" w:sz="4" w:space="0" w:color="auto"/>
              <w:bottom w:val="nil"/>
              <w:right w:val="single" w:sz="4" w:space="0" w:color="auto"/>
            </w:tcBorders>
          </w:tcPr>
          <w:p w14:paraId="05D0E5C3" w14:textId="56995F6C" w:rsidR="000A3AF5" w:rsidRPr="00940920" w:rsidRDefault="000A3AF5"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nil"/>
              <w:right w:val="single" w:sz="4" w:space="0" w:color="auto"/>
            </w:tcBorders>
          </w:tcPr>
          <w:p w14:paraId="3A0B233C" w14:textId="62ADD677" w:rsidR="000A3AF5" w:rsidRPr="00EB1825" w:rsidRDefault="000A3AF5" w:rsidP="000A3AF5">
            <w:pPr>
              <w:pStyle w:val="TableText0"/>
            </w:pPr>
            <w:r w:rsidRPr="00EB1825">
              <w:t>-</w:t>
            </w:r>
            <w:r w:rsidR="00E901B5" w:rsidRPr="00E901B5">
              <w:rPr>
                <w:highlight w:val="black"/>
              </w:rPr>
              <w:t>&amp;&amp;&amp;&amp;</w:t>
            </w:r>
            <w:r w:rsidRPr="00EB1825">
              <w:t>%</w:t>
            </w:r>
          </w:p>
        </w:tc>
      </w:tr>
      <w:tr w:rsidR="005F69BD" w:rsidRPr="005579DB" w14:paraId="07B454BC" w14:textId="77777777" w:rsidTr="00071B41">
        <w:tc>
          <w:tcPr>
            <w:tcW w:w="4587" w:type="dxa"/>
            <w:tcBorders>
              <w:top w:val="single" w:sz="4" w:space="0" w:color="auto"/>
              <w:left w:val="single" w:sz="4" w:space="0" w:color="auto"/>
              <w:bottom w:val="nil"/>
              <w:right w:val="single" w:sz="4" w:space="0" w:color="auto"/>
            </w:tcBorders>
            <w:hideMark/>
          </w:tcPr>
          <w:p w14:paraId="027E89E8" w14:textId="77777777" w:rsidR="005F69BD" w:rsidRPr="005579DB" w:rsidRDefault="005F69BD" w:rsidP="000A3AF5">
            <w:pPr>
              <w:pStyle w:val="TableText0"/>
              <w:rPr>
                <w:lang w:val="fr-FR"/>
              </w:rPr>
            </w:pPr>
            <w:r w:rsidRPr="005579DB">
              <w:rPr>
                <w:lang w:val="fr-FR"/>
              </w:rPr>
              <w:t>VMS cessation (</w:t>
            </w:r>
            <w:proofErr w:type="spellStart"/>
            <w:r w:rsidRPr="005579DB">
              <w:rPr>
                <w:lang w:val="fr-FR"/>
              </w:rPr>
              <w:t>bae</w:t>
            </w:r>
            <w:proofErr w:type="spellEnd"/>
            <w:r w:rsidRPr="005579DB">
              <w:rPr>
                <w:lang w:val="fr-FR"/>
              </w:rPr>
              <w:t xml:space="preserve"> </w:t>
            </w:r>
            <w:proofErr w:type="gramStart"/>
            <w:r w:rsidRPr="005579DB">
              <w:rPr>
                <w:lang w:val="fr-FR"/>
              </w:rPr>
              <w:t>case:</w:t>
            </w:r>
            <w:proofErr w:type="gramEnd"/>
            <w:r w:rsidRPr="005579DB">
              <w:rPr>
                <w:lang w:val="fr-FR"/>
              </w:rPr>
              <w:t xml:space="preserve"> Avis et al., 2015)</w:t>
            </w:r>
          </w:p>
        </w:tc>
        <w:tc>
          <w:tcPr>
            <w:tcW w:w="977" w:type="dxa"/>
            <w:tcBorders>
              <w:top w:val="single" w:sz="4" w:space="0" w:color="auto"/>
              <w:left w:val="single" w:sz="4" w:space="0" w:color="auto"/>
              <w:bottom w:val="nil"/>
              <w:right w:val="single" w:sz="4" w:space="0" w:color="auto"/>
            </w:tcBorders>
          </w:tcPr>
          <w:p w14:paraId="4B7D36EA" w14:textId="77777777" w:rsidR="005F69BD" w:rsidRPr="005579DB" w:rsidRDefault="005F69BD" w:rsidP="000A3AF5">
            <w:pPr>
              <w:pStyle w:val="TableText0"/>
              <w:rPr>
                <w:lang w:val="fr-FR"/>
              </w:rPr>
            </w:pPr>
          </w:p>
        </w:tc>
        <w:tc>
          <w:tcPr>
            <w:tcW w:w="977" w:type="dxa"/>
            <w:tcBorders>
              <w:top w:val="single" w:sz="4" w:space="0" w:color="auto"/>
              <w:left w:val="single" w:sz="4" w:space="0" w:color="auto"/>
              <w:bottom w:val="nil"/>
              <w:right w:val="single" w:sz="4" w:space="0" w:color="auto"/>
            </w:tcBorders>
          </w:tcPr>
          <w:p w14:paraId="1DB07A3E" w14:textId="77777777" w:rsidR="005F69BD" w:rsidRPr="005579DB" w:rsidRDefault="005F69BD" w:rsidP="000A3AF5">
            <w:pPr>
              <w:pStyle w:val="TableText0"/>
              <w:rPr>
                <w:lang w:val="fr-FR"/>
              </w:rPr>
            </w:pPr>
          </w:p>
        </w:tc>
        <w:tc>
          <w:tcPr>
            <w:tcW w:w="1379" w:type="dxa"/>
            <w:tcBorders>
              <w:top w:val="single" w:sz="4" w:space="0" w:color="auto"/>
              <w:left w:val="single" w:sz="4" w:space="0" w:color="auto"/>
              <w:bottom w:val="nil"/>
              <w:right w:val="single" w:sz="4" w:space="0" w:color="auto"/>
            </w:tcBorders>
          </w:tcPr>
          <w:p w14:paraId="164E4EBA" w14:textId="77777777" w:rsidR="005F69BD" w:rsidRPr="005579DB" w:rsidRDefault="005F69BD" w:rsidP="000A3AF5">
            <w:pPr>
              <w:pStyle w:val="TableText0"/>
              <w:rPr>
                <w:lang w:val="fr-FR"/>
              </w:rPr>
            </w:pPr>
          </w:p>
        </w:tc>
        <w:tc>
          <w:tcPr>
            <w:tcW w:w="1238" w:type="dxa"/>
            <w:tcBorders>
              <w:top w:val="single" w:sz="4" w:space="0" w:color="auto"/>
              <w:left w:val="single" w:sz="4" w:space="0" w:color="auto"/>
              <w:bottom w:val="nil"/>
              <w:right w:val="single" w:sz="4" w:space="0" w:color="auto"/>
            </w:tcBorders>
          </w:tcPr>
          <w:p w14:paraId="552F03DF" w14:textId="77777777" w:rsidR="005F69BD" w:rsidRPr="005579DB" w:rsidRDefault="005F69BD" w:rsidP="000A3AF5">
            <w:pPr>
              <w:pStyle w:val="TableText0"/>
              <w:rPr>
                <w:lang w:val="fr-FR"/>
              </w:rPr>
            </w:pPr>
          </w:p>
        </w:tc>
      </w:tr>
      <w:tr w:rsidR="005F69BD" w:rsidRPr="00EB1825" w14:paraId="3A9FD1DD" w14:textId="77777777" w:rsidTr="00071B41">
        <w:tc>
          <w:tcPr>
            <w:tcW w:w="4587" w:type="dxa"/>
            <w:tcBorders>
              <w:top w:val="nil"/>
              <w:left w:val="single" w:sz="4" w:space="0" w:color="auto"/>
              <w:bottom w:val="nil"/>
              <w:right w:val="single" w:sz="4" w:space="0" w:color="auto"/>
            </w:tcBorders>
            <w:hideMark/>
          </w:tcPr>
          <w:p w14:paraId="2C237828" w14:textId="77777777" w:rsidR="005F69BD" w:rsidRPr="00EB1825" w:rsidRDefault="005F69BD" w:rsidP="00B12D9B">
            <w:pPr>
              <w:pStyle w:val="TableText0"/>
              <w:keepLines w:val="0"/>
              <w:numPr>
                <w:ilvl w:val="0"/>
                <w:numId w:val="4"/>
              </w:numPr>
            </w:pPr>
            <w:r w:rsidRPr="00EB1825">
              <w:t>Politi et al., 2008</w:t>
            </w:r>
          </w:p>
        </w:tc>
        <w:tc>
          <w:tcPr>
            <w:tcW w:w="977" w:type="dxa"/>
            <w:tcBorders>
              <w:top w:val="nil"/>
              <w:left w:val="single" w:sz="4" w:space="0" w:color="auto"/>
              <w:bottom w:val="nil"/>
              <w:right w:val="single" w:sz="4" w:space="0" w:color="auto"/>
            </w:tcBorders>
            <w:hideMark/>
          </w:tcPr>
          <w:p w14:paraId="67C5516C" w14:textId="7ED25B66"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nil"/>
              <w:right w:val="single" w:sz="4" w:space="0" w:color="auto"/>
            </w:tcBorders>
            <w:hideMark/>
          </w:tcPr>
          <w:p w14:paraId="17D19399" w14:textId="77777777" w:rsidR="005F69BD" w:rsidRPr="00EB1825" w:rsidRDefault="005F69BD" w:rsidP="000A3AF5">
            <w:pPr>
              <w:pStyle w:val="TableText0"/>
            </w:pPr>
            <w:r w:rsidRPr="00EB1825">
              <w:t>0.07</w:t>
            </w:r>
          </w:p>
        </w:tc>
        <w:tc>
          <w:tcPr>
            <w:tcW w:w="1379" w:type="dxa"/>
            <w:tcBorders>
              <w:top w:val="nil"/>
              <w:left w:val="single" w:sz="4" w:space="0" w:color="auto"/>
              <w:bottom w:val="nil"/>
              <w:right w:val="single" w:sz="4" w:space="0" w:color="auto"/>
            </w:tcBorders>
            <w:hideMark/>
          </w:tcPr>
          <w:p w14:paraId="5E18159E" w14:textId="6994CFDD" w:rsidR="005F69BD" w:rsidRPr="0074024C" w:rsidRDefault="005F69BD" w:rsidP="000A3AF5">
            <w:pPr>
              <w:pStyle w:val="TableText0"/>
              <w:rPr>
                <w:vertAlign w:val="superscript"/>
              </w:rPr>
            </w:pPr>
            <w:r w:rsidRPr="00EB1825">
              <w:t>$</w:t>
            </w:r>
            <w:r w:rsidR="00E901B5" w:rsidRPr="00E901B5">
              <w:rPr>
                <w:highlight w:val="black"/>
              </w:rPr>
              <w:t>&amp;&amp;&amp;&amp;</w:t>
            </w:r>
            <w:r w:rsidR="0074024C">
              <w:rPr>
                <w:vertAlign w:val="superscript"/>
              </w:rPr>
              <w:t>3</w:t>
            </w:r>
          </w:p>
        </w:tc>
        <w:tc>
          <w:tcPr>
            <w:tcW w:w="1238" w:type="dxa"/>
            <w:tcBorders>
              <w:top w:val="nil"/>
              <w:left w:val="single" w:sz="4" w:space="0" w:color="auto"/>
              <w:bottom w:val="nil"/>
              <w:right w:val="single" w:sz="4" w:space="0" w:color="auto"/>
            </w:tcBorders>
            <w:hideMark/>
          </w:tcPr>
          <w:p w14:paraId="5D0241B6" w14:textId="04493941"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39D9F744" w14:textId="77777777" w:rsidTr="00071B41">
        <w:tc>
          <w:tcPr>
            <w:tcW w:w="4587" w:type="dxa"/>
            <w:tcBorders>
              <w:top w:val="nil"/>
              <w:left w:val="single" w:sz="4" w:space="0" w:color="auto"/>
              <w:bottom w:val="single" w:sz="4" w:space="0" w:color="auto"/>
              <w:right w:val="single" w:sz="4" w:space="0" w:color="auto"/>
            </w:tcBorders>
            <w:hideMark/>
          </w:tcPr>
          <w:p w14:paraId="2042D099" w14:textId="77777777" w:rsidR="005F69BD" w:rsidRPr="005579DB" w:rsidRDefault="005F69BD" w:rsidP="00B12D9B">
            <w:pPr>
              <w:pStyle w:val="TableText0"/>
              <w:keepLines w:val="0"/>
              <w:numPr>
                <w:ilvl w:val="0"/>
                <w:numId w:val="4"/>
              </w:numPr>
              <w:rPr>
                <w:lang w:val="da-DK"/>
              </w:rPr>
            </w:pPr>
            <w:r w:rsidRPr="005579DB">
              <w:rPr>
                <w:lang w:val="da-DK"/>
              </w:rPr>
              <w:t>Mid-point between Avis et al. &amp; Politi et al.</w:t>
            </w:r>
          </w:p>
        </w:tc>
        <w:tc>
          <w:tcPr>
            <w:tcW w:w="977" w:type="dxa"/>
            <w:tcBorders>
              <w:top w:val="nil"/>
              <w:left w:val="single" w:sz="4" w:space="0" w:color="auto"/>
              <w:bottom w:val="single" w:sz="4" w:space="0" w:color="auto"/>
              <w:right w:val="single" w:sz="4" w:space="0" w:color="auto"/>
            </w:tcBorders>
            <w:hideMark/>
          </w:tcPr>
          <w:p w14:paraId="3E4931BC" w14:textId="39DAFA2D"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single" w:sz="4" w:space="0" w:color="auto"/>
              <w:right w:val="single" w:sz="4" w:space="0" w:color="auto"/>
            </w:tcBorders>
            <w:hideMark/>
          </w:tcPr>
          <w:p w14:paraId="1905BCF6" w14:textId="77777777" w:rsidR="005F69BD" w:rsidRPr="00EB1825" w:rsidRDefault="005F69BD" w:rsidP="000A3AF5">
            <w:pPr>
              <w:pStyle w:val="TableText0"/>
            </w:pPr>
            <w:r w:rsidRPr="00EB1825">
              <w:t>0.08</w:t>
            </w:r>
          </w:p>
        </w:tc>
        <w:tc>
          <w:tcPr>
            <w:tcW w:w="1379" w:type="dxa"/>
            <w:tcBorders>
              <w:top w:val="nil"/>
              <w:left w:val="single" w:sz="4" w:space="0" w:color="auto"/>
              <w:bottom w:val="single" w:sz="4" w:space="0" w:color="auto"/>
              <w:right w:val="single" w:sz="4" w:space="0" w:color="auto"/>
            </w:tcBorders>
            <w:hideMark/>
          </w:tcPr>
          <w:p w14:paraId="0C2EDDAC" w14:textId="75DB3546"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single" w:sz="4" w:space="0" w:color="auto"/>
              <w:right w:val="single" w:sz="4" w:space="0" w:color="auto"/>
            </w:tcBorders>
            <w:hideMark/>
          </w:tcPr>
          <w:p w14:paraId="7CFABAB7" w14:textId="561DA531" w:rsidR="005F69BD" w:rsidRPr="00EB1825" w:rsidRDefault="005F69BD" w:rsidP="000A3AF5">
            <w:pPr>
              <w:pStyle w:val="TableText0"/>
            </w:pPr>
            <w:r w:rsidRPr="00EB1825">
              <w:t>+</w:t>
            </w:r>
            <w:r w:rsidR="00E901B5" w:rsidRPr="00E901B5">
              <w:rPr>
                <w:highlight w:val="black"/>
              </w:rPr>
              <w:t>&amp;&amp;&amp;&amp;</w:t>
            </w:r>
            <w:r w:rsidRPr="00EB1825">
              <w:t>%</w:t>
            </w:r>
          </w:p>
        </w:tc>
      </w:tr>
      <w:tr w:rsidR="005F69BD" w:rsidRPr="00EB1825" w14:paraId="11CED258" w14:textId="77777777" w:rsidTr="00071B41">
        <w:tc>
          <w:tcPr>
            <w:tcW w:w="4587" w:type="dxa"/>
            <w:tcBorders>
              <w:top w:val="single" w:sz="4" w:space="0" w:color="auto"/>
              <w:left w:val="single" w:sz="4" w:space="0" w:color="auto"/>
              <w:bottom w:val="nil"/>
              <w:right w:val="single" w:sz="4" w:space="0" w:color="auto"/>
            </w:tcBorders>
            <w:hideMark/>
          </w:tcPr>
          <w:p w14:paraId="79EFBE0C" w14:textId="3DC68D43" w:rsidR="005F69BD" w:rsidRPr="00EB1825" w:rsidRDefault="005F69BD" w:rsidP="000A3AF5">
            <w:pPr>
              <w:pStyle w:val="TableText0"/>
            </w:pPr>
            <w:r w:rsidRPr="00EB1825">
              <w:t>Perspective (bas</w:t>
            </w:r>
            <w:r w:rsidR="00C70047" w:rsidRPr="00EB1825">
              <w:t>e</w:t>
            </w:r>
            <w:r w:rsidRPr="00EB1825">
              <w:t xml:space="preserve"> case: payer)</w:t>
            </w:r>
          </w:p>
        </w:tc>
        <w:tc>
          <w:tcPr>
            <w:tcW w:w="977" w:type="dxa"/>
            <w:tcBorders>
              <w:top w:val="single" w:sz="4" w:space="0" w:color="auto"/>
              <w:left w:val="single" w:sz="4" w:space="0" w:color="auto"/>
              <w:bottom w:val="nil"/>
              <w:right w:val="single" w:sz="4" w:space="0" w:color="auto"/>
            </w:tcBorders>
          </w:tcPr>
          <w:p w14:paraId="7D5AC419" w14:textId="77777777" w:rsidR="005F69BD" w:rsidRPr="00EB1825" w:rsidRDefault="005F69BD" w:rsidP="000A3AF5">
            <w:pPr>
              <w:pStyle w:val="TableText0"/>
            </w:pPr>
          </w:p>
        </w:tc>
        <w:tc>
          <w:tcPr>
            <w:tcW w:w="977" w:type="dxa"/>
            <w:tcBorders>
              <w:top w:val="single" w:sz="4" w:space="0" w:color="auto"/>
              <w:left w:val="single" w:sz="4" w:space="0" w:color="auto"/>
              <w:bottom w:val="nil"/>
              <w:right w:val="single" w:sz="4" w:space="0" w:color="auto"/>
            </w:tcBorders>
          </w:tcPr>
          <w:p w14:paraId="1E21E919" w14:textId="77777777" w:rsidR="005F69BD" w:rsidRPr="00EB1825" w:rsidRDefault="005F69BD" w:rsidP="000A3AF5">
            <w:pPr>
              <w:pStyle w:val="TableText0"/>
            </w:pPr>
          </w:p>
        </w:tc>
        <w:tc>
          <w:tcPr>
            <w:tcW w:w="1379" w:type="dxa"/>
            <w:tcBorders>
              <w:top w:val="single" w:sz="4" w:space="0" w:color="auto"/>
              <w:left w:val="single" w:sz="4" w:space="0" w:color="auto"/>
              <w:bottom w:val="nil"/>
              <w:right w:val="single" w:sz="4" w:space="0" w:color="auto"/>
            </w:tcBorders>
          </w:tcPr>
          <w:p w14:paraId="15F81ADC" w14:textId="77777777" w:rsidR="005F69BD" w:rsidRPr="00EB1825" w:rsidRDefault="005F69BD" w:rsidP="000A3AF5">
            <w:pPr>
              <w:pStyle w:val="TableText0"/>
            </w:pPr>
          </w:p>
        </w:tc>
        <w:tc>
          <w:tcPr>
            <w:tcW w:w="1238" w:type="dxa"/>
            <w:tcBorders>
              <w:top w:val="single" w:sz="4" w:space="0" w:color="auto"/>
              <w:left w:val="single" w:sz="4" w:space="0" w:color="auto"/>
              <w:bottom w:val="nil"/>
              <w:right w:val="single" w:sz="4" w:space="0" w:color="auto"/>
            </w:tcBorders>
          </w:tcPr>
          <w:p w14:paraId="6A2B14EE" w14:textId="77777777" w:rsidR="005F69BD" w:rsidRPr="00EB1825" w:rsidRDefault="005F69BD" w:rsidP="000A3AF5">
            <w:pPr>
              <w:pStyle w:val="TableText0"/>
            </w:pPr>
          </w:p>
        </w:tc>
      </w:tr>
      <w:tr w:rsidR="005F69BD" w:rsidRPr="00EB1825" w14:paraId="44A0BC76" w14:textId="77777777" w:rsidTr="00071B41">
        <w:tc>
          <w:tcPr>
            <w:tcW w:w="4587" w:type="dxa"/>
            <w:tcBorders>
              <w:top w:val="nil"/>
              <w:left w:val="single" w:sz="4" w:space="0" w:color="auto"/>
              <w:bottom w:val="single" w:sz="4" w:space="0" w:color="auto"/>
              <w:right w:val="single" w:sz="4" w:space="0" w:color="auto"/>
            </w:tcBorders>
            <w:hideMark/>
          </w:tcPr>
          <w:p w14:paraId="46683251" w14:textId="77777777" w:rsidR="005F69BD" w:rsidRPr="00EB1825" w:rsidRDefault="005F69BD" w:rsidP="00B12D9B">
            <w:pPr>
              <w:pStyle w:val="TableText0"/>
              <w:keepLines w:val="0"/>
              <w:numPr>
                <w:ilvl w:val="0"/>
                <w:numId w:val="4"/>
              </w:numPr>
            </w:pPr>
            <w:r w:rsidRPr="00EB1825">
              <w:t>Societal</w:t>
            </w:r>
          </w:p>
        </w:tc>
        <w:tc>
          <w:tcPr>
            <w:tcW w:w="977" w:type="dxa"/>
            <w:tcBorders>
              <w:top w:val="nil"/>
              <w:left w:val="single" w:sz="4" w:space="0" w:color="auto"/>
              <w:bottom w:val="single" w:sz="4" w:space="0" w:color="auto"/>
              <w:right w:val="single" w:sz="4" w:space="0" w:color="auto"/>
            </w:tcBorders>
            <w:hideMark/>
          </w:tcPr>
          <w:p w14:paraId="265F17AE" w14:textId="0C79B803"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single" w:sz="4" w:space="0" w:color="auto"/>
              <w:right w:val="single" w:sz="4" w:space="0" w:color="auto"/>
            </w:tcBorders>
            <w:hideMark/>
          </w:tcPr>
          <w:p w14:paraId="291C4847" w14:textId="77777777" w:rsidR="005F69BD" w:rsidRPr="00EB1825" w:rsidRDefault="005F69BD" w:rsidP="000A3AF5">
            <w:pPr>
              <w:pStyle w:val="TableText0"/>
            </w:pPr>
            <w:r w:rsidRPr="00EB1825">
              <w:t>0.09</w:t>
            </w:r>
          </w:p>
        </w:tc>
        <w:tc>
          <w:tcPr>
            <w:tcW w:w="1379" w:type="dxa"/>
            <w:tcBorders>
              <w:top w:val="nil"/>
              <w:left w:val="single" w:sz="4" w:space="0" w:color="auto"/>
              <w:bottom w:val="single" w:sz="4" w:space="0" w:color="auto"/>
              <w:right w:val="single" w:sz="4" w:space="0" w:color="auto"/>
            </w:tcBorders>
            <w:hideMark/>
          </w:tcPr>
          <w:p w14:paraId="3D0D8C02" w14:textId="378E03E8" w:rsidR="005F69BD" w:rsidRPr="00EB1825" w:rsidRDefault="00E940B5" w:rsidP="000A3AF5">
            <w:pPr>
              <w:pStyle w:val="TableText0"/>
            </w:pPr>
            <w:r w:rsidRPr="00EB1825">
              <w:t>Dominant</w:t>
            </w:r>
          </w:p>
        </w:tc>
        <w:tc>
          <w:tcPr>
            <w:tcW w:w="1238" w:type="dxa"/>
            <w:tcBorders>
              <w:top w:val="nil"/>
              <w:left w:val="single" w:sz="4" w:space="0" w:color="auto"/>
              <w:bottom w:val="single" w:sz="4" w:space="0" w:color="auto"/>
              <w:right w:val="single" w:sz="4" w:space="0" w:color="auto"/>
            </w:tcBorders>
            <w:hideMark/>
          </w:tcPr>
          <w:p w14:paraId="4BC0F5C1" w14:textId="5E38A41C" w:rsidR="005F69BD" w:rsidRPr="00EB1825" w:rsidRDefault="00E940B5" w:rsidP="000A3AF5">
            <w:pPr>
              <w:pStyle w:val="TableText0"/>
            </w:pPr>
            <w:r w:rsidRPr="00EB1825">
              <w:t>Dominant</w:t>
            </w:r>
          </w:p>
        </w:tc>
      </w:tr>
      <w:tr w:rsidR="005E0446" w:rsidRPr="00EB1825" w14:paraId="7E97A099" w14:textId="77777777" w:rsidTr="005F0019">
        <w:tc>
          <w:tcPr>
            <w:tcW w:w="9158" w:type="dxa"/>
            <w:gridSpan w:val="5"/>
            <w:tcBorders>
              <w:top w:val="single" w:sz="4" w:space="0" w:color="auto"/>
              <w:left w:val="single" w:sz="4" w:space="0" w:color="auto"/>
              <w:bottom w:val="nil"/>
              <w:right w:val="single" w:sz="4" w:space="0" w:color="auto"/>
            </w:tcBorders>
            <w:hideMark/>
          </w:tcPr>
          <w:p w14:paraId="0E3ABDFF" w14:textId="389625DC" w:rsidR="005E0446" w:rsidRPr="00EB1825" w:rsidRDefault="005E0446" w:rsidP="000A3AF5">
            <w:pPr>
              <w:pStyle w:val="TableText0"/>
            </w:pPr>
            <w:r w:rsidRPr="00EB1825">
              <w:t>LFT (base case: included at baseline, and at 1, 2, 3, 6, and 9 months on the first year of treatment)</w:t>
            </w:r>
          </w:p>
        </w:tc>
      </w:tr>
      <w:tr w:rsidR="005F69BD" w:rsidRPr="00EB1825" w14:paraId="2E9E9467" w14:textId="77777777" w:rsidTr="00071B41">
        <w:tc>
          <w:tcPr>
            <w:tcW w:w="4587" w:type="dxa"/>
            <w:tcBorders>
              <w:top w:val="nil"/>
              <w:left w:val="single" w:sz="4" w:space="0" w:color="auto"/>
              <w:bottom w:val="nil"/>
              <w:right w:val="single" w:sz="4" w:space="0" w:color="auto"/>
            </w:tcBorders>
            <w:hideMark/>
          </w:tcPr>
          <w:p w14:paraId="19F8F9EE" w14:textId="77777777" w:rsidR="005F69BD" w:rsidRPr="00EB1825" w:rsidRDefault="005F69BD" w:rsidP="00B12D9B">
            <w:pPr>
              <w:pStyle w:val="TableText0"/>
              <w:keepLines w:val="0"/>
              <w:numPr>
                <w:ilvl w:val="0"/>
                <w:numId w:val="4"/>
              </w:numPr>
            </w:pPr>
            <w:r w:rsidRPr="00EB1825">
              <w:t>Exclusion of LFT</w:t>
            </w:r>
          </w:p>
        </w:tc>
        <w:tc>
          <w:tcPr>
            <w:tcW w:w="977" w:type="dxa"/>
            <w:tcBorders>
              <w:top w:val="nil"/>
              <w:left w:val="single" w:sz="4" w:space="0" w:color="auto"/>
              <w:bottom w:val="nil"/>
              <w:right w:val="single" w:sz="4" w:space="0" w:color="auto"/>
            </w:tcBorders>
            <w:hideMark/>
          </w:tcPr>
          <w:p w14:paraId="7F98EC1C" w14:textId="52CE9428" w:rsidR="005F69BD" w:rsidRPr="00EB1825" w:rsidRDefault="005F69BD" w:rsidP="000A3AF5">
            <w:pPr>
              <w:pStyle w:val="TableText0"/>
            </w:pPr>
            <w:r w:rsidRPr="00EB1825">
              <w:t>$</w:t>
            </w:r>
            <w:r w:rsidR="00E901B5" w:rsidRPr="00E901B5">
              <w:rPr>
                <w:highlight w:val="black"/>
              </w:rPr>
              <w:t>&amp;&amp;&amp;&amp;</w:t>
            </w:r>
          </w:p>
        </w:tc>
        <w:tc>
          <w:tcPr>
            <w:tcW w:w="977" w:type="dxa"/>
            <w:tcBorders>
              <w:top w:val="nil"/>
              <w:left w:val="single" w:sz="4" w:space="0" w:color="auto"/>
              <w:bottom w:val="nil"/>
              <w:right w:val="single" w:sz="4" w:space="0" w:color="auto"/>
            </w:tcBorders>
            <w:hideMark/>
          </w:tcPr>
          <w:p w14:paraId="28A6E768" w14:textId="77777777" w:rsidR="005F69BD" w:rsidRPr="00EB1825" w:rsidRDefault="005F69BD" w:rsidP="000A3AF5">
            <w:pPr>
              <w:pStyle w:val="TableText0"/>
            </w:pPr>
            <w:r w:rsidRPr="00EB1825">
              <w:t>0.09</w:t>
            </w:r>
          </w:p>
        </w:tc>
        <w:tc>
          <w:tcPr>
            <w:tcW w:w="1379" w:type="dxa"/>
            <w:tcBorders>
              <w:top w:val="nil"/>
              <w:left w:val="single" w:sz="4" w:space="0" w:color="auto"/>
              <w:bottom w:val="nil"/>
              <w:right w:val="single" w:sz="4" w:space="0" w:color="auto"/>
            </w:tcBorders>
            <w:hideMark/>
          </w:tcPr>
          <w:p w14:paraId="260856BA" w14:textId="334E1998"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nil"/>
              <w:right w:val="single" w:sz="4" w:space="0" w:color="auto"/>
            </w:tcBorders>
            <w:hideMark/>
          </w:tcPr>
          <w:p w14:paraId="28F3DE29" w14:textId="5834748D" w:rsidR="005F69BD" w:rsidRPr="00EB1825" w:rsidRDefault="005F69BD" w:rsidP="000A3AF5">
            <w:pPr>
              <w:pStyle w:val="TableText0"/>
            </w:pPr>
            <w:r w:rsidRPr="00EB1825">
              <w:t>-</w:t>
            </w:r>
            <w:r w:rsidR="00E901B5" w:rsidRPr="00E901B5">
              <w:rPr>
                <w:highlight w:val="black"/>
              </w:rPr>
              <w:t>&amp;&amp;&amp;&amp;</w:t>
            </w:r>
            <w:r w:rsidRPr="00EB1825">
              <w:t>%</w:t>
            </w:r>
          </w:p>
        </w:tc>
      </w:tr>
      <w:tr w:rsidR="00C75A8C" w:rsidRPr="00EB1825" w14:paraId="3678AB6F" w14:textId="77777777" w:rsidTr="00071B41">
        <w:tc>
          <w:tcPr>
            <w:tcW w:w="4587" w:type="dxa"/>
            <w:tcBorders>
              <w:top w:val="nil"/>
              <w:left w:val="single" w:sz="4" w:space="0" w:color="auto"/>
              <w:bottom w:val="single" w:sz="4" w:space="0" w:color="auto"/>
              <w:right w:val="single" w:sz="4" w:space="0" w:color="auto"/>
            </w:tcBorders>
          </w:tcPr>
          <w:p w14:paraId="299C7F5D" w14:textId="237FF1CA" w:rsidR="00C75A8C" w:rsidRPr="00EB1825" w:rsidRDefault="00C75A8C" w:rsidP="00B12D9B">
            <w:pPr>
              <w:pStyle w:val="TableText0"/>
              <w:keepLines w:val="0"/>
              <w:numPr>
                <w:ilvl w:val="0"/>
                <w:numId w:val="4"/>
              </w:numPr>
            </w:pPr>
            <w:r w:rsidRPr="00EB1825">
              <w:t>Inclusion of one LFT from year two onwards</w:t>
            </w:r>
          </w:p>
        </w:tc>
        <w:tc>
          <w:tcPr>
            <w:tcW w:w="977" w:type="dxa"/>
            <w:tcBorders>
              <w:top w:val="nil"/>
              <w:left w:val="single" w:sz="4" w:space="0" w:color="auto"/>
              <w:bottom w:val="single" w:sz="4" w:space="0" w:color="auto"/>
              <w:right w:val="single" w:sz="4" w:space="0" w:color="auto"/>
            </w:tcBorders>
          </w:tcPr>
          <w:p w14:paraId="73CED279" w14:textId="0B5C5961" w:rsidR="00C75A8C" w:rsidRPr="00EB1825" w:rsidRDefault="00C75A8C" w:rsidP="000A3AF5">
            <w:pPr>
              <w:pStyle w:val="TableText0"/>
            </w:pPr>
            <w:r w:rsidRPr="00EB1825">
              <w:t>$</w:t>
            </w:r>
            <w:r w:rsidR="00E901B5" w:rsidRPr="00E901B5">
              <w:rPr>
                <w:highlight w:val="black"/>
              </w:rPr>
              <w:t>&amp;&amp;&amp;&amp;</w:t>
            </w:r>
          </w:p>
        </w:tc>
        <w:tc>
          <w:tcPr>
            <w:tcW w:w="977" w:type="dxa"/>
            <w:tcBorders>
              <w:top w:val="nil"/>
              <w:left w:val="single" w:sz="4" w:space="0" w:color="auto"/>
              <w:bottom w:val="single" w:sz="4" w:space="0" w:color="auto"/>
              <w:right w:val="single" w:sz="4" w:space="0" w:color="auto"/>
            </w:tcBorders>
          </w:tcPr>
          <w:p w14:paraId="606D54EE" w14:textId="09237DC3" w:rsidR="00C75A8C" w:rsidRPr="00EB1825" w:rsidRDefault="00C75A8C" w:rsidP="000A3AF5">
            <w:pPr>
              <w:pStyle w:val="TableText0"/>
            </w:pPr>
            <w:r w:rsidRPr="00EB1825">
              <w:t>0.09</w:t>
            </w:r>
          </w:p>
        </w:tc>
        <w:tc>
          <w:tcPr>
            <w:tcW w:w="1379" w:type="dxa"/>
            <w:tcBorders>
              <w:top w:val="nil"/>
              <w:left w:val="single" w:sz="4" w:space="0" w:color="auto"/>
              <w:bottom w:val="single" w:sz="4" w:space="0" w:color="auto"/>
              <w:right w:val="single" w:sz="4" w:space="0" w:color="auto"/>
            </w:tcBorders>
          </w:tcPr>
          <w:p w14:paraId="5D601ABB" w14:textId="02004A91" w:rsidR="00C75A8C" w:rsidRPr="00940920" w:rsidRDefault="00C75A8C"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single" w:sz="4" w:space="0" w:color="auto"/>
              <w:right w:val="single" w:sz="4" w:space="0" w:color="auto"/>
            </w:tcBorders>
          </w:tcPr>
          <w:p w14:paraId="4AEE63D4" w14:textId="1151BF05" w:rsidR="00C75A8C" w:rsidRPr="00EB1825" w:rsidRDefault="00724062" w:rsidP="000A3AF5">
            <w:pPr>
              <w:pStyle w:val="TableText0"/>
            </w:pPr>
            <w:r w:rsidRPr="00EB1825">
              <w:t>+</w:t>
            </w:r>
            <w:r w:rsidR="00E901B5" w:rsidRPr="00E901B5">
              <w:rPr>
                <w:highlight w:val="black"/>
              </w:rPr>
              <w:t>&amp;&amp;&amp;&amp;</w:t>
            </w:r>
            <w:r w:rsidR="00C75A8C" w:rsidRPr="00EB1825">
              <w:t>%</w:t>
            </w:r>
          </w:p>
        </w:tc>
      </w:tr>
      <w:tr w:rsidR="005F69BD" w:rsidRPr="00EB1825" w14:paraId="352D1CE1" w14:textId="77777777" w:rsidTr="00071B41">
        <w:tc>
          <w:tcPr>
            <w:tcW w:w="4587" w:type="dxa"/>
            <w:tcBorders>
              <w:top w:val="single" w:sz="4" w:space="0" w:color="auto"/>
              <w:left w:val="single" w:sz="4" w:space="0" w:color="auto"/>
              <w:bottom w:val="nil"/>
              <w:right w:val="single" w:sz="4" w:space="0" w:color="auto"/>
            </w:tcBorders>
            <w:hideMark/>
          </w:tcPr>
          <w:p w14:paraId="14AFEE2A" w14:textId="77777777" w:rsidR="005F69BD" w:rsidRPr="00EB1825" w:rsidRDefault="005F69BD" w:rsidP="000A3AF5">
            <w:pPr>
              <w:pStyle w:val="TableText0"/>
            </w:pPr>
            <w:r w:rsidRPr="00EB1825">
              <w:t>Compliance rate (Base case: 77.9%)</w:t>
            </w:r>
          </w:p>
        </w:tc>
        <w:tc>
          <w:tcPr>
            <w:tcW w:w="977" w:type="dxa"/>
            <w:tcBorders>
              <w:top w:val="single" w:sz="4" w:space="0" w:color="auto"/>
              <w:left w:val="single" w:sz="4" w:space="0" w:color="auto"/>
              <w:bottom w:val="nil"/>
              <w:right w:val="single" w:sz="4" w:space="0" w:color="auto"/>
            </w:tcBorders>
          </w:tcPr>
          <w:p w14:paraId="3C508452" w14:textId="77777777" w:rsidR="005F69BD" w:rsidRPr="00EB1825" w:rsidRDefault="005F69BD" w:rsidP="000A3AF5">
            <w:pPr>
              <w:pStyle w:val="TableText0"/>
            </w:pPr>
          </w:p>
        </w:tc>
        <w:tc>
          <w:tcPr>
            <w:tcW w:w="977" w:type="dxa"/>
            <w:tcBorders>
              <w:top w:val="single" w:sz="4" w:space="0" w:color="auto"/>
              <w:left w:val="single" w:sz="4" w:space="0" w:color="auto"/>
              <w:bottom w:val="nil"/>
              <w:right w:val="single" w:sz="4" w:space="0" w:color="auto"/>
            </w:tcBorders>
          </w:tcPr>
          <w:p w14:paraId="77F10711" w14:textId="77777777" w:rsidR="005F69BD" w:rsidRPr="00EB1825" w:rsidRDefault="005F69BD" w:rsidP="000A3AF5">
            <w:pPr>
              <w:pStyle w:val="TableText0"/>
            </w:pPr>
          </w:p>
        </w:tc>
        <w:tc>
          <w:tcPr>
            <w:tcW w:w="1379" w:type="dxa"/>
            <w:tcBorders>
              <w:top w:val="single" w:sz="4" w:space="0" w:color="auto"/>
              <w:left w:val="single" w:sz="4" w:space="0" w:color="auto"/>
              <w:bottom w:val="nil"/>
              <w:right w:val="single" w:sz="4" w:space="0" w:color="auto"/>
            </w:tcBorders>
          </w:tcPr>
          <w:p w14:paraId="74A909BD" w14:textId="77777777" w:rsidR="005F69BD" w:rsidRPr="00EB1825" w:rsidRDefault="005F69BD" w:rsidP="000A3AF5">
            <w:pPr>
              <w:pStyle w:val="TableText0"/>
            </w:pPr>
          </w:p>
        </w:tc>
        <w:tc>
          <w:tcPr>
            <w:tcW w:w="1238" w:type="dxa"/>
            <w:tcBorders>
              <w:top w:val="single" w:sz="4" w:space="0" w:color="auto"/>
              <w:left w:val="single" w:sz="4" w:space="0" w:color="auto"/>
              <w:bottom w:val="nil"/>
              <w:right w:val="single" w:sz="4" w:space="0" w:color="auto"/>
            </w:tcBorders>
          </w:tcPr>
          <w:p w14:paraId="13E78D86" w14:textId="77777777" w:rsidR="005F69BD" w:rsidRPr="00EB1825" w:rsidRDefault="005F69BD" w:rsidP="000A3AF5">
            <w:pPr>
              <w:pStyle w:val="TableText0"/>
            </w:pPr>
          </w:p>
        </w:tc>
      </w:tr>
      <w:tr w:rsidR="005F69BD" w:rsidRPr="00EB1825" w14:paraId="4BEE5E4D" w14:textId="77777777" w:rsidTr="00D966B8">
        <w:tc>
          <w:tcPr>
            <w:tcW w:w="4587" w:type="dxa"/>
            <w:tcBorders>
              <w:top w:val="nil"/>
              <w:left w:val="single" w:sz="4" w:space="0" w:color="auto"/>
              <w:bottom w:val="single" w:sz="4" w:space="0" w:color="auto"/>
              <w:right w:val="single" w:sz="4" w:space="0" w:color="auto"/>
            </w:tcBorders>
            <w:hideMark/>
          </w:tcPr>
          <w:p w14:paraId="1EB9BD5B" w14:textId="566F421D" w:rsidR="005F69BD" w:rsidRPr="00EB1825" w:rsidRDefault="005F69BD" w:rsidP="00B12D9B">
            <w:pPr>
              <w:pStyle w:val="TableText0"/>
              <w:keepLines w:val="0"/>
              <w:numPr>
                <w:ilvl w:val="0"/>
                <w:numId w:val="4"/>
              </w:numPr>
            </w:pPr>
            <w:r w:rsidRPr="00EB1825">
              <w:t>Based on DAYLIGHT</w:t>
            </w:r>
            <w:r w:rsidR="005F0019" w:rsidRPr="00EB1825">
              <w:t>:</w:t>
            </w:r>
            <w:r w:rsidRPr="00EB1825">
              <w:t xml:space="preserve"> 68.1%</w:t>
            </w:r>
          </w:p>
        </w:tc>
        <w:tc>
          <w:tcPr>
            <w:tcW w:w="977" w:type="dxa"/>
            <w:tcBorders>
              <w:top w:val="nil"/>
              <w:left w:val="single" w:sz="4" w:space="0" w:color="auto"/>
              <w:bottom w:val="single" w:sz="4" w:space="0" w:color="auto"/>
              <w:right w:val="single" w:sz="4" w:space="0" w:color="auto"/>
            </w:tcBorders>
            <w:hideMark/>
          </w:tcPr>
          <w:p w14:paraId="56A208D3" w14:textId="6195348C" w:rsidR="005F69BD" w:rsidRPr="00FF052B" w:rsidRDefault="005F69BD" w:rsidP="000A3AF5">
            <w:pPr>
              <w:pStyle w:val="TableText0"/>
              <w:rPr>
                <w:highlight w:val="darkGray"/>
              </w:rPr>
            </w:pPr>
            <w:r w:rsidRPr="00FF052B">
              <w:t>$</w:t>
            </w:r>
            <w:r w:rsidR="00E901B5" w:rsidRPr="00E901B5">
              <w:rPr>
                <w:highlight w:val="black"/>
              </w:rPr>
              <w:t>&amp;&amp;&amp;&amp;</w:t>
            </w:r>
          </w:p>
        </w:tc>
        <w:tc>
          <w:tcPr>
            <w:tcW w:w="977" w:type="dxa"/>
            <w:tcBorders>
              <w:top w:val="nil"/>
              <w:left w:val="single" w:sz="4" w:space="0" w:color="auto"/>
              <w:bottom w:val="single" w:sz="4" w:space="0" w:color="auto"/>
              <w:right w:val="single" w:sz="4" w:space="0" w:color="auto"/>
            </w:tcBorders>
            <w:hideMark/>
          </w:tcPr>
          <w:p w14:paraId="21396C68" w14:textId="77777777" w:rsidR="005F69BD" w:rsidRPr="00EB1825" w:rsidRDefault="005F69BD" w:rsidP="000A3AF5">
            <w:pPr>
              <w:pStyle w:val="TableText0"/>
            </w:pPr>
            <w:r w:rsidRPr="00EB1825">
              <w:t>0.09</w:t>
            </w:r>
          </w:p>
        </w:tc>
        <w:tc>
          <w:tcPr>
            <w:tcW w:w="1379" w:type="dxa"/>
            <w:tcBorders>
              <w:top w:val="nil"/>
              <w:left w:val="single" w:sz="4" w:space="0" w:color="auto"/>
              <w:bottom w:val="single" w:sz="4" w:space="0" w:color="auto"/>
              <w:right w:val="single" w:sz="4" w:space="0" w:color="auto"/>
            </w:tcBorders>
            <w:hideMark/>
          </w:tcPr>
          <w:p w14:paraId="33009EE2" w14:textId="0F53871B"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nil"/>
              <w:left w:val="single" w:sz="4" w:space="0" w:color="auto"/>
              <w:bottom w:val="single" w:sz="4" w:space="0" w:color="auto"/>
              <w:right w:val="single" w:sz="4" w:space="0" w:color="auto"/>
            </w:tcBorders>
            <w:hideMark/>
          </w:tcPr>
          <w:p w14:paraId="39DC1A6B" w14:textId="590F00F5" w:rsidR="005F69BD" w:rsidRPr="00EB1825" w:rsidRDefault="005F69BD" w:rsidP="000A3AF5">
            <w:pPr>
              <w:pStyle w:val="TableText0"/>
            </w:pPr>
            <w:r w:rsidRPr="00EB1825">
              <w:t>-</w:t>
            </w:r>
            <w:r w:rsidR="00E901B5" w:rsidRPr="00E901B5">
              <w:rPr>
                <w:highlight w:val="black"/>
              </w:rPr>
              <w:t>&amp;&amp;&amp;&amp;</w:t>
            </w:r>
            <w:r w:rsidR="00FF052B">
              <w:t>%</w:t>
            </w:r>
          </w:p>
        </w:tc>
      </w:tr>
      <w:tr w:rsidR="005F69BD" w:rsidRPr="00EB1825" w14:paraId="4FDB41CA" w14:textId="77777777" w:rsidTr="00D966B8">
        <w:tc>
          <w:tcPr>
            <w:tcW w:w="4587" w:type="dxa"/>
            <w:tcBorders>
              <w:top w:val="single" w:sz="4" w:space="0" w:color="auto"/>
              <w:left w:val="single" w:sz="4" w:space="0" w:color="auto"/>
              <w:bottom w:val="single" w:sz="4" w:space="0" w:color="auto"/>
              <w:right w:val="single" w:sz="4" w:space="0" w:color="auto"/>
            </w:tcBorders>
            <w:hideMark/>
          </w:tcPr>
          <w:p w14:paraId="12A48B3D" w14:textId="07D93A83" w:rsidR="005F69BD" w:rsidRPr="00EB1825" w:rsidRDefault="005F69BD" w:rsidP="00B12D9B">
            <w:pPr>
              <w:pStyle w:val="TableText0"/>
              <w:keepLines w:val="0"/>
              <w:numPr>
                <w:ilvl w:val="0"/>
                <w:numId w:val="4"/>
              </w:numPr>
            </w:pPr>
            <w:r w:rsidRPr="00EB1825">
              <w:t>Real-world data in Australia</w:t>
            </w:r>
            <w:r w:rsidR="005F0019" w:rsidRPr="00EB1825">
              <w:t xml:space="preserve">: </w:t>
            </w:r>
            <w:r w:rsidRPr="00EB1825">
              <w:t>73.0%</w:t>
            </w:r>
          </w:p>
        </w:tc>
        <w:tc>
          <w:tcPr>
            <w:tcW w:w="977" w:type="dxa"/>
            <w:tcBorders>
              <w:top w:val="single" w:sz="4" w:space="0" w:color="auto"/>
              <w:left w:val="single" w:sz="4" w:space="0" w:color="auto"/>
              <w:bottom w:val="single" w:sz="4" w:space="0" w:color="auto"/>
              <w:right w:val="single" w:sz="4" w:space="0" w:color="auto"/>
            </w:tcBorders>
            <w:hideMark/>
          </w:tcPr>
          <w:p w14:paraId="4D7E5FC7" w14:textId="59130C18" w:rsidR="005F69BD" w:rsidRPr="00EB1825" w:rsidRDefault="005F69BD" w:rsidP="000A3AF5">
            <w:pPr>
              <w:pStyle w:val="TableText0"/>
            </w:pPr>
            <w:r w:rsidRPr="00EB1825">
              <w:t>$</w:t>
            </w:r>
            <w:r w:rsidR="00E901B5" w:rsidRPr="00E901B5">
              <w:rPr>
                <w:highlight w:val="black"/>
              </w:rPr>
              <w:t>&amp;&amp;&amp;&amp;</w:t>
            </w:r>
          </w:p>
        </w:tc>
        <w:tc>
          <w:tcPr>
            <w:tcW w:w="977" w:type="dxa"/>
            <w:tcBorders>
              <w:top w:val="single" w:sz="4" w:space="0" w:color="auto"/>
              <w:left w:val="single" w:sz="4" w:space="0" w:color="auto"/>
              <w:bottom w:val="single" w:sz="4" w:space="0" w:color="auto"/>
              <w:right w:val="single" w:sz="4" w:space="0" w:color="auto"/>
            </w:tcBorders>
            <w:hideMark/>
          </w:tcPr>
          <w:p w14:paraId="042D2D1D" w14:textId="77777777" w:rsidR="005F69BD" w:rsidRPr="00EB1825" w:rsidRDefault="005F69BD" w:rsidP="000A3AF5">
            <w:pPr>
              <w:pStyle w:val="TableText0"/>
            </w:pPr>
            <w:r w:rsidRPr="00EB1825">
              <w:t>0.09</w:t>
            </w:r>
          </w:p>
        </w:tc>
        <w:tc>
          <w:tcPr>
            <w:tcW w:w="1379" w:type="dxa"/>
            <w:tcBorders>
              <w:top w:val="single" w:sz="4" w:space="0" w:color="auto"/>
              <w:left w:val="single" w:sz="4" w:space="0" w:color="auto"/>
              <w:bottom w:val="single" w:sz="4" w:space="0" w:color="auto"/>
              <w:right w:val="single" w:sz="4" w:space="0" w:color="auto"/>
            </w:tcBorders>
            <w:hideMark/>
          </w:tcPr>
          <w:p w14:paraId="54286084" w14:textId="56C95F3F" w:rsidR="005F69BD" w:rsidRPr="00940920" w:rsidRDefault="005F69BD" w:rsidP="000A3AF5">
            <w:pPr>
              <w:pStyle w:val="TableText0"/>
              <w:rPr>
                <w:vertAlign w:val="superscript"/>
              </w:rPr>
            </w:pPr>
            <w:r w:rsidRPr="00EB1825">
              <w:t>$</w:t>
            </w:r>
            <w:r w:rsidR="00E901B5" w:rsidRPr="00E901B5">
              <w:rPr>
                <w:highlight w:val="black"/>
              </w:rPr>
              <w:t>&amp;&amp;&amp;&amp;</w:t>
            </w:r>
            <w:r w:rsidR="00940920">
              <w:rPr>
                <w:vertAlign w:val="superscript"/>
              </w:rPr>
              <w:t>1</w:t>
            </w:r>
          </w:p>
        </w:tc>
        <w:tc>
          <w:tcPr>
            <w:tcW w:w="1238" w:type="dxa"/>
            <w:tcBorders>
              <w:top w:val="single" w:sz="4" w:space="0" w:color="auto"/>
              <w:left w:val="single" w:sz="4" w:space="0" w:color="auto"/>
              <w:bottom w:val="single" w:sz="4" w:space="0" w:color="auto"/>
              <w:right w:val="single" w:sz="4" w:space="0" w:color="auto"/>
            </w:tcBorders>
            <w:hideMark/>
          </w:tcPr>
          <w:p w14:paraId="2C0B7D86" w14:textId="73CF2F78" w:rsidR="005F69BD" w:rsidRPr="00EB1825" w:rsidRDefault="005F69BD" w:rsidP="000A3AF5">
            <w:pPr>
              <w:pStyle w:val="TableText0"/>
            </w:pPr>
            <w:r w:rsidRPr="00EB1825">
              <w:t>-</w:t>
            </w:r>
            <w:r w:rsidR="00E901B5" w:rsidRPr="00E901B5">
              <w:rPr>
                <w:highlight w:val="black"/>
              </w:rPr>
              <w:t>&amp;&amp;&amp;&amp;</w:t>
            </w:r>
            <w:r w:rsidRPr="00EB1825">
              <w:t>%</w:t>
            </w:r>
          </w:p>
        </w:tc>
      </w:tr>
      <w:tr w:rsidR="005F0019" w:rsidRPr="00EB1825" w14:paraId="02C1AA87" w14:textId="77777777" w:rsidTr="00D966B8">
        <w:tc>
          <w:tcPr>
            <w:tcW w:w="4587" w:type="dxa"/>
            <w:tcBorders>
              <w:top w:val="single" w:sz="4" w:space="0" w:color="auto"/>
              <w:left w:val="single" w:sz="4" w:space="0" w:color="auto"/>
              <w:bottom w:val="single" w:sz="4" w:space="0" w:color="auto"/>
              <w:right w:val="single" w:sz="4" w:space="0" w:color="auto"/>
            </w:tcBorders>
          </w:tcPr>
          <w:p w14:paraId="43E429B1" w14:textId="14480C45" w:rsidR="005F0019" w:rsidRPr="00EB1825" w:rsidRDefault="005F0019" w:rsidP="00B12D9B">
            <w:pPr>
              <w:pStyle w:val="TableText0"/>
              <w:keepLines w:val="0"/>
              <w:numPr>
                <w:ilvl w:val="0"/>
                <w:numId w:val="4"/>
              </w:numPr>
            </w:pPr>
            <w:r w:rsidRPr="00EB1825">
              <w:t>March 2025 base case: 100%</w:t>
            </w:r>
          </w:p>
        </w:tc>
        <w:tc>
          <w:tcPr>
            <w:tcW w:w="977" w:type="dxa"/>
            <w:tcBorders>
              <w:top w:val="single" w:sz="4" w:space="0" w:color="auto"/>
              <w:left w:val="single" w:sz="4" w:space="0" w:color="auto"/>
              <w:bottom w:val="single" w:sz="4" w:space="0" w:color="auto"/>
              <w:right w:val="single" w:sz="4" w:space="0" w:color="auto"/>
            </w:tcBorders>
          </w:tcPr>
          <w:p w14:paraId="23203FBF" w14:textId="01A06A36" w:rsidR="005F0019" w:rsidRPr="00EB1825" w:rsidRDefault="005F0019" w:rsidP="005F0019">
            <w:pPr>
              <w:pStyle w:val="TableText0"/>
            </w:pPr>
            <w:r w:rsidRPr="00EB1825">
              <w:t>$</w:t>
            </w:r>
            <w:r w:rsidR="00E901B5" w:rsidRPr="00E901B5">
              <w:rPr>
                <w:highlight w:val="black"/>
              </w:rPr>
              <w:t>&amp;&amp;&amp;&amp;</w:t>
            </w:r>
          </w:p>
        </w:tc>
        <w:tc>
          <w:tcPr>
            <w:tcW w:w="977" w:type="dxa"/>
            <w:tcBorders>
              <w:top w:val="single" w:sz="4" w:space="0" w:color="auto"/>
              <w:left w:val="single" w:sz="4" w:space="0" w:color="auto"/>
              <w:bottom w:val="single" w:sz="4" w:space="0" w:color="auto"/>
              <w:right w:val="single" w:sz="4" w:space="0" w:color="auto"/>
            </w:tcBorders>
          </w:tcPr>
          <w:p w14:paraId="273A5110" w14:textId="65CE1C1E" w:rsidR="005F0019" w:rsidRPr="00EB1825" w:rsidRDefault="005F0019" w:rsidP="005F0019">
            <w:pPr>
              <w:pStyle w:val="TableText0"/>
            </w:pPr>
            <w:r w:rsidRPr="00EB1825">
              <w:t>0.09</w:t>
            </w:r>
          </w:p>
        </w:tc>
        <w:tc>
          <w:tcPr>
            <w:tcW w:w="1379" w:type="dxa"/>
            <w:tcBorders>
              <w:top w:val="single" w:sz="4" w:space="0" w:color="auto"/>
              <w:left w:val="single" w:sz="4" w:space="0" w:color="auto"/>
              <w:bottom w:val="single" w:sz="4" w:space="0" w:color="auto"/>
              <w:right w:val="single" w:sz="4" w:space="0" w:color="auto"/>
            </w:tcBorders>
          </w:tcPr>
          <w:p w14:paraId="0344A204" w14:textId="50D8FBB4" w:rsidR="005F0019" w:rsidRPr="0074024C" w:rsidRDefault="005F0019" w:rsidP="005F0019">
            <w:pPr>
              <w:pStyle w:val="TableText0"/>
              <w:rPr>
                <w:vertAlign w:val="superscript"/>
              </w:rPr>
            </w:pPr>
            <w:r w:rsidRPr="00EB1825">
              <w:t>$</w:t>
            </w:r>
            <w:r w:rsidR="00E901B5" w:rsidRPr="00E901B5">
              <w:rPr>
                <w:highlight w:val="black"/>
              </w:rPr>
              <w:t>&amp;&amp;&amp;&amp;</w:t>
            </w:r>
            <w:r w:rsidR="0074024C">
              <w:rPr>
                <w:vertAlign w:val="superscript"/>
              </w:rPr>
              <w:t>3</w:t>
            </w:r>
          </w:p>
        </w:tc>
        <w:tc>
          <w:tcPr>
            <w:tcW w:w="1238" w:type="dxa"/>
            <w:tcBorders>
              <w:top w:val="single" w:sz="4" w:space="0" w:color="auto"/>
              <w:left w:val="single" w:sz="4" w:space="0" w:color="auto"/>
              <w:bottom w:val="single" w:sz="4" w:space="0" w:color="auto"/>
              <w:right w:val="single" w:sz="4" w:space="0" w:color="auto"/>
            </w:tcBorders>
          </w:tcPr>
          <w:p w14:paraId="7B0826B3" w14:textId="5552BC21" w:rsidR="005F0019" w:rsidRPr="00EB1825" w:rsidRDefault="005F0019" w:rsidP="005F0019">
            <w:pPr>
              <w:pStyle w:val="TableText0"/>
            </w:pPr>
            <w:r w:rsidRPr="00EB1825">
              <w:t>+</w:t>
            </w:r>
            <w:r w:rsidR="00E901B5" w:rsidRPr="00E901B5">
              <w:rPr>
                <w:highlight w:val="black"/>
              </w:rPr>
              <w:t>&amp;&amp;&amp;&amp;</w:t>
            </w:r>
            <w:r w:rsidRPr="00EB1825">
              <w:t>%</w:t>
            </w:r>
          </w:p>
        </w:tc>
      </w:tr>
    </w:tbl>
    <w:tbl>
      <w:tblPr>
        <w:tblStyle w:val="PBAClayout"/>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976"/>
        <w:gridCol w:w="976"/>
        <w:gridCol w:w="1379"/>
        <w:gridCol w:w="1238"/>
      </w:tblGrid>
      <w:tr w:rsidR="00662C72" w:rsidRPr="00EB1825" w14:paraId="2BD113FE" w14:textId="77777777" w:rsidTr="00D966B8">
        <w:tc>
          <w:tcPr>
            <w:tcW w:w="2504" w:type="pct"/>
            <w:hideMark/>
          </w:tcPr>
          <w:p w14:paraId="349C6D3D" w14:textId="14AA2794" w:rsidR="00662C72" w:rsidRPr="00EB1825" w:rsidRDefault="00662C72" w:rsidP="00CF283B">
            <w:pPr>
              <w:pStyle w:val="TableText0"/>
            </w:pPr>
            <w:r w:rsidRPr="00EB1825">
              <w:t>Multivariate sensitivity analysis</w:t>
            </w:r>
          </w:p>
        </w:tc>
        <w:tc>
          <w:tcPr>
            <w:tcW w:w="533" w:type="pct"/>
          </w:tcPr>
          <w:p w14:paraId="7017907A" w14:textId="58ECABA0" w:rsidR="00662C72" w:rsidRPr="00EB1825" w:rsidRDefault="00662C72" w:rsidP="00CF283B">
            <w:pPr>
              <w:pStyle w:val="TableText0"/>
            </w:pPr>
          </w:p>
        </w:tc>
        <w:tc>
          <w:tcPr>
            <w:tcW w:w="533" w:type="pct"/>
          </w:tcPr>
          <w:p w14:paraId="530E97EC" w14:textId="36FE681B" w:rsidR="00662C72" w:rsidRPr="00EB1825" w:rsidRDefault="00662C72" w:rsidP="00CF283B">
            <w:pPr>
              <w:pStyle w:val="TableText0"/>
            </w:pPr>
          </w:p>
        </w:tc>
        <w:tc>
          <w:tcPr>
            <w:tcW w:w="753" w:type="pct"/>
          </w:tcPr>
          <w:p w14:paraId="71E71F75" w14:textId="1F3107A1" w:rsidR="00662C72" w:rsidRPr="00EB1825" w:rsidRDefault="00662C72" w:rsidP="00CF283B">
            <w:pPr>
              <w:pStyle w:val="TableText0"/>
            </w:pPr>
          </w:p>
        </w:tc>
        <w:tc>
          <w:tcPr>
            <w:tcW w:w="676" w:type="pct"/>
          </w:tcPr>
          <w:p w14:paraId="4AAECCD4" w14:textId="55A7BE01" w:rsidR="00662C72" w:rsidRPr="00EB1825" w:rsidRDefault="00662C72" w:rsidP="00CF283B">
            <w:pPr>
              <w:pStyle w:val="TableText0"/>
            </w:pPr>
          </w:p>
        </w:tc>
      </w:tr>
      <w:tr w:rsidR="00662C72" w:rsidRPr="00EB1825" w14:paraId="06CDA9AF" w14:textId="77777777" w:rsidTr="00D966B8">
        <w:tc>
          <w:tcPr>
            <w:tcW w:w="2504" w:type="pct"/>
            <w:hideMark/>
          </w:tcPr>
          <w:p w14:paraId="00A81318" w14:textId="0ADA9AFF" w:rsidR="00662C72" w:rsidRPr="00EB1825" w:rsidRDefault="000D6668" w:rsidP="000D6668">
            <w:pPr>
              <w:pStyle w:val="TableText0"/>
            </w:pPr>
            <w:r w:rsidRPr="00EB1825">
              <w:t xml:space="preserve">1 - </w:t>
            </w:r>
            <w:r w:rsidR="00662C72" w:rsidRPr="00EB1825">
              <w:t>Time horizon to 5 years (base case 10 years)</w:t>
            </w:r>
          </w:p>
        </w:tc>
        <w:tc>
          <w:tcPr>
            <w:tcW w:w="533" w:type="pct"/>
            <w:hideMark/>
          </w:tcPr>
          <w:p w14:paraId="4AF124F5" w14:textId="6FB72172" w:rsidR="00662C72" w:rsidRPr="00EB1825" w:rsidRDefault="00662C72" w:rsidP="00662C72">
            <w:pPr>
              <w:pStyle w:val="TableText0"/>
            </w:pPr>
            <w:r w:rsidRPr="00EB1825">
              <w:t>$</w:t>
            </w:r>
            <w:r w:rsidR="00E901B5" w:rsidRPr="00E901B5">
              <w:rPr>
                <w:highlight w:val="black"/>
              </w:rPr>
              <w:t>&amp;&amp;&amp;&amp;</w:t>
            </w:r>
          </w:p>
        </w:tc>
        <w:tc>
          <w:tcPr>
            <w:tcW w:w="533" w:type="pct"/>
            <w:hideMark/>
          </w:tcPr>
          <w:p w14:paraId="2023AF69" w14:textId="77777777" w:rsidR="00662C72" w:rsidRPr="00EB1825" w:rsidRDefault="00662C72" w:rsidP="00662C72">
            <w:pPr>
              <w:pStyle w:val="TableText0"/>
            </w:pPr>
            <w:r w:rsidRPr="00EB1825">
              <w:t>0.07</w:t>
            </w:r>
          </w:p>
        </w:tc>
        <w:tc>
          <w:tcPr>
            <w:tcW w:w="753" w:type="pct"/>
            <w:hideMark/>
          </w:tcPr>
          <w:p w14:paraId="140D1D5F" w14:textId="74E02E85" w:rsidR="00662C72" w:rsidRPr="0074024C" w:rsidRDefault="00662C72" w:rsidP="00662C72">
            <w:pPr>
              <w:pStyle w:val="TableText0"/>
              <w:rPr>
                <w:vertAlign w:val="superscript"/>
              </w:rPr>
            </w:pPr>
            <w:r w:rsidRPr="00EB1825">
              <w:t>$</w:t>
            </w:r>
            <w:r w:rsidR="00E901B5" w:rsidRPr="00E901B5">
              <w:rPr>
                <w:highlight w:val="black"/>
              </w:rPr>
              <w:t>&amp;&amp;&amp;&amp;</w:t>
            </w:r>
            <w:r w:rsidR="0074024C">
              <w:rPr>
                <w:vertAlign w:val="superscript"/>
              </w:rPr>
              <w:t>3</w:t>
            </w:r>
          </w:p>
        </w:tc>
        <w:tc>
          <w:tcPr>
            <w:tcW w:w="676" w:type="pct"/>
            <w:hideMark/>
          </w:tcPr>
          <w:p w14:paraId="562C9143" w14:textId="6FFE044D" w:rsidR="00662C72" w:rsidRPr="00EB1825" w:rsidRDefault="00662C72" w:rsidP="00662C72">
            <w:pPr>
              <w:pStyle w:val="TableText0"/>
            </w:pPr>
            <w:r w:rsidRPr="00EB1825">
              <w:t>+</w:t>
            </w:r>
            <w:r w:rsidR="00E901B5" w:rsidRPr="00E901B5">
              <w:rPr>
                <w:highlight w:val="black"/>
              </w:rPr>
              <w:t>&amp;&amp;&amp;&amp;</w:t>
            </w:r>
            <w:r w:rsidRPr="00EB1825">
              <w:t>%</w:t>
            </w:r>
          </w:p>
        </w:tc>
      </w:tr>
      <w:tr w:rsidR="00662C72" w:rsidRPr="00EB1825" w14:paraId="2843083F" w14:textId="77777777" w:rsidTr="00D966B8">
        <w:tc>
          <w:tcPr>
            <w:tcW w:w="2504" w:type="pct"/>
          </w:tcPr>
          <w:p w14:paraId="1AF35919" w14:textId="425673AC" w:rsidR="00662C72" w:rsidRPr="00EB1825" w:rsidRDefault="000D6668" w:rsidP="000D6668">
            <w:pPr>
              <w:pStyle w:val="TableText0"/>
            </w:pPr>
            <w:r w:rsidRPr="00EB1825">
              <w:t xml:space="preserve">2 - #1 + </w:t>
            </w:r>
            <w:r w:rsidR="00662C72" w:rsidRPr="00EB1825">
              <w:t xml:space="preserve">For </w:t>
            </w:r>
            <w:proofErr w:type="spellStart"/>
            <w:r w:rsidR="00662C72" w:rsidRPr="00EB1825">
              <w:t>fezolinetant</w:t>
            </w:r>
            <w:proofErr w:type="spellEnd"/>
            <w:r w:rsidR="00662C72" w:rsidRPr="00EB1825">
              <w:t>, setting the discontinuation rate for Weeks 0-24 and Weeks 24+ (</w:t>
            </w:r>
            <w:proofErr w:type="spellStart"/>
            <w:r w:rsidR="00662C72" w:rsidRPr="00EB1825">
              <w:t>ie</w:t>
            </w:r>
            <w:proofErr w:type="spellEnd"/>
            <w:r w:rsidR="00662C72" w:rsidRPr="00EB1825">
              <w:t xml:space="preserve"> entire model) equal to the Week 0-24 rate from DAYLIGHT (2.4%)</w:t>
            </w:r>
          </w:p>
        </w:tc>
        <w:tc>
          <w:tcPr>
            <w:tcW w:w="533" w:type="pct"/>
          </w:tcPr>
          <w:p w14:paraId="04ADC23E" w14:textId="099A04C9" w:rsidR="00662C72" w:rsidRPr="00EB1825" w:rsidRDefault="00662C72" w:rsidP="00662C72">
            <w:pPr>
              <w:pStyle w:val="TableText0"/>
            </w:pPr>
            <w:r w:rsidRPr="00EB1825">
              <w:t>$</w:t>
            </w:r>
            <w:r w:rsidR="00E901B5" w:rsidRPr="00E901B5">
              <w:rPr>
                <w:highlight w:val="black"/>
              </w:rPr>
              <w:t>&amp;&amp;&amp;&amp;</w:t>
            </w:r>
          </w:p>
        </w:tc>
        <w:tc>
          <w:tcPr>
            <w:tcW w:w="533" w:type="pct"/>
          </w:tcPr>
          <w:p w14:paraId="190173CE" w14:textId="77777777" w:rsidR="00662C72" w:rsidRPr="00EB1825" w:rsidRDefault="00662C72" w:rsidP="00662C72">
            <w:pPr>
              <w:pStyle w:val="TableText0"/>
            </w:pPr>
            <w:r w:rsidRPr="00EB1825">
              <w:t>0.05</w:t>
            </w:r>
          </w:p>
        </w:tc>
        <w:tc>
          <w:tcPr>
            <w:tcW w:w="753" w:type="pct"/>
          </w:tcPr>
          <w:p w14:paraId="67C470E9" w14:textId="128FA739" w:rsidR="00662C72" w:rsidRPr="0074024C" w:rsidRDefault="00662C72" w:rsidP="00662C72">
            <w:pPr>
              <w:pStyle w:val="TableText0"/>
              <w:rPr>
                <w:vertAlign w:val="superscript"/>
              </w:rPr>
            </w:pPr>
            <w:r w:rsidRPr="00EB1825">
              <w:t>$</w:t>
            </w:r>
            <w:r w:rsidR="00E901B5" w:rsidRPr="00E901B5">
              <w:rPr>
                <w:highlight w:val="black"/>
              </w:rPr>
              <w:t>&amp;&amp;&amp;&amp;</w:t>
            </w:r>
            <w:r w:rsidR="0074024C">
              <w:rPr>
                <w:vertAlign w:val="superscript"/>
              </w:rPr>
              <w:t>3</w:t>
            </w:r>
          </w:p>
        </w:tc>
        <w:tc>
          <w:tcPr>
            <w:tcW w:w="676" w:type="pct"/>
          </w:tcPr>
          <w:p w14:paraId="762C9AFE" w14:textId="52A186EB" w:rsidR="00662C72" w:rsidRPr="00EB1825" w:rsidRDefault="00662C72" w:rsidP="00662C72">
            <w:pPr>
              <w:pStyle w:val="TableText0"/>
            </w:pPr>
            <w:r w:rsidRPr="00EB1825">
              <w:t>+</w:t>
            </w:r>
            <w:r w:rsidR="00E901B5" w:rsidRPr="00E901B5">
              <w:rPr>
                <w:highlight w:val="black"/>
              </w:rPr>
              <w:t>&amp;&amp;&amp;&amp;</w:t>
            </w:r>
            <w:r w:rsidRPr="00EB1825">
              <w:t>%</w:t>
            </w:r>
          </w:p>
        </w:tc>
      </w:tr>
      <w:tr w:rsidR="00662C72" w:rsidRPr="00EB1825" w14:paraId="13013221" w14:textId="77777777" w:rsidTr="00D966B8">
        <w:tc>
          <w:tcPr>
            <w:tcW w:w="2504" w:type="pct"/>
          </w:tcPr>
          <w:p w14:paraId="2EA02A09" w14:textId="73D84130" w:rsidR="00662C72" w:rsidRPr="00EB1825" w:rsidRDefault="000D6668" w:rsidP="000D6668">
            <w:pPr>
              <w:pStyle w:val="TableText0"/>
            </w:pPr>
            <w:r w:rsidRPr="00EB1825">
              <w:t xml:space="preserve">3 - #2 + </w:t>
            </w:r>
            <w:r w:rsidR="00662C72" w:rsidRPr="00EB1825">
              <w:t>Compliance rate= 100%</w:t>
            </w:r>
          </w:p>
        </w:tc>
        <w:tc>
          <w:tcPr>
            <w:tcW w:w="533" w:type="pct"/>
          </w:tcPr>
          <w:p w14:paraId="51796A3E" w14:textId="3A74F968" w:rsidR="00662C72" w:rsidRPr="00EB1825" w:rsidRDefault="00662C72" w:rsidP="00662C72">
            <w:pPr>
              <w:pStyle w:val="TableText0"/>
            </w:pPr>
            <w:r w:rsidRPr="00EB1825">
              <w:t>$</w:t>
            </w:r>
            <w:r w:rsidR="00E901B5" w:rsidRPr="00E901B5">
              <w:rPr>
                <w:highlight w:val="black"/>
              </w:rPr>
              <w:t>&amp;&amp;&amp;&amp;</w:t>
            </w:r>
          </w:p>
        </w:tc>
        <w:tc>
          <w:tcPr>
            <w:tcW w:w="533" w:type="pct"/>
          </w:tcPr>
          <w:p w14:paraId="39EDB799" w14:textId="77777777" w:rsidR="00662C72" w:rsidRPr="00EB1825" w:rsidRDefault="00662C72" w:rsidP="00662C72">
            <w:pPr>
              <w:pStyle w:val="TableText0"/>
            </w:pPr>
            <w:r w:rsidRPr="00EB1825">
              <w:t>0.05</w:t>
            </w:r>
          </w:p>
        </w:tc>
        <w:tc>
          <w:tcPr>
            <w:tcW w:w="753" w:type="pct"/>
          </w:tcPr>
          <w:p w14:paraId="6FA931B6" w14:textId="375FE542" w:rsidR="00662C72" w:rsidRPr="0034399F" w:rsidRDefault="00662C72" w:rsidP="00662C72">
            <w:pPr>
              <w:pStyle w:val="TableText0"/>
              <w:rPr>
                <w:vertAlign w:val="superscript"/>
              </w:rPr>
            </w:pPr>
            <w:r w:rsidRPr="00EB1825">
              <w:t>$</w:t>
            </w:r>
            <w:r w:rsidR="00E901B5" w:rsidRPr="00E901B5">
              <w:rPr>
                <w:highlight w:val="black"/>
              </w:rPr>
              <w:t>&amp;&amp;&amp;&amp;</w:t>
            </w:r>
            <w:r w:rsidR="0034399F">
              <w:rPr>
                <w:vertAlign w:val="superscript"/>
              </w:rPr>
              <w:t>2</w:t>
            </w:r>
          </w:p>
        </w:tc>
        <w:tc>
          <w:tcPr>
            <w:tcW w:w="676" w:type="pct"/>
          </w:tcPr>
          <w:p w14:paraId="48E4F7BF" w14:textId="752BCA56" w:rsidR="00662C72" w:rsidRPr="00EB1825" w:rsidRDefault="00662C72" w:rsidP="00662C72">
            <w:pPr>
              <w:pStyle w:val="TableText0"/>
            </w:pPr>
            <w:r w:rsidRPr="00EB1825">
              <w:t>+</w:t>
            </w:r>
            <w:r w:rsidR="00E901B5" w:rsidRPr="00E901B5">
              <w:rPr>
                <w:highlight w:val="black"/>
              </w:rPr>
              <w:t>&amp;&amp;&amp;&amp;</w:t>
            </w:r>
            <w:r w:rsidRPr="00EB1825">
              <w:t>%</w:t>
            </w:r>
          </w:p>
        </w:tc>
      </w:tr>
    </w:tbl>
    <w:p w14:paraId="72208101" w14:textId="1C9BE94F" w:rsidR="005F69BD" w:rsidRPr="00EB1825" w:rsidRDefault="005F69BD" w:rsidP="005F69BD">
      <w:pPr>
        <w:rPr>
          <w:rFonts w:ascii="Arial Narrow" w:hAnsi="Arial Narrow"/>
          <w:sz w:val="18"/>
          <w:szCs w:val="18"/>
        </w:rPr>
      </w:pPr>
      <w:r w:rsidRPr="00EB1825">
        <w:rPr>
          <w:rFonts w:ascii="Arial Narrow" w:hAnsi="Arial Narrow"/>
          <w:sz w:val="18"/>
          <w:szCs w:val="18"/>
        </w:rPr>
        <w:t>Source: Table 3.10-3, p100 of the resubmission and compiled during the evaluation.</w:t>
      </w:r>
    </w:p>
    <w:p w14:paraId="6401FE65" w14:textId="77777777" w:rsidR="005F69BD" w:rsidRPr="00EB1825" w:rsidRDefault="005F69BD" w:rsidP="00BF04CC">
      <w:pPr>
        <w:rPr>
          <w:rFonts w:ascii="Arial Narrow" w:hAnsi="Arial Narrow"/>
          <w:sz w:val="18"/>
          <w:szCs w:val="18"/>
        </w:rPr>
      </w:pPr>
      <w:r w:rsidRPr="00EB1825">
        <w:rPr>
          <w:rFonts w:ascii="Arial Narrow" w:hAnsi="Arial Narrow"/>
          <w:sz w:val="18"/>
          <w:szCs w:val="18"/>
        </w:rPr>
        <w:t>ICER=incremental cost-effectiveness ration, LFT=liver function test; QALYs=Quality adjusted life-years, VMS=vasomotor symptoms.</w:t>
      </w:r>
    </w:p>
    <w:p w14:paraId="04F5EA6A" w14:textId="77777777" w:rsidR="0013414A" w:rsidRDefault="00BF04CC" w:rsidP="0013414A">
      <w:pPr>
        <w:rPr>
          <w:rFonts w:ascii="Arial Narrow" w:hAnsi="Arial Narrow"/>
          <w:i/>
          <w:sz w:val="18"/>
          <w:szCs w:val="18"/>
        </w:rPr>
      </w:pPr>
      <w:r w:rsidRPr="00EB1825">
        <w:rPr>
          <w:rStyle w:val="CommentReference"/>
          <w:b w:val="0"/>
          <w:bCs/>
          <w:sz w:val="18"/>
          <w:szCs w:val="18"/>
          <w:shd w:val="clear" w:color="auto" w:fill="B8CCE4" w:themeFill="accent1" w:themeFillTint="66"/>
        </w:rPr>
        <w:t xml:space="preserve">Blue </w:t>
      </w:r>
      <w:r w:rsidRPr="00EB1825">
        <w:rPr>
          <w:rStyle w:val="CommentReference"/>
          <w:b w:val="0"/>
          <w:bCs/>
          <w:sz w:val="18"/>
          <w:szCs w:val="18"/>
        </w:rPr>
        <w:t>shading indicates data previously seen by the PBAC.</w:t>
      </w:r>
      <w:r w:rsidRPr="00EB1825">
        <w:rPr>
          <w:rFonts w:ascii="Arial Narrow" w:hAnsi="Arial Narrow"/>
          <w:b/>
          <w:sz w:val="18"/>
          <w:szCs w:val="18"/>
        </w:rPr>
        <w:t xml:space="preserve"> </w:t>
      </w:r>
      <w:r w:rsidRPr="00EB1825">
        <w:rPr>
          <w:rFonts w:ascii="Arial Narrow" w:hAnsi="Arial Narrow"/>
          <w:bCs/>
          <w:sz w:val="18"/>
          <w:szCs w:val="18"/>
        </w:rPr>
        <w:t xml:space="preserve">Italics indicate results calculated </w:t>
      </w:r>
      <w:r w:rsidR="00662C72" w:rsidRPr="00EB1825">
        <w:rPr>
          <w:rFonts w:ascii="Arial Narrow" w:hAnsi="Arial Narrow"/>
          <w:bCs/>
          <w:sz w:val="18"/>
          <w:szCs w:val="18"/>
        </w:rPr>
        <w:t>for the ESC advice</w:t>
      </w:r>
      <w:r w:rsidRPr="00EB1825">
        <w:rPr>
          <w:rFonts w:ascii="Arial Narrow" w:hAnsi="Arial Narrow"/>
          <w:bCs/>
          <w:sz w:val="18"/>
          <w:szCs w:val="18"/>
        </w:rPr>
        <w:t>.</w:t>
      </w:r>
    </w:p>
    <w:p w14:paraId="7A90EF38" w14:textId="3FFA6B5F" w:rsidR="0013414A" w:rsidRPr="0013414A" w:rsidRDefault="0013414A" w:rsidP="0013414A">
      <w:pPr>
        <w:rPr>
          <w:rFonts w:ascii="Arial Narrow" w:hAnsi="Arial Narrow"/>
          <w:bCs/>
          <w:i/>
          <w:sz w:val="18"/>
          <w:szCs w:val="18"/>
        </w:rPr>
      </w:pPr>
      <w:r w:rsidRPr="0013414A">
        <w:rPr>
          <w:rFonts w:ascii="Arial Narrow" w:hAnsi="Arial Narrow"/>
          <w:bCs/>
          <w:i/>
          <w:sz w:val="18"/>
          <w:szCs w:val="18"/>
        </w:rPr>
        <w:t xml:space="preserve">The redacted values correspond to the following ranges: </w:t>
      </w:r>
    </w:p>
    <w:p w14:paraId="25363872" w14:textId="4A0AE99F" w:rsidR="0013414A" w:rsidRPr="0013414A" w:rsidRDefault="0013414A" w:rsidP="0013414A">
      <w:pPr>
        <w:rPr>
          <w:rFonts w:ascii="Arial Narrow" w:hAnsi="Arial Narrow"/>
          <w:bCs/>
          <w:i/>
          <w:sz w:val="18"/>
          <w:szCs w:val="18"/>
        </w:rPr>
      </w:pPr>
      <w:r w:rsidRPr="0013414A">
        <w:rPr>
          <w:rFonts w:ascii="Arial Narrow" w:hAnsi="Arial Narrow"/>
          <w:bCs/>
          <w:i/>
          <w:sz w:val="18"/>
          <w:szCs w:val="18"/>
          <w:vertAlign w:val="superscript"/>
        </w:rPr>
        <w:t>1</w:t>
      </w:r>
      <w:r w:rsidRPr="0013414A">
        <w:rPr>
          <w:rFonts w:ascii="Arial Narrow" w:hAnsi="Arial Narrow"/>
          <w:bCs/>
          <w:i/>
          <w:sz w:val="18"/>
          <w:szCs w:val="18"/>
        </w:rPr>
        <w:t xml:space="preserve"> </w:t>
      </w:r>
      <w:bookmarkStart w:id="70" w:name="_Hlk219363054"/>
      <w:r w:rsidR="00D42D9D" w:rsidRPr="00D42D9D">
        <w:rPr>
          <w:rFonts w:ascii="Arial Narrow" w:hAnsi="Arial Narrow"/>
          <w:bCs/>
          <w:i/>
          <w:sz w:val="18"/>
          <w:szCs w:val="18"/>
        </w:rPr>
        <w:t>$15,000 to &lt; $25,000</w:t>
      </w:r>
      <w:bookmarkEnd w:id="70"/>
    </w:p>
    <w:p w14:paraId="2C20460E" w14:textId="6C5552AA" w:rsidR="0013414A" w:rsidRPr="0013414A" w:rsidRDefault="0013414A" w:rsidP="0013414A">
      <w:pPr>
        <w:rPr>
          <w:rFonts w:ascii="Arial Narrow" w:hAnsi="Arial Narrow"/>
          <w:bCs/>
          <w:i/>
          <w:sz w:val="18"/>
          <w:szCs w:val="18"/>
        </w:rPr>
      </w:pPr>
      <w:r w:rsidRPr="0013414A">
        <w:rPr>
          <w:rFonts w:ascii="Arial Narrow" w:hAnsi="Arial Narrow"/>
          <w:bCs/>
          <w:i/>
          <w:sz w:val="18"/>
          <w:szCs w:val="18"/>
          <w:vertAlign w:val="superscript"/>
        </w:rPr>
        <w:t>2</w:t>
      </w:r>
      <w:r w:rsidRPr="0013414A">
        <w:rPr>
          <w:rFonts w:ascii="Arial Narrow" w:hAnsi="Arial Narrow"/>
          <w:bCs/>
          <w:i/>
          <w:sz w:val="18"/>
          <w:szCs w:val="18"/>
        </w:rPr>
        <w:t xml:space="preserve"> </w:t>
      </w:r>
      <w:r w:rsidR="00585564" w:rsidRPr="00585564">
        <w:rPr>
          <w:rFonts w:ascii="Arial Narrow" w:hAnsi="Arial Narrow"/>
          <w:bCs/>
          <w:i/>
          <w:sz w:val="18"/>
          <w:szCs w:val="18"/>
        </w:rPr>
        <w:t>$35,000 to &lt; $45,000</w:t>
      </w:r>
    </w:p>
    <w:p w14:paraId="6D2C5C5A" w14:textId="7BE7F800" w:rsidR="0013414A" w:rsidRPr="0013414A" w:rsidRDefault="0013414A" w:rsidP="0013414A">
      <w:pPr>
        <w:rPr>
          <w:rFonts w:ascii="Arial Narrow" w:hAnsi="Arial Narrow"/>
          <w:bCs/>
          <w:i/>
          <w:sz w:val="18"/>
          <w:szCs w:val="18"/>
        </w:rPr>
      </w:pPr>
      <w:r w:rsidRPr="0013414A">
        <w:rPr>
          <w:rFonts w:ascii="Arial Narrow" w:hAnsi="Arial Narrow"/>
          <w:bCs/>
          <w:i/>
          <w:sz w:val="18"/>
          <w:szCs w:val="18"/>
          <w:vertAlign w:val="superscript"/>
        </w:rPr>
        <w:t>3</w:t>
      </w:r>
      <w:r w:rsidRPr="0013414A">
        <w:rPr>
          <w:rFonts w:ascii="Arial Narrow" w:hAnsi="Arial Narrow"/>
          <w:bCs/>
          <w:i/>
          <w:sz w:val="18"/>
          <w:szCs w:val="18"/>
        </w:rPr>
        <w:t xml:space="preserve"> </w:t>
      </w:r>
      <w:r w:rsidR="0074024C" w:rsidRPr="0074024C">
        <w:rPr>
          <w:rFonts w:ascii="Arial Narrow" w:hAnsi="Arial Narrow"/>
          <w:bCs/>
          <w:i/>
          <w:sz w:val="18"/>
          <w:szCs w:val="18"/>
        </w:rPr>
        <w:t>$25,000 to &lt; $35,000</w:t>
      </w:r>
    </w:p>
    <w:p w14:paraId="09276E6D" w14:textId="42A1E391" w:rsidR="00BF04CC" w:rsidRPr="00405AD0" w:rsidRDefault="00BF04CC" w:rsidP="00BF04CC">
      <w:pPr>
        <w:rPr>
          <w:rStyle w:val="CommentReference"/>
          <w:b w:val="0"/>
          <w:bCs/>
          <w:sz w:val="18"/>
          <w:szCs w:val="18"/>
        </w:rPr>
      </w:pPr>
    </w:p>
    <w:p w14:paraId="45BEBDD0" w14:textId="03C81BB3" w:rsidR="008E6B70" w:rsidRDefault="00DA01DE" w:rsidP="00766C07">
      <w:pPr>
        <w:pStyle w:val="3-BodyText"/>
      </w:pPr>
      <w:bookmarkStart w:id="71" w:name="_Ref213938894"/>
      <w:bookmarkStart w:id="72" w:name="_Ref211423948"/>
      <w:bookmarkStart w:id="73" w:name="_Toc22897647"/>
      <w:r w:rsidRPr="00EB1825">
        <w:t xml:space="preserve">The ESC considered that </w:t>
      </w:r>
      <w:r w:rsidR="008070CD" w:rsidRPr="00EB1825">
        <w:t>a multivariate sensitivity analysis</w:t>
      </w:r>
      <w:r w:rsidRPr="00EB1825">
        <w:t xml:space="preserve"> includ</w:t>
      </w:r>
      <w:r w:rsidR="00964DB4" w:rsidRPr="00EB1825">
        <w:t>ing</w:t>
      </w:r>
      <w:r w:rsidR="00921E31" w:rsidRPr="00EB1825">
        <w:t xml:space="preserve"> a </w:t>
      </w:r>
      <w:proofErr w:type="gramStart"/>
      <w:r w:rsidR="00921E31" w:rsidRPr="00EB1825">
        <w:t>5 year</w:t>
      </w:r>
      <w:proofErr w:type="gramEnd"/>
      <w:r w:rsidR="00921E31" w:rsidRPr="00EB1825">
        <w:t xml:space="preserve"> time horizon</w:t>
      </w:r>
      <w:r w:rsidR="00936A34" w:rsidRPr="00EB1825">
        <w:t xml:space="preserve"> and</w:t>
      </w:r>
      <w:r w:rsidR="00921E31" w:rsidRPr="00EB1825">
        <w:t xml:space="preserve"> </w:t>
      </w:r>
      <w:proofErr w:type="spellStart"/>
      <w:r w:rsidR="00AC33E9" w:rsidRPr="00EB1825">
        <w:t>f</w:t>
      </w:r>
      <w:r w:rsidR="00921E31" w:rsidRPr="00EB1825">
        <w:t>ezolinetant</w:t>
      </w:r>
      <w:proofErr w:type="spellEnd"/>
      <w:r w:rsidR="00921E31" w:rsidRPr="00EB1825">
        <w:t xml:space="preserve"> discontinuation rate for the entire model </w:t>
      </w:r>
      <w:r w:rsidR="00AC33E9" w:rsidRPr="00EB1825">
        <w:t xml:space="preserve">set </w:t>
      </w:r>
      <w:r w:rsidR="00921E31" w:rsidRPr="00EB1825">
        <w:t>to the Week 0-24 rate from DAYLIGHT (2.4%)</w:t>
      </w:r>
      <w:r w:rsidR="00936A34" w:rsidRPr="00EB1825">
        <w:t xml:space="preserve"> would address some of the PBAC’s previous major concerns regarding the </w:t>
      </w:r>
      <w:r w:rsidR="00BD0545" w:rsidRPr="00EB1825">
        <w:t xml:space="preserve">inputs to the </w:t>
      </w:r>
      <w:r w:rsidR="00936A34" w:rsidRPr="00EB1825">
        <w:t>economic evaluation</w:t>
      </w:r>
      <w:r w:rsidR="00E4485E" w:rsidRPr="00EB1825">
        <w:t xml:space="preserve"> (though uncertainty regarding </w:t>
      </w:r>
      <w:r w:rsidR="001827B7" w:rsidRPr="00EB1825">
        <w:t xml:space="preserve">outcomes due to </w:t>
      </w:r>
      <w:r w:rsidR="00E4485E" w:rsidRPr="00EB1825">
        <w:t>the model structure remains)</w:t>
      </w:r>
      <w:r w:rsidR="00BD0545" w:rsidRPr="00EB1825">
        <w:t xml:space="preserve">. This analysis resulted in a </w:t>
      </w:r>
      <w:r w:rsidR="0050794B" w:rsidRPr="00EB1825">
        <w:t>40</w:t>
      </w:r>
      <w:r w:rsidR="004F15BF" w:rsidRPr="00EB1825">
        <w:t xml:space="preserve">% increase in the ICER, to </w:t>
      </w:r>
      <w:r w:rsidR="00AA0F89" w:rsidRPr="00AA0F89">
        <w:t>$25,000 to &lt; $35,000</w:t>
      </w:r>
      <w:r w:rsidR="004F15BF" w:rsidRPr="00EB1825">
        <w:t xml:space="preserve"> per QALY gained. </w:t>
      </w:r>
      <w:r w:rsidR="007F49D2">
        <w:t>However, t</w:t>
      </w:r>
      <w:r w:rsidR="00C10EC6">
        <w:t xml:space="preserve">he pre-PBAC response maintained </w:t>
      </w:r>
      <w:r w:rsidR="007F49D2">
        <w:t xml:space="preserve">the view that the time horizon </w:t>
      </w:r>
      <w:r w:rsidR="00964124">
        <w:t xml:space="preserve">and discontinuation rate applied in the </w:t>
      </w:r>
      <w:r w:rsidR="00924292">
        <w:t>model’s base case were appropriate.</w:t>
      </w:r>
      <w:bookmarkEnd w:id="71"/>
    </w:p>
    <w:p w14:paraId="06694A90" w14:textId="6DADD85C" w:rsidR="0077501A" w:rsidRDefault="008E6B70" w:rsidP="00766C07">
      <w:pPr>
        <w:pStyle w:val="3-BodyText"/>
      </w:pPr>
      <w:bookmarkStart w:id="74" w:name="_Ref214616285"/>
      <w:r>
        <w:t xml:space="preserve">The PBAC noted that the updated PI recommended LFTs at </w:t>
      </w:r>
      <w:r w:rsidR="009F3E49" w:rsidRPr="00EB1825">
        <w:t>1, 2, 3, 6, and 9 months on the first year of treatment</w:t>
      </w:r>
      <w:r w:rsidR="009F3E49">
        <w:t xml:space="preserve"> (which was included in the resubmission model) </w:t>
      </w:r>
      <w:proofErr w:type="gramStart"/>
      <w:r w:rsidR="009F3E49">
        <w:t>and also</w:t>
      </w:r>
      <w:proofErr w:type="gramEnd"/>
      <w:r w:rsidR="009F3E49">
        <w:t xml:space="preserve"> </w:t>
      </w:r>
      <w:r w:rsidR="00CE2DD1" w:rsidRPr="00EB1825">
        <w:t>thereafter periodically based on clinical judgement</w:t>
      </w:r>
      <w:r w:rsidR="00CE2DD1">
        <w:t xml:space="preserve"> (which was not included in the resubmission model). The PBAC considered </w:t>
      </w:r>
      <w:r w:rsidR="007B3948">
        <w:t>that it would be reasonable to assume that patients would require an additional LFT annually and that these costs should be accounted for in the model</w:t>
      </w:r>
      <w:r w:rsidR="00784305">
        <w:t xml:space="preserve">. The PBAC noted that </w:t>
      </w:r>
      <w:r w:rsidR="00911B22">
        <w:t>inclusion of one LFT from year 2 onwards</w:t>
      </w:r>
      <w:r w:rsidR="00784305">
        <w:t xml:space="preserve"> increased the ICER to </w:t>
      </w:r>
      <w:r w:rsidR="00AA0F89" w:rsidRPr="00AA0F89">
        <w:t>$25,000 to &lt; $35,000</w:t>
      </w:r>
      <w:r w:rsidR="001F1D49">
        <w:t xml:space="preserve"> per QALY gained. When </w:t>
      </w:r>
      <w:r w:rsidR="005F2F31">
        <w:t xml:space="preserve">this cost was </w:t>
      </w:r>
      <w:r w:rsidR="001F1D49">
        <w:t xml:space="preserve">added to the multivariate sensitivity analysis described in paragraph </w:t>
      </w:r>
      <w:r w:rsidR="009B65F8">
        <w:fldChar w:fldCharType="begin"/>
      </w:r>
      <w:r w:rsidR="009B65F8">
        <w:instrText xml:space="preserve"> REF _Ref213938894 \r \h </w:instrText>
      </w:r>
      <w:r w:rsidR="009B65F8">
        <w:fldChar w:fldCharType="separate"/>
      </w:r>
      <w:r w:rsidR="00946DF5">
        <w:t>6.55</w:t>
      </w:r>
      <w:r w:rsidR="009B65F8">
        <w:fldChar w:fldCharType="end"/>
      </w:r>
      <w:r w:rsidR="009B65F8">
        <w:t xml:space="preserve">, the ICER increased to </w:t>
      </w:r>
      <w:r w:rsidR="002E4B48" w:rsidRPr="002E4B48">
        <w:t>$25,000 to &lt; $35,000</w:t>
      </w:r>
      <w:r w:rsidR="00DC3D2E">
        <w:t xml:space="preserve"> per QALY gained.</w:t>
      </w:r>
      <w:bookmarkEnd w:id="74"/>
      <w:r w:rsidR="00DC3D2E">
        <w:t xml:space="preserve"> </w:t>
      </w:r>
    </w:p>
    <w:bookmarkEnd w:id="72"/>
    <w:p w14:paraId="01DB1FB7" w14:textId="63F19BA9" w:rsidR="004104AB" w:rsidRPr="00EB1825" w:rsidRDefault="0071187A" w:rsidP="00D835AE">
      <w:pPr>
        <w:pStyle w:val="4-SubsectionHeading"/>
        <w:ind w:left="720" w:hanging="720"/>
      </w:pPr>
      <w:r>
        <w:t>Cost</w:t>
      </w:r>
      <w:r w:rsidR="004104AB" w:rsidRPr="00EB1825">
        <w:t>/patient/</w:t>
      </w:r>
      <w:r w:rsidR="00D17FA1">
        <w:t>year</w:t>
      </w:r>
    </w:p>
    <w:p w14:paraId="4E5C4ECD" w14:textId="5D5ADD65" w:rsidR="004104AB" w:rsidRPr="00EB1825" w:rsidRDefault="004104AB" w:rsidP="00D835AE">
      <w:pPr>
        <w:pStyle w:val="Caption"/>
        <w:rPr>
          <w:rStyle w:val="CommentReference"/>
          <w:b/>
          <w:szCs w:val="24"/>
        </w:rPr>
      </w:pPr>
      <w:r w:rsidRPr="00EB1825">
        <w:t xml:space="preserve">Table </w:t>
      </w:r>
      <w:r w:rsidR="005B6061">
        <w:fldChar w:fldCharType="begin"/>
      </w:r>
      <w:r w:rsidR="005B6061">
        <w:instrText xml:space="preserve"> SEQ Table \* ARABIC </w:instrText>
      </w:r>
      <w:r w:rsidR="005B6061">
        <w:fldChar w:fldCharType="separate"/>
      </w:r>
      <w:r w:rsidR="00946DF5">
        <w:rPr>
          <w:noProof/>
        </w:rPr>
        <w:t>17</w:t>
      </w:r>
      <w:r w:rsidR="005B6061">
        <w:rPr>
          <w:noProof/>
        </w:rPr>
        <w:fldChar w:fldCharType="end"/>
      </w:r>
      <w:r w:rsidRPr="00EB1825">
        <w:t>:</w:t>
      </w:r>
      <w:r w:rsidRPr="00EB1825">
        <w:rPr>
          <w:rStyle w:val="CommentReference"/>
          <w:b/>
          <w:szCs w:val="24"/>
        </w:rPr>
        <w:t xml:space="preserve"> Drug cost per patient for </w:t>
      </w:r>
      <w:proofErr w:type="spellStart"/>
      <w:r w:rsidRPr="00EB1825">
        <w:rPr>
          <w:rStyle w:val="CommentReference"/>
          <w:b/>
          <w:szCs w:val="24"/>
        </w:rPr>
        <w:t>fezolinetant</w:t>
      </w:r>
      <w:proofErr w:type="spellEnd"/>
    </w:p>
    <w:tbl>
      <w:tblPr>
        <w:tblStyle w:val="PBACTableStyle"/>
        <w:tblW w:w="5000" w:type="pct"/>
        <w:tblInd w:w="0" w:type="dxa"/>
        <w:tblLook w:val="04A0" w:firstRow="1" w:lastRow="0" w:firstColumn="1" w:lastColumn="0" w:noHBand="0" w:noVBand="1"/>
        <w:tblCaption w:val="Table 17: Drug cost per patient for fezolinetant"/>
      </w:tblPr>
      <w:tblGrid>
        <w:gridCol w:w="2034"/>
        <w:gridCol w:w="1322"/>
        <w:gridCol w:w="1439"/>
        <w:gridCol w:w="1439"/>
        <w:gridCol w:w="1389"/>
        <w:gridCol w:w="1394"/>
      </w:tblGrid>
      <w:tr w:rsidR="004104AB" w:rsidRPr="00EB1825" w14:paraId="1A255E3E" w14:textId="77777777" w:rsidTr="00CF283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8" w:type="pct"/>
            <w:tcBorders>
              <w:top w:val="single" w:sz="4" w:space="0" w:color="auto"/>
              <w:left w:val="single" w:sz="4" w:space="0" w:color="auto"/>
              <w:bottom w:val="nil"/>
              <w:right w:val="single" w:sz="4" w:space="0" w:color="auto"/>
            </w:tcBorders>
          </w:tcPr>
          <w:p w14:paraId="4647E577" w14:textId="77777777" w:rsidR="004104AB" w:rsidRPr="00EB1825" w:rsidRDefault="004104AB" w:rsidP="00D835AE">
            <w:pPr>
              <w:keepNext/>
              <w:keepLines/>
              <w:jc w:val="left"/>
              <w:rPr>
                <w:rFonts w:ascii="Times New Roman" w:hAnsi="Times New Roman" w:cs="Times New Roman"/>
                <w:sz w:val="20"/>
                <w:szCs w:val="20"/>
              </w:rPr>
            </w:pPr>
          </w:p>
        </w:tc>
        <w:tc>
          <w:tcPr>
            <w:tcW w:w="733" w:type="pct"/>
            <w:tcBorders>
              <w:top w:val="single" w:sz="4" w:space="0" w:color="auto"/>
              <w:left w:val="single" w:sz="4" w:space="0" w:color="auto"/>
              <w:bottom w:val="single" w:sz="4" w:space="0" w:color="auto"/>
              <w:right w:val="single" w:sz="4" w:space="0" w:color="auto"/>
            </w:tcBorders>
            <w:vAlign w:val="top"/>
          </w:tcPr>
          <w:p w14:paraId="4F3AF2A7" w14:textId="77777777" w:rsidR="004104AB" w:rsidRPr="00EB1825" w:rsidRDefault="004104AB" w:rsidP="00D835AE">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Trial</w:t>
            </w:r>
          </w:p>
        </w:tc>
        <w:tc>
          <w:tcPr>
            <w:tcW w:w="1596" w:type="pct"/>
            <w:gridSpan w:val="2"/>
            <w:tcBorders>
              <w:top w:val="single" w:sz="4" w:space="0" w:color="auto"/>
              <w:left w:val="single" w:sz="4" w:space="0" w:color="auto"/>
              <w:bottom w:val="single" w:sz="4" w:space="0" w:color="auto"/>
              <w:right w:val="single" w:sz="4" w:space="0" w:color="auto"/>
            </w:tcBorders>
            <w:vAlign w:val="top"/>
          </w:tcPr>
          <w:p w14:paraId="237BC424" w14:textId="77777777" w:rsidR="004104AB" w:rsidRPr="00EB1825" w:rsidRDefault="004104AB" w:rsidP="00D835AE">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Economic Model</w:t>
            </w:r>
          </w:p>
        </w:tc>
        <w:tc>
          <w:tcPr>
            <w:tcW w:w="1543" w:type="pct"/>
            <w:gridSpan w:val="2"/>
            <w:tcBorders>
              <w:top w:val="single" w:sz="4" w:space="0" w:color="auto"/>
              <w:left w:val="single" w:sz="4" w:space="0" w:color="auto"/>
              <w:bottom w:val="single" w:sz="4" w:space="0" w:color="auto"/>
              <w:right w:val="single" w:sz="4" w:space="0" w:color="auto"/>
            </w:tcBorders>
            <w:vAlign w:val="top"/>
          </w:tcPr>
          <w:p w14:paraId="5E2059E4" w14:textId="77777777" w:rsidR="004104AB" w:rsidRPr="00EB1825" w:rsidRDefault="004104AB" w:rsidP="00D835AE">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Financial Estimates</w:t>
            </w:r>
          </w:p>
        </w:tc>
      </w:tr>
      <w:tr w:rsidR="004104AB" w:rsidRPr="00EB1825" w14:paraId="2434D1F3" w14:textId="77777777" w:rsidTr="00CF283B">
        <w:trPr>
          <w:trHeight w:val="20"/>
        </w:trPr>
        <w:tc>
          <w:tcPr>
            <w:cnfStyle w:val="001000000000" w:firstRow="0" w:lastRow="0" w:firstColumn="1" w:lastColumn="0" w:oddVBand="0" w:evenVBand="0" w:oddHBand="0" w:evenHBand="0" w:firstRowFirstColumn="0" w:firstRowLastColumn="0" w:lastRowFirstColumn="0" w:lastRowLastColumn="0"/>
            <w:tcW w:w="1128" w:type="pct"/>
            <w:tcBorders>
              <w:top w:val="nil"/>
              <w:left w:val="single" w:sz="4" w:space="0" w:color="auto"/>
              <w:bottom w:val="single" w:sz="4" w:space="0" w:color="auto"/>
              <w:right w:val="single" w:sz="4" w:space="0" w:color="auto"/>
            </w:tcBorders>
            <w:hideMark/>
          </w:tcPr>
          <w:p w14:paraId="269D1EE8" w14:textId="77777777" w:rsidR="004104AB" w:rsidRPr="00EB1825" w:rsidRDefault="004104AB" w:rsidP="00D835AE">
            <w:pPr>
              <w:keepNext/>
              <w:keepLines/>
              <w:jc w:val="left"/>
              <w:rPr>
                <w:rFonts w:ascii="Times New Roman" w:hAnsi="Times New Roman" w:cs="Times New Roman"/>
                <w:b/>
                <w:bCs/>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4B76E77" w14:textId="77777777" w:rsidR="004104AB" w:rsidRPr="00EB1825" w:rsidRDefault="004104AB" w:rsidP="00D835AE">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rFonts w:ascii="Arial Narrow" w:hAnsi="Arial Narrow"/>
                <w:b/>
                <w:bCs/>
                <w:color w:val="222222"/>
                <w:sz w:val="20"/>
                <w:szCs w:val="20"/>
              </w:rPr>
            </w:pPr>
            <w:r w:rsidRPr="00EB1825">
              <w:rPr>
                <w:rFonts w:ascii="Arial Narrow" w:hAnsi="Arial Narrow"/>
                <w:b/>
                <w:bCs/>
                <w:color w:val="222222"/>
                <w:sz w:val="20"/>
                <w:szCs w:val="20"/>
              </w:rPr>
              <w:t>DAYLIGHT</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15B04F" w14:textId="77777777" w:rsidR="004104AB" w:rsidRPr="00EB1825" w:rsidRDefault="004104AB" w:rsidP="00D835AE">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rFonts w:ascii="Arial Narrow" w:hAnsi="Arial Narrow"/>
                <w:b/>
                <w:bCs/>
                <w:color w:val="222222"/>
                <w:sz w:val="20"/>
                <w:szCs w:val="20"/>
              </w:rPr>
            </w:pPr>
            <w:r w:rsidRPr="00EB1825">
              <w:rPr>
                <w:rFonts w:ascii="Arial Narrow" w:hAnsi="Arial Narrow"/>
                <w:b/>
                <w:bCs/>
                <w:color w:val="222222"/>
                <w:sz w:val="20"/>
                <w:szCs w:val="20"/>
              </w:rPr>
              <w:t xml:space="preserve">March 2025 </w:t>
            </w:r>
          </w:p>
        </w:tc>
        <w:tc>
          <w:tcPr>
            <w:tcW w:w="798" w:type="pct"/>
            <w:tcBorders>
              <w:top w:val="single" w:sz="4" w:space="0" w:color="auto"/>
              <w:left w:val="single" w:sz="4" w:space="0" w:color="auto"/>
              <w:bottom w:val="single" w:sz="4" w:space="0" w:color="auto"/>
              <w:right w:val="single" w:sz="4" w:space="0" w:color="auto"/>
            </w:tcBorders>
            <w:hideMark/>
          </w:tcPr>
          <w:p w14:paraId="2719A1E4" w14:textId="77777777" w:rsidR="004104AB" w:rsidRPr="00EB1825" w:rsidRDefault="004104AB" w:rsidP="00D835AE">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rFonts w:ascii="Arial Narrow" w:hAnsi="Arial Narrow"/>
                <w:b/>
                <w:bCs/>
                <w:color w:val="222222"/>
                <w:sz w:val="20"/>
                <w:szCs w:val="20"/>
              </w:rPr>
            </w:pPr>
            <w:r w:rsidRPr="00EB1825">
              <w:rPr>
                <w:rFonts w:ascii="Arial Narrow" w:hAnsi="Arial Narrow"/>
                <w:b/>
                <w:bCs/>
                <w:color w:val="222222"/>
                <w:sz w:val="20"/>
                <w:szCs w:val="20"/>
              </w:rPr>
              <w:t>Resubmission</w:t>
            </w:r>
          </w:p>
        </w:tc>
        <w:tc>
          <w:tcPr>
            <w:tcW w:w="77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D645D7B" w14:textId="77777777" w:rsidR="004104AB" w:rsidRPr="00EB1825" w:rsidRDefault="004104AB" w:rsidP="00D835AE">
            <w:pPr>
              <w:keepNext/>
              <w:keepLines/>
              <w:ind w:right="57"/>
              <w:jc w:val="left"/>
              <w:cnfStyle w:val="000000000000" w:firstRow="0" w:lastRow="0" w:firstColumn="0" w:lastColumn="0" w:oddVBand="0" w:evenVBand="0" w:oddHBand="0" w:evenHBand="0" w:firstRowFirstColumn="0" w:firstRowLastColumn="0" w:lastRowFirstColumn="0" w:lastRowLastColumn="0"/>
              <w:rPr>
                <w:rFonts w:ascii="Arial Narrow" w:hAnsi="Arial Narrow"/>
                <w:b/>
                <w:bCs/>
                <w:color w:val="222222"/>
                <w:sz w:val="20"/>
                <w:szCs w:val="20"/>
              </w:rPr>
            </w:pPr>
            <w:r w:rsidRPr="00EB1825">
              <w:rPr>
                <w:rFonts w:ascii="Arial Narrow" w:hAnsi="Arial Narrow"/>
                <w:b/>
                <w:bCs/>
                <w:color w:val="222222"/>
                <w:sz w:val="20"/>
                <w:szCs w:val="20"/>
              </w:rPr>
              <w:t>March 2025</w:t>
            </w:r>
          </w:p>
        </w:tc>
        <w:tc>
          <w:tcPr>
            <w:tcW w:w="773" w:type="pct"/>
            <w:tcBorders>
              <w:top w:val="single" w:sz="4" w:space="0" w:color="auto"/>
              <w:left w:val="single" w:sz="4" w:space="0" w:color="auto"/>
              <w:bottom w:val="single" w:sz="4" w:space="0" w:color="auto"/>
              <w:right w:val="single" w:sz="4" w:space="0" w:color="auto"/>
            </w:tcBorders>
          </w:tcPr>
          <w:p w14:paraId="2E62ED42" w14:textId="77777777" w:rsidR="004104AB" w:rsidRPr="00EB1825" w:rsidRDefault="004104AB" w:rsidP="00D835AE">
            <w:pPr>
              <w:keepNext/>
              <w:keepLines/>
              <w:ind w:right="57"/>
              <w:jc w:val="left"/>
              <w:cnfStyle w:val="000000000000" w:firstRow="0" w:lastRow="0" w:firstColumn="0" w:lastColumn="0" w:oddVBand="0" w:evenVBand="0" w:oddHBand="0" w:evenHBand="0" w:firstRowFirstColumn="0" w:firstRowLastColumn="0" w:lastRowFirstColumn="0" w:lastRowLastColumn="0"/>
              <w:rPr>
                <w:rFonts w:ascii="Arial Narrow" w:hAnsi="Arial Narrow"/>
                <w:b/>
                <w:bCs/>
                <w:color w:val="222222"/>
                <w:sz w:val="20"/>
                <w:szCs w:val="20"/>
                <w:highlight w:val="yellow"/>
              </w:rPr>
            </w:pPr>
            <w:r w:rsidRPr="00EB1825">
              <w:rPr>
                <w:rFonts w:ascii="Arial Narrow" w:hAnsi="Arial Narrow"/>
                <w:b/>
                <w:bCs/>
                <w:color w:val="222222"/>
                <w:sz w:val="20"/>
                <w:szCs w:val="20"/>
              </w:rPr>
              <w:t>Resubmission</w:t>
            </w:r>
          </w:p>
        </w:tc>
      </w:tr>
      <w:tr w:rsidR="004104AB" w:rsidRPr="00EB1825" w14:paraId="7315638C" w14:textId="77777777" w:rsidTr="00CF283B">
        <w:trPr>
          <w:trHeight w:val="20"/>
        </w:trPr>
        <w:tc>
          <w:tcPr>
            <w:cnfStyle w:val="001000000000" w:firstRow="0" w:lastRow="0" w:firstColumn="1" w:lastColumn="0" w:oddVBand="0" w:evenVBand="0" w:oddHBand="0" w:evenHBand="0" w:firstRowFirstColumn="0" w:firstRowLastColumn="0" w:lastRowFirstColumn="0" w:lastRowLastColumn="0"/>
            <w:tcW w:w="1128" w:type="pct"/>
            <w:tcBorders>
              <w:top w:val="single" w:sz="4" w:space="0" w:color="auto"/>
              <w:left w:val="single" w:sz="4" w:space="0" w:color="auto"/>
              <w:bottom w:val="single" w:sz="4" w:space="0" w:color="auto"/>
              <w:right w:val="single" w:sz="4" w:space="0" w:color="auto"/>
            </w:tcBorders>
            <w:hideMark/>
          </w:tcPr>
          <w:p w14:paraId="19670A02" w14:textId="77777777" w:rsidR="004104AB" w:rsidRPr="00EB1825" w:rsidRDefault="004104AB" w:rsidP="00D835AE">
            <w:pPr>
              <w:keepNext/>
              <w:keepLines/>
              <w:spacing w:before="0" w:beforeAutospacing="0" w:after="0" w:afterAutospacing="0"/>
              <w:jc w:val="left"/>
              <w:rPr>
                <w:rFonts w:ascii="Arial Narrow" w:hAnsi="Arial Narrow"/>
                <w:color w:val="222222"/>
                <w:sz w:val="20"/>
                <w:szCs w:val="20"/>
              </w:rPr>
            </w:pPr>
            <w:r w:rsidRPr="00EB1825">
              <w:rPr>
                <w:rFonts w:ascii="Arial Narrow" w:hAnsi="Arial Narrow"/>
                <w:color w:val="222222"/>
                <w:sz w:val="20"/>
                <w:szCs w:val="20"/>
              </w:rPr>
              <w:t>Mean dose</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F7A115"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45 mg/day</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6EB5880"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45 mg/day</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DAF1758"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45 mg/day</w:t>
            </w:r>
          </w:p>
        </w:tc>
        <w:tc>
          <w:tcPr>
            <w:tcW w:w="77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1F5393"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45 mg/day</w:t>
            </w:r>
          </w:p>
        </w:tc>
        <w:tc>
          <w:tcPr>
            <w:tcW w:w="77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9D6089F"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45 mg/day</w:t>
            </w:r>
          </w:p>
        </w:tc>
      </w:tr>
      <w:tr w:rsidR="0086321F" w:rsidRPr="00EB1825" w14:paraId="6414EF11" w14:textId="77777777" w:rsidTr="00CF283B">
        <w:trPr>
          <w:trHeight w:val="20"/>
        </w:trPr>
        <w:tc>
          <w:tcPr>
            <w:cnfStyle w:val="001000000000" w:firstRow="0" w:lastRow="0" w:firstColumn="1" w:lastColumn="0" w:oddVBand="0" w:evenVBand="0" w:oddHBand="0" w:evenHBand="0" w:firstRowFirstColumn="0" w:firstRowLastColumn="0" w:lastRowFirstColumn="0" w:lastRowLastColumn="0"/>
            <w:tcW w:w="1128" w:type="pct"/>
            <w:tcBorders>
              <w:top w:val="single" w:sz="4" w:space="0" w:color="auto"/>
              <w:left w:val="single" w:sz="4" w:space="0" w:color="auto"/>
              <w:bottom w:val="single" w:sz="4" w:space="0" w:color="auto"/>
              <w:right w:val="single" w:sz="4" w:space="0" w:color="auto"/>
            </w:tcBorders>
            <w:hideMark/>
          </w:tcPr>
          <w:p w14:paraId="1698DD02" w14:textId="77777777" w:rsidR="004104AB" w:rsidRPr="00EB1825" w:rsidRDefault="004104AB" w:rsidP="00D835AE">
            <w:pPr>
              <w:keepNext/>
              <w:keepLines/>
              <w:spacing w:before="0" w:beforeAutospacing="0" w:after="0" w:afterAutospacing="0"/>
              <w:jc w:val="left"/>
              <w:rPr>
                <w:rFonts w:ascii="Arial Narrow" w:hAnsi="Arial Narrow"/>
                <w:color w:val="222222"/>
                <w:sz w:val="20"/>
                <w:szCs w:val="20"/>
              </w:rPr>
            </w:pPr>
            <w:r w:rsidRPr="00EB1825">
              <w:rPr>
                <w:rFonts w:ascii="Arial Narrow" w:hAnsi="Arial Narrow"/>
                <w:color w:val="222222"/>
                <w:sz w:val="20"/>
                <w:szCs w:val="20"/>
              </w:rPr>
              <w:t>Mean treatment duration</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6365FB"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157.4 days</w:t>
            </w:r>
          </w:p>
          <w:p w14:paraId="5D4BEFE6"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 xml:space="preserve">(5.2 months) </w:t>
            </w:r>
            <w:r w:rsidRPr="00EB1825">
              <w:rPr>
                <w:rFonts w:ascii="Arial Narrow" w:hAnsi="Arial Narrow"/>
                <w:color w:val="222222"/>
                <w:sz w:val="20"/>
                <w:szCs w:val="20"/>
                <w:vertAlign w:val="superscript"/>
              </w:rPr>
              <w:t>a</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53F40B8"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 xml:space="preserve">1,053.3 days </w:t>
            </w:r>
            <w:r w:rsidRPr="00EB1825">
              <w:rPr>
                <w:rFonts w:ascii="Arial Narrow" w:hAnsi="Arial Narrow"/>
                <w:color w:val="222222"/>
                <w:sz w:val="20"/>
                <w:szCs w:val="20"/>
              </w:rPr>
              <w:br/>
              <w:t xml:space="preserve">(34.6 months) </w:t>
            </w:r>
            <w:r w:rsidRPr="00EB1825">
              <w:rPr>
                <w:rFonts w:ascii="Arial Narrow" w:hAnsi="Arial Narrow"/>
                <w:color w:val="222222"/>
                <w:sz w:val="20"/>
                <w:szCs w:val="20"/>
                <w:vertAlign w:val="superscript"/>
              </w:rPr>
              <w:t>b</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A2A2F2"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 xml:space="preserve">1,053.3 days </w:t>
            </w:r>
            <w:r w:rsidRPr="00EB1825">
              <w:rPr>
                <w:rFonts w:ascii="Arial Narrow" w:hAnsi="Arial Narrow"/>
                <w:color w:val="222222"/>
                <w:sz w:val="20"/>
                <w:szCs w:val="20"/>
              </w:rPr>
              <w:br/>
              <w:t>(34.6 months)</w:t>
            </w:r>
            <w:r w:rsidRPr="00EB1825">
              <w:rPr>
                <w:rFonts w:ascii="Arial Narrow" w:hAnsi="Arial Narrow"/>
                <w:color w:val="222222"/>
                <w:sz w:val="20"/>
                <w:szCs w:val="20"/>
                <w:vertAlign w:val="superscript"/>
              </w:rPr>
              <w:t xml:space="preserve"> b</w:t>
            </w:r>
          </w:p>
        </w:tc>
        <w:tc>
          <w:tcPr>
            <w:tcW w:w="77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51D80F"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NR</w:t>
            </w:r>
          </w:p>
        </w:tc>
        <w:tc>
          <w:tcPr>
            <w:tcW w:w="773" w:type="pct"/>
            <w:tcBorders>
              <w:top w:val="single" w:sz="4" w:space="0" w:color="auto"/>
              <w:left w:val="single" w:sz="4" w:space="0" w:color="auto"/>
              <w:bottom w:val="single" w:sz="4" w:space="0" w:color="auto"/>
              <w:right w:val="single" w:sz="4" w:space="0" w:color="auto"/>
            </w:tcBorders>
          </w:tcPr>
          <w:p w14:paraId="06DA8F7E"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 xml:space="preserve">256.3 days </w:t>
            </w:r>
            <w:r w:rsidRPr="00EB1825">
              <w:rPr>
                <w:rFonts w:ascii="Arial Narrow" w:hAnsi="Arial Narrow"/>
                <w:color w:val="222222"/>
                <w:sz w:val="20"/>
                <w:szCs w:val="20"/>
                <w:vertAlign w:val="superscript"/>
              </w:rPr>
              <w:t>c</w:t>
            </w:r>
          </w:p>
          <w:p w14:paraId="09BF98AA"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highlight w:val="yellow"/>
              </w:rPr>
            </w:pPr>
            <w:r w:rsidRPr="00EB1825">
              <w:rPr>
                <w:rFonts w:ascii="Arial Narrow" w:hAnsi="Arial Narrow"/>
                <w:color w:val="222222"/>
                <w:sz w:val="20"/>
                <w:szCs w:val="20"/>
              </w:rPr>
              <w:t>(8.4 months) Per year</w:t>
            </w:r>
          </w:p>
        </w:tc>
      </w:tr>
      <w:tr w:rsidR="0086321F" w:rsidRPr="00EB1825" w14:paraId="205FAC7A" w14:textId="77777777" w:rsidTr="00CF283B">
        <w:trPr>
          <w:trHeight w:val="20"/>
        </w:trPr>
        <w:tc>
          <w:tcPr>
            <w:cnfStyle w:val="001000000000" w:firstRow="0" w:lastRow="0" w:firstColumn="1" w:lastColumn="0" w:oddVBand="0" w:evenVBand="0" w:oddHBand="0" w:evenHBand="0" w:firstRowFirstColumn="0" w:firstRowLastColumn="0" w:lastRowFirstColumn="0" w:lastRowLastColumn="0"/>
            <w:tcW w:w="1128" w:type="pct"/>
            <w:tcBorders>
              <w:top w:val="single" w:sz="4" w:space="0" w:color="auto"/>
              <w:left w:val="single" w:sz="4" w:space="0" w:color="auto"/>
              <w:bottom w:val="single" w:sz="4" w:space="0" w:color="auto"/>
              <w:right w:val="single" w:sz="4" w:space="0" w:color="auto"/>
            </w:tcBorders>
          </w:tcPr>
          <w:p w14:paraId="22CA5D2E" w14:textId="77777777" w:rsidR="004104AB" w:rsidRPr="00EB1825" w:rsidRDefault="004104AB" w:rsidP="00D835AE">
            <w:pPr>
              <w:keepNext/>
              <w:keepLines/>
              <w:jc w:val="left"/>
              <w:rPr>
                <w:rFonts w:ascii="Arial Narrow" w:hAnsi="Arial Narrow"/>
                <w:color w:val="222222"/>
                <w:sz w:val="20"/>
                <w:szCs w:val="20"/>
              </w:rPr>
            </w:pPr>
            <w:r w:rsidRPr="00EB1825">
              <w:rPr>
                <w:rFonts w:ascii="Arial Narrow" w:hAnsi="Arial Narrow"/>
                <w:color w:val="222222"/>
                <w:sz w:val="20"/>
                <w:szCs w:val="20"/>
              </w:rPr>
              <w:t>Median treatment duration</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658141"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 xml:space="preserve">168.0 days </w:t>
            </w:r>
            <w:r w:rsidRPr="00EB1825">
              <w:rPr>
                <w:rFonts w:ascii="Arial Narrow" w:hAnsi="Arial Narrow"/>
                <w:color w:val="222222"/>
                <w:sz w:val="20"/>
                <w:szCs w:val="20"/>
              </w:rPr>
              <w:br/>
              <w:t xml:space="preserve">(5.5 months) </w:t>
            </w:r>
            <w:r w:rsidRPr="00EB1825">
              <w:rPr>
                <w:rFonts w:ascii="Arial Narrow" w:hAnsi="Arial Narrow"/>
                <w:color w:val="222222"/>
                <w:sz w:val="20"/>
                <w:szCs w:val="20"/>
                <w:vertAlign w:val="superscript"/>
              </w:rPr>
              <w:t>a</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1C88C1"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 xml:space="preserve">866.9 days </w:t>
            </w:r>
            <w:r w:rsidRPr="00EB1825">
              <w:rPr>
                <w:rFonts w:ascii="Arial Narrow" w:hAnsi="Arial Narrow"/>
                <w:color w:val="222222"/>
                <w:sz w:val="20"/>
                <w:szCs w:val="20"/>
              </w:rPr>
              <w:br/>
              <w:t>(28.5 months)</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6B754C4"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 xml:space="preserve">866.9 days </w:t>
            </w:r>
          </w:p>
          <w:p w14:paraId="523BB865"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(28.5 months)</w:t>
            </w:r>
          </w:p>
        </w:tc>
        <w:tc>
          <w:tcPr>
            <w:tcW w:w="77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1DE8AF"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NR</w:t>
            </w:r>
          </w:p>
        </w:tc>
        <w:tc>
          <w:tcPr>
            <w:tcW w:w="773" w:type="pct"/>
            <w:tcBorders>
              <w:top w:val="single" w:sz="4" w:space="0" w:color="auto"/>
              <w:left w:val="single" w:sz="4" w:space="0" w:color="auto"/>
              <w:bottom w:val="single" w:sz="4" w:space="0" w:color="auto"/>
              <w:right w:val="single" w:sz="4" w:space="0" w:color="auto"/>
            </w:tcBorders>
          </w:tcPr>
          <w:p w14:paraId="0E74744B"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NR</w:t>
            </w:r>
          </w:p>
        </w:tc>
      </w:tr>
      <w:tr w:rsidR="0086321F" w:rsidRPr="00EB1825" w14:paraId="2F727AA3" w14:textId="77777777" w:rsidTr="00CF283B">
        <w:trPr>
          <w:trHeight w:val="20"/>
        </w:trPr>
        <w:tc>
          <w:tcPr>
            <w:cnfStyle w:val="001000000000" w:firstRow="0" w:lastRow="0" w:firstColumn="1" w:lastColumn="0" w:oddVBand="0" w:evenVBand="0" w:oddHBand="0" w:evenHBand="0" w:firstRowFirstColumn="0" w:firstRowLastColumn="0" w:lastRowFirstColumn="0" w:lastRowLastColumn="0"/>
            <w:tcW w:w="1128" w:type="pct"/>
            <w:tcBorders>
              <w:top w:val="single" w:sz="4" w:space="0" w:color="auto"/>
              <w:left w:val="single" w:sz="4" w:space="0" w:color="auto"/>
              <w:bottom w:val="single" w:sz="4" w:space="0" w:color="auto"/>
              <w:right w:val="single" w:sz="4" w:space="0" w:color="auto"/>
            </w:tcBorders>
          </w:tcPr>
          <w:p w14:paraId="6014E8CD" w14:textId="77777777" w:rsidR="004104AB" w:rsidRPr="00EB1825" w:rsidRDefault="004104AB" w:rsidP="00D835AE">
            <w:pPr>
              <w:keepNext/>
              <w:keepLines/>
              <w:jc w:val="left"/>
              <w:rPr>
                <w:rFonts w:ascii="Arial Narrow" w:hAnsi="Arial Narrow"/>
                <w:color w:val="222222"/>
                <w:sz w:val="20"/>
                <w:szCs w:val="20"/>
              </w:rPr>
            </w:pPr>
            <w:r w:rsidRPr="00EB1825">
              <w:rPr>
                <w:rFonts w:ascii="Arial Narrow" w:hAnsi="Arial Narrow"/>
                <w:color w:val="222222"/>
                <w:sz w:val="20"/>
                <w:szCs w:val="20"/>
              </w:rPr>
              <w:t>Pack cost (×30 tablets)</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D33D7FE"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NR</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8F1E4BE" w14:textId="50C725AF"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p>
        </w:tc>
        <w:tc>
          <w:tcPr>
            <w:tcW w:w="798" w:type="pct"/>
            <w:tcBorders>
              <w:top w:val="single" w:sz="4" w:space="0" w:color="auto"/>
              <w:left w:val="single" w:sz="4" w:space="0" w:color="auto"/>
              <w:bottom w:val="single" w:sz="4" w:space="0" w:color="auto"/>
              <w:right w:val="single" w:sz="4" w:space="0" w:color="auto"/>
            </w:tcBorders>
          </w:tcPr>
          <w:p w14:paraId="22E13314" w14:textId="52B3C958"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p>
        </w:tc>
        <w:tc>
          <w:tcPr>
            <w:tcW w:w="77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47148E1" w14:textId="7242E6D9"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p>
        </w:tc>
        <w:tc>
          <w:tcPr>
            <w:tcW w:w="773" w:type="pct"/>
            <w:tcBorders>
              <w:top w:val="single" w:sz="4" w:space="0" w:color="auto"/>
              <w:left w:val="single" w:sz="4" w:space="0" w:color="auto"/>
              <w:bottom w:val="single" w:sz="4" w:space="0" w:color="auto"/>
              <w:right w:val="single" w:sz="4" w:space="0" w:color="auto"/>
            </w:tcBorders>
          </w:tcPr>
          <w:p w14:paraId="7905A591" w14:textId="6C32057C"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p>
        </w:tc>
      </w:tr>
      <w:tr w:rsidR="0086321F" w:rsidRPr="00EB1825" w14:paraId="164D24DD" w14:textId="77777777" w:rsidTr="00CF283B">
        <w:trPr>
          <w:trHeight w:val="20"/>
        </w:trPr>
        <w:tc>
          <w:tcPr>
            <w:cnfStyle w:val="001000000000" w:firstRow="0" w:lastRow="0" w:firstColumn="1" w:lastColumn="0" w:oddVBand="0" w:evenVBand="0" w:oddHBand="0" w:evenHBand="0" w:firstRowFirstColumn="0" w:firstRowLastColumn="0" w:lastRowFirstColumn="0" w:lastRowLastColumn="0"/>
            <w:tcW w:w="1128" w:type="pct"/>
            <w:tcBorders>
              <w:top w:val="single" w:sz="4" w:space="0" w:color="auto"/>
              <w:left w:val="single" w:sz="4" w:space="0" w:color="auto"/>
              <w:bottom w:val="single" w:sz="4" w:space="0" w:color="auto"/>
              <w:right w:val="single" w:sz="4" w:space="0" w:color="auto"/>
            </w:tcBorders>
            <w:hideMark/>
          </w:tcPr>
          <w:p w14:paraId="6B511558" w14:textId="77777777" w:rsidR="004104AB" w:rsidRPr="00EB1825" w:rsidRDefault="004104AB" w:rsidP="00D835AE">
            <w:pPr>
              <w:keepNext/>
              <w:keepLines/>
              <w:spacing w:before="0" w:beforeAutospacing="0" w:after="0" w:afterAutospacing="0"/>
              <w:jc w:val="left"/>
              <w:rPr>
                <w:rFonts w:ascii="Arial Narrow" w:hAnsi="Arial Narrow"/>
                <w:color w:val="222222"/>
                <w:sz w:val="20"/>
                <w:szCs w:val="20"/>
              </w:rPr>
            </w:pPr>
            <w:r w:rsidRPr="00EB1825">
              <w:rPr>
                <w:rFonts w:ascii="Arial Narrow" w:hAnsi="Arial Narrow"/>
                <w:color w:val="222222"/>
                <w:sz w:val="20"/>
                <w:szCs w:val="20"/>
              </w:rPr>
              <w:t>Unit cost</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ACB53A"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NR</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CB1270C" w14:textId="41345BF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p>
        </w:tc>
        <w:tc>
          <w:tcPr>
            <w:tcW w:w="798" w:type="pct"/>
            <w:tcBorders>
              <w:top w:val="single" w:sz="4" w:space="0" w:color="auto"/>
              <w:left w:val="single" w:sz="4" w:space="0" w:color="auto"/>
              <w:bottom w:val="single" w:sz="4" w:space="0" w:color="auto"/>
              <w:right w:val="single" w:sz="4" w:space="0" w:color="auto"/>
            </w:tcBorders>
            <w:hideMark/>
          </w:tcPr>
          <w:p w14:paraId="5333BAF2" w14:textId="225E02F2"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p>
        </w:tc>
        <w:tc>
          <w:tcPr>
            <w:tcW w:w="77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97A99D" w14:textId="23126CE8"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p>
        </w:tc>
        <w:tc>
          <w:tcPr>
            <w:tcW w:w="773" w:type="pct"/>
            <w:tcBorders>
              <w:top w:val="single" w:sz="4" w:space="0" w:color="auto"/>
              <w:left w:val="single" w:sz="4" w:space="0" w:color="auto"/>
              <w:bottom w:val="single" w:sz="4" w:space="0" w:color="auto"/>
              <w:right w:val="single" w:sz="4" w:space="0" w:color="auto"/>
            </w:tcBorders>
          </w:tcPr>
          <w:p w14:paraId="0F529B65" w14:textId="3FDFF8A8"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highlight w:val="yellow"/>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p>
        </w:tc>
      </w:tr>
      <w:tr w:rsidR="0086321F" w:rsidRPr="00EB1825" w14:paraId="45DFD6C8" w14:textId="77777777" w:rsidTr="00CF283B">
        <w:trPr>
          <w:trHeight w:val="20"/>
        </w:trPr>
        <w:tc>
          <w:tcPr>
            <w:cnfStyle w:val="001000000000" w:firstRow="0" w:lastRow="0" w:firstColumn="1" w:lastColumn="0" w:oddVBand="0" w:evenVBand="0" w:oddHBand="0" w:evenHBand="0" w:firstRowFirstColumn="0" w:firstRowLastColumn="0" w:lastRowFirstColumn="0" w:lastRowLastColumn="0"/>
            <w:tcW w:w="1128" w:type="pct"/>
            <w:tcBorders>
              <w:top w:val="single" w:sz="4" w:space="0" w:color="auto"/>
              <w:left w:val="single" w:sz="4" w:space="0" w:color="auto"/>
              <w:bottom w:val="single" w:sz="4" w:space="0" w:color="auto"/>
              <w:right w:val="single" w:sz="4" w:space="0" w:color="auto"/>
            </w:tcBorders>
            <w:hideMark/>
          </w:tcPr>
          <w:p w14:paraId="3E13D8BF" w14:textId="77777777" w:rsidR="004104AB" w:rsidRPr="00EB1825" w:rsidRDefault="004104AB" w:rsidP="00D835AE">
            <w:pPr>
              <w:keepNext/>
              <w:keepLines/>
              <w:spacing w:before="0" w:beforeAutospacing="0" w:after="0" w:afterAutospacing="0"/>
              <w:jc w:val="left"/>
              <w:rPr>
                <w:rFonts w:ascii="Arial Narrow" w:hAnsi="Arial Narrow"/>
                <w:color w:val="222222"/>
                <w:sz w:val="20"/>
                <w:szCs w:val="20"/>
              </w:rPr>
            </w:pPr>
            <w:r w:rsidRPr="00EB1825">
              <w:rPr>
                <w:rFonts w:ascii="Arial Narrow" w:hAnsi="Arial Narrow"/>
                <w:color w:val="222222"/>
                <w:sz w:val="20"/>
                <w:szCs w:val="20"/>
              </w:rPr>
              <w:t>Compliance rate</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A6EEE62"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 xml:space="preserve">68.1% </w:t>
            </w:r>
            <w:r w:rsidRPr="00EB1825">
              <w:rPr>
                <w:rFonts w:ascii="Arial Narrow" w:hAnsi="Arial Narrow"/>
                <w:color w:val="222222"/>
                <w:sz w:val="20"/>
                <w:szCs w:val="20"/>
                <w:vertAlign w:val="superscript"/>
              </w:rPr>
              <w:t>d</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BBD4A8"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100%</w:t>
            </w:r>
          </w:p>
        </w:tc>
        <w:tc>
          <w:tcPr>
            <w:tcW w:w="798" w:type="pct"/>
            <w:tcBorders>
              <w:top w:val="single" w:sz="4" w:space="0" w:color="auto"/>
              <w:left w:val="single" w:sz="4" w:space="0" w:color="auto"/>
              <w:bottom w:val="single" w:sz="4" w:space="0" w:color="auto"/>
              <w:right w:val="single" w:sz="4" w:space="0" w:color="auto"/>
            </w:tcBorders>
            <w:hideMark/>
          </w:tcPr>
          <w:p w14:paraId="3CDA0D91"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 xml:space="preserve">77.9% </w:t>
            </w:r>
            <w:r w:rsidRPr="00EB1825">
              <w:rPr>
                <w:rFonts w:ascii="Arial Narrow" w:hAnsi="Arial Narrow"/>
                <w:color w:val="222222"/>
                <w:sz w:val="20"/>
                <w:szCs w:val="20"/>
                <w:vertAlign w:val="superscript"/>
              </w:rPr>
              <w:t>e</w:t>
            </w:r>
          </w:p>
        </w:tc>
        <w:tc>
          <w:tcPr>
            <w:tcW w:w="77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4475A08"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 xml:space="preserve">72.6% </w:t>
            </w:r>
            <w:r w:rsidRPr="00EB1825">
              <w:rPr>
                <w:rFonts w:ascii="Arial Narrow" w:hAnsi="Arial Narrow"/>
                <w:color w:val="222222"/>
                <w:sz w:val="20"/>
                <w:szCs w:val="20"/>
                <w:vertAlign w:val="superscript"/>
              </w:rPr>
              <w:t>f</w:t>
            </w:r>
          </w:p>
        </w:tc>
        <w:tc>
          <w:tcPr>
            <w:tcW w:w="773" w:type="pct"/>
            <w:tcBorders>
              <w:top w:val="single" w:sz="4" w:space="0" w:color="auto"/>
              <w:left w:val="single" w:sz="4" w:space="0" w:color="auto"/>
              <w:bottom w:val="single" w:sz="4" w:space="0" w:color="auto"/>
              <w:right w:val="single" w:sz="4" w:space="0" w:color="auto"/>
            </w:tcBorders>
          </w:tcPr>
          <w:p w14:paraId="10559D08"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highlight w:val="yellow"/>
              </w:rPr>
            </w:pPr>
            <w:r w:rsidRPr="00EB1825">
              <w:rPr>
                <w:rFonts w:ascii="Arial Narrow" w:hAnsi="Arial Narrow"/>
                <w:color w:val="222222"/>
                <w:sz w:val="20"/>
                <w:szCs w:val="20"/>
              </w:rPr>
              <w:t xml:space="preserve">77.9% </w:t>
            </w:r>
            <w:r w:rsidRPr="00EB1825">
              <w:rPr>
                <w:rFonts w:ascii="Arial Narrow" w:hAnsi="Arial Narrow"/>
                <w:color w:val="222222"/>
                <w:sz w:val="20"/>
                <w:szCs w:val="20"/>
                <w:vertAlign w:val="superscript"/>
              </w:rPr>
              <w:t>e</w:t>
            </w:r>
          </w:p>
        </w:tc>
      </w:tr>
      <w:tr w:rsidR="0086321F" w:rsidRPr="00EB1825" w14:paraId="546B3DCA" w14:textId="77777777" w:rsidTr="00CF283B">
        <w:trPr>
          <w:trHeight w:val="20"/>
        </w:trPr>
        <w:tc>
          <w:tcPr>
            <w:cnfStyle w:val="001000000000" w:firstRow="0" w:lastRow="0" w:firstColumn="1" w:lastColumn="0" w:oddVBand="0" w:evenVBand="0" w:oddHBand="0" w:evenHBand="0" w:firstRowFirstColumn="0" w:firstRowLastColumn="0" w:lastRowFirstColumn="0" w:lastRowLastColumn="0"/>
            <w:tcW w:w="1128" w:type="pct"/>
            <w:tcBorders>
              <w:top w:val="single" w:sz="4" w:space="0" w:color="auto"/>
              <w:left w:val="single" w:sz="4" w:space="0" w:color="auto"/>
              <w:bottom w:val="single" w:sz="4" w:space="0" w:color="auto"/>
              <w:right w:val="single" w:sz="4" w:space="0" w:color="auto"/>
            </w:tcBorders>
            <w:hideMark/>
          </w:tcPr>
          <w:p w14:paraId="2AB5310B" w14:textId="77777777" w:rsidR="004104AB" w:rsidRPr="00EB1825" w:rsidRDefault="004104AB" w:rsidP="00D835AE">
            <w:pPr>
              <w:keepNext/>
              <w:keepLines/>
              <w:spacing w:before="0" w:beforeAutospacing="0" w:after="0" w:afterAutospacing="0"/>
              <w:jc w:val="left"/>
              <w:rPr>
                <w:rFonts w:ascii="Arial Narrow" w:hAnsi="Arial Narrow"/>
                <w:color w:val="222222"/>
                <w:sz w:val="20"/>
                <w:szCs w:val="20"/>
              </w:rPr>
            </w:pPr>
            <w:r w:rsidRPr="00EB1825">
              <w:rPr>
                <w:rFonts w:ascii="Arial Narrow" w:hAnsi="Arial Narrow"/>
                <w:color w:val="222222"/>
                <w:sz w:val="20"/>
                <w:szCs w:val="20"/>
              </w:rPr>
              <w:t>Cost/patient/month</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4273217"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NR</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EB94D95" w14:textId="23AF1B63"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r w:rsidRPr="00EB1825">
              <w:rPr>
                <w:rFonts w:ascii="Arial Narrow" w:hAnsi="Arial Narrow"/>
                <w:color w:val="222222"/>
                <w:sz w:val="20"/>
                <w:szCs w:val="20"/>
              </w:rPr>
              <w:t xml:space="preserve"> </w:t>
            </w:r>
            <w:r w:rsidRPr="00EB1825">
              <w:rPr>
                <w:rFonts w:ascii="Arial Narrow" w:hAnsi="Arial Narrow"/>
                <w:color w:val="222222"/>
                <w:sz w:val="20"/>
                <w:szCs w:val="20"/>
                <w:vertAlign w:val="superscript"/>
              </w:rPr>
              <w:t>g</w:t>
            </w:r>
          </w:p>
        </w:tc>
        <w:tc>
          <w:tcPr>
            <w:tcW w:w="798" w:type="pct"/>
            <w:tcBorders>
              <w:top w:val="single" w:sz="4" w:space="0" w:color="auto"/>
              <w:left w:val="single" w:sz="4" w:space="0" w:color="auto"/>
              <w:bottom w:val="single" w:sz="4" w:space="0" w:color="auto"/>
              <w:right w:val="single" w:sz="4" w:space="0" w:color="auto"/>
            </w:tcBorders>
            <w:hideMark/>
          </w:tcPr>
          <w:p w14:paraId="55E233EE" w14:textId="7DC83739"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highlight w:val="yellow"/>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r w:rsidRPr="00EB1825">
              <w:rPr>
                <w:rFonts w:ascii="Arial Narrow" w:hAnsi="Arial Narrow"/>
                <w:color w:val="222222"/>
                <w:sz w:val="20"/>
                <w:szCs w:val="20"/>
              </w:rPr>
              <w:t xml:space="preserve"> </w:t>
            </w:r>
            <w:r w:rsidRPr="00EB1825">
              <w:rPr>
                <w:rFonts w:ascii="Arial Narrow" w:hAnsi="Arial Narrow"/>
                <w:color w:val="222222"/>
                <w:sz w:val="20"/>
                <w:szCs w:val="20"/>
                <w:vertAlign w:val="superscript"/>
              </w:rPr>
              <w:t>g</w:t>
            </w:r>
          </w:p>
        </w:tc>
        <w:tc>
          <w:tcPr>
            <w:tcW w:w="77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EF1364" w14:textId="41416253"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r w:rsidRPr="00EB1825">
              <w:rPr>
                <w:rFonts w:ascii="Arial Narrow" w:hAnsi="Arial Narrow"/>
                <w:color w:val="222222"/>
                <w:sz w:val="20"/>
                <w:szCs w:val="20"/>
              </w:rPr>
              <w:t xml:space="preserve"> </w:t>
            </w:r>
            <w:r w:rsidRPr="00EB1825">
              <w:rPr>
                <w:rFonts w:ascii="Arial Narrow" w:hAnsi="Arial Narrow"/>
                <w:color w:val="222222"/>
                <w:sz w:val="20"/>
                <w:szCs w:val="20"/>
                <w:vertAlign w:val="superscript"/>
              </w:rPr>
              <w:t>h</w:t>
            </w:r>
          </w:p>
        </w:tc>
        <w:tc>
          <w:tcPr>
            <w:tcW w:w="773" w:type="pct"/>
            <w:tcBorders>
              <w:top w:val="single" w:sz="4" w:space="0" w:color="auto"/>
              <w:left w:val="single" w:sz="4" w:space="0" w:color="auto"/>
              <w:bottom w:val="single" w:sz="4" w:space="0" w:color="auto"/>
              <w:right w:val="single" w:sz="4" w:space="0" w:color="auto"/>
            </w:tcBorders>
          </w:tcPr>
          <w:p w14:paraId="2BC7CCAE" w14:textId="53168263"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highlight w:val="yellow"/>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r w:rsidRPr="00EB1825">
              <w:rPr>
                <w:rFonts w:ascii="Arial Narrow" w:hAnsi="Arial Narrow"/>
                <w:color w:val="222222"/>
                <w:sz w:val="20"/>
                <w:szCs w:val="20"/>
              </w:rPr>
              <w:t xml:space="preserve"> </w:t>
            </w:r>
            <w:r w:rsidRPr="00EB1825">
              <w:rPr>
                <w:rFonts w:ascii="Arial Narrow" w:hAnsi="Arial Narrow"/>
                <w:color w:val="222222"/>
                <w:sz w:val="20"/>
                <w:szCs w:val="20"/>
                <w:vertAlign w:val="superscript"/>
              </w:rPr>
              <w:t>i</w:t>
            </w:r>
          </w:p>
        </w:tc>
      </w:tr>
      <w:tr w:rsidR="0086321F" w:rsidRPr="00EB1825" w14:paraId="358ED18F" w14:textId="77777777" w:rsidTr="00CF283B">
        <w:trPr>
          <w:trHeight w:val="20"/>
        </w:trPr>
        <w:tc>
          <w:tcPr>
            <w:cnfStyle w:val="001000000000" w:firstRow="0" w:lastRow="0" w:firstColumn="1" w:lastColumn="0" w:oddVBand="0" w:evenVBand="0" w:oddHBand="0" w:evenHBand="0" w:firstRowFirstColumn="0" w:firstRowLastColumn="0" w:lastRowFirstColumn="0" w:lastRowLastColumn="0"/>
            <w:tcW w:w="1128" w:type="pct"/>
            <w:tcBorders>
              <w:top w:val="single" w:sz="4" w:space="0" w:color="auto"/>
              <w:left w:val="single" w:sz="4" w:space="0" w:color="auto"/>
              <w:bottom w:val="single" w:sz="4" w:space="0" w:color="auto"/>
              <w:right w:val="single" w:sz="4" w:space="0" w:color="auto"/>
            </w:tcBorders>
            <w:hideMark/>
          </w:tcPr>
          <w:p w14:paraId="51557201" w14:textId="06AA2043" w:rsidR="004104AB" w:rsidRPr="00EB1825" w:rsidRDefault="004104AB" w:rsidP="00D835AE">
            <w:pPr>
              <w:keepNext/>
              <w:keepLines/>
              <w:spacing w:before="0" w:beforeAutospacing="0" w:after="0" w:afterAutospacing="0"/>
              <w:jc w:val="left"/>
              <w:rPr>
                <w:rFonts w:ascii="Arial Narrow" w:hAnsi="Arial Narrow"/>
                <w:color w:val="222222"/>
                <w:sz w:val="20"/>
                <w:szCs w:val="20"/>
              </w:rPr>
            </w:pPr>
            <w:r w:rsidRPr="00EB1825">
              <w:rPr>
                <w:rFonts w:ascii="Arial Narrow" w:hAnsi="Arial Narrow"/>
                <w:color w:val="222222"/>
                <w:sz w:val="20"/>
                <w:szCs w:val="20"/>
              </w:rPr>
              <w:t>Cost/patient</w:t>
            </w:r>
            <w:r w:rsidR="0059484E">
              <w:rPr>
                <w:rFonts w:ascii="Arial Narrow" w:hAnsi="Arial Narrow"/>
                <w:color w:val="222222"/>
                <w:sz w:val="20"/>
                <w:szCs w:val="20"/>
              </w:rPr>
              <w:t>/year</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6035F69" w14:textId="77777777" w:rsidR="004104AB" w:rsidRPr="00EB182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rPr>
            </w:pPr>
            <w:r w:rsidRPr="00EB1825">
              <w:rPr>
                <w:rFonts w:ascii="Arial Narrow" w:hAnsi="Arial Narrow"/>
                <w:color w:val="222222"/>
                <w:sz w:val="20"/>
                <w:szCs w:val="20"/>
              </w:rPr>
              <w:t>NR</w:t>
            </w:r>
          </w:p>
        </w:tc>
        <w:tc>
          <w:tcPr>
            <w:tcW w:w="7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D1BC373" w14:textId="67E040C2" w:rsidR="004104AB" w:rsidRPr="0059484E"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vertAlign w:val="superscript"/>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r w:rsidRPr="00EB1825">
              <w:rPr>
                <w:rFonts w:ascii="Arial Narrow" w:hAnsi="Arial Narrow"/>
                <w:color w:val="222222"/>
                <w:sz w:val="20"/>
                <w:szCs w:val="20"/>
              </w:rPr>
              <w:t xml:space="preserve"> </w:t>
            </w:r>
            <w:r w:rsidRPr="00EB1825">
              <w:rPr>
                <w:rFonts w:ascii="Arial Narrow" w:hAnsi="Arial Narrow"/>
                <w:color w:val="222222"/>
                <w:sz w:val="20"/>
                <w:szCs w:val="20"/>
                <w:vertAlign w:val="superscript"/>
              </w:rPr>
              <w:t>j</w:t>
            </w:r>
          </w:p>
        </w:tc>
        <w:tc>
          <w:tcPr>
            <w:tcW w:w="798" w:type="pct"/>
            <w:tcBorders>
              <w:top w:val="single" w:sz="4" w:space="0" w:color="auto"/>
              <w:left w:val="single" w:sz="4" w:space="0" w:color="auto"/>
              <w:bottom w:val="single" w:sz="4" w:space="0" w:color="auto"/>
              <w:right w:val="single" w:sz="4" w:space="0" w:color="auto"/>
            </w:tcBorders>
            <w:hideMark/>
          </w:tcPr>
          <w:p w14:paraId="3EDFCA04" w14:textId="12997AFC" w:rsidR="004104AB" w:rsidRPr="0059484E"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vertAlign w:val="superscript"/>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r w:rsidRPr="00EB1825">
              <w:rPr>
                <w:rFonts w:ascii="Arial Narrow" w:hAnsi="Arial Narrow"/>
                <w:color w:val="222222"/>
                <w:sz w:val="20"/>
                <w:szCs w:val="20"/>
              </w:rPr>
              <w:t xml:space="preserve"> </w:t>
            </w:r>
            <w:r w:rsidRPr="00EB1825">
              <w:rPr>
                <w:rFonts w:ascii="Arial Narrow" w:hAnsi="Arial Narrow"/>
                <w:color w:val="222222"/>
                <w:sz w:val="20"/>
                <w:szCs w:val="20"/>
                <w:vertAlign w:val="superscript"/>
              </w:rPr>
              <w:t>j</w:t>
            </w:r>
          </w:p>
        </w:tc>
        <w:tc>
          <w:tcPr>
            <w:tcW w:w="77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CA9115" w14:textId="6D2EF3DA" w:rsidR="004104AB" w:rsidRPr="00A357F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vertAlign w:val="superscript"/>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r w:rsidRPr="00EB1825">
              <w:rPr>
                <w:rFonts w:ascii="Arial Narrow" w:hAnsi="Arial Narrow"/>
                <w:color w:val="222222"/>
                <w:sz w:val="20"/>
                <w:szCs w:val="20"/>
              </w:rPr>
              <w:t xml:space="preserve"> </w:t>
            </w:r>
            <w:r w:rsidRPr="00EB1825">
              <w:rPr>
                <w:rFonts w:ascii="Arial Narrow" w:hAnsi="Arial Narrow"/>
                <w:color w:val="222222"/>
                <w:sz w:val="20"/>
                <w:szCs w:val="20"/>
                <w:vertAlign w:val="superscript"/>
              </w:rPr>
              <w:t>k</w:t>
            </w:r>
          </w:p>
        </w:tc>
        <w:tc>
          <w:tcPr>
            <w:tcW w:w="773" w:type="pct"/>
            <w:tcBorders>
              <w:top w:val="single" w:sz="4" w:space="0" w:color="auto"/>
              <w:left w:val="single" w:sz="4" w:space="0" w:color="auto"/>
              <w:bottom w:val="single" w:sz="4" w:space="0" w:color="auto"/>
              <w:right w:val="single" w:sz="4" w:space="0" w:color="auto"/>
            </w:tcBorders>
          </w:tcPr>
          <w:p w14:paraId="6B9F2C3D" w14:textId="71FA2924" w:rsidR="004104AB" w:rsidRPr="00A357F5" w:rsidRDefault="004104AB" w:rsidP="00D835AE">
            <w:pPr>
              <w:keepNext/>
              <w:keepLines/>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222222"/>
                <w:sz w:val="20"/>
                <w:szCs w:val="20"/>
                <w:vertAlign w:val="superscript"/>
              </w:rPr>
            </w:pPr>
            <w:r w:rsidRPr="00EB1825">
              <w:rPr>
                <w:rFonts w:ascii="Arial Narrow" w:hAnsi="Arial Narrow"/>
                <w:color w:val="222222"/>
                <w:sz w:val="20"/>
                <w:szCs w:val="20"/>
              </w:rPr>
              <w:t>$</w:t>
            </w:r>
            <w:r w:rsidR="00E901B5" w:rsidRPr="00E901B5">
              <w:rPr>
                <w:rFonts w:ascii="Arial Narrow" w:hAnsi="Arial Narrow"/>
                <w:color w:val="222222"/>
                <w:sz w:val="20"/>
                <w:szCs w:val="20"/>
                <w:highlight w:val="black"/>
              </w:rPr>
              <w:t>&amp;&amp;&amp;&amp;</w:t>
            </w:r>
            <w:r w:rsidRPr="00EB1825">
              <w:rPr>
                <w:rFonts w:ascii="Arial Narrow" w:hAnsi="Arial Narrow"/>
                <w:color w:val="222222"/>
                <w:sz w:val="20"/>
                <w:szCs w:val="20"/>
              </w:rPr>
              <w:t xml:space="preserve"> </w:t>
            </w:r>
            <w:r w:rsidRPr="00EB1825">
              <w:rPr>
                <w:rFonts w:ascii="Arial Narrow" w:hAnsi="Arial Narrow"/>
                <w:color w:val="222222"/>
                <w:sz w:val="20"/>
                <w:szCs w:val="20"/>
                <w:vertAlign w:val="superscript"/>
              </w:rPr>
              <w:t>l, m</w:t>
            </w:r>
          </w:p>
        </w:tc>
      </w:tr>
    </w:tbl>
    <w:p w14:paraId="0FD7256F" w14:textId="77777777" w:rsidR="004104AB" w:rsidRPr="00EB1825" w:rsidRDefault="004104AB" w:rsidP="00D835AE">
      <w:pPr>
        <w:pStyle w:val="FooterTableFigure"/>
        <w:keepNext/>
        <w:keepLines/>
      </w:pPr>
      <w:r w:rsidRPr="00EB1825">
        <w:t xml:space="preserve">Source: compiled during the evaluation </w:t>
      </w:r>
    </w:p>
    <w:p w14:paraId="4BC3CAEC" w14:textId="77777777" w:rsidR="004104AB" w:rsidRPr="00EB1825" w:rsidRDefault="004104AB" w:rsidP="00D835AE">
      <w:pPr>
        <w:pStyle w:val="FooterTableFigure"/>
        <w:keepNext/>
        <w:keepLines/>
        <w:spacing w:after="0"/>
        <w:rPr>
          <w:rStyle w:val="CommentReference"/>
          <w:b w:val="0"/>
          <w:bCs/>
          <w:sz w:val="18"/>
          <w:szCs w:val="18"/>
        </w:rPr>
      </w:pPr>
      <w:r w:rsidRPr="00EB1825">
        <w:rPr>
          <w:rStyle w:val="CommentReference"/>
          <w:b w:val="0"/>
          <w:bCs/>
          <w:sz w:val="18"/>
          <w:szCs w:val="18"/>
        </w:rPr>
        <w:t>NR=not reported; resub=resubmission; sub=submission.</w:t>
      </w:r>
    </w:p>
    <w:p w14:paraId="314C9108" w14:textId="77777777" w:rsidR="004104AB" w:rsidRPr="00EB1825" w:rsidRDefault="004104AB" w:rsidP="00D835AE">
      <w:pPr>
        <w:pStyle w:val="TableFooter"/>
        <w:keepNext/>
        <w:ind w:left="165" w:hanging="165"/>
      </w:pPr>
      <w:r w:rsidRPr="00EB1825">
        <w:rPr>
          <w:vertAlign w:val="superscript"/>
        </w:rPr>
        <w:t>a</w:t>
      </w:r>
      <w:r w:rsidRPr="00EB1825">
        <w:tab/>
        <w:t xml:space="preserve">Mean treatment duration was 144.3 and 157.4 days in no treatment and </w:t>
      </w:r>
      <w:proofErr w:type="spellStart"/>
      <w:r w:rsidRPr="00EB1825">
        <w:t>fezolinetant</w:t>
      </w:r>
      <w:proofErr w:type="spellEnd"/>
      <w:r w:rsidRPr="00EB1825">
        <w:t xml:space="preserve"> arms, respectively. Median treatment duration was 168.0 days in both arms (Table 9.2.1.1.1, DAYLIGHT CSR). The median trial duration was 24 weeks plus three weeks safety follow-up.</w:t>
      </w:r>
    </w:p>
    <w:p w14:paraId="6164BCD1" w14:textId="77777777" w:rsidR="004104AB" w:rsidRPr="00EB1825" w:rsidRDefault="004104AB" w:rsidP="00D835AE">
      <w:pPr>
        <w:pStyle w:val="TableFooter"/>
        <w:keepNext/>
        <w:ind w:left="165" w:hanging="165"/>
      </w:pPr>
      <w:r w:rsidRPr="00EB1825">
        <w:rPr>
          <w:vertAlign w:val="superscript"/>
        </w:rPr>
        <w:t>b</w:t>
      </w:r>
      <w:r w:rsidRPr="00EB1825">
        <w:tab/>
        <w:t>This was captured from the economic model (Attachment 12 of the submission, CEA, ‘</w:t>
      </w:r>
      <w:proofErr w:type="spellStart"/>
      <w:r w:rsidRPr="00EB1825">
        <w:t>Fezolinetant</w:t>
      </w:r>
      <w:proofErr w:type="spellEnd"/>
      <w:r w:rsidRPr="00EB1825">
        <w:t xml:space="preserve"> Trace’ worksheet, Cell BB85).</w:t>
      </w:r>
    </w:p>
    <w:p w14:paraId="70AC80C1" w14:textId="44F1252C" w:rsidR="004104AB" w:rsidRPr="00EB1825" w:rsidRDefault="004104AB" w:rsidP="00D835AE">
      <w:pPr>
        <w:pStyle w:val="TableFooter"/>
        <w:keepNext/>
        <w:ind w:left="165" w:hanging="165"/>
      </w:pPr>
      <w:r w:rsidRPr="00EB1825">
        <w:rPr>
          <w:vertAlign w:val="superscript"/>
        </w:rPr>
        <w:t>c</w:t>
      </w:r>
      <w:r w:rsidRPr="00EB1825">
        <w:tab/>
        <w:t xml:space="preserve">This was estimated from the discontinuation rate reported in DAYLIGHT at 24 weeks (13.72%). Annual discontinuation rate was used to estimate the average treatment duration of 265.29 days (=365.25 days*(1-27.4%)). The resubmission’s approach to calculate the annual discontinuation rate from the 24-week rate may be subject to some uncertainty, as discussed in </w:t>
      </w:r>
      <w:r w:rsidRPr="00EB1825">
        <w:fldChar w:fldCharType="begin"/>
      </w:r>
      <w:r w:rsidRPr="00EB1825">
        <w:instrText xml:space="preserve"> REF _Ref184049924 \h  \* MERGEFORMAT </w:instrText>
      </w:r>
      <w:r w:rsidRPr="00EB1825">
        <w:fldChar w:fldCharType="separate"/>
      </w:r>
      <w:r w:rsidR="00946DF5" w:rsidRPr="00EB1825">
        <w:t xml:space="preserve">Table </w:t>
      </w:r>
      <w:r w:rsidR="00946DF5">
        <w:rPr>
          <w:noProof/>
        </w:rPr>
        <w:t>19</w:t>
      </w:r>
      <w:r w:rsidRPr="00EB1825">
        <w:fldChar w:fldCharType="end"/>
      </w:r>
      <w:r w:rsidRPr="00EB1825">
        <w:t xml:space="preserve">. </w:t>
      </w:r>
    </w:p>
    <w:p w14:paraId="24D45C5C" w14:textId="77777777" w:rsidR="004104AB" w:rsidRPr="00EB1825" w:rsidRDefault="004104AB" w:rsidP="00D835AE">
      <w:pPr>
        <w:pStyle w:val="TableFooter"/>
        <w:keepNext/>
        <w:ind w:left="165" w:hanging="165"/>
      </w:pPr>
      <w:r w:rsidRPr="00EB1825">
        <w:rPr>
          <w:vertAlign w:val="superscript"/>
        </w:rPr>
        <w:t>d</w:t>
      </w:r>
      <w:r w:rsidRPr="00EB1825">
        <w:tab/>
      </w:r>
      <w:proofErr w:type="gramStart"/>
      <w:r w:rsidRPr="00EB1825">
        <w:t>The</w:t>
      </w:r>
      <w:proofErr w:type="gramEnd"/>
      <w:r w:rsidRPr="00EB1825">
        <w:t xml:space="preserve"> proportion of patients with at least 24 weeks of treatment were 68.1% for </w:t>
      </w:r>
      <w:proofErr w:type="spellStart"/>
      <w:r w:rsidRPr="00EB1825">
        <w:t>fezolinetant</w:t>
      </w:r>
      <w:proofErr w:type="spellEnd"/>
      <w:r w:rsidRPr="00EB1825">
        <w:t xml:space="preserve"> 45 mg and 65.5% for placebo (Table 9, p29 of DAYLIGHT CSR).</w:t>
      </w:r>
    </w:p>
    <w:p w14:paraId="01E7ECCC" w14:textId="77777777" w:rsidR="004104AB" w:rsidRPr="00EB1825" w:rsidRDefault="004104AB" w:rsidP="00D835AE">
      <w:pPr>
        <w:pStyle w:val="TableFooter"/>
        <w:keepNext/>
        <w:ind w:left="165" w:hanging="165"/>
      </w:pPr>
      <w:r w:rsidRPr="00EB1825">
        <w:rPr>
          <w:vertAlign w:val="superscript"/>
        </w:rPr>
        <w:t>e</w:t>
      </w:r>
      <w:r w:rsidRPr="00EB1825">
        <w:tab/>
        <w:t xml:space="preserve">Compliance rate of 77.9% was estimated using the utilisation and compliance data for </w:t>
      </w:r>
      <w:proofErr w:type="spellStart"/>
      <w:r w:rsidRPr="00EB1825">
        <w:t>fezolinetant</w:t>
      </w:r>
      <w:proofErr w:type="spellEnd"/>
      <w:r w:rsidRPr="00EB1825">
        <w:t xml:space="preserve"> from 10 countries where the treatment was available, including Australia. In Australia, the compliance rate was 73% over 12 months on the market, while the average across the 10 countries was 77.9% over an average observation period of 13 months.</w:t>
      </w:r>
    </w:p>
    <w:p w14:paraId="39740A81" w14:textId="77777777" w:rsidR="004104AB" w:rsidRPr="00EB1825" w:rsidRDefault="004104AB" w:rsidP="00D835AE">
      <w:pPr>
        <w:pStyle w:val="TableFooter"/>
        <w:keepNext/>
        <w:ind w:left="165" w:hanging="165"/>
        <w:rPr>
          <w:vertAlign w:val="superscript"/>
        </w:rPr>
      </w:pPr>
      <w:r w:rsidRPr="00EB1825">
        <w:rPr>
          <w:vertAlign w:val="superscript"/>
        </w:rPr>
        <w:t>f</w:t>
      </w:r>
      <w:r w:rsidRPr="00EB1825">
        <w:tab/>
        <w:t>Compliance rate of 72.6% was derived from a 24-week discontinuation probability of 13.72% from the DAYLIGHT trial (Table 9.1.1.3.2, DAYLIGHT trial CSR).</w:t>
      </w:r>
    </w:p>
    <w:p w14:paraId="33C3B9C7" w14:textId="77777777" w:rsidR="004104AB" w:rsidRPr="00EB1825" w:rsidRDefault="004104AB" w:rsidP="00D835AE">
      <w:pPr>
        <w:pStyle w:val="TableFooter"/>
        <w:keepNext/>
      </w:pPr>
      <w:r w:rsidRPr="00EB1825">
        <w:rPr>
          <w:vertAlign w:val="superscript"/>
        </w:rPr>
        <w:t>g</w:t>
      </w:r>
      <w:r w:rsidRPr="00EB1825">
        <w:tab/>
        <w:t>Calculated as: per tab cost × month length (30.42 days) × compliance rate.</w:t>
      </w:r>
    </w:p>
    <w:p w14:paraId="76BAD9A3" w14:textId="77777777" w:rsidR="004104AB" w:rsidRPr="00EB1825" w:rsidRDefault="004104AB" w:rsidP="00D835AE">
      <w:pPr>
        <w:pStyle w:val="TableFooter"/>
        <w:keepNext/>
      </w:pPr>
      <w:r w:rsidRPr="00EB1825">
        <w:rPr>
          <w:vertAlign w:val="superscript"/>
        </w:rPr>
        <w:t>h</w:t>
      </w:r>
      <w:r w:rsidRPr="00EB1825">
        <w:tab/>
        <w:t>Calculated as 8.843 scripts per year (accounting for compliance rate) × cost/script, divided by 12 to represent monthly cost of treatment.</w:t>
      </w:r>
    </w:p>
    <w:p w14:paraId="793C33F4" w14:textId="77777777" w:rsidR="004104AB" w:rsidRPr="00EB1825" w:rsidRDefault="004104AB" w:rsidP="00D835AE">
      <w:pPr>
        <w:pStyle w:val="TableFooter"/>
        <w:keepNext/>
      </w:pPr>
      <w:r w:rsidRPr="00EB1825">
        <w:rPr>
          <w:vertAlign w:val="superscript"/>
        </w:rPr>
        <w:t>i</w:t>
      </w:r>
      <w:r w:rsidRPr="00EB1825">
        <w:tab/>
        <w:t>Calculated as 9.48 scripts per year (accounting for compliance rate) × cost/script, divided by 12 to represent monthly cost of treatment.</w:t>
      </w:r>
    </w:p>
    <w:p w14:paraId="15A20DA8" w14:textId="163D52FB" w:rsidR="004104AB" w:rsidRPr="00EB1825" w:rsidRDefault="004104AB" w:rsidP="00D835AE">
      <w:pPr>
        <w:pStyle w:val="TableFooter"/>
        <w:keepNext/>
      </w:pPr>
      <w:r w:rsidRPr="00EB1825">
        <w:rPr>
          <w:vertAlign w:val="superscript"/>
        </w:rPr>
        <w:t>j</w:t>
      </w:r>
      <w:r w:rsidRPr="00EB1825">
        <w:tab/>
        <w:t>Cost per patient per</w:t>
      </w:r>
      <w:r w:rsidR="00044710">
        <w:t xml:space="preserve"> month x 12</w:t>
      </w:r>
      <w:r w:rsidRPr="00EB1825">
        <w:t>.</w:t>
      </w:r>
    </w:p>
    <w:p w14:paraId="04F29CCF" w14:textId="77777777" w:rsidR="004104AB" w:rsidRPr="00EB1825" w:rsidRDefault="004104AB" w:rsidP="00D835AE">
      <w:pPr>
        <w:pStyle w:val="TableFooter"/>
        <w:keepNext/>
      </w:pPr>
      <w:r w:rsidRPr="00EB1825">
        <w:rPr>
          <w:vertAlign w:val="superscript"/>
        </w:rPr>
        <w:t>k</w:t>
      </w:r>
      <w:r w:rsidRPr="00EB1825">
        <w:tab/>
        <w:t>Cost per patient per year/course of treatment was calculated as 8.843 × 30-tablet scripts per year, accounting for compliance rate.</w:t>
      </w:r>
    </w:p>
    <w:p w14:paraId="6A765C35" w14:textId="6FDB24D4" w:rsidR="004104AB" w:rsidRPr="00EB1825" w:rsidRDefault="004104AB" w:rsidP="00D835AE">
      <w:pPr>
        <w:keepNext/>
        <w:ind w:left="165" w:hanging="165"/>
        <w:rPr>
          <w:rFonts w:ascii="Arial Narrow" w:hAnsi="Arial Narrow"/>
          <w:sz w:val="18"/>
        </w:rPr>
      </w:pPr>
      <w:r w:rsidRPr="00EB1825">
        <w:rPr>
          <w:rFonts w:ascii="Arial Narrow" w:hAnsi="Arial Narrow"/>
          <w:sz w:val="18"/>
          <w:vertAlign w:val="superscript"/>
        </w:rPr>
        <w:t>l</w:t>
      </w:r>
      <w:r w:rsidRPr="00EB1825">
        <w:rPr>
          <w:rFonts w:ascii="Arial Narrow" w:hAnsi="Arial Narrow"/>
          <w:sz w:val="18"/>
          <w:vertAlign w:val="superscript"/>
        </w:rPr>
        <w:tab/>
      </w:r>
      <w:r w:rsidRPr="00EB1825">
        <w:rPr>
          <w:rFonts w:ascii="Arial Narrow" w:hAnsi="Arial Narrow"/>
          <w:sz w:val="18"/>
        </w:rPr>
        <w:t>This was calculated by multiplying the unit cost ($</w:t>
      </w:r>
      <w:r w:rsidR="00E901B5" w:rsidRPr="00E901B5">
        <w:rPr>
          <w:rFonts w:ascii="Arial Narrow" w:hAnsi="Arial Narrow"/>
          <w:sz w:val="18"/>
          <w:highlight w:val="black"/>
        </w:rPr>
        <w:t>&amp;&amp;&amp;&amp;</w:t>
      </w:r>
      <w:r w:rsidRPr="00EB1825">
        <w:rPr>
          <w:rFonts w:ascii="Arial Narrow" w:hAnsi="Arial Narrow"/>
          <w:sz w:val="18"/>
        </w:rPr>
        <w:t>) by the average treatment duration (256.3 days) and compliance rate (77.9%).</w:t>
      </w:r>
    </w:p>
    <w:p w14:paraId="59BC4122" w14:textId="0586DD7D" w:rsidR="004104AB" w:rsidRPr="00EB1825" w:rsidRDefault="004104AB" w:rsidP="00D835AE">
      <w:pPr>
        <w:keepNext/>
        <w:widowControl w:val="0"/>
        <w:ind w:left="165" w:hanging="165"/>
        <w:rPr>
          <w:rFonts w:ascii="Arial Narrow" w:hAnsi="Arial Narrow"/>
          <w:sz w:val="18"/>
        </w:rPr>
      </w:pPr>
      <w:r w:rsidRPr="00EB1825">
        <w:rPr>
          <w:rFonts w:ascii="Arial Narrow" w:hAnsi="Arial Narrow"/>
          <w:sz w:val="18"/>
          <w:vertAlign w:val="superscript"/>
        </w:rPr>
        <w:t>m</w:t>
      </w:r>
      <w:r w:rsidRPr="00EB1825">
        <w:rPr>
          <w:rFonts w:ascii="Arial Narrow" w:hAnsi="Arial Narrow"/>
          <w:sz w:val="18"/>
          <w:vertAlign w:val="superscript"/>
        </w:rPr>
        <w:tab/>
      </w:r>
      <w:proofErr w:type="gramStart"/>
      <w:r w:rsidRPr="00EB1825">
        <w:rPr>
          <w:rFonts w:ascii="Arial Narrow" w:hAnsi="Arial Narrow"/>
          <w:sz w:val="18"/>
        </w:rPr>
        <w:t>The</w:t>
      </w:r>
      <w:proofErr w:type="gramEnd"/>
      <w:r w:rsidRPr="00EB1825">
        <w:rPr>
          <w:rFonts w:ascii="Arial Narrow" w:hAnsi="Arial Narrow"/>
          <w:sz w:val="18"/>
        </w:rPr>
        <w:t xml:space="preserve"> value presented reflects the total annual cost of treatment, adjusted for the discontinuation rate. </w:t>
      </w:r>
    </w:p>
    <w:p w14:paraId="261B9410" w14:textId="77777777" w:rsidR="004104AB" w:rsidRDefault="004104AB" w:rsidP="00DF09BF">
      <w:pPr>
        <w:pStyle w:val="TableFigureFooter"/>
        <w:keepLines w:val="0"/>
        <w:widowControl w:val="0"/>
        <w:spacing w:after="240"/>
        <w:rPr>
          <w:rStyle w:val="CommentReference"/>
          <w:b w:val="0"/>
          <w:sz w:val="18"/>
          <w:szCs w:val="18"/>
        </w:rPr>
      </w:pPr>
      <w:r w:rsidRPr="00EB1825">
        <w:rPr>
          <w:rStyle w:val="CommentReference"/>
          <w:b w:val="0"/>
          <w:sz w:val="18"/>
          <w:szCs w:val="18"/>
          <w:shd w:val="clear" w:color="auto" w:fill="B8CCE4" w:themeFill="accent1" w:themeFillTint="66"/>
        </w:rPr>
        <w:t xml:space="preserve">Blue </w:t>
      </w:r>
      <w:r w:rsidRPr="00EB1825">
        <w:rPr>
          <w:rStyle w:val="CommentReference"/>
          <w:b w:val="0"/>
          <w:sz w:val="18"/>
          <w:szCs w:val="18"/>
        </w:rPr>
        <w:t>shading indicates data previously seen by the PBAC.</w:t>
      </w:r>
    </w:p>
    <w:p w14:paraId="2A206A08" w14:textId="57B6C713" w:rsidR="00574A8A" w:rsidRDefault="00574A8A" w:rsidP="00766C07">
      <w:pPr>
        <w:pStyle w:val="3-BodyText"/>
        <w:rPr>
          <w:iCs/>
        </w:rPr>
      </w:pPr>
      <w:r w:rsidRPr="00EB1825">
        <w:rPr>
          <w:iCs/>
        </w:rPr>
        <w:t xml:space="preserve">The estimated cost per patient </w:t>
      </w:r>
      <w:r w:rsidR="009F014D">
        <w:rPr>
          <w:iCs/>
        </w:rPr>
        <w:t>per year for</w:t>
      </w:r>
      <w:r w:rsidRPr="00EB1825">
        <w:rPr>
          <w:iCs/>
        </w:rPr>
        <w:t xml:space="preserve"> </w:t>
      </w:r>
      <w:proofErr w:type="spellStart"/>
      <w:r w:rsidRPr="00EB1825">
        <w:rPr>
          <w:iCs/>
        </w:rPr>
        <w:t>fezolinetant</w:t>
      </w:r>
      <w:proofErr w:type="spellEnd"/>
      <w:r w:rsidRPr="00EB1825">
        <w:rPr>
          <w:iCs/>
        </w:rPr>
        <w:t xml:space="preserve"> treatment was </w:t>
      </w:r>
      <w:r w:rsidR="009F014D">
        <w:rPr>
          <w:iCs/>
        </w:rPr>
        <w:t>$</w:t>
      </w:r>
      <w:r w:rsidR="00E901B5" w:rsidRPr="00E901B5">
        <w:rPr>
          <w:iCs/>
          <w:highlight w:val="black"/>
        </w:rPr>
        <w:t>&amp;&amp;&amp;&amp;</w:t>
      </w:r>
      <w:r w:rsidRPr="00EB1825">
        <w:rPr>
          <w:iCs/>
        </w:rPr>
        <w:t xml:space="preserve"> </w:t>
      </w:r>
      <w:r w:rsidR="0002586D">
        <w:rPr>
          <w:iCs/>
        </w:rPr>
        <w:t xml:space="preserve">in the economic model </w:t>
      </w:r>
      <w:r w:rsidRPr="00EB1825">
        <w:rPr>
          <w:iCs/>
        </w:rPr>
        <w:t>and $</w:t>
      </w:r>
      <w:r w:rsidR="00E901B5" w:rsidRPr="00E901B5">
        <w:rPr>
          <w:iCs/>
          <w:highlight w:val="black"/>
        </w:rPr>
        <w:t>&amp;&amp;&amp;&amp;</w:t>
      </w:r>
      <w:r w:rsidRPr="00EB1825">
        <w:rPr>
          <w:iCs/>
        </w:rPr>
        <w:t xml:space="preserve"> per year in the financial estimates (based on a mean duration of 8.4 months</w:t>
      </w:r>
      <w:r w:rsidR="0002586D">
        <w:rPr>
          <w:iCs/>
        </w:rPr>
        <w:t xml:space="preserve"> per year, </w:t>
      </w:r>
      <w:r w:rsidR="006C05DB">
        <w:rPr>
          <w:iCs/>
        </w:rPr>
        <w:t>which included discontinuation</w:t>
      </w:r>
      <w:r w:rsidRPr="00EB1825">
        <w:rPr>
          <w:iCs/>
        </w:rPr>
        <w:t xml:space="preserve">). In the financial analysis, the estimates were applied to a prevalent patient population and the 24-week discontinuation rate from the DAYLIGHT study (13.7%) was extrapolated to an annual rate (i.e., 27.4%) and applied uniformly across any given year. In contrast, </w:t>
      </w:r>
      <w:r w:rsidR="008A309C">
        <w:rPr>
          <w:iCs/>
        </w:rPr>
        <w:t xml:space="preserve">in </w:t>
      </w:r>
      <w:r w:rsidRPr="00EB1825">
        <w:rPr>
          <w:iCs/>
        </w:rPr>
        <w:t xml:space="preserve">the economic model patients were followed over time with discontinuations based on the 24-week DAYLIGHT discontinuation rate for the first 24 weeks and discontinuation rates reported in the SKYLIGHT studies for the period beyond 24 weeks (with 4-week discontinuation probabilities of 2.43% and 1.32%, respectively, which were derived using different definitions, as discussed in </w:t>
      </w:r>
      <w:r w:rsidRPr="00EB1825">
        <w:rPr>
          <w:iCs/>
        </w:rPr>
        <w:fldChar w:fldCharType="begin"/>
      </w:r>
      <w:r w:rsidRPr="00EB1825">
        <w:rPr>
          <w:iCs/>
        </w:rPr>
        <w:instrText xml:space="preserve"> REF _Ref183799936 \h  \* MERGEFORMAT </w:instrText>
      </w:r>
      <w:r w:rsidRPr="00EB1825">
        <w:rPr>
          <w:iCs/>
        </w:rPr>
      </w:r>
      <w:r w:rsidRPr="00EB1825">
        <w:rPr>
          <w:iCs/>
        </w:rPr>
        <w:fldChar w:fldCharType="separate"/>
      </w:r>
      <w:r w:rsidR="00946DF5" w:rsidRPr="00946DF5">
        <w:rPr>
          <w:iCs/>
        </w:rPr>
        <w:t xml:space="preserve">Table </w:t>
      </w:r>
      <w:r w:rsidR="00946DF5">
        <w:rPr>
          <w:noProof/>
        </w:rPr>
        <w:t>10</w:t>
      </w:r>
      <w:r w:rsidRPr="00EB1825">
        <w:rPr>
          <w:iCs/>
        </w:rPr>
        <w:fldChar w:fldCharType="end"/>
      </w:r>
      <w:r w:rsidRPr="00EB1825">
        <w:rPr>
          <w:iCs/>
        </w:rPr>
        <w:t xml:space="preserve">). </w:t>
      </w:r>
      <w:r w:rsidR="00CB476A">
        <w:rPr>
          <w:iCs/>
        </w:rPr>
        <w:t>Application of compliance and discontinuation rates were amended in the financial estimates provided with the PSCR and pre-PBAC response.</w:t>
      </w:r>
    </w:p>
    <w:p w14:paraId="2255ED5E" w14:textId="77777777" w:rsidR="00574A8A" w:rsidRPr="00574A8A" w:rsidRDefault="00574A8A" w:rsidP="00766C07">
      <w:pPr>
        <w:pStyle w:val="3-BodyText"/>
        <w:numPr>
          <w:ilvl w:val="0"/>
          <w:numId w:val="0"/>
        </w:numPr>
        <w:ind w:left="720" w:hanging="720"/>
      </w:pPr>
    </w:p>
    <w:p w14:paraId="268768EF" w14:textId="608A078B" w:rsidR="00B60939" w:rsidRPr="00EB1825" w:rsidRDefault="00B60939" w:rsidP="00DF09BF">
      <w:pPr>
        <w:pStyle w:val="Heading2"/>
        <w:keepNext/>
        <w:keepLines/>
        <w:widowControl w:val="0"/>
      </w:pPr>
      <w:r w:rsidRPr="00EB1825">
        <w:t>Estimated PBS usage &amp; financial implications</w:t>
      </w:r>
      <w:bookmarkEnd w:id="73"/>
    </w:p>
    <w:p w14:paraId="676D4C52" w14:textId="2C65CC78" w:rsidR="005F69BD" w:rsidRPr="00EB1825" w:rsidRDefault="005F69BD" w:rsidP="00766C07">
      <w:pPr>
        <w:pStyle w:val="3-BodyText"/>
      </w:pPr>
      <w:bookmarkStart w:id="75" w:name="_Ref213943077"/>
      <w:r w:rsidRPr="00EB1825">
        <w:t xml:space="preserve">This resubmission </w:t>
      </w:r>
      <w:r w:rsidR="00CF2755" w:rsidRPr="00EB1825">
        <w:t>wa</w:t>
      </w:r>
      <w:r w:rsidR="008D3B3D" w:rsidRPr="00EB1825">
        <w:t xml:space="preserve">s </w:t>
      </w:r>
      <w:r w:rsidRPr="00EB1825">
        <w:t xml:space="preserve">not considered by DUSC. The resubmission presented updated financial estimates for the proposed listing of </w:t>
      </w:r>
      <w:proofErr w:type="spellStart"/>
      <w:r w:rsidRPr="00EB1825">
        <w:t>fezolinetant</w:t>
      </w:r>
      <w:proofErr w:type="spellEnd"/>
      <w:r w:rsidRPr="00EB1825">
        <w:t xml:space="preserve"> 45 mg based on the same epidemiological approach as the March 2025 submission. In summary, the main changes </w:t>
      </w:r>
      <w:r w:rsidR="00321B5D" w:rsidRPr="00EB1825">
        <w:t>in the</w:t>
      </w:r>
      <w:r w:rsidRPr="00EB1825">
        <w:t xml:space="preserve"> </w:t>
      </w:r>
      <w:r w:rsidR="00321B5D" w:rsidRPr="00EB1825">
        <w:t>re</w:t>
      </w:r>
      <w:r w:rsidRPr="00EB1825">
        <w:t>submission included:</w:t>
      </w:r>
      <w:bookmarkEnd w:id="75"/>
    </w:p>
    <w:p w14:paraId="6715D847" w14:textId="10AE005B" w:rsidR="005F69BD" w:rsidRPr="00EB1825" w:rsidRDefault="005F69BD" w:rsidP="00580C2F">
      <w:pPr>
        <w:pStyle w:val="ListParagraph"/>
        <w:numPr>
          <w:ilvl w:val="0"/>
          <w:numId w:val="14"/>
        </w:numPr>
        <w:snapToGrid w:val="0"/>
        <w:spacing w:after="0"/>
        <w:ind w:left="1021" w:hanging="284"/>
      </w:pPr>
      <w:r w:rsidRPr="00EB1825">
        <w:t xml:space="preserve">Refined patient population by excluding Australian women aged 66–79 </w:t>
      </w:r>
      <w:r w:rsidR="002B6E24">
        <w:t xml:space="preserve">years </w:t>
      </w:r>
      <w:r w:rsidR="00074B4B" w:rsidRPr="00EB1825">
        <w:t>to</w:t>
      </w:r>
      <w:r w:rsidRPr="00EB1825">
        <w:t xml:space="preserve"> align with DAYLIGHT,</w:t>
      </w:r>
      <w:r w:rsidR="00074B4B" w:rsidRPr="00EB1825">
        <w:t xml:space="preserve"> which excluded patients 65+, with lower rates of menopausal women with VMS symptoms.</w:t>
      </w:r>
    </w:p>
    <w:p w14:paraId="4C170A9D" w14:textId="13A75009" w:rsidR="005F69BD" w:rsidRPr="00EB1825" w:rsidRDefault="00074B4B" w:rsidP="00580C2F">
      <w:pPr>
        <w:pStyle w:val="ListParagraph"/>
        <w:numPr>
          <w:ilvl w:val="0"/>
          <w:numId w:val="14"/>
        </w:numPr>
        <w:spacing w:after="0"/>
        <w:ind w:left="1021" w:hanging="284"/>
      </w:pPr>
      <w:r w:rsidRPr="00EB1825">
        <w:t>Added a new step to further r</w:t>
      </w:r>
      <w:r w:rsidR="005F69BD" w:rsidRPr="00EB1825">
        <w:t>efine</w:t>
      </w:r>
      <w:r w:rsidRPr="00EB1825">
        <w:t xml:space="preserve"> </w:t>
      </w:r>
      <w:proofErr w:type="spellStart"/>
      <w:r w:rsidRPr="00EB1825">
        <w:t>fezolinetant</w:t>
      </w:r>
      <w:proofErr w:type="spellEnd"/>
      <w:r w:rsidRPr="00EB1825">
        <w:t xml:space="preserve"> </w:t>
      </w:r>
      <w:r w:rsidR="005F69BD" w:rsidRPr="00EB1825">
        <w:t>eligibility</w:t>
      </w:r>
      <w:r w:rsidRPr="00EB1825">
        <w:t>,</w:t>
      </w:r>
      <w:r w:rsidR="005F69BD" w:rsidRPr="00EB1825">
        <w:t xml:space="preserve"> </w:t>
      </w:r>
      <w:proofErr w:type="gramStart"/>
      <w:r w:rsidR="005F69BD" w:rsidRPr="00EB1825">
        <w:t>assuming that</w:t>
      </w:r>
      <w:proofErr w:type="gramEnd"/>
      <w:r w:rsidR="005F69BD" w:rsidRPr="00EB1825">
        <w:t xml:space="preserve"> 60% of the eligible group (postmenopausal women with moderate to severe VMS who are unsuitable for MHT) would seek medical advice</w:t>
      </w:r>
      <w:r w:rsidR="00EF57A6" w:rsidRPr="00EB1825">
        <w:t>.</w:t>
      </w:r>
    </w:p>
    <w:p w14:paraId="2AFEF550" w14:textId="14B62969" w:rsidR="005F69BD" w:rsidRPr="00EB1825" w:rsidRDefault="005F69BD" w:rsidP="00580C2F">
      <w:pPr>
        <w:pStyle w:val="ListParagraph"/>
        <w:numPr>
          <w:ilvl w:val="0"/>
          <w:numId w:val="14"/>
        </w:numPr>
        <w:spacing w:after="0"/>
        <w:ind w:left="1021" w:hanging="284"/>
      </w:pPr>
      <w:r w:rsidRPr="00EB1825">
        <w:t xml:space="preserve">Exclusion of the “MHT Averse” population consistent with </w:t>
      </w:r>
      <w:r w:rsidR="00074B4B" w:rsidRPr="00EB1825">
        <w:t xml:space="preserve">the revised requested </w:t>
      </w:r>
      <w:r w:rsidRPr="00EB1825">
        <w:t>PBS restriction</w:t>
      </w:r>
      <w:r w:rsidR="00EF57A6" w:rsidRPr="00EB1825">
        <w:t>.</w:t>
      </w:r>
    </w:p>
    <w:p w14:paraId="1215D475" w14:textId="2B5F6734" w:rsidR="005F69BD" w:rsidRPr="00EB1825" w:rsidRDefault="005F69BD" w:rsidP="00580C2F">
      <w:pPr>
        <w:pStyle w:val="ListParagraph"/>
        <w:numPr>
          <w:ilvl w:val="0"/>
          <w:numId w:val="14"/>
        </w:numPr>
        <w:spacing w:after="0"/>
        <w:ind w:left="1021" w:hanging="284"/>
      </w:pPr>
      <w:r w:rsidRPr="00EB1825">
        <w:t>Inclusion of discontinuation and compliance rates, replacing the earlier assumption of full-year treatment and a proxy compliance estimate</w:t>
      </w:r>
      <w:r w:rsidR="00EF57A6" w:rsidRPr="00EB1825">
        <w:t>.</w:t>
      </w:r>
    </w:p>
    <w:p w14:paraId="6A845089" w14:textId="77519498" w:rsidR="005F69BD" w:rsidRPr="00EB1825" w:rsidRDefault="005F69BD" w:rsidP="00580C2F">
      <w:pPr>
        <w:pStyle w:val="ListParagraph"/>
        <w:numPr>
          <w:ilvl w:val="0"/>
          <w:numId w:val="14"/>
        </w:numPr>
        <w:spacing w:after="0"/>
        <w:ind w:left="1021" w:hanging="284"/>
      </w:pPr>
      <w:r w:rsidRPr="00EB1825">
        <w:t>Reduced proposed AEMP to $</w:t>
      </w:r>
      <w:r w:rsidR="00E901B5" w:rsidRPr="00E901B5">
        <w:rPr>
          <w:highlight w:val="black"/>
        </w:rPr>
        <w:t>&amp;&amp;&amp;&amp;</w:t>
      </w:r>
      <w:r w:rsidR="00074B4B" w:rsidRPr="00EB1825">
        <w:t xml:space="preserve"> (</w:t>
      </w:r>
      <w:r w:rsidR="00BE078B" w:rsidRPr="00EB1825">
        <w:t xml:space="preserve">applied </w:t>
      </w:r>
      <w:r w:rsidR="00074B4B" w:rsidRPr="00EB1825">
        <w:t>DPMQ</w:t>
      </w:r>
      <w:r w:rsidR="00BE078B" w:rsidRPr="00EB1825">
        <w:t>:</w:t>
      </w:r>
      <w:r w:rsidR="00074B4B" w:rsidRPr="00EB1825">
        <w:t xml:space="preserve"> $</w:t>
      </w:r>
      <w:r w:rsidR="00E901B5" w:rsidRPr="00E901B5">
        <w:rPr>
          <w:highlight w:val="black"/>
        </w:rPr>
        <w:t>&amp;&amp;&amp;&amp;</w:t>
      </w:r>
      <w:r w:rsidR="00074B4B" w:rsidRPr="00EB1825">
        <w:t>)</w:t>
      </w:r>
      <w:r w:rsidRPr="00EB1825">
        <w:t xml:space="preserve">, a </w:t>
      </w:r>
      <w:r w:rsidR="00E901B5" w:rsidRPr="00E901B5">
        <w:rPr>
          <w:highlight w:val="black"/>
        </w:rPr>
        <w:t>&amp;&amp;&amp;&amp;</w:t>
      </w:r>
      <w:r w:rsidRPr="00EB1825">
        <w:t>% decrease from the previously proposed price</w:t>
      </w:r>
      <w:r w:rsidR="00EF57A6" w:rsidRPr="00EB1825">
        <w:t>.</w:t>
      </w:r>
      <w:r w:rsidRPr="00EB1825">
        <w:t xml:space="preserve"> </w:t>
      </w:r>
    </w:p>
    <w:p w14:paraId="71129546" w14:textId="77777777" w:rsidR="005F69BD" w:rsidRPr="00EB1825" w:rsidRDefault="005F69BD" w:rsidP="00580C2F">
      <w:pPr>
        <w:pStyle w:val="ListParagraph"/>
        <w:numPr>
          <w:ilvl w:val="0"/>
          <w:numId w:val="14"/>
        </w:numPr>
        <w:ind w:left="1021" w:hanging="284"/>
      </w:pPr>
      <w:r w:rsidRPr="00EB1825">
        <w:t xml:space="preserve">Slightly increased uptake rates, acknowledging prior underestimation in the March 2025 submission. </w:t>
      </w:r>
    </w:p>
    <w:p w14:paraId="70F581C8" w14:textId="77539CE8" w:rsidR="005F69BD" w:rsidRPr="00EB1825" w:rsidRDefault="005F69BD" w:rsidP="00766C07">
      <w:pPr>
        <w:pStyle w:val="3-BodyText"/>
      </w:pPr>
      <w:r w:rsidRPr="00EB1825">
        <w:t xml:space="preserve">A summary of the changes and effect on the net costs to </w:t>
      </w:r>
      <w:r w:rsidR="007F4DFB" w:rsidRPr="00EB1825">
        <w:t>PBS/RPBS</w:t>
      </w:r>
      <w:r w:rsidRPr="00EB1825">
        <w:t xml:space="preserve"> are presented in </w:t>
      </w:r>
      <w:r w:rsidR="005B6061">
        <w:fldChar w:fldCharType="begin"/>
      </w:r>
      <w:r w:rsidR="005B6061">
        <w:instrText>REF _Ref183808362  \* MERGEFORMAT</w:instrText>
      </w:r>
      <w:r w:rsidR="005B6061">
        <w:fldChar w:fldCharType="separate"/>
      </w:r>
      <w:r w:rsidR="00946DF5" w:rsidRPr="00EB1825">
        <w:t xml:space="preserve">Table </w:t>
      </w:r>
      <w:r w:rsidR="00946DF5">
        <w:rPr>
          <w:noProof/>
        </w:rPr>
        <w:t>18</w:t>
      </w:r>
      <w:r w:rsidR="005B6061">
        <w:rPr>
          <w:noProof/>
        </w:rPr>
        <w:fldChar w:fldCharType="end"/>
      </w:r>
      <w:r w:rsidRPr="00EB1825">
        <w:t>.</w:t>
      </w:r>
    </w:p>
    <w:p w14:paraId="1580D077" w14:textId="2A9284C6" w:rsidR="005F69BD" w:rsidRPr="00EB1825" w:rsidRDefault="005F69BD" w:rsidP="005F69BD">
      <w:pPr>
        <w:pStyle w:val="TableFigureHeading"/>
      </w:pPr>
      <w:bookmarkStart w:id="76" w:name="_Ref183808362"/>
      <w:r w:rsidRPr="00EB1825">
        <w:t xml:space="preserve">Table </w:t>
      </w:r>
      <w:r w:rsidR="005B6061">
        <w:fldChar w:fldCharType="begin"/>
      </w:r>
      <w:r w:rsidR="005B6061">
        <w:instrText xml:space="preserve"> SEQ Table \* ARABIC </w:instrText>
      </w:r>
      <w:r w:rsidR="005B6061">
        <w:fldChar w:fldCharType="separate"/>
      </w:r>
      <w:r w:rsidR="00946DF5">
        <w:rPr>
          <w:noProof/>
        </w:rPr>
        <w:t>18</w:t>
      </w:r>
      <w:r w:rsidR="005B6061">
        <w:rPr>
          <w:noProof/>
        </w:rPr>
        <w:fldChar w:fldCharType="end"/>
      </w:r>
      <w:bookmarkEnd w:id="76"/>
      <w:r w:rsidRPr="00EB1825">
        <w:t>:</w:t>
      </w:r>
      <w:r w:rsidRPr="00EB1825">
        <w:rPr>
          <w:rStyle w:val="CommentReference"/>
        </w:rPr>
        <w:t xml:space="preserve"> </w:t>
      </w:r>
      <w:r w:rsidRPr="00EB1825">
        <w:t xml:space="preserve">Financial estimate changes (versus March 2025) and the stepped effect on net costs </w:t>
      </w:r>
    </w:p>
    <w:tbl>
      <w:tblPr>
        <w:tblStyle w:val="PBAClayout"/>
        <w:tblW w:w="5000" w:type="pct"/>
        <w:tblLook w:val="04A0" w:firstRow="1" w:lastRow="0" w:firstColumn="1" w:lastColumn="0" w:noHBand="0" w:noVBand="1"/>
        <w:tblCaption w:val="Table 18: Financial estimate changes (versus March 2025) and the stepped effect on net costs "/>
      </w:tblPr>
      <w:tblGrid>
        <w:gridCol w:w="5807"/>
        <w:gridCol w:w="1843"/>
        <w:gridCol w:w="1367"/>
      </w:tblGrid>
      <w:tr w:rsidR="005F69BD" w:rsidRPr="00EB1825" w14:paraId="741E28F0" w14:textId="77777777" w:rsidTr="00891F79">
        <w:trPr>
          <w:trHeight w:val="469"/>
        </w:trPr>
        <w:tc>
          <w:tcPr>
            <w:tcW w:w="3220" w:type="pct"/>
            <w:tcBorders>
              <w:top w:val="single" w:sz="4" w:space="0" w:color="auto"/>
              <w:left w:val="single" w:sz="4" w:space="0" w:color="auto"/>
              <w:bottom w:val="single" w:sz="4" w:space="0" w:color="auto"/>
              <w:right w:val="single" w:sz="4" w:space="0" w:color="auto"/>
            </w:tcBorders>
            <w:hideMark/>
          </w:tcPr>
          <w:p w14:paraId="09CA33FC" w14:textId="77777777" w:rsidR="005F69BD" w:rsidRPr="00EB1825" w:rsidRDefault="005F69BD" w:rsidP="00891F79">
            <w:pPr>
              <w:pStyle w:val="In-tableHeading"/>
              <w:rPr>
                <w:lang w:val="en-AU"/>
              </w:rPr>
            </w:pPr>
            <w:r w:rsidRPr="00EB1825">
              <w:rPr>
                <w:lang w:val="en-AU"/>
              </w:rPr>
              <w:t>Financial estimates change</w:t>
            </w:r>
          </w:p>
        </w:tc>
        <w:tc>
          <w:tcPr>
            <w:tcW w:w="1022" w:type="pct"/>
            <w:tcBorders>
              <w:top w:val="single" w:sz="4" w:space="0" w:color="auto"/>
              <w:left w:val="single" w:sz="4" w:space="0" w:color="auto"/>
              <w:right w:val="single" w:sz="4" w:space="0" w:color="auto"/>
            </w:tcBorders>
            <w:hideMark/>
          </w:tcPr>
          <w:p w14:paraId="2D38FA5A" w14:textId="77777777" w:rsidR="005F69BD" w:rsidRPr="00EB1825" w:rsidRDefault="005F69BD" w:rsidP="00891F79">
            <w:pPr>
              <w:pStyle w:val="In-tableHeading"/>
              <w:jc w:val="center"/>
              <w:rPr>
                <w:lang w:val="en-AU"/>
              </w:rPr>
            </w:pPr>
            <w:r w:rsidRPr="00EB1825">
              <w:rPr>
                <w:lang w:val="en-AU"/>
              </w:rPr>
              <w:t xml:space="preserve">Net cost to PBS/RPBS </w:t>
            </w:r>
            <w:r w:rsidRPr="00EB1825">
              <w:rPr>
                <w:lang w:val="en-AU"/>
              </w:rPr>
              <w:br/>
              <w:t>(over 6 years)</w:t>
            </w:r>
          </w:p>
        </w:tc>
        <w:tc>
          <w:tcPr>
            <w:tcW w:w="758" w:type="pct"/>
            <w:tcBorders>
              <w:top w:val="single" w:sz="4" w:space="0" w:color="auto"/>
              <w:left w:val="single" w:sz="4" w:space="0" w:color="auto"/>
              <w:right w:val="single" w:sz="4" w:space="0" w:color="auto"/>
            </w:tcBorders>
          </w:tcPr>
          <w:p w14:paraId="7DE9242F" w14:textId="77777777" w:rsidR="005F69BD" w:rsidRPr="00EB1825" w:rsidRDefault="005F69BD" w:rsidP="00891F79">
            <w:pPr>
              <w:pStyle w:val="In-tableHeading"/>
              <w:jc w:val="center"/>
              <w:rPr>
                <w:lang w:val="en-AU"/>
              </w:rPr>
            </w:pPr>
            <w:r w:rsidRPr="00EB1825">
              <w:rPr>
                <w:rFonts w:eastAsia="Calibri"/>
                <w:szCs w:val="18"/>
                <w:lang w:val="en-AU" w:eastAsia="en-US"/>
              </w:rPr>
              <w:t xml:space="preserve">% ∆ vs </w:t>
            </w:r>
            <w:r w:rsidRPr="00EB1825">
              <w:rPr>
                <w:lang w:val="en-AU"/>
              </w:rPr>
              <w:t>March 2025 base case</w:t>
            </w:r>
          </w:p>
        </w:tc>
      </w:tr>
      <w:tr w:rsidR="005F69BD" w:rsidRPr="00EB1825" w14:paraId="05345928" w14:textId="77777777" w:rsidTr="00891F79">
        <w:trPr>
          <w:trHeight w:val="60"/>
        </w:trPr>
        <w:tc>
          <w:tcPr>
            <w:tcW w:w="322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1587C8" w14:textId="77777777" w:rsidR="005F69BD" w:rsidRPr="00EB1825" w:rsidRDefault="005F69BD" w:rsidP="00891F79">
            <w:pPr>
              <w:pStyle w:val="TableText0"/>
              <w:rPr>
                <w:b/>
                <w:bCs w:val="0"/>
              </w:rPr>
            </w:pPr>
            <w:r w:rsidRPr="00EB1825">
              <w:rPr>
                <w:b/>
                <w:bCs w:val="0"/>
              </w:rPr>
              <w:t xml:space="preserve">March 2025 base case </w:t>
            </w:r>
          </w:p>
        </w:tc>
        <w:tc>
          <w:tcPr>
            <w:tcW w:w="102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906E298" w14:textId="1CC0B6EE" w:rsidR="005F69BD" w:rsidRPr="000F6894" w:rsidRDefault="005F69BD" w:rsidP="00891F79">
            <w:pPr>
              <w:pStyle w:val="TableText0"/>
              <w:jc w:val="center"/>
              <w:rPr>
                <w:rFonts w:cs="Calibri"/>
                <w:szCs w:val="20"/>
                <w:vertAlign w:val="superscript"/>
              </w:rPr>
            </w:pPr>
            <w:r w:rsidRPr="00EB1825">
              <w:rPr>
                <w:b/>
                <w:bCs w:val="0"/>
              </w:rPr>
              <w:t>$</w:t>
            </w:r>
            <w:r w:rsidR="00E901B5" w:rsidRPr="00E901B5">
              <w:rPr>
                <w:b/>
                <w:bCs w:val="0"/>
                <w:highlight w:val="black"/>
              </w:rPr>
              <w:t>&amp;&amp;&amp;&amp;</w:t>
            </w:r>
            <w:r w:rsidR="000F6894">
              <w:rPr>
                <w:vertAlign w:val="superscript"/>
              </w:rPr>
              <w:t>1</w:t>
            </w:r>
          </w:p>
        </w:tc>
        <w:tc>
          <w:tcPr>
            <w:tcW w:w="758" w:type="pct"/>
            <w:tcBorders>
              <w:top w:val="single" w:sz="4" w:space="0" w:color="auto"/>
              <w:left w:val="single" w:sz="4" w:space="0" w:color="auto"/>
              <w:bottom w:val="single" w:sz="4" w:space="0" w:color="auto"/>
              <w:right w:val="single" w:sz="4" w:space="0" w:color="auto"/>
            </w:tcBorders>
            <w:shd w:val="clear" w:color="auto" w:fill="FFFFFF" w:themeFill="background1"/>
          </w:tcPr>
          <w:p w14:paraId="682F9A03" w14:textId="77777777" w:rsidR="005F69BD" w:rsidRPr="00EB1825" w:rsidRDefault="005F69BD" w:rsidP="00891F79">
            <w:pPr>
              <w:pStyle w:val="TableText0"/>
              <w:jc w:val="center"/>
              <w:rPr>
                <w:rFonts w:cs="Calibri"/>
                <w:b/>
                <w:bCs w:val="0"/>
                <w:szCs w:val="20"/>
              </w:rPr>
            </w:pPr>
            <w:r w:rsidRPr="00EB1825">
              <w:rPr>
                <w:rFonts w:cs="Calibri"/>
                <w:b/>
                <w:bCs w:val="0"/>
                <w:szCs w:val="20"/>
              </w:rPr>
              <w:t>-</w:t>
            </w:r>
          </w:p>
        </w:tc>
      </w:tr>
      <w:tr w:rsidR="005F69BD" w:rsidRPr="00EB1825" w14:paraId="19F3E427" w14:textId="77777777" w:rsidTr="00074B4B">
        <w:tc>
          <w:tcPr>
            <w:tcW w:w="3220" w:type="pct"/>
            <w:tcBorders>
              <w:top w:val="single" w:sz="4" w:space="0" w:color="auto"/>
              <w:left w:val="single" w:sz="4" w:space="0" w:color="auto"/>
              <w:bottom w:val="single" w:sz="4" w:space="0" w:color="auto"/>
              <w:right w:val="single" w:sz="4" w:space="0" w:color="auto"/>
            </w:tcBorders>
          </w:tcPr>
          <w:p w14:paraId="444D14DE" w14:textId="7130C00D" w:rsidR="005F69BD" w:rsidRPr="00EB1825" w:rsidRDefault="005F69BD" w:rsidP="00891F79">
            <w:pPr>
              <w:pStyle w:val="TableText0"/>
            </w:pPr>
            <w:r w:rsidRPr="00EB1825">
              <w:t xml:space="preserve">Step 1: March 2025 base case + updated the patient population using ABS 2026 data, focusing on the 40–65 age group and excluding those aged 66–79. This adjustment changed the total population from 6.2 million to 4.5 </w:t>
            </w:r>
            <w:proofErr w:type="gramStart"/>
            <w:r w:rsidRPr="00EB1825">
              <w:t>million, and</w:t>
            </w:r>
            <w:proofErr w:type="gramEnd"/>
            <w:r w:rsidRPr="00EB1825">
              <w:t xml:space="preserve"> updated the average rates for menopause and </w:t>
            </w:r>
            <w:r w:rsidR="00321B5D" w:rsidRPr="00EB1825">
              <w:t>moderate-to-severe</w:t>
            </w:r>
            <w:r w:rsidRPr="00EB1825">
              <w:t xml:space="preserve"> VMS symptoms from 65.41% and 9.80% to 52.21% and 14.89%, respectively.</w:t>
            </w:r>
          </w:p>
        </w:tc>
        <w:tc>
          <w:tcPr>
            <w:tcW w:w="1022" w:type="pct"/>
            <w:tcBorders>
              <w:top w:val="single" w:sz="4" w:space="0" w:color="auto"/>
              <w:left w:val="single" w:sz="4" w:space="0" w:color="auto"/>
              <w:bottom w:val="single" w:sz="4" w:space="0" w:color="auto"/>
              <w:right w:val="single" w:sz="4" w:space="0" w:color="auto"/>
            </w:tcBorders>
          </w:tcPr>
          <w:p w14:paraId="5C267179" w14:textId="50FAACCB" w:rsidR="005F69BD" w:rsidRPr="001C4DE1" w:rsidRDefault="005F69BD" w:rsidP="00074B4B">
            <w:pPr>
              <w:pStyle w:val="TableText0"/>
              <w:jc w:val="center"/>
              <w:rPr>
                <w:vertAlign w:val="superscript"/>
              </w:rPr>
            </w:pPr>
            <w:r w:rsidRPr="00EB1825">
              <w:t>$</w:t>
            </w:r>
            <w:r w:rsidR="00E901B5" w:rsidRPr="00E901B5">
              <w:rPr>
                <w:highlight w:val="black"/>
              </w:rPr>
              <w:t>&amp;&amp;&amp;&amp;</w:t>
            </w:r>
            <w:r w:rsidR="001C4DE1">
              <w:rPr>
                <w:vertAlign w:val="superscript"/>
              </w:rPr>
              <w:t>2</w:t>
            </w:r>
          </w:p>
        </w:tc>
        <w:tc>
          <w:tcPr>
            <w:tcW w:w="758" w:type="pct"/>
            <w:tcBorders>
              <w:top w:val="single" w:sz="4" w:space="0" w:color="auto"/>
              <w:left w:val="single" w:sz="4" w:space="0" w:color="auto"/>
              <w:bottom w:val="single" w:sz="4" w:space="0" w:color="auto"/>
              <w:right w:val="single" w:sz="4" w:space="0" w:color="auto"/>
            </w:tcBorders>
          </w:tcPr>
          <w:p w14:paraId="49DC0D37" w14:textId="61257ACF" w:rsidR="005F69BD" w:rsidRPr="00EB1825" w:rsidRDefault="005F69BD" w:rsidP="00074B4B">
            <w:pPr>
              <w:pStyle w:val="TableText0"/>
              <w:jc w:val="center"/>
            </w:pPr>
            <w:r w:rsidRPr="00EB1825">
              <w:t>-</w:t>
            </w:r>
            <w:r w:rsidR="00E901B5" w:rsidRPr="00E901B5">
              <w:rPr>
                <w:highlight w:val="black"/>
              </w:rPr>
              <w:t>&amp;&amp;&amp;&amp;</w:t>
            </w:r>
            <w:r w:rsidRPr="00EB1825">
              <w:t>%</w:t>
            </w:r>
          </w:p>
        </w:tc>
      </w:tr>
      <w:tr w:rsidR="005F69BD" w:rsidRPr="00EB1825" w14:paraId="4ABF5558" w14:textId="77777777" w:rsidTr="00074B4B">
        <w:tc>
          <w:tcPr>
            <w:tcW w:w="3220" w:type="pct"/>
            <w:tcBorders>
              <w:top w:val="single" w:sz="4" w:space="0" w:color="auto"/>
              <w:left w:val="single" w:sz="4" w:space="0" w:color="auto"/>
              <w:bottom w:val="single" w:sz="4" w:space="0" w:color="auto"/>
              <w:right w:val="single" w:sz="4" w:space="0" w:color="auto"/>
            </w:tcBorders>
            <w:hideMark/>
          </w:tcPr>
          <w:p w14:paraId="3C847898" w14:textId="77777777" w:rsidR="005F69BD" w:rsidRPr="00EB1825" w:rsidRDefault="005F69BD" w:rsidP="00891F79">
            <w:pPr>
              <w:pStyle w:val="TableText0"/>
            </w:pPr>
            <w:r w:rsidRPr="00EB1825">
              <w:t>Step 2: Step 1 + Including “willingness to seek medical advice” for the MHT unsuitable patients (75% MHT unsuitable × 60% seek advice= 45.4%)</w:t>
            </w:r>
          </w:p>
        </w:tc>
        <w:tc>
          <w:tcPr>
            <w:tcW w:w="1022" w:type="pct"/>
            <w:tcBorders>
              <w:top w:val="single" w:sz="4" w:space="0" w:color="auto"/>
              <w:left w:val="single" w:sz="4" w:space="0" w:color="auto"/>
              <w:bottom w:val="single" w:sz="4" w:space="0" w:color="auto"/>
              <w:right w:val="single" w:sz="4" w:space="0" w:color="auto"/>
            </w:tcBorders>
          </w:tcPr>
          <w:p w14:paraId="4113438C" w14:textId="74F5FA09" w:rsidR="005F69BD" w:rsidRPr="0033629A" w:rsidRDefault="005F69BD" w:rsidP="00074B4B">
            <w:pPr>
              <w:pStyle w:val="TableText0"/>
              <w:jc w:val="center"/>
              <w:rPr>
                <w:vertAlign w:val="superscript"/>
              </w:rPr>
            </w:pPr>
            <w:r w:rsidRPr="00EB1825">
              <w:t>$</w:t>
            </w:r>
            <w:r w:rsidR="00E901B5" w:rsidRPr="00E901B5">
              <w:rPr>
                <w:highlight w:val="black"/>
              </w:rPr>
              <w:t>&amp;&amp;&amp;&amp;</w:t>
            </w:r>
            <w:r w:rsidR="0033629A">
              <w:rPr>
                <w:vertAlign w:val="superscript"/>
              </w:rPr>
              <w:t>3</w:t>
            </w:r>
          </w:p>
        </w:tc>
        <w:tc>
          <w:tcPr>
            <w:tcW w:w="758" w:type="pct"/>
            <w:tcBorders>
              <w:top w:val="single" w:sz="4" w:space="0" w:color="auto"/>
              <w:left w:val="single" w:sz="4" w:space="0" w:color="auto"/>
              <w:bottom w:val="single" w:sz="4" w:space="0" w:color="auto"/>
              <w:right w:val="single" w:sz="4" w:space="0" w:color="auto"/>
            </w:tcBorders>
          </w:tcPr>
          <w:p w14:paraId="1B133405" w14:textId="020E3770" w:rsidR="005F69BD" w:rsidRPr="00EB1825" w:rsidRDefault="005F69BD" w:rsidP="00074B4B">
            <w:pPr>
              <w:pStyle w:val="TableText0"/>
              <w:jc w:val="center"/>
            </w:pPr>
            <w:r w:rsidRPr="00EB1825">
              <w:t>-</w:t>
            </w:r>
            <w:r w:rsidR="00E901B5" w:rsidRPr="00E901B5">
              <w:rPr>
                <w:highlight w:val="black"/>
              </w:rPr>
              <w:t>&amp;&amp;&amp;&amp;</w:t>
            </w:r>
            <w:r w:rsidRPr="00EB1825">
              <w:t>%</w:t>
            </w:r>
          </w:p>
        </w:tc>
      </w:tr>
      <w:tr w:rsidR="005F69BD" w:rsidRPr="00EB1825" w14:paraId="0D33E056" w14:textId="77777777" w:rsidTr="00074B4B">
        <w:tc>
          <w:tcPr>
            <w:tcW w:w="3220" w:type="pct"/>
            <w:tcBorders>
              <w:top w:val="single" w:sz="4" w:space="0" w:color="auto"/>
              <w:left w:val="single" w:sz="4" w:space="0" w:color="auto"/>
              <w:bottom w:val="single" w:sz="4" w:space="0" w:color="auto"/>
              <w:right w:val="single" w:sz="4" w:space="0" w:color="auto"/>
            </w:tcBorders>
          </w:tcPr>
          <w:p w14:paraId="2939ED48" w14:textId="77777777" w:rsidR="005F69BD" w:rsidRPr="00EB1825" w:rsidRDefault="005F69BD" w:rsidP="00891F79">
            <w:pPr>
              <w:pStyle w:val="TableText0"/>
            </w:pPr>
            <w:r w:rsidRPr="00EB1825">
              <w:t>Step 3: Step 2 + Exclusion of the “MHT Averse” population</w:t>
            </w:r>
          </w:p>
        </w:tc>
        <w:tc>
          <w:tcPr>
            <w:tcW w:w="1022" w:type="pct"/>
            <w:tcBorders>
              <w:top w:val="single" w:sz="4" w:space="0" w:color="auto"/>
              <w:left w:val="single" w:sz="4" w:space="0" w:color="auto"/>
              <w:bottom w:val="single" w:sz="4" w:space="0" w:color="auto"/>
              <w:right w:val="single" w:sz="4" w:space="0" w:color="auto"/>
            </w:tcBorders>
          </w:tcPr>
          <w:p w14:paraId="2E50B49B" w14:textId="77777777" w:rsidR="005F69BD" w:rsidRPr="00EB1825" w:rsidRDefault="005F69BD" w:rsidP="00074B4B">
            <w:pPr>
              <w:pStyle w:val="TableText0"/>
              <w:jc w:val="center"/>
            </w:pPr>
            <w:r w:rsidRPr="00EB1825">
              <w:t>Not applied separately</w:t>
            </w:r>
          </w:p>
        </w:tc>
        <w:tc>
          <w:tcPr>
            <w:tcW w:w="758" w:type="pct"/>
            <w:tcBorders>
              <w:top w:val="single" w:sz="4" w:space="0" w:color="auto"/>
              <w:left w:val="single" w:sz="4" w:space="0" w:color="auto"/>
              <w:bottom w:val="single" w:sz="4" w:space="0" w:color="auto"/>
              <w:right w:val="single" w:sz="4" w:space="0" w:color="auto"/>
            </w:tcBorders>
          </w:tcPr>
          <w:p w14:paraId="692D62CA" w14:textId="77777777" w:rsidR="005F69BD" w:rsidRPr="00EB1825" w:rsidRDefault="005F69BD" w:rsidP="00074B4B">
            <w:pPr>
              <w:pStyle w:val="TableText0"/>
              <w:jc w:val="center"/>
            </w:pPr>
            <w:r w:rsidRPr="00EB1825">
              <w:t>-</w:t>
            </w:r>
          </w:p>
        </w:tc>
      </w:tr>
      <w:tr w:rsidR="005F69BD" w:rsidRPr="00EB1825" w14:paraId="56AB9BD9" w14:textId="77777777" w:rsidTr="00074B4B">
        <w:tc>
          <w:tcPr>
            <w:tcW w:w="3220" w:type="pct"/>
            <w:tcBorders>
              <w:top w:val="single" w:sz="4" w:space="0" w:color="auto"/>
              <w:left w:val="single" w:sz="4" w:space="0" w:color="auto"/>
              <w:bottom w:val="single" w:sz="4" w:space="0" w:color="auto"/>
              <w:right w:val="single" w:sz="4" w:space="0" w:color="auto"/>
            </w:tcBorders>
          </w:tcPr>
          <w:p w14:paraId="1A320DE0" w14:textId="5C2D892F" w:rsidR="005F69BD" w:rsidRPr="00EB1825" w:rsidRDefault="005F69BD" w:rsidP="00891F79">
            <w:pPr>
              <w:pStyle w:val="TableText0"/>
            </w:pPr>
            <w:r w:rsidRPr="00EB1825">
              <w:t xml:space="preserve">Step 4: Step 3 + increase in uptake rates (from </w:t>
            </w:r>
            <w:r w:rsidR="00E901B5" w:rsidRPr="00E901B5">
              <w:rPr>
                <w:highlight w:val="black"/>
              </w:rPr>
              <w:t>&amp;&amp;&amp;&amp;</w:t>
            </w:r>
            <w:r w:rsidRPr="00EB1825">
              <w:t>%-</w:t>
            </w:r>
            <w:r w:rsidR="00E901B5" w:rsidRPr="00E901B5">
              <w:rPr>
                <w:highlight w:val="black"/>
              </w:rPr>
              <w:t>&amp;&amp;&amp;&amp;</w:t>
            </w:r>
            <w:r w:rsidRPr="00EB1825">
              <w:t xml:space="preserve">% to </w:t>
            </w:r>
            <w:r w:rsidR="00E901B5" w:rsidRPr="00E901B5">
              <w:rPr>
                <w:highlight w:val="black"/>
              </w:rPr>
              <w:t>&amp;&amp;&amp;&amp;</w:t>
            </w:r>
            <w:r w:rsidRPr="00EB1825">
              <w:t xml:space="preserve">% to </w:t>
            </w:r>
            <w:r w:rsidR="00E901B5" w:rsidRPr="00E901B5">
              <w:rPr>
                <w:highlight w:val="black"/>
              </w:rPr>
              <w:t>&amp;&amp;&amp;&amp;</w:t>
            </w:r>
            <w:r w:rsidRPr="00EB1825">
              <w:t>% in years 1 to 6)</w:t>
            </w:r>
          </w:p>
        </w:tc>
        <w:tc>
          <w:tcPr>
            <w:tcW w:w="1022" w:type="pct"/>
            <w:tcBorders>
              <w:top w:val="single" w:sz="4" w:space="0" w:color="auto"/>
              <w:left w:val="single" w:sz="4" w:space="0" w:color="auto"/>
              <w:bottom w:val="single" w:sz="4" w:space="0" w:color="auto"/>
              <w:right w:val="single" w:sz="4" w:space="0" w:color="auto"/>
            </w:tcBorders>
          </w:tcPr>
          <w:p w14:paraId="0D4AFA8F" w14:textId="1CCDA929" w:rsidR="005F69BD" w:rsidRPr="00942793" w:rsidRDefault="005F69BD" w:rsidP="00074B4B">
            <w:pPr>
              <w:pStyle w:val="TableText0"/>
              <w:jc w:val="center"/>
              <w:rPr>
                <w:vertAlign w:val="superscript"/>
              </w:rPr>
            </w:pPr>
            <w:r w:rsidRPr="00EB1825">
              <w:t>$</w:t>
            </w:r>
            <w:r w:rsidR="00E901B5" w:rsidRPr="00E901B5">
              <w:rPr>
                <w:highlight w:val="black"/>
              </w:rPr>
              <w:t>&amp;&amp;&amp;&amp;</w:t>
            </w:r>
            <w:r w:rsidR="00942793">
              <w:rPr>
                <w:vertAlign w:val="superscript"/>
              </w:rPr>
              <w:t>3</w:t>
            </w:r>
          </w:p>
        </w:tc>
        <w:tc>
          <w:tcPr>
            <w:tcW w:w="758" w:type="pct"/>
            <w:tcBorders>
              <w:top w:val="single" w:sz="4" w:space="0" w:color="auto"/>
              <w:left w:val="single" w:sz="4" w:space="0" w:color="auto"/>
              <w:bottom w:val="single" w:sz="4" w:space="0" w:color="auto"/>
              <w:right w:val="single" w:sz="4" w:space="0" w:color="auto"/>
            </w:tcBorders>
          </w:tcPr>
          <w:p w14:paraId="107AEB90" w14:textId="4AEB4D06" w:rsidR="005F69BD" w:rsidRPr="00EB1825" w:rsidRDefault="005F69BD" w:rsidP="00074B4B">
            <w:pPr>
              <w:pStyle w:val="TableText0"/>
              <w:jc w:val="center"/>
            </w:pPr>
            <w:r w:rsidRPr="00EB1825">
              <w:t>-</w:t>
            </w:r>
            <w:r w:rsidR="00E901B5" w:rsidRPr="00E901B5">
              <w:rPr>
                <w:highlight w:val="black"/>
              </w:rPr>
              <w:t>&amp;&amp;&amp;&amp;</w:t>
            </w:r>
            <w:r w:rsidRPr="00EB1825">
              <w:t>%</w:t>
            </w:r>
          </w:p>
        </w:tc>
      </w:tr>
      <w:tr w:rsidR="005F69BD" w:rsidRPr="00EB1825" w14:paraId="5917EBBD" w14:textId="77777777" w:rsidTr="00074B4B">
        <w:tc>
          <w:tcPr>
            <w:tcW w:w="3220" w:type="pct"/>
            <w:tcBorders>
              <w:top w:val="single" w:sz="4" w:space="0" w:color="auto"/>
              <w:left w:val="single" w:sz="4" w:space="0" w:color="auto"/>
              <w:bottom w:val="single" w:sz="4" w:space="0" w:color="auto"/>
              <w:right w:val="single" w:sz="4" w:space="0" w:color="auto"/>
            </w:tcBorders>
          </w:tcPr>
          <w:p w14:paraId="1086B7F0" w14:textId="32F005E5" w:rsidR="005F69BD" w:rsidRPr="00EB1825" w:rsidRDefault="005F69BD" w:rsidP="00891F79">
            <w:pPr>
              <w:pStyle w:val="TableText0"/>
            </w:pPr>
            <w:r w:rsidRPr="00EB1825">
              <w:t xml:space="preserve">Step 5: Update in GF patients (from </w:t>
            </w:r>
            <w:r w:rsidR="00E901B5" w:rsidRPr="00E901B5">
              <w:rPr>
                <w:highlight w:val="black"/>
              </w:rPr>
              <w:t>&amp;&amp;&amp;&amp;</w:t>
            </w:r>
            <w:r w:rsidR="00F1080A" w:rsidRPr="00F1080A">
              <w:t xml:space="preserve"> </w:t>
            </w:r>
            <w:r w:rsidR="00E901B5" w:rsidRPr="00E901B5">
              <w:rPr>
                <w:highlight w:val="black"/>
              </w:rPr>
              <w:t>&amp;&amp;&amp;&amp;</w:t>
            </w:r>
            <w:r w:rsidR="00F1080A" w:rsidRPr="00F1080A">
              <w:t xml:space="preserve"> </w:t>
            </w:r>
            <w:r w:rsidR="00E901B5" w:rsidRPr="00E901B5">
              <w:rPr>
                <w:highlight w:val="black"/>
              </w:rPr>
              <w:t>&amp;&amp;&amp;&amp;</w:t>
            </w:r>
            <w:r w:rsidRPr="00EB1825">
              <w:t xml:space="preserve"> patients)</w:t>
            </w:r>
          </w:p>
        </w:tc>
        <w:tc>
          <w:tcPr>
            <w:tcW w:w="1022" w:type="pct"/>
            <w:tcBorders>
              <w:top w:val="single" w:sz="4" w:space="0" w:color="auto"/>
              <w:left w:val="single" w:sz="4" w:space="0" w:color="auto"/>
              <w:bottom w:val="single" w:sz="4" w:space="0" w:color="auto"/>
              <w:right w:val="single" w:sz="4" w:space="0" w:color="auto"/>
            </w:tcBorders>
          </w:tcPr>
          <w:p w14:paraId="1B4B3F71" w14:textId="64B83E9E" w:rsidR="005F69BD" w:rsidRPr="00942793" w:rsidRDefault="005F69BD" w:rsidP="00074B4B">
            <w:pPr>
              <w:pStyle w:val="TableText0"/>
              <w:jc w:val="center"/>
              <w:rPr>
                <w:vertAlign w:val="superscript"/>
              </w:rPr>
            </w:pPr>
            <w:r w:rsidRPr="00EB1825">
              <w:t>$</w:t>
            </w:r>
            <w:r w:rsidR="00E901B5" w:rsidRPr="00E901B5">
              <w:rPr>
                <w:highlight w:val="black"/>
              </w:rPr>
              <w:t>&amp;&amp;&amp;&amp;</w:t>
            </w:r>
            <w:r w:rsidR="00942793">
              <w:rPr>
                <w:vertAlign w:val="superscript"/>
              </w:rPr>
              <w:t>3</w:t>
            </w:r>
          </w:p>
        </w:tc>
        <w:tc>
          <w:tcPr>
            <w:tcW w:w="758" w:type="pct"/>
            <w:tcBorders>
              <w:top w:val="single" w:sz="4" w:space="0" w:color="auto"/>
              <w:left w:val="single" w:sz="4" w:space="0" w:color="auto"/>
              <w:bottom w:val="single" w:sz="4" w:space="0" w:color="auto"/>
              <w:right w:val="single" w:sz="4" w:space="0" w:color="auto"/>
            </w:tcBorders>
          </w:tcPr>
          <w:p w14:paraId="30CD8FF1" w14:textId="4126DF92" w:rsidR="005F69BD" w:rsidRPr="00EB1825" w:rsidRDefault="005F69BD" w:rsidP="00074B4B">
            <w:pPr>
              <w:pStyle w:val="TableText0"/>
              <w:jc w:val="center"/>
            </w:pPr>
            <w:r w:rsidRPr="00EB1825">
              <w:t>-</w:t>
            </w:r>
            <w:r w:rsidR="00E901B5" w:rsidRPr="00E901B5">
              <w:rPr>
                <w:highlight w:val="black"/>
              </w:rPr>
              <w:t>&amp;&amp;&amp;&amp;</w:t>
            </w:r>
            <w:r w:rsidRPr="00EB1825">
              <w:t>%</w:t>
            </w:r>
          </w:p>
        </w:tc>
      </w:tr>
      <w:tr w:rsidR="005F69BD" w:rsidRPr="00EB1825" w14:paraId="51F80AFB" w14:textId="77777777" w:rsidTr="00074B4B">
        <w:tc>
          <w:tcPr>
            <w:tcW w:w="3220" w:type="pct"/>
            <w:tcBorders>
              <w:top w:val="single" w:sz="4" w:space="0" w:color="auto"/>
              <w:left w:val="single" w:sz="4" w:space="0" w:color="auto"/>
              <w:bottom w:val="single" w:sz="4" w:space="0" w:color="auto"/>
              <w:right w:val="single" w:sz="4" w:space="0" w:color="auto"/>
            </w:tcBorders>
          </w:tcPr>
          <w:p w14:paraId="05BB8DAD" w14:textId="77777777" w:rsidR="005F69BD" w:rsidRPr="00EB1825" w:rsidRDefault="005F69BD" w:rsidP="00891F79">
            <w:pPr>
              <w:pStyle w:val="TableText0"/>
            </w:pPr>
            <w:r w:rsidRPr="00EB1825">
              <w:t>Step 6: Step 5 + update in compliance rate (from 72.6% to 77.9%, estimated from real-world market data).</w:t>
            </w:r>
          </w:p>
        </w:tc>
        <w:tc>
          <w:tcPr>
            <w:tcW w:w="1022" w:type="pct"/>
            <w:tcBorders>
              <w:top w:val="single" w:sz="4" w:space="0" w:color="auto"/>
              <w:left w:val="single" w:sz="4" w:space="0" w:color="auto"/>
              <w:bottom w:val="single" w:sz="4" w:space="0" w:color="auto"/>
              <w:right w:val="single" w:sz="4" w:space="0" w:color="auto"/>
            </w:tcBorders>
          </w:tcPr>
          <w:p w14:paraId="0736DB6D" w14:textId="5B5C1DB7" w:rsidR="005F69BD" w:rsidRPr="00581B94" w:rsidRDefault="005F69BD" w:rsidP="00074B4B">
            <w:pPr>
              <w:pStyle w:val="TableText0"/>
              <w:jc w:val="center"/>
              <w:rPr>
                <w:vertAlign w:val="superscript"/>
              </w:rPr>
            </w:pPr>
            <w:r w:rsidRPr="00EB1825">
              <w:t>$</w:t>
            </w:r>
            <w:r w:rsidR="00E901B5" w:rsidRPr="00E901B5">
              <w:rPr>
                <w:highlight w:val="black"/>
              </w:rPr>
              <w:t>&amp;&amp;&amp;&amp;</w:t>
            </w:r>
            <w:r w:rsidR="00581B94">
              <w:rPr>
                <w:vertAlign w:val="superscript"/>
              </w:rPr>
              <w:t>4</w:t>
            </w:r>
          </w:p>
        </w:tc>
        <w:tc>
          <w:tcPr>
            <w:tcW w:w="758" w:type="pct"/>
            <w:tcBorders>
              <w:top w:val="single" w:sz="4" w:space="0" w:color="auto"/>
              <w:left w:val="single" w:sz="4" w:space="0" w:color="auto"/>
              <w:bottom w:val="single" w:sz="4" w:space="0" w:color="auto"/>
              <w:right w:val="single" w:sz="4" w:space="0" w:color="auto"/>
            </w:tcBorders>
          </w:tcPr>
          <w:p w14:paraId="5E8C9334" w14:textId="5774D970" w:rsidR="005F69BD" w:rsidRPr="00EB1825" w:rsidRDefault="005F69BD" w:rsidP="00074B4B">
            <w:pPr>
              <w:pStyle w:val="TableText0"/>
              <w:jc w:val="center"/>
            </w:pPr>
            <w:r w:rsidRPr="00EB1825">
              <w:t>-</w:t>
            </w:r>
            <w:r w:rsidR="00E901B5" w:rsidRPr="00E901B5">
              <w:rPr>
                <w:highlight w:val="black"/>
              </w:rPr>
              <w:t>&amp;&amp;&amp;&amp;</w:t>
            </w:r>
            <w:r w:rsidRPr="00EB1825">
              <w:t>%</w:t>
            </w:r>
          </w:p>
        </w:tc>
      </w:tr>
      <w:tr w:rsidR="005F69BD" w:rsidRPr="00EB1825" w14:paraId="7325B5D3" w14:textId="77777777" w:rsidTr="00074B4B">
        <w:tc>
          <w:tcPr>
            <w:tcW w:w="3220" w:type="pct"/>
            <w:tcBorders>
              <w:top w:val="single" w:sz="4" w:space="0" w:color="auto"/>
              <w:left w:val="single" w:sz="4" w:space="0" w:color="auto"/>
              <w:bottom w:val="single" w:sz="4" w:space="0" w:color="auto"/>
              <w:right w:val="single" w:sz="4" w:space="0" w:color="auto"/>
            </w:tcBorders>
          </w:tcPr>
          <w:p w14:paraId="33CA17E6" w14:textId="77777777" w:rsidR="005F69BD" w:rsidRPr="00EB1825" w:rsidRDefault="005F69BD" w:rsidP="00891F79">
            <w:pPr>
              <w:pStyle w:val="TableText0"/>
            </w:pPr>
            <w:r w:rsidRPr="00EB1825">
              <w:t>Step 7: Step 6 + incorporating an annual discontinuation rate for prevalent patients - excluding GF patients - (265.3 days) and GF patients (182.63 days). This factor was not included in the previous model.</w:t>
            </w:r>
          </w:p>
        </w:tc>
        <w:tc>
          <w:tcPr>
            <w:tcW w:w="1022" w:type="pct"/>
            <w:tcBorders>
              <w:top w:val="single" w:sz="4" w:space="0" w:color="auto"/>
              <w:left w:val="single" w:sz="4" w:space="0" w:color="auto"/>
              <w:bottom w:val="single" w:sz="4" w:space="0" w:color="auto"/>
              <w:right w:val="single" w:sz="4" w:space="0" w:color="auto"/>
            </w:tcBorders>
          </w:tcPr>
          <w:p w14:paraId="6B03AECA" w14:textId="3093CB56" w:rsidR="005F69BD" w:rsidRPr="00824320" w:rsidRDefault="005F69BD" w:rsidP="00074B4B">
            <w:pPr>
              <w:pStyle w:val="TableText0"/>
              <w:jc w:val="center"/>
              <w:rPr>
                <w:vertAlign w:val="superscript"/>
              </w:rPr>
            </w:pPr>
            <w:r w:rsidRPr="00EB1825">
              <w:t>$</w:t>
            </w:r>
            <w:r w:rsidR="00E901B5" w:rsidRPr="00E901B5">
              <w:rPr>
                <w:highlight w:val="black"/>
              </w:rPr>
              <w:t>&amp;&amp;&amp;&amp;</w:t>
            </w:r>
            <w:r w:rsidR="00824320">
              <w:rPr>
                <w:vertAlign w:val="superscript"/>
              </w:rPr>
              <w:t>5</w:t>
            </w:r>
          </w:p>
        </w:tc>
        <w:tc>
          <w:tcPr>
            <w:tcW w:w="758" w:type="pct"/>
            <w:tcBorders>
              <w:top w:val="single" w:sz="4" w:space="0" w:color="auto"/>
              <w:left w:val="single" w:sz="4" w:space="0" w:color="auto"/>
              <w:bottom w:val="single" w:sz="4" w:space="0" w:color="auto"/>
              <w:right w:val="single" w:sz="4" w:space="0" w:color="auto"/>
            </w:tcBorders>
          </w:tcPr>
          <w:p w14:paraId="07556C3B" w14:textId="7B5B438E" w:rsidR="005F69BD" w:rsidRPr="00EB1825" w:rsidRDefault="005F69BD" w:rsidP="00074B4B">
            <w:pPr>
              <w:pStyle w:val="TableText0"/>
              <w:jc w:val="center"/>
            </w:pPr>
            <w:r w:rsidRPr="00EB1825">
              <w:t>-</w:t>
            </w:r>
            <w:r w:rsidR="00E901B5" w:rsidRPr="00E901B5">
              <w:rPr>
                <w:highlight w:val="black"/>
              </w:rPr>
              <w:t>&amp;&amp;&amp;&amp;</w:t>
            </w:r>
            <w:r w:rsidRPr="00EB1825">
              <w:t>%</w:t>
            </w:r>
          </w:p>
        </w:tc>
      </w:tr>
      <w:tr w:rsidR="005F69BD" w:rsidRPr="00EB1825" w14:paraId="74207591" w14:textId="77777777" w:rsidTr="00074B4B">
        <w:tc>
          <w:tcPr>
            <w:tcW w:w="3220" w:type="pct"/>
            <w:tcBorders>
              <w:top w:val="single" w:sz="4" w:space="0" w:color="auto"/>
              <w:left w:val="single" w:sz="4" w:space="0" w:color="auto"/>
              <w:bottom w:val="single" w:sz="4" w:space="0" w:color="auto"/>
              <w:right w:val="single" w:sz="4" w:space="0" w:color="auto"/>
            </w:tcBorders>
          </w:tcPr>
          <w:p w14:paraId="08BD47CE" w14:textId="46726FAE" w:rsidR="005F69BD" w:rsidRPr="00EB1825" w:rsidRDefault="005F69BD" w:rsidP="00891F79">
            <w:pPr>
              <w:pStyle w:val="TableText0"/>
            </w:pPr>
            <w:r w:rsidRPr="00EB1825">
              <w:t xml:space="preserve">Step 8: Step 7 + </w:t>
            </w:r>
            <w:r w:rsidR="00E901B5" w:rsidRPr="00E901B5">
              <w:rPr>
                <w:highlight w:val="black"/>
              </w:rPr>
              <w:t>&amp;&amp;&amp;&amp;</w:t>
            </w:r>
            <w:r w:rsidRPr="00EB1825">
              <w:t xml:space="preserve">% reduction in the proposed price </w:t>
            </w:r>
          </w:p>
        </w:tc>
        <w:tc>
          <w:tcPr>
            <w:tcW w:w="1022" w:type="pct"/>
            <w:tcBorders>
              <w:top w:val="single" w:sz="4" w:space="0" w:color="auto"/>
              <w:left w:val="single" w:sz="4" w:space="0" w:color="auto"/>
              <w:bottom w:val="single" w:sz="4" w:space="0" w:color="auto"/>
              <w:right w:val="single" w:sz="4" w:space="0" w:color="auto"/>
            </w:tcBorders>
          </w:tcPr>
          <w:p w14:paraId="60786FE4" w14:textId="5C2D0465" w:rsidR="005F69BD" w:rsidRPr="00663D12" w:rsidRDefault="005F69BD" w:rsidP="00074B4B">
            <w:pPr>
              <w:pStyle w:val="TableText0"/>
              <w:jc w:val="center"/>
              <w:rPr>
                <w:vertAlign w:val="superscript"/>
              </w:rPr>
            </w:pPr>
            <w:r w:rsidRPr="00EB1825">
              <w:t>$</w:t>
            </w:r>
            <w:r w:rsidR="00E901B5" w:rsidRPr="00E901B5">
              <w:rPr>
                <w:highlight w:val="black"/>
              </w:rPr>
              <w:t>&amp;&amp;&amp;&amp;</w:t>
            </w:r>
            <w:r w:rsidR="00663D12">
              <w:rPr>
                <w:vertAlign w:val="superscript"/>
              </w:rPr>
              <w:t>6</w:t>
            </w:r>
          </w:p>
        </w:tc>
        <w:tc>
          <w:tcPr>
            <w:tcW w:w="758" w:type="pct"/>
            <w:tcBorders>
              <w:top w:val="single" w:sz="4" w:space="0" w:color="auto"/>
              <w:left w:val="single" w:sz="4" w:space="0" w:color="auto"/>
              <w:bottom w:val="single" w:sz="4" w:space="0" w:color="auto"/>
              <w:right w:val="single" w:sz="4" w:space="0" w:color="auto"/>
            </w:tcBorders>
          </w:tcPr>
          <w:p w14:paraId="076977AA" w14:textId="32EEA3DB" w:rsidR="005F69BD" w:rsidRPr="00EB1825" w:rsidRDefault="005F69BD" w:rsidP="00074B4B">
            <w:pPr>
              <w:pStyle w:val="TableText0"/>
              <w:jc w:val="center"/>
            </w:pPr>
            <w:r w:rsidRPr="00EB1825">
              <w:t>-</w:t>
            </w:r>
            <w:r w:rsidR="00E901B5" w:rsidRPr="00E901B5">
              <w:rPr>
                <w:highlight w:val="black"/>
              </w:rPr>
              <w:t>&amp;&amp;&amp;&amp;</w:t>
            </w:r>
            <w:r w:rsidRPr="00EB1825">
              <w:t>%</w:t>
            </w:r>
          </w:p>
        </w:tc>
      </w:tr>
      <w:tr w:rsidR="005F69BD" w:rsidRPr="00EB1825" w14:paraId="5A0F4B5D" w14:textId="77777777" w:rsidTr="00074B4B">
        <w:tc>
          <w:tcPr>
            <w:tcW w:w="3220" w:type="pct"/>
            <w:tcBorders>
              <w:top w:val="single" w:sz="4" w:space="0" w:color="auto"/>
              <w:left w:val="single" w:sz="4" w:space="0" w:color="auto"/>
              <w:bottom w:val="single" w:sz="4" w:space="0" w:color="auto"/>
              <w:right w:val="single" w:sz="4" w:space="0" w:color="auto"/>
            </w:tcBorders>
          </w:tcPr>
          <w:p w14:paraId="1C4B4074" w14:textId="77777777" w:rsidR="005F69BD" w:rsidRPr="00EB1825" w:rsidRDefault="005F69BD" w:rsidP="00891F79">
            <w:pPr>
              <w:pStyle w:val="TableText0"/>
            </w:pPr>
            <w:r w:rsidRPr="00EB1825">
              <w:t xml:space="preserve">Step 9: Step 8 + update on PBS/RPBS split and co-payment </w:t>
            </w:r>
          </w:p>
        </w:tc>
        <w:tc>
          <w:tcPr>
            <w:tcW w:w="1022" w:type="pct"/>
            <w:tcBorders>
              <w:top w:val="single" w:sz="4" w:space="0" w:color="auto"/>
              <w:left w:val="single" w:sz="4" w:space="0" w:color="auto"/>
              <w:bottom w:val="single" w:sz="4" w:space="0" w:color="auto"/>
              <w:right w:val="single" w:sz="4" w:space="0" w:color="auto"/>
            </w:tcBorders>
          </w:tcPr>
          <w:p w14:paraId="0DF45086" w14:textId="08ADCD0B" w:rsidR="005F69BD" w:rsidRPr="00663D12" w:rsidRDefault="005F69BD" w:rsidP="00074B4B">
            <w:pPr>
              <w:pStyle w:val="TableText0"/>
              <w:jc w:val="center"/>
              <w:rPr>
                <w:vertAlign w:val="superscript"/>
              </w:rPr>
            </w:pPr>
            <w:r w:rsidRPr="00EB1825">
              <w:t>$</w:t>
            </w:r>
            <w:r w:rsidR="00E901B5" w:rsidRPr="00E901B5">
              <w:rPr>
                <w:highlight w:val="black"/>
              </w:rPr>
              <w:t>&amp;&amp;&amp;&amp;</w:t>
            </w:r>
            <w:r w:rsidR="00663D12">
              <w:rPr>
                <w:vertAlign w:val="superscript"/>
              </w:rPr>
              <w:t>6</w:t>
            </w:r>
          </w:p>
        </w:tc>
        <w:tc>
          <w:tcPr>
            <w:tcW w:w="758" w:type="pct"/>
            <w:tcBorders>
              <w:top w:val="single" w:sz="4" w:space="0" w:color="auto"/>
              <w:left w:val="single" w:sz="4" w:space="0" w:color="auto"/>
              <w:bottom w:val="single" w:sz="4" w:space="0" w:color="auto"/>
              <w:right w:val="single" w:sz="4" w:space="0" w:color="auto"/>
            </w:tcBorders>
          </w:tcPr>
          <w:p w14:paraId="70C1E8DD" w14:textId="25687179" w:rsidR="005F69BD" w:rsidRPr="00EB1825" w:rsidRDefault="005F69BD" w:rsidP="00074B4B">
            <w:pPr>
              <w:pStyle w:val="TableText0"/>
              <w:jc w:val="center"/>
            </w:pPr>
            <w:r w:rsidRPr="00EB1825">
              <w:t>-</w:t>
            </w:r>
            <w:r w:rsidR="00E901B5" w:rsidRPr="00E901B5">
              <w:rPr>
                <w:highlight w:val="black"/>
              </w:rPr>
              <w:t>&amp;&amp;&amp;&amp;</w:t>
            </w:r>
            <w:r w:rsidRPr="00EB1825">
              <w:t>%</w:t>
            </w:r>
          </w:p>
        </w:tc>
      </w:tr>
      <w:tr w:rsidR="005F69BD" w:rsidRPr="00EB1825" w14:paraId="431F0A60" w14:textId="77777777" w:rsidTr="00074B4B">
        <w:tc>
          <w:tcPr>
            <w:tcW w:w="3220" w:type="pct"/>
            <w:tcBorders>
              <w:top w:val="single" w:sz="4" w:space="0" w:color="auto"/>
              <w:left w:val="single" w:sz="4" w:space="0" w:color="auto"/>
              <w:bottom w:val="single" w:sz="4" w:space="0" w:color="auto"/>
              <w:right w:val="single" w:sz="4" w:space="0" w:color="auto"/>
            </w:tcBorders>
            <w:hideMark/>
          </w:tcPr>
          <w:p w14:paraId="17CB09FA" w14:textId="6BD94588" w:rsidR="005F69BD" w:rsidRPr="00EB1825" w:rsidRDefault="005F69BD" w:rsidP="00891F79">
            <w:pPr>
              <w:pStyle w:val="TableText0"/>
              <w:rPr>
                <w:b/>
                <w:bCs w:val="0"/>
              </w:rPr>
            </w:pPr>
            <w:r w:rsidRPr="00EB1825">
              <w:rPr>
                <w:rFonts w:cs="Calibri"/>
                <w:b/>
                <w:bCs w:val="0"/>
                <w:szCs w:val="20"/>
              </w:rPr>
              <w:t>November 2025 base case</w:t>
            </w:r>
            <w:r w:rsidR="00AD372C" w:rsidRPr="00EB1825">
              <w:rPr>
                <w:rFonts w:cs="Calibri"/>
                <w:b/>
                <w:bCs w:val="0"/>
                <w:szCs w:val="20"/>
              </w:rPr>
              <w:t xml:space="preserve"> (resubmission)</w:t>
            </w:r>
          </w:p>
        </w:tc>
        <w:tc>
          <w:tcPr>
            <w:tcW w:w="1022" w:type="pct"/>
            <w:tcBorders>
              <w:top w:val="single" w:sz="4" w:space="0" w:color="auto"/>
              <w:left w:val="single" w:sz="4" w:space="0" w:color="auto"/>
              <w:bottom w:val="single" w:sz="4" w:space="0" w:color="auto"/>
              <w:right w:val="single" w:sz="4" w:space="0" w:color="auto"/>
            </w:tcBorders>
          </w:tcPr>
          <w:p w14:paraId="634A7178" w14:textId="577B5306" w:rsidR="005F69BD" w:rsidRPr="00663D12" w:rsidRDefault="005F69BD" w:rsidP="00074B4B">
            <w:pPr>
              <w:pStyle w:val="TableText0"/>
              <w:jc w:val="center"/>
              <w:rPr>
                <w:vertAlign w:val="superscript"/>
              </w:rPr>
            </w:pPr>
            <w:r w:rsidRPr="00EB1825">
              <w:rPr>
                <w:b/>
                <w:bCs w:val="0"/>
              </w:rPr>
              <w:t>$</w:t>
            </w:r>
            <w:r w:rsidR="00E901B5" w:rsidRPr="00E901B5">
              <w:rPr>
                <w:b/>
                <w:bCs w:val="0"/>
                <w:highlight w:val="black"/>
              </w:rPr>
              <w:t>&amp;&amp;&amp;&amp;</w:t>
            </w:r>
            <w:r w:rsidR="00663D12">
              <w:rPr>
                <w:vertAlign w:val="superscript"/>
              </w:rPr>
              <w:t>6</w:t>
            </w:r>
          </w:p>
        </w:tc>
        <w:tc>
          <w:tcPr>
            <w:tcW w:w="758" w:type="pct"/>
            <w:tcBorders>
              <w:top w:val="single" w:sz="4" w:space="0" w:color="auto"/>
              <w:left w:val="single" w:sz="4" w:space="0" w:color="auto"/>
              <w:bottom w:val="single" w:sz="4" w:space="0" w:color="auto"/>
              <w:right w:val="single" w:sz="4" w:space="0" w:color="auto"/>
            </w:tcBorders>
          </w:tcPr>
          <w:p w14:paraId="39EFE488" w14:textId="22AD3C3B" w:rsidR="005F69BD" w:rsidRPr="00EB1825" w:rsidRDefault="005F69BD" w:rsidP="00074B4B">
            <w:pPr>
              <w:pStyle w:val="TableText0"/>
              <w:jc w:val="center"/>
              <w:rPr>
                <w:b/>
                <w:bCs w:val="0"/>
              </w:rPr>
            </w:pPr>
            <w:r w:rsidRPr="00EB1825">
              <w:rPr>
                <w:b/>
                <w:bCs w:val="0"/>
              </w:rPr>
              <w:t>-</w:t>
            </w:r>
            <w:r w:rsidR="00E901B5" w:rsidRPr="00E901B5">
              <w:rPr>
                <w:b/>
                <w:bCs w:val="0"/>
                <w:highlight w:val="black"/>
              </w:rPr>
              <w:t>&amp;&amp;&amp;&amp;</w:t>
            </w:r>
            <w:r w:rsidRPr="00EB1825">
              <w:rPr>
                <w:b/>
                <w:bCs w:val="0"/>
              </w:rPr>
              <w:t>%</w:t>
            </w:r>
          </w:p>
        </w:tc>
      </w:tr>
    </w:tbl>
    <w:p w14:paraId="12992573" w14:textId="77777777" w:rsidR="005F69BD" w:rsidRPr="00EB1825" w:rsidRDefault="005F69BD" w:rsidP="005F69BD">
      <w:pPr>
        <w:pStyle w:val="TableFigureFooter"/>
      </w:pPr>
      <w:r w:rsidRPr="00EB1825">
        <w:t>Source: compiled during the evaluation from Table 4.4-2, p118 and Table 4.5-4, p121 of the resubmission and independent analysis conducted during the evaluation.</w:t>
      </w:r>
    </w:p>
    <w:p w14:paraId="183E62A7" w14:textId="65EA3D85" w:rsidR="005F69BD" w:rsidRPr="00EB1825" w:rsidRDefault="00321B5D" w:rsidP="00321B5D">
      <w:pPr>
        <w:pStyle w:val="TableFigureFooter"/>
        <w:jc w:val="both"/>
      </w:pPr>
      <w:r w:rsidRPr="00EB1825">
        <w:t xml:space="preserve">GF=grandfather; </w:t>
      </w:r>
      <w:r w:rsidR="005F69BD" w:rsidRPr="00EB1825">
        <w:t>MBS=Medicare Benefits Schedule; MHT=Menopausal hormone therapy, PBS=Pharmaceutical Benefits Scheme; pop=population, RPBS=Repatriation Schedule of Pharmaceutical Benefits, VMS=vasomotor symptoms, y=year.</w:t>
      </w:r>
    </w:p>
    <w:p w14:paraId="3F7AD9B6" w14:textId="77777777" w:rsidR="00E61E61" w:rsidRDefault="00BF04CC" w:rsidP="00E61E61">
      <w:pPr>
        <w:pStyle w:val="TableFigureFooter"/>
        <w:keepNext/>
        <w:rPr>
          <w:i/>
        </w:rPr>
      </w:pPr>
      <w:r w:rsidRPr="00EB1825">
        <w:rPr>
          <w:rStyle w:val="CommentReference"/>
          <w:b w:val="0"/>
          <w:sz w:val="18"/>
          <w:szCs w:val="18"/>
          <w:shd w:val="clear" w:color="auto" w:fill="B8CCE4" w:themeFill="accent1" w:themeFillTint="66"/>
        </w:rPr>
        <w:t xml:space="preserve">Blue </w:t>
      </w:r>
      <w:r w:rsidRPr="00EB1825">
        <w:rPr>
          <w:rStyle w:val="CommentReference"/>
          <w:b w:val="0"/>
          <w:sz w:val="18"/>
          <w:szCs w:val="18"/>
        </w:rPr>
        <w:t>shading indicates data previously seen by the PBAC.</w:t>
      </w:r>
    </w:p>
    <w:p w14:paraId="55670487" w14:textId="6837CB30" w:rsidR="00E61E61" w:rsidRPr="00E61E61" w:rsidRDefault="00E61E61" w:rsidP="00E61E61">
      <w:pPr>
        <w:pStyle w:val="TableFigureFooter"/>
        <w:keepNext/>
        <w:rPr>
          <w:i/>
        </w:rPr>
      </w:pPr>
      <w:r w:rsidRPr="00E61E61">
        <w:rPr>
          <w:i/>
        </w:rPr>
        <w:t xml:space="preserve">The redacted values correspond to the following ranges: </w:t>
      </w:r>
    </w:p>
    <w:p w14:paraId="6C2588E1" w14:textId="6B7D3A0E" w:rsidR="00E61E61" w:rsidRPr="00E61E61" w:rsidRDefault="00E61E61" w:rsidP="00E61E61">
      <w:pPr>
        <w:pStyle w:val="TableFigureFooter"/>
        <w:keepNext/>
        <w:rPr>
          <w:i/>
        </w:rPr>
      </w:pPr>
      <w:r w:rsidRPr="00E61E61">
        <w:rPr>
          <w:i/>
          <w:vertAlign w:val="superscript"/>
        </w:rPr>
        <w:t>1</w:t>
      </w:r>
      <w:r w:rsidRPr="00E61E61">
        <w:rPr>
          <w:i/>
        </w:rPr>
        <w:t xml:space="preserve"> </w:t>
      </w:r>
      <w:bookmarkStart w:id="77" w:name="_Hlk219371985"/>
      <w:r w:rsidR="000F6894" w:rsidRPr="000F6894">
        <w:rPr>
          <w:i/>
        </w:rPr>
        <w:t>$800 million to &lt; $900 million</w:t>
      </w:r>
      <w:bookmarkEnd w:id="77"/>
    </w:p>
    <w:p w14:paraId="770117C5" w14:textId="224D55C1" w:rsidR="00E61E61" w:rsidRPr="00E61E61" w:rsidRDefault="00E61E61" w:rsidP="00E61E61">
      <w:pPr>
        <w:pStyle w:val="TableFigureFooter"/>
        <w:keepNext/>
        <w:rPr>
          <w:i/>
        </w:rPr>
      </w:pPr>
      <w:r w:rsidRPr="00E61E61">
        <w:rPr>
          <w:i/>
          <w:vertAlign w:val="superscript"/>
        </w:rPr>
        <w:t>2</w:t>
      </w:r>
      <w:r w:rsidRPr="00E61E61">
        <w:rPr>
          <w:i/>
        </w:rPr>
        <w:t xml:space="preserve"> </w:t>
      </w:r>
      <w:r w:rsidR="001C4DE1" w:rsidRPr="001C4DE1">
        <w:rPr>
          <w:i/>
        </w:rPr>
        <w:t>$700 million to &lt; $800 million</w:t>
      </w:r>
    </w:p>
    <w:p w14:paraId="7FF9E077" w14:textId="4C677995" w:rsidR="00E61E61" w:rsidRPr="00E61E61" w:rsidRDefault="00E61E61" w:rsidP="00E61E61">
      <w:pPr>
        <w:pStyle w:val="TableFigureFooter"/>
        <w:keepNext/>
        <w:rPr>
          <w:i/>
        </w:rPr>
      </w:pPr>
      <w:r w:rsidRPr="00E61E61">
        <w:rPr>
          <w:i/>
          <w:vertAlign w:val="superscript"/>
        </w:rPr>
        <w:t>3</w:t>
      </w:r>
      <w:r w:rsidRPr="00E61E61">
        <w:rPr>
          <w:i/>
        </w:rPr>
        <w:t xml:space="preserve"> </w:t>
      </w:r>
      <w:r w:rsidR="0033629A" w:rsidRPr="0033629A">
        <w:rPr>
          <w:i/>
        </w:rPr>
        <w:t>$400 million to &lt; $500 million</w:t>
      </w:r>
    </w:p>
    <w:p w14:paraId="302537D5" w14:textId="62C65F80" w:rsidR="00E61E61" w:rsidRPr="00E61E61" w:rsidRDefault="00E61E61" w:rsidP="00E61E61">
      <w:pPr>
        <w:pStyle w:val="TableFigureFooter"/>
        <w:keepNext/>
        <w:rPr>
          <w:i/>
        </w:rPr>
      </w:pPr>
      <w:r w:rsidRPr="00E61E61">
        <w:rPr>
          <w:i/>
          <w:vertAlign w:val="superscript"/>
        </w:rPr>
        <w:t>4</w:t>
      </w:r>
      <w:r w:rsidRPr="00E61E61">
        <w:rPr>
          <w:i/>
        </w:rPr>
        <w:t xml:space="preserve"> </w:t>
      </w:r>
      <w:r w:rsidR="00581B94" w:rsidRPr="00581B94">
        <w:rPr>
          <w:i/>
        </w:rPr>
        <w:t>$500 million to &lt; $600 million</w:t>
      </w:r>
    </w:p>
    <w:p w14:paraId="1EDBB0EF" w14:textId="236F13AC" w:rsidR="00E61E61" w:rsidRPr="00E61E61" w:rsidRDefault="00E61E61" w:rsidP="00E61E61">
      <w:pPr>
        <w:pStyle w:val="TableFigureFooter"/>
        <w:keepNext/>
        <w:rPr>
          <w:i/>
        </w:rPr>
      </w:pPr>
      <w:r w:rsidRPr="00E61E61">
        <w:rPr>
          <w:i/>
          <w:vertAlign w:val="superscript"/>
        </w:rPr>
        <w:t>5</w:t>
      </w:r>
      <w:r w:rsidRPr="00E61E61">
        <w:rPr>
          <w:i/>
        </w:rPr>
        <w:t xml:space="preserve"> </w:t>
      </w:r>
      <w:r w:rsidR="00824320" w:rsidRPr="00824320">
        <w:rPr>
          <w:i/>
        </w:rPr>
        <w:t>$300 million to &lt; $400 million</w:t>
      </w:r>
    </w:p>
    <w:p w14:paraId="6D1F9065" w14:textId="404F3ABA" w:rsidR="00E61E61" w:rsidRPr="00E61E61" w:rsidRDefault="00E61E61" w:rsidP="00E61E61">
      <w:pPr>
        <w:pStyle w:val="TableFigureFooter"/>
        <w:keepNext/>
        <w:rPr>
          <w:i/>
        </w:rPr>
      </w:pPr>
      <w:r w:rsidRPr="00E61E61">
        <w:rPr>
          <w:i/>
          <w:vertAlign w:val="superscript"/>
        </w:rPr>
        <w:t>6</w:t>
      </w:r>
      <w:r w:rsidRPr="00E61E61">
        <w:rPr>
          <w:i/>
        </w:rPr>
        <w:t xml:space="preserve"> </w:t>
      </w:r>
      <w:bookmarkStart w:id="78" w:name="_Hlk219370438"/>
      <w:r w:rsidR="00663D12" w:rsidRPr="00663D12">
        <w:rPr>
          <w:i/>
        </w:rPr>
        <w:t>$200 million to &lt; $300 million</w:t>
      </w:r>
      <w:bookmarkEnd w:id="78"/>
    </w:p>
    <w:p w14:paraId="22428896" w14:textId="6EF36F25" w:rsidR="00BF04CC" w:rsidRPr="00EB1825" w:rsidRDefault="00BF04CC" w:rsidP="00BF04CC">
      <w:pPr>
        <w:pStyle w:val="TableFigureFooter"/>
        <w:keepNext/>
        <w:spacing w:after="0"/>
        <w:rPr>
          <w:bCs w:val="0"/>
        </w:rPr>
      </w:pPr>
    </w:p>
    <w:p w14:paraId="2C5B6B26" w14:textId="38CDC630" w:rsidR="005F69BD" w:rsidRPr="00EB1825" w:rsidRDefault="005F69BD" w:rsidP="00766C07">
      <w:pPr>
        <w:pStyle w:val="3-BodyText"/>
      </w:pPr>
      <w:r w:rsidRPr="00EB1825">
        <w:t xml:space="preserve">Compared to the March 2025 submission, the revised financial estimates in the resubmission reflect an approximate </w:t>
      </w:r>
      <w:r w:rsidR="00E901B5" w:rsidRPr="00E901B5">
        <w:rPr>
          <w:highlight w:val="black"/>
        </w:rPr>
        <w:t>&amp;&amp;&amp;&amp;</w:t>
      </w:r>
      <w:r w:rsidRPr="00EB1825">
        <w:t>% reduction in net cost to the PBS/RPBS</w:t>
      </w:r>
      <w:r w:rsidR="005D014F" w:rsidRPr="00EB1825">
        <w:t xml:space="preserve"> </w:t>
      </w:r>
      <w:r w:rsidRPr="00EB1825">
        <w:t xml:space="preserve">primarily </w:t>
      </w:r>
      <w:r w:rsidR="00EF4F22" w:rsidRPr="00EB1825">
        <w:t xml:space="preserve">due </w:t>
      </w:r>
      <w:r w:rsidRPr="00EB1825">
        <w:t xml:space="preserve">to three key factors: (i) the inclusion of an attribute related to seeking medical advice among the MHT-unsuitable patient population (60%), (ii) the separation of discontinuation rate from compliance rate, and (iii) a </w:t>
      </w:r>
      <w:r w:rsidR="00E901B5" w:rsidRPr="00E901B5">
        <w:rPr>
          <w:highlight w:val="black"/>
        </w:rPr>
        <w:t>&amp;&amp;&amp;&amp;</w:t>
      </w:r>
      <w:r w:rsidRPr="00EB1825">
        <w:t xml:space="preserve">% reduction in the proposed effective price. </w:t>
      </w:r>
    </w:p>
    <w:p w14:paraId="4A2A5969" w14:textId="0BAF5AFD" w:rsidR="005F69BD" w:rsidRPr="00EB1825" w:rsidRDefault="005F69BD" w:rsidP="00766C07">
      <w:pPr>
        <w:pStyle w:val="3-BodyText"/>
      </w:pPr>
      <w:r w:rsidRPr="00EB1825">
        <w:rPr>
          <w:shd w:val="clear" w:color="auto" w:fill="B8CCE4" w:themeFill="accent1" w:themeFillTint="66"/>
        </w:rPr>
        <w:t xml:space="preserve">At the March 2025 meeting, the PBAC noted that the financial impact of listing </w:t>
      </w:r>
      <w:proofErr w:type="spellStart"/>
      <w:r w:rsidRPr="00EB1825">
        <w:rPr>
          <w:shd w:val="clear" w:color="auto" w:fill="B8CCE4" w:themeFill="accent1" w:themeFillTint="66"/>
        </w:rPr>
        <w:t>fezolinetant</w:t>
      </w:r>
      <w:proofErr w:type="spellEnd"/>
      <w:r w:rsidRPr="00EB1825">
        <w:rPr>
          <w:shd w:val="clear" w:color="auto" w:fill="B8CCE4" w:themeFill="accent1" w:themeFillTint="66"/>
        </w:rPr>
        <w:t xml:space="preserve"> was uncertain and most likely overestimated, as agreed by the DUSC. The uncertainty stemmed from factors including an unclear eligible patient population, inappropriate application of discontinuation rates, potential substitution with MHTs, and unverifiable assumptions regarding MHT suitability and patient uptake (paragraph </w:t>
      </w:r>
      <w:r w:rsidR="008A09A4" w:rsidRPr="00EB1825">
        <w:rPr>
          <w:shd w:val="clear" w:color="auto" w:fill="B8CCE4" w:themeFill="accent1" w:themeFillTint="66"/>
        </w:rPr>
        <w:t>7.13</w:t>
      </w:r>
      <w:r w:rsidRPr="00EB1825">
        <w:rPr>
          <w:shd w:val="clear" w:color="auto" w:fill="B8CCE4" w:themeFill="accent1" w:themeFillTint="66"/>
        </w:rPr>
        <w:t xml:space="preserve">, </w:t>
      </w:r>
      <w:proofErr w:type="spellStart"/>
      <w:r w:rsidRPr="00EB1825">
        <w:rPr>
          <w:shd w:val="clear" w:color="auto" w:fill="B8CCE4" w:themeFill="accent1" w:themeFillTint="66"/>
        </w:rPr>
        <w:t>fezolinetant</w:t>
      </w:r>
      <w:proofErr w:type="spellEnd"/>
      <w:r w:rsidR="00EF4F22" w:rsidRPr="00EB1825">
        <w:rPr>
          <w:shd w:val="clear" w:color="auto" w:fill="B8CCE4" w:themeFill="accent1" w:themeFillTint="66"/>
        </w:rPr>
        <w:t xml:space="preserve"> </w:t>
      </w:r>
      <w:r w:rsidR="008A09A4" w:rsidRPr="00EB1825">
        <w:rPr>
          <w:shd w:val="clear" w:color="auto" w:fill="B8CCE4" w:themeFill="accent1" w:themeFillTint="66"/>
        </w:rPr>
        <w:t>PSD</w:t>
      </w:r>
      <w:r w:rsidRPr="00EB1825">
        <w:rPr>
          <w:shd w:val="clear" w:color="auto" w:fill="B8CCE4" w:themeFill="accent1" w:themeFillTint="66"/>
        </w:rPr>
        <w:t xml:space="preserve"> March 2025 PBAC meeting).</w:t>
      </w:r>
      <w:r w:rsidRPr="00EB1825">
        <w:t xml:space="preserve"> </w:t>
      </w:r>
    </w:p>
    <w:p w14:paraId="55B4EB5B" w14:textId="2AA22E60" w:rsidR="005F69BD" w:rsidRPr="00EB1825" w:rsidRDefault="00963E99" w:rsidP="00766C07">
      <w:pPr>
        <w:pStyle w:val="3-BodyText"/>
      </w:pPr>
      <w:r w:rsidRPr="00EB1825">
        <w:fldChar w:fldCharType="begin"/>
      </w:r>
      <w:r w:rsidRPr="00EB1825">
        <w:instrText xml:space="preserve"> REF _Ref184049924 </w:instrText>
      </w:r>
      <w:r w:rsidR="00DF5B41" w:rsidRPr="00EB1825">
        <w:instrText xml:space="preserve"> \* MERGEFORMAT </w:instrText>
      </w:r>
      <w:r w:rsidRPr="00EB1825">
        <w:fldChar w:fldCharType="separate"/>
      </w:r>
      <w:r w:rsidR="00946DF5" w:rsidRPr="00EB1825">
        <w:t xml:space="preserve">Table </w:t>
      </w:r>
      <w:r w:rsidR="00946DF5">
        <w:rPr>
          <w:noProof/>
        </w:rPr>
        <w:t>19</w:t>
      </w:r>
      <w:r w:rsidRPr="00EB1825">
        <w:fldChar w:fldCharType="end"/>
      </w:r>
      <w:r w:rsidR="005F69BD" w:rsidRPr="00EB1825">
        <w:t xml:space="preserve"> outlines the key inputs relied on in the financial estimates.</w:t>
      </w:r>
    </w:p>
    <w:p w14:paraId="18B5F693" w14:textId="75FE7C46" w:rsidR="005F69BD" w:rsidRPr="00EB1825" w:rsidRDefault="005F69BD" w:rsidP="00E26FA8">
      <w:pPr>
        <w:pStyle w:val="TableFigureHeading"/>
        <w:keepLines/>
      </w:pPr>
      <w:bookmarkStart w:id="79" w:name="_Ref184049924"/>
      <w:r w:rsidRPr="00EB1825">
        <w:t xml:space="preserve">Table </w:t>
      </w:r>
      <w:r w:rsidR="005B6061">
        <w:fldChar w:fldCharType="begin"/>
      </w:r>
      <w:r w:rsidR="005B6061">
        <w:instrText xml:space="preserve"> SEQ Table \* ARABIC </w:instrText>
      </w:r>
      <w:r w:rsidR="005B6061">
        <w:fldChar w:fldCharType="separate"/>
      </w:r>
      <w:r w:rsidR="00946DF5">
        <w:rPr>
          <w:noProof/>
        </w:rPr>
        <w:t>19</w:t>
      </w:r>
      <w:r w:rsidR="005B6061">
        <w:rPr>
          <w:noProof/>
        </w:rPr>
        <w:fldChar w:fldCharType="end"/>
      </w:r>
      <w:bookmarkEnd w:id="79"/>
      <w:r w:rsidRPr="00EB1825">
        <w:t xml:space="preserve">: Key inputs for financial estimates </w:t>
      </w:r>
    </w:p>
    <w:tbl>
      <w:tblPr>
        <w:tblStyle w:val="PBAClayout"/>
        <w:tblW w:w="5000" w:type="pct"/>
        <w:tblLook w:val="04A0" w:firstRow="1" w:lastRow="0" w:firstColumn="1" w:lastColumn="0" w:noHBand="0" w:noVBand="1"/>
        <w:tblCaption w:val="Table 19: Key inputs for financial estimates "/>
      </w:tblPr>
      <w:tblGrid>
        <w:gridCol w:w="1338"/>
        <w:gridCol w:w="2567"/>
        <w:gridCol w:w="2399"/>
        <w:gridCol w:w="2713"/>
      </w:tblGrid>
      <w:tr w:rsidR="005F69BD" w:rsidRPr="00EB1825" w14:paraId="2FB1DED6" w14:textId="77777777" w:rsidTr="00A620D1">
        <w:trPr>
          <w:trHeight w:val="20"/>
          <w:tblHeader/>
        </w:trPr>
        <w:tc>
          <w:tcPr>
            <w:tcW w:w="674" w:type="pct"/>
            <w:vMerge w:val="restart"/>
            <w:tcBorders>
              <w:top w:val="single" w:sz="4" w:space="0" w:color="auto"/>
              <w:left w:val="single" w:sz="4" w:space="0" w:color="auto"/>
              <w:bottom w:val="single" w:sz="4" w:space="0" w:color="auto"/>
              <w:right w:val="single" w:sz="4" w:space="0" w:color="auto"/>
            </w:tcBorders>
            <w:hideMark/>
          </w:tcPr>
          <w:p w14:paraId="17C12A30" w14:textId="77777777" w:rsidR="005F69BD" w:rsidRPr="00EB1825" w:rsidRDefault="005F69BD" w:rsidP="00E26FA8">
            <w:pPr>
              <w:pStyle w:val="In-tableHeading"/>
              <w:jc w:val="center"/>
              <w:rPr>
                <w:lang w:val="en-AU"/>
              </w:rPr>
            </w:pPr>
            <w:r w:rsidRPr="00EB1825">
              <w:rPr>
                <w:lang w:val="en-AU"/>
              </w:rPr>
              <w:t>Data</w:t>
            </w:r>
          </w:p>
        </w:tc>
        <w:tc>
          <w:tcPr>
            <w:tcW w:w="2782" w:type="pct"/>
            <w:gridSpan w:val="2"/>
            <w:tcBorders>
              <w:top w:val="single" w:sz="4" w:space="0" w:color="auto"/>
              <w:left w:val="single" w:sz="4" w:space="0" w:color="auto"/>
              <w:bottom w:val="single" w:sz="4" w:space="0" w:color="auto"/>
              <w:right w:val="single" w:sz="4" w:space="0" w:color="auto"/>
            </w:tcBorders>
            <w:hideMark/>
          </w:tcPr>
          <w:p w14:paraId="687C4389" w14:textId="77777777" w:rsidR="005F69BD" w:rsidRPr="00EB1825" w:rsidRDefault="005F69BD" w:rsidP="00E26FA8">
            <w:pPr>
              <w:pStyle w:val="In-tableHeading"/>
              <w:jc w:val="center"/>
              <w:rPr>
                <w:lang w:val="en-AU"/>
              </w:rPr>
            </w:pPr>
            <w:r w:rsidRPr="00EB1825">
              <w:rPr>
                <w:lang w:val="en-AU"/>
              </w:rPr>
              <w:t>Value</w:t>
            </w:r>
          </w:p>
        </w:tc>
        <w:tc>
          <w:tcPr>
            <w:tcW w:w="1544" w:type="pct"/>
            <w:vMerge w:val="restart"/>
            <w:tcBorders>
              <w:top w:val="single" w:sz="4" w:space="0" w:color="auto"/>
              <w:left w:val="single" w:sz="4" w:space="0" w:color="auto"/>
              <w:bottom w:val="single" w:sz="4" w:space="0" w:color="auto"/>
              <w:right w:val="single" w:sz="4" w:space="0" w:color="auto"/>
            </w:tcBorders>
            <w:hideMark/>
          </w:tcPr>
          <w:p w14:paraId="0237BF48" w14:textId="77777777" w:rsidR="005F69BD" w:rsidRPr="00EB1825" w:rsidRDefault="005F69BD" w:rsidP="00E26FA8">
            <w:pPr>
              <w:pStyle w:val="In-tableHeading"/>
              <w:jc w:val="center"/>
              <w:rPr>
                <w:lang w:val="en-AU"/>
              </w:rPr>
            </w:pPr>
            <w:r w:rsidRPr="00EB1825">
              <w:rPr>
                <w:lang w:val="en-AU"/>
              </w:rPr>
              <w:t>Source and comments</w:t>
            </w:r>
          </w:p>
        </w:tc>
      </w:tr>
      <w:tr w:rsidR="005F69BD" w:rsidRPr="00EB1825" w14:paraId="2109CB7A" w14:textId="77777777" w:rsidTr="00A620D1">
        <w:trPr>
          <w:trHeight w:val="20"/>
          <w:tblHeader/>
        </w:trPr>
        <w:tc>
          <w:tcPr>
            <w:tcW w:w="674" w:type="pct"/>
            <w:vMerge/>
            <w:tcBorders>
              <w:top w:val="single" w:sz="4" w:space="0" w:color="auto"/>
              <w:left w:val="single" w:sz="4" w:space="0" w:color="auto"/>
              <w:bottom w:val="single" w:sz="4" w:space="0" w:color="auto"/>
              <w:right w:val="single" w:sz="4" w:space="0" w:color="auto"/>
            </w:tcBorders>
            <w:hideMark/>
          </w:tcPr>
          <w:p w14:paraId="55BE7BA1" w14:textId="77777777" w:rsidR="005F69BD" w:rsidRPr="00EB1825" w:rsidRDefault="005F69BD" w:rsidP="00E26FA8">
            <w:pPr>
              <w:keepNext/>
              <w:keepLines/>
              <w:jc w:val="left"/>
              <w:rPr>
                <w:rFonts w:ascii="Arial Narrow" w:eastAsiaTheme="majorEastAsia" w:hAnsi="Arial Narrow" w:cs="Times New Roman"/>
                <w:b/>
                <w:sz w:val="20"/>
              </w:rPr>
            </w:pPr>
          </w:p>
        </w:tc>
        <w:tc>
          <w:tcPr>
            <w:tcW w:w="1446" w:type="pct"/>
            <w:tcBorders>
              <w:top w:val="single" w:sz="4" w:space="0" w:color="auto"/>
              <w:left w:val="single" w:sz="4" w:space="0" w:color="auto"/>
              <w:bottom w:val="single" w:sz="4" w:space="0" w:color="auto"/>
              <w:right w:val="single" w:sz="4" w:space="0" w:color="auto"/>
            </w:tcBorders>
            <w:hideMark/>
          </w:tcPr>
          <w:p w14:paraId="0799AFB3" w14:textId="77777777" w:rsidR="005F69BD" w:rsidRPr="00EB1825" w:rsidRDefault="005F69BD" w:rsidP="00E26FA8">
            <w:pPr>
              <w:pStyle w:val="In-tableHeading"/>
              <w:jc w:val="center"/>
              <w:rPr>
                <w:lang w:val="en-AU"/>
              </w:rPr>
            </w:pPr>
            <w:r w:rsidRPr="00EB1825">
              <w:rPr>
                <w:lang w:val="en-AU"/>
              </w:rPr>
              <w:t>March 2025</w:t>
            </w:r>
          </w:p>
        </w:tc>
        <w:tc>
          <w:tcPr>
            <w:tcW w:w="1336" w:type="pct"/>
            <w:tcBorders>
              <w:top w:val="single" w:sz="4" w:space="0" w:color="auto"/>
              <w:left w:val="single" w:sz="4" w:space="0" w:color="auto"/>
              <w:bottom w:val="single" w:sz="4" w:space="0" w:color="auto"/>
              <w:right w:val="single" w:sz="4" w:space="0" w:color="auto"/>
            </w:tcBorders>
            <w:hideMark/>
          </w:tcPr>
          <w:p w14:paraId="2DF62232" w14:textId="77777777" w:rsidR="005F69BD" w:rsidRPr="00EB1825" w:rsidRDefault="005F69BD" w:rsidP="00E26FA8">
            <w:pPr>
              <w:pStyle w:val="In-tableHeading"/>
              <w:jc w:val="center"/>
              <w:rPr>
                <w:lang w:val="en-AU"/>
              </w:rPr>
            </w:pPr>
            <w:r w:rsidRPr="00EB1825">
              <w:rPr>
                <w:lang w:val="en-AU"/>
              </w:rPr>
              <w:t>November 2025</w:t>
            </w:r>
          </w:p>
        </w:tc>
        <w:tc>
          <w:tcPr>
            <w:tcW w:w="1544" w:type="pct"/>
            <w:vMerge/>
            <w:tcBorders>
              <w:top w:val="single" w:sz="4" w:space="0" w:color="auto"/>
              <w:left w:val="single" w:sz="4" w:space="0" w:color="auto"/>
              <w:bottom w:val="single" w:sz="4" w:space="0" w:color="auto"/>
              <w:right w:val="single" w:sz="4" w:space="0" w:color="auto"/>
            </w:tcBorders>
            <w:hideMark/>
          </w:tcPr>
          <w:p w14:paraId="568AAC88" w14:textId="77777777" w:rsidR="005F69BD" w:rsidRPr="00EB1825" w:rsidRDefault="005F69BD" w:rsidP="00E26FA8">
            <w:pPr>
              <w:keepNext/>
              <w:keepLines/>
              <w:jc w:val="left"/>
              <w:rPr>
                <w:rFonts w:ascii="Arial Narrow" w:eastAsiaTheme="majorEastAsia" w:hAnsi="Arial Narrow" w:cs="Times New Roman"/>
                <w:b/>
                <w:sz w:val="20"/>
              </w:rPr>
            </w:pPr>
          </w:p>
        </w:tc>
      </w:tr>
      <w:tr w:rsidR="005F69BD" w:rsidRPr="00EB1825" w14:paraId="34039ED2" w14:textId="77777777" w:rsidTr="00891F79">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14:paraId="0FCFDAA5" w14:textId="77777777" w:rsidR="005F69BD" w:rsidRPr="00EB1825" w:rsidRDefault="005F69BD" w:rsidP="00E26FA8">
            <w:pPr>
              <w:pStyle w:val="In-tableHeading"/>
              <w:rPr>
                <w:lang w:val="en-AU"/>
              </w:rPr>
            </w:pPr>
            <w:r w:rsidRPr="00EB1825">
              <w:rPr>
                <w:lang w:val="en-AU"/>
              </w:rPr>
              <w:t>Eligible population</w:t>
            </w:r>
          </w:p>
        </w:tc>
      </w:tr>
      <w:tr w:rsidR="005F69BD" w:rsidRPr="00EB1825" w14:paraId="705107E2"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tcPr>
          <w:p w14:paraId="09F09E95" w14:textId="77777777" w:rsidR="005F69BD" w:rsidRPr="00EB1825" w:rsidRDefault="005F69BD" w:rsidP="00E26FA8">
            <w:pPr>
              <w:pStyle w:val="TableText0"/>
            </w:pPr>
            <w:r w:rsidRPr="00EB1825">
              <w:t>Average prevalence of menopause</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F0067C2" w14:textId="77777777" w:rsidR="005F69BD" w:rsidRPr="00EB1825" w:rsidRDefault="005F69BD" w:rsidP="00E26FA8">
            <w:pPr>
              <w:pStyle w:val="TableText0"/>
            </w:pPr>
            <w:r w:rsidRPr="00EB1825">
              <w:t>Based on females 40-79: 65.4%</w:t>
            </w:r>
          </w:p>
        </w:tc>
        <w:tc>
          <w:tcPr>
            <w:tcW w:w="1336" w:type="pct"/>
            <w:tcBorders>
              <w:top w:val="single" w:sz="4" w:space="0" w:color="auto"/>
              <w:left w:val="single" w:sz="4" w:space="0" w:color="auto"/>
              <w:bottom w:val="single" w:sz="4" w:space="0" w:color="auto"/>
              <w:right w:val="single" w:sz="4" w:space="0" w:color="auto"/>
            </w:tcBorders>
          </w:tcPr>
          <w:p w14:paraId="7D996F10" w14:textId="77777777" w:rsidR="005F69BD" w:rsidRPr="00EB1825" w:rsidRDefault="005F69BD" w:rsidP="00E26FA8">
            <w:pPr>
              <w:pStyle w:val="TableText0"/>
            </w:pPr>
            <w:r w:rsidRPr="00EB1825">
              <w:t>Based on females 40-65: 52.21%</w:t>
            </w:r>
          </w:p>
        </w:tc>
        <w:tc>
          <w:tcPr>
            <w:tcW w:w="1544" w:type="pct"/>
            <w:vMerge w:val="restart"/>
            <w:tcBorders>
              <w:top w:val="single" w:sz="4" w:space="0" w:color="auto"/>
              <w:left w:val="single" w:sz="4" w:space="0" w:color="auto"/>
              <w:right w:val="single" w:sz="4" w:space="0" w:color="auto"/>
            </w:tcBorders>
          </w:tcPr>
          <w:p w14:paraId="4492F506" w14:textId="5C76CEA1" w:rsidR="00F7627B" w:rsidRDefault="005F69BD" w:rsidP="00F7627B">
            <w:pPr>
              <w:pStyle w:val="TableText0"/>
              <w:keepNext w:val="0"/>
            </w:pPr>
            <w:r w:rsidRPr="00EB1825">
              <w:rPr>
                <w:shd w:val="clear" w:color="auto" w:fill="B8CCE4" w:themeFill="accent1" w:themeFillTint="66"/>
              </w:rPr>
              <w:t xml:space="preserve">The PBAC </w:t>
            </w:r>
            <w:r w:rsidR="001A7406" w:rsidRPr="00EB1825">
              <w:rPr>
                <w:shd w:val="clear" w:color="auto" w:fill="B8CCE4" w:themeFill="accent1" w:themeFillTint="66"/>
              </w:rPr>
              <w:t xml:space="preserve">previously </w:t>
            </w:r>
            <w:r w:rsidRPr="00EB1825">
              <w:rPr>
                <w:shd w:val="clear" w:color="auto" w:fill="B8CCE4" w:themeFill="accent1" w:themeFillTint="66"/>
              </w:rPr>
              <w:t>raised concerns about the uncertainty of using average prevalence estimates for menopause and M-S VMS based on weighted age-group averages. It also noted that the assumption that 75% of patients are unsuitable for MHT was</w:t>
            </w:r>
            <w:r w:rsidR="007F4DFB" w:rsidRPr="00EB1825">
              <w:rPr>
                <w:shd w:val="clear" w:color="auto" w:fill="B8CCE4" w:themeFill="accent1" w:themeFillTint="66"/>
              </w:rPr>
              <w:t xml:space="preserve"> unverified,</w:t>
            </w:r>
            <w:r w:rsidRPr="00EB1825">
              <w:rPr>
                <w:shd w:val="clear" w:color="auto" w:fill="B8CCE4" w:themeFill="accent1" w:themeFillTint="66"/>
              </w:rPr>
              <w:t xml:space="preserve"> likely overstated and inconsistent with clinical practice (para 6.72, </w:t>
            </w:r>
            <w:proofErr w:type="spellStart"/>
            <w:r w:rsidRPr="00EB1825">
              <w:rPr>
                <w:shd w:val="clear" w:color="auto" w:fill="B8CCE4" w:themeFill="accent1" w:themeFillTint="66"/>
              </w:rPr>
              <w:t>fezolinetant</w:t>
            </w:r>
            <w:proofErr w:type="spellEnd"/>
            <w:r w:rsidR="00EF4F22" w:rsidRPr="00EB1825">
              <w:rPr>
                <w:shd w:val="clear" w:color="auto" w:fill="B8CCE4" w:themeFill="accent1" w:themeFillTint="66"/>
              </w:rPr>
              <w:t xml:space="preserve"> </w:t>
            </w:r>
            <w:r w:rsidR="00963E99" w:rsidRPr="00EB1825">
              <w:rPr>
                <w:shd w:val="clear" w:color="auto" w:fill="B8CCE4" w:themeFill="accent1" w:themeFillTint="66"/>
              </w:rPr>
              <w:t>PSD</w:t>
            </w:r>
            <w:r w:rsidRPr="00EB1825">
              <w:rPr>
                <w:shd w:val="clear" w:color="auto" w:fill="B8CCE4" w:themeFill="accent1" w:themeFillTint="66"/>
              </w:rPr>
              <w:t xml:space="preserve"> March 2025).</w:t>
            </w:r>
            <w:r w:rsidRPr="00EB1825">
              <w:t xml:space="preserve"> The resubmission explained that prevalence data w</w:t>
            </w:r>
            <w:r w:rsidR="00074B4B" w:rsidRPr="00EB1825">
              <w:t>ere</w:t>
            </w:r>
            <w:r w:rsidRPr="00EB1825">
              <w:t xml:space="preserve"> used due to a lack of incidence data and adjusted the age range to 40–65 years (aligned with DAYLIGHT and SKYLIGHT-1 &amp; -2, using 2026–2031 ABS data). To address </w:t>
            </w:r>
            <w:r w:rsidR="00EF4F22" w:rsidRPr="00EB1825">
              <w:t xml:space="preserve">PBAC </w:t>
            </w:r>
            <w:r w:rsidRPr="00EB1825">
              <w:t>concerns over the 75% MHT-unsuitability</w:t>
            </w:r>
            <w:r w:rsidR="00EF4F22" w:rsidRPr="00EB1825">
              <w:t xml:space="preserve"> population</w:t>
            </w:r>
            <w:r w:rsidRPr="00EB1825">
              <w:t>, it assumed only 60% of these patients would seek medical advice (Todorova et al., 2023), resulting in an eligible population of 45.04% (75% × 60%).</w:t>
            </w:r>
            <w:r w:rsidR="00727C1D" w:rsidRPr="00EB1825">
              <w:t xml:space="preserve"> </w:t>
            </w:r>
            <w:r w:rsidR="00F7627B">
              <w:t xml:space="preserve">Revised in </w:t>
            </w:r>
            <w:proofErr w:type="gramStart"/>
            <w:r w:rsidR="00F7627B">
              <w:t>Pre-PBAC</w:t>
            </w:r>
            <w:proofErr w:type="gramEnd"/>
            <w:r w:rsidR="00F7627B">
              <w:t xml:space="preserve"> response to 26.4%.</w:t>
            </w:r>
          </w:p>
          <w:p w14:paraId="24BD48BF" w14:textId="54CEC01E" w:rsidR="007045AD" w:rsidRPr="00EB1825" w:rsidRDefault="007045AD" w:rsidP="00E26FA8">
            <w:pPr>
              <w:pStyle w:val="TableText0"/>
            </w:pPr>
          </w:p>
          <w:p w14:paraId="0246C71B" w14:textId="4DF3CD43" w:rsidR="00BD3204" w:rsidRPr="00EB1825" w:rsidRDefault="00BD3204" w:rsidP="00E26FA8">
            <w:pPr>
              <w:pStyle w:val="TableText0"/>
            </w:pPr>
          </w:p>
        </w:tc>
      </w:tr>
      <w:tr w:rsidR="005F69BD" w:rsidRPr="00EB1825" w14:paraId="3BDCA1ED"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tcPr>
          <w:p w14:paraId="6FA86854" w14:textId="77777777" w:rsidR="005F69BD" w:rsidRPr="00EB1825" w:rsidRDefault="005F69BD" w:rsidP="00891F79">
            <w:pPr>
              <w:pStyle w:val="TableText0"/>
              <w:keepNext w:val="0"/>
            </w:pPr>
            <w:r w:rsidRPr="00EB1825">
              <w:t xml:space="preserve">Average prevalence of M-S VMS </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B75FC5" w14:textId="77777777" w:rsidR="005F69BD" w:rsidRPr="00EB1825" w:rsidRDefault="005F69BD" w:rsidP="00891F79">
            <w:pPr>
              <w:pStyle w:val="TableText0"/>
              <w:keepNext w:val="0"/>
            </w:pPr>
            <w:r w:rsidRPr="00EB1825">
              <w:t>Based on females 40-79: 9.8%</w:t>
            </w:r>
          </w:p>
        </w:tc>
        <w:tc>
          <w:tcPr>
            <w:tcW w:w="1336" w:type="pct"/>
            <w:tcBorders>
              <w:top w:val="single" w:sz="4" w:space="0" w:color="auto"/>
              <w:left w:val="single" w:sz="4" w:space="0" w:color="auto"/>
              <w:bottom w:val="single" w:sz="4" w:space="0" w:color="auto"/>
              <w:right w:val="single" w:sz="4" w:space="0" w:color="auto"/>
            </w:tcBorders>
          </w:tcPr>
          <w:p w14:paraId="57E1C8C7" w14:textId="77777777" w:rsidR="005F69BD" w:rsidRPr="00EB1825" w:rsidRDefault="005F69BD" w:rsidP="00891F79">
            <w:pPr>
              <w:pStyle w:val="TableText0"/>
              <w:keepNext w:val="0"/>
            </w:pPr>
            <w:r w:rsidRPr="00EB1825">
              <w:t>Based on females 40-65: 14.89%</w:t>
            </w:r>
          </w:p>
        </w:tc>
        <w:tc>
          <w:tcPr>
            <w:tcW w:w="1544" w:type="pct"/>
            <w:vMerge/>
            <w:tcBorders>
              <w:left w:val="single" w:sz="4" w:space="0" w:color="auto"/>
              <w:right w:val="single" w:sz="4" w:space="0" w:color="auto"/>
            </w:tcBorders>
          </w:tcPr>
          <w:p w14:paraId="0BE06DB0" w14:textId="77777777" w:rsidR="005F69BD" w:rsidRPr="00EB1825" w:rsidRDefault="005F69BD" w:rsidP="00891F79">
            <w:pPr>
              <w:pStyle w:val="TableText0"/>
              <w:keepNext w:val="0"/>
            </w:pPr>
          </w:p>
        </w:tc>
      </w:tr>
      <w:tr w:rsidR="005F69BD" w:rsidRPr="00EB1825" w14:paraId="5964D43C" w14:textId="77777777" w:rsidTr="00F0697C">
        <w:trPr>
          <w:trHeight w:val="20"/>
        </w:trPr>
        <w:tc>
          <w:tcPr>
            <w:tcW w:w="674" w:type="pct"/>
            <w:tcBorders>
              <w:top w:val="single" w:sz="4" w:space="0" w:color="auto"/>
              <w:left w:val="single" w:sz="4" w:space="0" w:color="auto"/>
              <w:bottom w:val="single" w:sz="4" w:space="0" w:color="auto"/>
              <w:right w:val="single" w:sz="4" w:space="0" w:color="auto"/>
            </w:tcBorders>
          </w:tcPr>
          <w:p w14:paraId="1A3CC24A" w14:textId="77777777" w:rsidR="005F69BD" w:rsidRPr="00EB1825" w:rsidRDefault="005F69BD" w:rsidP="00891F79">
            <w:pPr>
              <w:pStyle w:val="TableText0"/>
              <w:keepNext w:val="0"/>
            </w:pPr>
            <w:r w:rsidRPr="00EB1825">
              <w:t>MHT unsuitable</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7F64569" w14:textId="77777777" w:rsidR="005F69BD" w:rsidRPr="00EB1825" w:rsidRDefault="005F69BD" w:rsidP="00891F79">
            <w:pPr>
              <w:pStyle w:val="TableText0"/>
              <w:keepNext w:val="0"/>
            </w:pPr>
            <w:r w:rsidRPr="00EB1825">
              <w:t>75%</w:t>
            </w:r>
          </w:p>
        </w:tc>
        <w:tc>
          <w:tcPr>
            <w:tcW w:w="1336" w:type="pct"/>
            <w:tcBorders>
              <w:top w:val="single" w:sz="4" w:space="0" w:color="auto"/>
              <w:left w:val="single" w:sz="4" w:space="0" w:color="auto"/>
              <w:bottom w:val="single" w:sz="4" w:space="0" w:color="auto"/>
              <w:right w:val="single" w:sz="4" w:space="0" w:color="auto"/>
            </w:tcBorders>
          </w:tcPr>
          <w:p w14:paraId="426B3C8C" w14:textId="0DD2C6A1" w:rsidR="00F0697C" w:rsidRDefault="005F69BD" w:rsidP="00F7627B">
            <w:pPr>
              <w:pStyle w:val="TableText0"/>
              <w:keepNext w:val="0"/>
              <w:shd w:val="clear" w:color="auto" w:fill="B8CCE4" w:themeFill="accent1" w:themeFillTint="66"/>
            </w:pPr>
            <w:r w:rsidRPr="00EB1825">
              <w:t>Unchanged</w:t>
            </w:r>
            <w:r w:rsidR="00640CA6">
              <w:t xml:space="preserve"> in resubmission. </w:t>
            </w:r>
          </w:p>
          <w:p w14:paraId="2DD18D49" w14:textId="77777777" w:rsidR="00F0697C" w:rsidRPr="00EB1825" w:rsidRDefault="00F0697C" w:rsidP="00891F79">
            <w:pPr>
              <w:pStyle w:val="TableText0"/>
              <w:keepNext w:val="0"/>
            </w:pPr>
          </w:p>
        </w:tc>
        <w:tc>
          <w:tcPr>
            <w:tcW w:w="1544" w:type="pct"/>
            <w:vMerge/>
            <w:tcBorders>
              <w:left w:val="single" w:sz="4" w:space="0" w:color="auto"/>
              <w:right w:val="single" w:sz="4" w:space="0" w:color="auto"/>
            </w:tcBorders>
          </w:tcPr>
          <w:p w14:paraId="5B25EF93" w14:textId="77777777" w:rsidR="005F69BD" w:rsidRPr="00EB1825" w:rsidRDefault="005F69BD" w:rsidP="00891F79">
            <w:pPr>
              <w:pStyle w:val="TableText0"/>
              <w:keepNext w:val="0"/>
            </w:pPr>
          </w:p>
        </w:tc>
      </w:tr>
      <w:tr w:rsidR="005F69BD" w:rsidRPr="00EB1825" w14:paraId="16ACD354"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tcPr>
          <w:p w14:paraId="0C2EE8FA" w14:textId="77777777" w:rsidR="005F69BD" w:rsidRPr="00EB1825" w:rsidRDefault="005F69BD" w:rsidP="00891F79">
            <w:pPr>
              <w:pStyle w:val="TableText0"/>
              <w:keepNext w:val="0"/>
            </w:pPr>
            <w:r w:rsidRPr="00EB1825">
              <w:t>Seek medical advice</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AC76DD" w14:textId="77777777" w:rsidR="005F69BD" w:rsidRPr="00EB1825" w:rsidRDefault="005F69BD" w:rsidP="00891F79">
            <w:pPr>
              <w:pStyle w:val="TableText0"/>
              <w:keepNext w:val="0"/>
            </w:pPr>
            <w:r w:rsidRPr="00EB1825">
              <w:t>Not included</w:t>
            </w:r>
          </w:p>
        </w:tc>
        <w:tc>
          <w:tcPr>
            <w:tcW w:w="1336" w:type="pct"/>
            <w:tcBorders>
              <w:top w:val="single" w:sz="4" w:space="0" w:color="auto"/>
              <w:left w:val="single" w:sz="4" w:space="0" w:color="auto"/>
              <w:bottom w:val="single" w:sz="4" w:space="0" w:color="auto"/>
              <w:right w:val="single" w:sz="4" w:space="0" w:color="auto"/>
            </w:tcBorders>
          </w:tcPr>
          <w:p w14:paraId="3958F765" w14:textId="77777777" w:rsidR="005F69BD" w:rsidRPr="00EB1825" w:rsidRDefault="005F69BD" w:rsidP="00891F79">
            <w:pPr>
              <w:pStyle w:val="TableText0"/>
              <w:keepNext w:val="0"/>
            </w:pPr>
            <w:r w:rsidRPr="00EB1825">
              <w:t>60%</w:t>
            </w:r>
          </w:p>
        </w:tc>
        <w:tc>
          <w:tcPr>
            <w:tcW w:w="1544" w:type="pct"/>
            <w:vMerge/>
            <w:tcBorders>
              <w:left w:val="single" w:sz="4" w:space="0" w:color="auto"/>
              <w:right w:val="single" w:sz="4" w:space="0" w:color="auto"/>
            </w:tcBorders>
          </w:tcPr>
          <w:p w14:paraId="2517A1F4" w14:textId="77777777" w:rsidR="005F69BD" w:rsidRPr="00EB1825" w:rsidRDefault="005F69BD" w:rsidP="00891F79">
            <w:pPr>
              <w:pStyle w:val="TableText0"/>
              <w:keepNext w:val="0"/>
            </w:pPr>
          </w:p>
        </w:tc>
      </w:tr>
      <w:tr w:rsidR="005F69BD" w:rsidRPr="00EB1825" w14:paraId="461F580B"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tcPr>
          <w:p w14:paraId="7F33EE24" w14:textId="77777777" w:rsidR="005F69BD" w:rsidRPr="00EB1825" w:rsidRDefault="005F69BD" w:rsidP="00891F79">
            <w:pPr>
              <w:pStyle w:val="TableText0"/>
              <w:keepNext w:val="0"/>
            </w:pPr>
            <w:r w:rsidRPr="00EB1825">
              <w:t>Initiating patient numbers</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tbl>
            <w:tblPr>
              <w:tblStyle w:val="TableGrid"/>
              <w:tblW w:w="2223" w:type="dxa"/>
              <w:tblCellMar>
                <w:left w:w="28" w:type="dxa"/>
                <w:right w:w="28" w:type="dxa"/>
              </w:tblCellMar>
              <w:tblLook w:val="04A0" w:firstRow="1" w:lastRow="0" w:firstColumn="1" w:lastColumn="0" w:noHBand="0" w:noVBand="1"/>
            </w:tblPr>
            <w:tblGrid>
              <w:gridCol w:w="271"/>
              <w:gridCol w:w="1128"/>
              <w:gridCol w:w="824"/>
            </w:tblGrid>
            <w:tr w:rsidR="005F69BD" w:rsidRPr="00EB1825" w14:paraId="52924831" w14:textId="77777777" w:rsidTr="00891F79">
              <w:trPr>
                <w:trHeight w:val="20"/>
              </w:trPr>
              <w:tc>
                <w:tcPr>
                  <w:tcW w:w="610" w:type="pct"/>
                  <w:tcMar>
                    <w:left w:w="0" w:type="dxa"/>
                    <w:right w:w="0" w:type="dxa"/>
                  </w:tcMar>
                </w:tcPr>
                <w:p w14:paraId="0643D6DD" w14:textId="77777777" w:rsidR="005F69BD" w:rsidRPr="00EB1825" w:rsidRDefault="005F69BD" w:rsidP="00891F79">
                  <w:pPr>
                    <w:widowControl w:val="0"/>
                    <w:jc w:val="left"/>
                    <w:rPr>
                      <w:rFonts w:ascii="Arial Narrow" w:hAnsi="Arial Narrow"/>
                      <w:b/>
                      <w:bCs/>
                      <w:sz w:val="20"/>
                      <w:szCs w:val="20"/>
                    </w:rPr>
                  </w:pPr>
                </w:p>
              </w:tc>
              <w:tc>
                <w:tcPr>
                  <w:tcW w:w="2537" w:type="pct"/>
                </w:tcPr>
                <w:p w14:paraId="73969275" w14:textId="77777777" w:rsidR="005F69BD" w:rsidRPr="00EB1825" w:rsidRDefault="005F69BD" w:rsidP="00891F79">
                  <w:pPr>
                    <w:widowControl w:val="0"/>
                    <w:jc w:val="left"/>
                    <w:rPr>
                      <w:rFonts w:ascii="Arial Narrow" w:hAnsi="Arial Narrow"/>
                      <w:b/>
                      <w:bCs/>
                      <w:sz w:val="20"/>
                      <w:szCs w:val="20"/>
                    </w:rPr>
                  </w:pPr>
                  <w:r w:rsidRPr="00EB1825">
                    <w:rPr>
                      <w:rFonts w:ascii="Arial Narrow" w:hAnsi="Arial Narrow"/>
                      <w:b/>
                      <w:bCs/>
                      <w:sz w:val="20"/>
                      <w:szCs w:val="20"/>
                    </w:rPr>
                    <w:t xml:space="preserve">Women aged 40-79 </w:t>
                  </w:r>
                  <w:proofErr w:type="spellStart"/>
                  <w:r w:rsidRPr="00EB1825">
                    <w:rPr>
                      <w:rFonts w:ascii="Arial Narrow" w:hAnsi="Arial Narrow"/>
                      <w:b/>
                      <w:bCs/>
                      <w:sz w:val="20"/>
                      <w:szCs w:val="20"/>
                    </w:rPr>
                    <w:t>ys</w:t>
                  </w:r>
                  <w:proofErr w:type="spellEnd"/>
                </w:p>
              </w:tc>
              <w:tc>
                <w:tcPr>
                  <w:tcW w:w="1853" w:type="pct"/>
                  <w:tcMar>
                    <w:left w:w="0" w:type="dxa"/>
                    <w:right w:w="0" w:type="dxa"/>
                  </w:tcMar>
                </w:tcPr>
                <w:p w14:paraId="727D78DA" w14:textId="77777777" w:rsidR="005F69BD" w:rsidRPr="00EB1825" w:rsidRDefault="005F69BD" w:rsidP="00891F79">
                  <w:pPr>
                    <w:widowControl w:val="0"/>
                    <w:jc w:val="left"/>
                    <w:rPr>
                      <w:rFonts w:ascii="Arial Narrow" w:hAnsi="Arial Narrow"/>
                      <w:b/>
                      <w:bCs/>
                      <w:sz w:val="20"/>
                      <w:szCs w:val="20"/>
                    </w:rPr>
                  </w:pPr>
                  <w:r w:rsidRPr="00EB1825">
                    <w:rPr>
                      <w:rFonts w:ascii="Arial Narrow" w:hAnsi="Arial Narrow"/>
                      <w:b/>
                      <w:bCs/>
                      <w:sz w:val="20"/>
                      <w:szCs w:val="20"/>
                    </w:rPr>
                    <w:t>Eligible pts *</w:t>
                  </w:r>
                </w:p>
              </w:tc>
            </w:tr>
            <w:tr w:rsidR="005F69BD" w:rsidRPr="00EB1825" w14:paraId="3E1D86DD" w14:textId="77777777" w:rsidTr="00891F79">
              <w:trPr>
                <w:trHeight w:val="20"/>
              </w:trPr>
              <w:tc>
                <w:tcPr>
                  <w:tcW w:w="610" w:type="pct"/>
                  <w:tcMar>
                    <w:left w:w="0" w:type="dxa"/>
                    <w:right w:w="0" w:type="dxa"/>
                  </w:tcMar>
                </w:tcPr>
                <w:p w14:paraId="50E86986"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Y1</w:t>
                  </w:r>
                </w:p>
              </w:tc>
              <w:tc>
                <w:tcPr>
                  <w:tcW w:w="2537" w:type="pct"/>
                </w:tcPr>
                <w:p w14:paraId="7F251ED4" w14:textId="2A21A612" w:rsidR="005F69BD" w:rsidRPr="005E384E"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5E384E">
                    <w:rPr>
                      <w:rFonts w:ascii="Arial Narrow" w:hAnsi="Arial Narrow"/>
                      <w:sz w:val="20"/>
                      <w:szCs w:val="20"/>
                      <w:vertAlign w:val="superscript"/>
                    </w:rPr>
                    <w:t>1</w:t>
                  </w:r>
                </w:p>
              </w:tc>
              <w:tc>
                <w:tcPr>
                  <w:tcW w:w="1853" w:type="pct"/>
                  <w:tcMar>
                    <w:left w:w="0" w:type="dxa"/>
                    <w:right w:w="0" w:type="dxa"/>
                  </w:tcMar>
                </w:tcPr>
                <w:p w14:paraId="4E1CB376" w14:textId="00B138E3" w:rsidR="005F69BD" w:rsidRPr="00A7440D"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A7440D">
                    <w:rPr>
                      <w:rFonts w:ascii="Arial Narrow" w:hAnsi="Arial Narrow"/>
                      <w:sz w:val="20"/>
                      <w:szCs w:val="20"/>
                      <w:vertAlign w:val="superscript"/>
                    </w:rPr>
                    <w:t>2</w:t>
                  </w:r>
                </w:p>
              </w:tc>
            </w:tr>
            <w:tr w:rsidR="005F69BD" w:rsidRPr="00EB1825" w14:paraId="76452EEC" w14:textId="77777777" w:rsidTr="00891F79">
              <w:trPr>
                <w:trHeight w:val="20"/>
              </w:trPr>
              <w:tc>
                <w:tcPr>
                  <w:tcW w:w="610" w:type="pct"/>
                  <w:tcMar>
                    <w:left w:w="0" w:type="dxa"/>
                    <w:right w:w="0" w:type="dxa"/>
                  </w:tcMar>
                </w:tcPr>
                <w:p w14:paraId="0DCBB3B1"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Y2</w:t>
                  </w:r>
                </w:p>
              </w:tc>
              <w:tc>
                <w:tcPr>
                  <w:tcW w:w="2537" w:type="pct"/>
                </w:tcPr>
                <w:p w14:paraId="5AB933E3" w14:textId="1101C28F" w:rsidR="005F69BD" w:rsidRPr="005E384E"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5E384E">
                    <w:rPr>
                      <w:rFonts w:ascii="Arial Narrow" w:hAnsi="Arial Narrow"/>
                      <w:sz w:val="20"/>
                      <w:szCs w:val="20"/>
                      <w:vertAlign w:val="superscript"/>
                    </w:rPr>
                    <w:t>1</w:t>
                  </w:r>
                </w:p>
              </w:tc>
              <w:tc>
                <w:tcPr>
                  <w:tcW w:w="1853" w:type="pct"/>
                  <w:tcMar>
                    <w:left w:w="0" w:type="dxa"/>
                    <w:right w:w="0" w:type="dxa"/>
                  </w:tcMar>
                </w:tcPr>
                <w:p w14:paraId="0E087A36" w14:textId="6CD7BCC3" w:rsidR="005F69BD" w:rsidRPr="00A7440D"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A7440D">
                    <w:rPr>
                      <w:rFonts w:ascii="Arial Narrow" w:hAnsi="Arial Narrow"/>
                      <w:sz w:val="20"/>
                      <w:szCs w:val="20"/>
                      <w:vertAlign w:val="superscript"/>
                    </w:rPr>
                    <w:t>2</w:t>
                  </w:r>
                </w:p>
              </w:tc>
            </w:tr>
            <w:tr w:rsidR="005F69BD" w:rsidRPr="00EB1825" w14:paraId="15FDF144" w14:textId="77777777" w:rsidTr="00891F79">
              <w:trPr>
                <w:trHeight w:val="20"/>
              </w:trPr>
              <w:tc>
                <w:tcPr>
                  <w:tcW w:w="610" w:type="pct"/>
                  <w:tcMar>
                    <w:left w:w="0" w:type="dxa"/>
                    <w:right w:w="0" w:type="dxa"/>
                  </w:tcMar>
                </w:tcPr>
                <w:p w14:paraId="5726149C"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Y3</w:t>
                  </w:r>
                </w:p>
              </w:tc>
              <w:tc>
                <w:tcPr>
                  <w:tcW w:w="2537" w:type="pct"/>
                </w:tcPr>
                <w:p w14:paraId="6AF18EB1" w14:textId="3AB273BF" w:rsidR="005F69BD" w:rsidRPr="005E384E"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5E384E">
                    <w:rPr>
                      <w:rFonts w:ascii="Arial Narrow" w:hAnsi="Arial Narrow"/>
                      <w:sz w:val="20"/>
                      <w:szCs w:val="20"/>
                      <w:vertAlign w:val="superscript"/>
                    </w:rPr>
                    <w:t>1</w:t>
                  </w:r>
                </w:p>
              </w:tc>
              <w:tc>
                <w:tcPr>
                  <w:tcW w:w="1853" w:type="pct"/>
                  <w:tcMar>
                    <w:left w:w="0" w:type="dxa"/>
                    <w:right w:w="0" w:type="dxa"/>
                  </w:tcMar>
                </w:tcPr>
                <w:p w14:paraId="4FFC1D54" w14:textId="4128B960" w:rsidR="005F69BD" w:rsidRPr="00040435"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040435">
                    <w:rPr>
                      <w:rFonts w:ascii="Arial Narrow" w:hAnsi="Arial Narrow"/>
                      <w:sz w:val="20"/>
                      <w:szCs w:val="20"/>
                      <w:vertAlign w:val="superscript"/>
                    </w:rPr>
                    <w:t>3</w:t>
                  </w:r>
                </w:p>
              </w:tc>
            </w:tr>
            <w:tr w:rsidR="005F69BD" w:rsidRPr="00EB1825" w14:paraId="5905A323" w14:textId="77777777" w:rsidTr="00891F79">
              <w:trPr>
                <w:trHeight w:val="20"/>
              </w:trPr>
              <w:tc>
                <w:tcPr>
                  <w:tcW w:w="610" w:type="pct"/>
                  <w:tcMar>
                    <w:left w:w="0" w:type="dxa"/>
                    <w:right w:w="0" w:type="dxa"/>
                  </w:tcMar>
                </w:tcPr>
                <w:p w14:paraId="4A1D77B3"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Y4</w:t>
                  </w:r>
                </w:p>
              </w:tc>
              <w:tc>
                <w:tcPr>
                  <w:tcW w:w="2537" w:type="pct"/>
                </w:tcPr>
                <w:p w14:paraId="6785D821" w14:textId="3E4CD91F" w:rsidR="005F69BD" w:rsidRPr="005E384E"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5E384E">
                    <w:rPr>
                      <w:rFonts w:ascii="Arial Narrow" w:hAnsi="Arial Narrow"/>
                      <w:sz w:val="20"/>
                      <w:szCs w:val="20"/>
                      <w:vertAlign w:val="superscript"/>
                    </w:rPr>
                    <w:t>1</w:t>
                  </w:r>
                </w:p>
              </w:tc>
              <w:tc>
                <w:tcPr>
                  <w:tcW w:w="1853" w:type="pct"/>
                  <w:tcMar>
                    <w:left w:w="0" w:type="dxa"/>
                    <w:right w:w="0" w:type="dxa"/>
                  </w:tcMar>
                </w:tcPr>
                <w:p w14:paraId="14C15C7B" w14:textId="14759647" w:rsidR="005F69BD" w:rsidRPr="00040435"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040435">
                    <w:rPr>
                      <w:rFonts w:ascii="Arial Narrow" w:hAnsi="Arial Narrow"/>
                      <w:sz w:val="20"/>
                      <w:szCs w:val="20"/>
                      <w:vertAlign w:val="superscript"/>
                    </w:rPr>
                    <w:t>3</w:t>
                  </w:r>
                </w:p>
              </w:tc>
            </w:tr>
            <w:tr w:rsidR="005F69BD" w:rsidRPr="00EB1825" w14:paraId="7B9B6C7C" w14:textId="77777777" w:rsidTr="00891F79">
              <w:trPr>
                <w:trHeight w:val="20"/>
              </w:trPr>
              <w:tc>
                <w:tcPr>
                  <w:tcW w:w="610" w:type="pct"/>
                  <w:tcMar>
                    <w:left w:w="0" w:type="dxa"/>
                    <w:right w:w="0" w:type="dxa"/>
                  </w:tcMar>
                </w:tcPr>
                <w:p w14:paraId="4850685B"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Y5</w:t>
                  </w:r>
                </w:p>
              </w:tc>
              <w:tc>
                <w:tcPr>
                  <w:tcW w:w="2537" w:type="pct"/>
                </w:tcPr>
                <w:p w14:paraId="4FC04173" w14:textId="36B16587" w:rsidR="005F69BD" w:rsidRPr="005E384E"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5E384E">
                    <w:rPr>
                      <w:rFonts w:ascii="Arial Narrow" w:hAnsi="Arial Narrow"/>
                      <w:sz w:val="20"/>
                      <w:szCs w:val="20"/>
                      <w:vertAlign w:val="superscript"/>
                    </w:rPr>
                    <w:t>1</w:t>
                  </w:r>
                </w:p>
              </w:tc>
              <w:tc>
                <w:tcPr>
                  <w:tcW w:w="1853" w:type="pct"/>
                  <w:tcMar>
                    <w:left w:w="0" w:type="dxa"/>
                    <w:right w:w="0" w:type="dxa"/>
                  </w:tcMar>
                </w:tcPr>
                <w:p w14:paraId="1D9BC32E" w14:textId="2285C677" w:rsidR="005F69BD" w:rsidRPr="00040435"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040435">
                    <w:rPr>
                      <w:rFonts w:ascii="Arial Narrow" w:hAnsi="Arial Narrow"/>
                      <w:sz w:val="20"/>
                      <w:szCs w:val="20"/>
                      <w:vertAlign w:val="superscript"/>
                    </w:rPr>
                    <w:t>3</w:t>
                  </w:r>
                </w:p>
              </w:tc>
            </w:tr>
            <w:tr w:rsidR="005F69BD" w:rsidRPr="00EB1825" w14:paraId="7FE4EF61" w14:textId="77777777" w:rsidTr="00891F79">
              <w:trPr>
                <w:trHeight w:val="20"/>
              </w:trPr>
              <w:tc>
                <w:tcPr>
                  <w:tcW w:w="610" w:type="pct"/>
                  <w:tcMar>
                    <w:left w:w="0" w:type="dxa"/>
                    <w:right w:w="0" w:type="dxa"/>
                  </w:tcMar>
                </w:tcPr>
                <w:p w14:paraId="149DDAC5"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Y6</w:t>
                  </w:r>
                </w:p>
              </w:tc>
              <w:tc>
                <w:tcPr>
                  <w:tcW w:w="2537" w:type="pct"/>
                </w:tcPr>
                <w:p w14:paraId="06DE65A7" w14:textId="19C1E018" w:rsidR="005F69BD" w:rsidRPr="005E384E"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5E384E">
                    <w:rPr>
                      <w:rFonts w:ascii="Arial Narrow" w:hAnsi="Arial Narrow"/>
                      <w:sz w:val="20"/>
                      <w:szCs w:val="20"/>
                      <w:vertAlign w:val="superscript"/>
                    </w:rPr>
                    <w:t>1</w:t>
                  </w:r>
                </w:p>
              </w:tc>
              <w:tc>
                <w:tcPr>
                  <w:tcW w:w="1853" w:type="pct"/>
                  <w:tcMar>
                    <w:left w:w="0" w:type="dxa"/>
                    <w:right w:w="0" w:type="dxa"/>
                  </w:tcMar>
                </w:tcPr>
                <w:p w14:paraId="1CEE5FFB" w14:textId="5ABDAAD9" w:rsidR="005F69BD" w:rsidRPr="00EB1825" w:rsidRDefault="00E901B5" w:rsidP="00891F79">
                  <w:pPr>
                    <w:widowControl w:val="0"/>
                    <w:jc w:val="left"/>
                    <w:rPr>
                      <w:rFonts w:ascii="Arial Narrow" w:hAnsi="Arial Narrow"/>
                      <w:sz w:val="20"/>
                      <w:szCs w:val="20"/>
                    </w:rPr>
                  </w:pPr>
                  <w:r w:rsidRPr="00E901B5">
                    <w:rPr>
                      <w:rFonts w:ascii="Arial Narrow" w:hAnsi="Arial Narrow"/>
                      <w:sz w:val="20"/>
                      <w:szCs w:val="20"/>
                      <w:highlight w:val="black"/>
                    </w:rPr>
                    <w:t>&amp;&amp;&amp;&amp;</w:t>
                  </w:r>
                  <w:r w:rsidR="00040435">
                    <w:rPr>
                      <w:rFonts w:ascii="Arial Narrow" w:hAnsi="Arial Narrow"/>
                      <w:sz w:val="20"/>
                      <w:szCs w:val="20"/>
                      <w:vertAlign w:val="superscript"/>
                    </w:rPr>
                    <w:t>3</w:t>
                  </w:r>
                  <w:r w:rsidR="005F69BD" w:rsidRPr="00EB1825">
                    <w:rPr>
                      <w:rFonts w:ascii="Arial Narrow" w:hAnsi="Arial Narrow"/>
                      <w:sz w:val="20"/>
                      <w:szCs w:val="20"/>
                    </w:rPr>
                    <w:t xml:space="preserve"> </w:t>
                  </w:r>
                </w:p>
              </w:tc>
            </w:tr>
          </w:tbl>
          <w:p w14:paraId="0CC05C38" w14:textId="77777777" w:rsidR="005F69BD" w:rsidRPr="00EB1825" w:rsidRDefault="005F69BD" w:rsidP="00891F79">
            <w:pPr>
              <w:pStyle w:val="TableText0"/>
              <w:keepNext w:val="0"/>
            </w:pPr>
            <w:r w:rsidRPr="00EB1825">
              <w:t>*Post-menopausal patients (65.4%) with moderate to severe VMS (9.8%), who are unsuitable for MHT (75%).</w:t>
            </w:r>
          </w:p>
        </w:tc>
        <w:tc>
          <w:tcPr>
            <w:tcW w:w="1336" w:type="pct"/>
            <w:tcBorders>
              <w:top w:val="single" w:sz="4" w:space="0" w:color="auto"/>
              <w:left w:val="single" w:sz="4" w:space="0" w:color="auto"/>
              <w:bottom w:val="single" w:sz="4" w:space="0" w:color="auto"/>
              <w:right w:val="single" w:sz="4" w:space="0" w:color="auto"/>
            </w:tcBorders>
          </w:tcPr>
          <w:tbl>
            <w:tblPr>
              <w:tblStyle w:val="TableGrid"/>
              <w:tblW w:w="2183" w:type="dxa"/>
              <w:tblCellMar>
                <w:left w:w="28" w:type="dxa"/>
                <w:right w:w="28" w:type="dxa"/>
              </w:tblCellMar>
              <w:tblLook w:val="04A0" w:firstRow="1" w:lastRow="0" w:firstColumn="1" w:lastColumn="0" w:noHBand="0" w:noVBand="1"/>
            </w:tblPr>
            <w:tblGrid>
              <w:gridCol w:w="211"/>
              <w:gridCol w:w="1189"/>
              <w:gridCol w:w="783"/>
            </w:tblGrid>
            <w:tr w:rsidR="005F69BD" w:rsidRPr="00EB1825" w14:paraId="394EB7D8" w14:textId="77777777" w:rsidTr="00B13585">
              <w:trPr>
                <w:trHeight w:val="20"/>
              </w:trPr>
              <w:tc>
                <w:tcPr>
                  <w:tcW w:w="483" w:type="pct"/>
                  <w:tcMar>
                    <w:left w:w="0" w:type="dxa"/>
                    <w:right w:w="0" w:type="dxa"/>
                  </w:tcMar>
                </w:tcPr>
                <w:p w14:paraId="4A9E8D1C" w14:textId="77777777" w:rsidR="005F69BD" w:rsidRPr="00EB1825" w:rsidRDefault="005F69BD" w:rsidP="00891F79">
                  <w:pPr>
                    <w:widowControl w:val="0"/>
                    <w:jc w:val="left"/>
                    <w:rPr>
                      <w:rFonts w:ascii="Arial Narrow" w:hAnsi="Arial Narrow"/>
                      <w:b/>
                      <w:bCs/>
                      <w:sz w:val="20"/>
                      <w:szCs w:val="20"/>
                    </w:rPr>
                  </w:pPr>
                </w:p>
              </w:tc>
              <w:tc>
                <w:tcPr>
                  <w:tcW w:w="2723" w:type="pct"/>
                </w:tcPr>
                <w:p w14:paraId="3F9850ED" w14:textId="77777777" w:rsidR="005F69BD" w:rsidRPr="00EB1825" w:rsidRDefault="005F69BD" w:rsidP="00891F79">
                  <w:pPr>
                    <w:widowControl w:val="0"/>
                    <w:jc w:val="left"/>
                    <w:rPr>
                      <w:rFonts w:ascii="Arial Narrow" w:hAnsi="Arial Narrow"/>
                      <w:b/>
                      <w:bCs/>
                      <w:sz w:val="20"/>
                      <w:szCs w:val="20"/>
                    </w:rPr>
                  </w:pPr>
                  <w:r w:rsidRPr="00EB1825">
                    <w:rPr>
                      <w:rFonts w:ascii="Arial Narrow" w:hAnsi="Arial Narrow"/>
                      <w:b/>
                      <w:bCs/>
                      <w:sz w:val="20"/>
                      <w:szCs w:val="20"/>
                    </w:rPr>
                    <w:t xml:space="preserve">Women aged 40-65 </w:t>
                  </w:r>
                  <w:proofErr w:type="spellStart"/>
                  <w:r w:rsidRPr="00EB1825">
                    <w:rPr>
                      <w:rFonts w:ascii="Arial Narrow" w:hAnsi="Arial Narrow"/>
                      <w:b/>
                      <w:bCs/>
                      <w:sz w:val="20"/>
                      <w:szCs w:val="20"/>
                    </w:rPr>
                    <w:t>ys</w:t>
                  </w:r>
                  <w:proofErr w:type="spellEnd"/>
                </w:p>
              </w:tc>
              <w:tc>
                <w:tcPr>
                  <w:tcW w:w="1793" w:type="pct"/>
                  <w:tcMar>
                    <w:left w:w="0" w:type="dxa"/>
                    <w:right w:w="0" w:type="dxa"/>
                  </w:tcMar>
                </w:tcPr>
                <w:p w14:paraId="51656133" w14:textId="77777777" w:rsidR="005F69BD" w:rsidRPr="00EB1825" w:rsidRDefault="005F69BD" w:rsidP="00891F79">
                  <w:pPr>
                    <w:widowControl w:val="0"/>
                    <w:jc w:val="left"/>
                    <w:rPr>
                      <w:rFonts w:ascii="Arial Narrow" w:hAnsi="Arial Narrow"/>
                      <w:b/>
                      <w:bCs/>
                      <w:sz w:val="20"/>
                      <w:szCs w:val="20"/>
                    </w:rPr>
                  </w:pPr>
                  <w:r w:rsidRPr="00EB1825">
                    <w:rPr>
                      <w:rFonts w:ascii="Arial Narrow" w:hAnsi="Arial Narrow"/>
                      <w:b/>
                      <w:bCs/>
                      <w:sz w:val="20"/>
                      <w:szCs w:val="20"/>
                    </w:rPr>
                    <w:t>Eligible pts **</w:t>
                  </w:r>
                </w:p>
              </w:tc>
            </w:tr>
            <w:tr w:rsidR="005F69BD" w:rsidRPr="00EB1825" w14:paraId="4A368E19" w14:textId="77777777" w:rsidTr="00B13585">
              <w:trPr>
                <w:trHeight w:val="20"/>
              </w:trPr>
              <w:tc>
                <w:tcPr>
                  <w:tcW w:w="483" w:type="pct"/>
                  <w:tcMar>
                    <w:left w:w="0" w:type="dxa"/>
                    <w:right w:w="0" w:type="dxa"/>
                  </w:tcMar>
                </w:tcPr>
                <w:p w14:paraId="1BEFBCE7"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Y1</w:t>
                  </w:r>
                </w:p>
              </w:tc>
              <w:tc>
                <w:tcPr>
                  <w:tcW w:w="2723" w:type="pct"/>
                  <w:vAlign w:val="center"/>
                </w:tcPr>
                <w:p w14:paraId="572E9ED1" w14:textId="54667C9C" w:rsidR="005F69BD" w:rsidRPr="001204AF"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1204AF">
                    <w:rPr>
                      <w:rFonts w:ascii="Arial Narrow" w:hAnsi="Arial Narrow"/>
                      <w:sz w:val="20"/>
                      <w:szCs w:val="20"/>
                      <w:vertAlign w:val="superscript"/>
                    </w:rPr>
                    <w:t>4</w:t>
                  </w:r>
                </w:p>
              </w:tc>
              <w:tc>
                <w:tcPr>
                  <w:tcW w:w="1793" w:type="pct"/>
                  <w:tcMar>
                    <w:left w:w="0" w:type="dxa"/>
                    <w:right w:w="0" w:type="dxa"/>
                  </w:tcMar>
                  <w:vAlign w:val="center"/>
                </w:tcPr>
                <w:p w14:paraId="328F9AE8" w14:textId="4A86FA26"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8F2739">
                    <w:rPr>
                      <w:rFonts w:ascii="Arial Narrow" w:hAnsi="Arial Narrow"/>
                      <w:sz w:val="20"/>
                      <w:szCs w:val="20"/>
                      <w:vertAlign w:val="superscript"/>
                    </w:rPr>
                    <w:t>5</w:t>
                  </w:r>
                </w:p>
              </w:tc>
            </w:tr>
            <w:tr w:rsidR="005F69BD" w:rsidRPr="00EB1825" w14:paraId="7345BA0A" w14:textId="77777777" w:rsidTr="00B13585">
              <w:trPr>
                <w:trHeight w:val="20"/>
              </w:trPr>
              <w:tc>
                <w:tcPr>
                  <w:tcW w:w="483" w:type="pct"/>
                  <w:tcMar>
                    <w:left w:w="0" w:type="dxa"/>
                    <w:right w:w="0" w:type="dxa"/>
                  </w:tcMar>
                </w:tcPr>
                <w:p w14:paraId="29F62A6D"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Y2</w:t>
                  </w:r>
                </w:p>
              </w:tc>
              <w:tc>
                <w:tcPr>
                  <w:tcW w:w="2723" w:type="pct"/>
                  <w:vAlign w:val="center"/>
                </w:tcPr>
                <w:p w14:paraId="63C66D2A" w14:textId="62890F2E" w:rsidR="005F69BD" w:rsidRPr="001204AF"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1204AF">
                    <w:rPr>
                      <w:rFonts w:ascii="Arial Narrow" w:hAnsi="Arial Narrow"/>
                      <w:sz w:val="20"/>
                      <w:szCs w:val="20"/>
                      <w:vertAlign w:val="superscript"/>
                    </w:rPr>
                    <w:t>4</w:t>
                  </w:r>
                </w:p>
              </w:tc>
              <w:tc>
                <w:tcPr>
                  <w:tcW w:w="1793" w:type="pct"/>
                  <w:tcMar>
                    <w:left w:w="0" w:type="dxa"/>
                    <w:right w:w="0" w:type="dxa"/>
                  </w:tcMar>
                  <w:vAlign w:val="center"/>
                </w:tcPr>
                <w:p w14:paraId="4E56CEBB" w14:textId="20EF2057"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8F2739">
                    <w:rPr>
                      <w:rFonts w:ascii="Arial Narrow" w:hAnsi="Arial Narrow"/>
                      <w:sz w:val="20"/>
                      <w:szCs w:val="20"/>
                      <w:vertAlign w:val="superscript"/>
                    </w:rPr>
                    <w:t>5</w:t>
                  </w:r>
                </w:p>
              </w:tc>
            </w:tr>
            <w:tr w:rsidR="005F69BD" w:rsidRPr="00EB1825" w14:paraId="5C36BD45" w14:textId="77777777" w:rsidTr="00B13585">
              <w:trPr>
                <w:trHeight w:val="20"/>
              </w:trPr>
              <w:tc>
                <w:tcPr>
                  <w:tcW w:w="483" w:type="pct"/>
                  <w:tcMar>
                    <w:left w:w="0" w:type="dxa"/>
                    <w:right w:w="0" w:type="dxa"/>
                  </w:tcMar>
                </w:tcPr>
                <w:p w14:paraId="54FF173B"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Y3</w:t>
                  </w:r>
                </w:p>
              </w:tc>
              <w:tc>
                <w:tcPr>
                  <w:tcW w:w="2723" w:type="pct"/>
                  <w:vAlign w:val="center"/>
                </w:tcPr>
                <w:p w14:paraId="592B072D" w14:textId="104FCCD5" w:rsidR="005F69BD" w:rsidRPr="001204AF"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1204AF">
                    <w:rPr>
                      <w:rFonts w:ascii="Arial Narrow" w:hAnsi="Arial Narrow"/>
                      <w:sz w:val="20"/>
                      <w:szCs w:val="20"/>
                      <w:vertAlign w:val="superscript"/>
                    </w:rPr>
                    <w:t>4</w:t>
                  </w:r>
                </w:p>
              </w:tc>
              <w:tc>
                <w:tcPr>
                  <w:tcW w:w="1793" w:type="pct"/>
                  <w:tcMar>
                    <w:left w:w="0" w:type="dxa"/>
                    <w:right w:w="0" w:type="dxa"/>
                  </w:tcMar>
                  <w:vAlign w:val="center"/>
                </w:tcPr>
                <w:p w14:paraId="62BF33E5" w14:textId="077325B7"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8F2739">
                    <w:rPr>
                      <w:rFonts w:ascii="Arial Narrow" w:hAnsi="Arial Narrow"/>
                      <w:sz w:val="20"/>
                      <w:szCs w:val="20"/>
                      <w:vertAlign w:val="superscript"/>
                    </w:rPr>
                    <w:t>5</w:t>
                  </w:r>
                </w:p>
              </w:tc>
            </w:tr>
            <w:tr w:rsidR="005F69BD" w:rsidRPr="00EB1825" w14:paraId="51DB1094" w14:textId="77777777" w:rsidTr="00B13585">
              <w:trPr>
                <w:trHeight w:val="20"/>
              </w:trPr>
              <w:tc>
                <w:tcPr>
                  <w:tcW w:w="483" w:type="pct"/>
                  <w:tcMar>
                    <w:left w:w="0" w:type="dxa"/>
                    <w:right w:w="0" w:type="dxa"/>
                  </w:tcMar>
                </w:tcPr>
                <w:p w14:paraId="3B07DB2E"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Y4</w:t>
                  </w:r>
                </w:p>
              </w:tc>
              <w:tc>
                <w:tcPr>
                  <w:tcW w:w="2723" w:type="pct"/>
                  <w:vAlign w:val="center"/>
                </w:tcPr>
                <w:p w14:paraId="377048C1" w14:textId="64A79235" w:rsidR="005F69BD" w:rsidRPr="001204AF"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1204AF">
                    <w:rPr>
                      <w:rFonts w:ascii="Arial Narrow" w:hAnsi="Arial Narrow"/>
                      <w:sz w:val="20"/>
                      <w:szCs w:val="20"/>
                      <w:vertAlign w:val="superscript"/>
                    </w:rPr>
                    <w:t>4</w:t>
                  </w:r>
                </w:p>
              </w:tc>
              <w:tc>
                <w:tcPr>
                  <w:tcW w:w="1793" w:type="pct"/>
                  <w:tcMar>
                    <w:left w:w="0" w:type="dxa"/>
                    <w:right w:w="0" w:type="dxa"/>
                  </w:tcMar>
                  <w:vAlign w:val="center"/>
                </w:tcPr>
                <w:p w14:paraId="69A3F42B" w14:textId="37A82286"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8F2739">
                    <w:rPr>
                      <w:rFonts w:ascii="Arial Narrow" w:hAnsi="Arial Narrow"/>
                      <w:sz w:val="20"/>
                      <w:szCs w:val="20"/>
                      <w:vertAlign w:val="superscript"/>
                    </w:rPr>
                    <w:t>5</w:t>
                  </w:r>
                </w:p>
              </w:tc>
            </w:tr>
            <w:tr w:rsidR="005F69BD" w:rsidRPr="00EB1825" w14:paraId="35DE2121" w14:textId="77777777" w:rsidTr="00B13585">
              <w:trPr>
                <w:trHeight w:val="20"/>
              </w:trPr>
              <w:tc>
                <w:tcPr>
                  <w:tcW w:w="483" w:type="pct"/>
                  <w:tcMar>
                    <w:left w:w="0" w:type="dxa"/>
                    <w:right w:w="0" w:type="dxa"/>
                  </w:tcMar>
                </w:tcPr>
                <w:p w14:paraId="5C17DA60"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Y5</w:t>
                  </w:r>
                </w:p>
              </w:tc>
              <w:tc>
                <w:tcPr>
                  <w:tcW w:w="2723" w:type="pct"/>
                  <w:vAlign w:val="center"/>
                </w:tcPr>
                <w:p w14:paraId="1A218233" w14:textId="0BC72526" w:rsidR="005F69BD" w:rsidRPr="001204AF"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1204AF">
                    <w:rPr>
                      <w:rFonts w:ascii="Arial Narrow" w:hAnsi="Arial Narrow"/>
                      <w:sz w:val="20"/>
                      <w:szCs w:val="20"/>
                      <w:vertAlign w:val="superscript"/>
                    </w:rPr>
                    <w:t>4</w:t>
                  </w:r>
                </w:p>
              </w:tc>
              <w:tc>
                <w:tcPr>
                  <w:tcW w:w="1793" w:type="pct"/>
                  <w:tcMar>
                    <w:left w:w="0" w:type="dxa"/>
                    <w:right w:w="0" w:type="dxa"/>
                  </w:tcMar>
                  <w:vAlign w:val="center"/>
                </w:tcPr>
                <w:p w14:paraId="128C9288" w14:textId="0A4972AA"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8F2739">
                    <w:rPr>
                      <w:rFonts w:ascii="Arial Narrow" w:hAnsi="Arial Narrow"/>
                      <w:sz w:val="20"/>
                      <w:szCs w:val="20"/>
                      <w:vertAlign w:val="superscript"/>
                    </w:rPr>
                    <w:t>5</w:t>
                  </w:r>
                </w:p>
              </w:tc>
            </w:tr>
            <w:tr w:rsidR="005F69BD" w:rsidRPr="00EB1825" w14:paraId="3D31B06D" w14:textId="77777777" w:rsidTr="00B13585">
              <w:trPr>
                <w:trHeight w:val="20"/>
              </w:trPr>
              <w:tc>
                <w:tcPr>
                  <w:tcW w:w="483" w:type="pct"/>
                  <w:tcMar>
                    <w:left w:w="0" w:type="dxa"/>
                    <w:right w:w="0" w:type="dxa"/>
                  </w:tcMar>
                </w:tcPr>
                <w:p w14:paraId="25A9D1E5"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Y6</w:t>
                  </w:r>
                </w:p>
              </w:tc>
              <w:tc>
                <w:tcPr>
                  <w:tcW w:w="2723" w:type="pct"/>
                  <w:vAlign w:val="center"/>
                </w:tcPr>
                <w:p w14:paraId="7EE60F09" w14:textId="7B4343D0" w:rsidR="005F69BD" w:rsidRPr="001204AF"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1204AF">
                    <w:rPr>
                      <w:rFonts w:ascii="Arial Narrow" w:hAnsi="Arial Narrow"/>
                      <w:sz w:val="20"/>
                      <w:szCs w:val="20"/>
                      <w:vertAlign w:val="superscript"/>
                    </w:rPr>
                    <w:t>4</w:t>
                  </w:r>
                </w:p>
              </w:tc>
              <w:tc>
                <w:tcPr>
                  <w:tcW w:w="1793" w:type="pct"/>
                  <w:tcMar>
                    <w:left w:w="0" w:type="dxa"/>
                    <w:right w:w="0" w:type="dxa"/>
                  </w:tcMar>
                  <w:vAlign w:val="center"/>
                </w:tcPr>
                <w:p w14:paraId="5ADBCC19" w14:textId="761DA81A"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8F2739">
                    <w:rPr>
                      <w:rFonts w:ascii="Arial Narrow" w:hAnsi="Arial Narrow"/>
                      <w:sz w:val="20"/>
                      <w:szCs w:val="20"/>
                      <w:vertAlign w:val="superscript"/>
                    </w:rPr>
                    <w:t>5</w:t>
                  </w:r>
                </w:p>
              </w:tc>
            </w:tr>
          </w:tbl>
          <w:p w14:paraId="364A1B2B" w14:textId="77777777" w:rsidR="005F69BD" w:rsidRPr="00EB1825" w:rsidRDefault="005F69BD" w:rsidP="00891F79">
            <w:pPr>
              <w:pStyle w:val="TableText0"/>
              <w:keepNext w:val="0"/>
            </w:pPr>
            <w:r w:rsidRPr="00EB1825">
              <w:t>** Post-menopausal patients (52.21%) with moderate to severe VMS (14.89%), who are unsuitable for MHT (75%), and seek medical advice (60%).</w:t>
            </w:r>
          </w:p>
        </w:tc>
        <w:tc>
          <w:tcPr>
            <w:tcW w:w="1544" w:type="pct"/>
            <w:vMerge/>
            <w:tcBorders>
              <w:left w:val="single" w:sz="4" w:space="0" w:color="auto"/>
              <w:bottom w:val="single" w:sz="4" w:space="0" w:color="auto"/>
              <w:right w:val="single" w:sz="4" w:space="0" w:color="auto"/>
            </w:tcBorders>
          </w:tcPr>
          <w:p w14:paraId="540104BB" w14:textId="77777777" w:rsidR="005F69BD" w:rsidRPr="00EB1825" w:rsidRDefault="005F69BD" w:rsidP="00891F79">
            <w:pPr>
              <w:pStyle w:val="TableText0"/>
              <w:keepNext w:val="0"/>
            </w:pPr>
          </w:p>
        </w:tc>
      </w:tr>
      <w:tr w:rsidR="005F69BD" w:rsidRPr="00EB1825" w14:paraId="71AE151A" w14:textId="77777777" w:rsidTr="00891F79">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14:paraId="3B817D3B" w14:textId="77777777" w:rsidR="005F69BD" w:rsidRPr="00EB1825" w:rsidRDefault="005F69BD" w:rsidP="00E26FA8">
            <w:pPr>
              <w:pStyle w:val="TableText0"/>
              <w:rPr>
                <w:b/>
              </w:rPr>
            </w:pPr>
            <w:r w:rsidRPr="00EB1825">
              <w:rPr>
                <w:b/>
              </w:rPr>
              <w:t>Treatment utilisation</w:t>
            </w:r>
          </w:p>
        </w:tc>
      </w:tr>
      <w:tr w:rsidR="005F69BD" w:rsidRPr="00EB1825" w14:paraId="40EEDE87"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hideMark/>
          </w:tcPr>
          <w:p w14:paraId="3E6C6A07" w14:textId="77777777" w:rsidR="005F69BD" w:rsidRPr="00EB1825" w:rsidRDefault="005F69BD" w:rsidP="00891F79">
            <w:pPr>
              <w:pStyle w:val="TableText0"/>
              <w:keepNext w:val="0"/>
            </w:pPr>
            <w:r w:rsidRPr="00EB1825">
              <w:t>Uptake rate</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tbl>
            <w:tblPr>
              <w:tblStyle w:val="TableGrid"/>
              <w:tblW w:w="2066" w:type="dxa"/>
              <w:tblCellMar>
                <w:left w:w="28" w:type="dxa"/>
                <w:right w:w="28" w:type="dxa"/>
              </w:tblCellMar>
              <w:tblLook w:val="04A0" w:firstRow="1" w:lastRow="0" w:firstColumn="1" w:lastColumn="0" w:noHBand="0" w:noVBand="1"/>
            </w:tblPr>
            <w:tblGrid>
              <w:gridCol w:w="201"/>
              <w:gridCol w:w="629"/>
              <w:gridCol w:w="553"/>
              <w:gridCol w:w="740"/>
            </w:tblGrid>
            <w:tr w:rsidR="005F69BD" w:rsidRPr="00EB1825" w14:paraId="039385CC" w14:textId="77777777" w:rsidTr="00891F79">
              <w:trPr>
                <w:trHeight w:val="20"/>
              </w:trPr>
              <w:tc>
                <w:tcPr>
                  <w:tcW w:w="511" w:type="pct"/>
                  <w:tcMar>
                    <w:left w:w="0" w:type="dxa"/>
                    <w:right w:w="0" w:type="dxa"/>
                  </w:tcMar>
                </w:tcPr>
                <w:p w14:paraId="602C5174" w14:textId="77777777" w:rsidR="005F69BD" w:rsidRPr="00EB1825" w:rsidRDefault="005F69BD" w:rsidP="00891F79">
                  <w:pPr>
                    <w:widowControl w:val="0"/>
                    <w:jc w:val="left"/>
                    <w:rPr>
                      <w:rFonts w:ascii="Arial Narrow" w:hAnsi="Arial Narrow"/>
                      <w:b/>
                      <w:bCs/>
                      <w:sz w:val="20"/>
                      <w:szCs w:val="20"/>
                    </w:rPr>
                  </w:pPr>
                </w:p>
              </w:tc>
              <w:tc>
                <w:tcPr>
                  <w:tcW w:w="1348" w:type="pct"/>
                  <w:tcMar>
                    <w:left w:w="0" w:type="dxa"/>
                    <w:right w:w="0" w:type="dxa"/>
                  </w:tcMar>
                </w:tcPr>
                <w:p w14:paraId="1F3DB0D9" w14:textId="77777777" w:rsidR="005F69BD" w:rsidRPr="00EB1825" w:rsidRDefault="005F69BD" w:rsidP="00891F79">
                  <w:pPr>
                    <w:widowControl w:val="0"/>
                    <w:jc w:val="left"/>
                    <w:rPr>
                      <w:rFonts w:ascii="Arial Narrow" w:hAnsi="Arial Narrow"/>
                      <w:b/>
                      <w:bCs/>
                      <w:sz w:val="20"/>
                      <w:szCs w:val="20"/>
                    </w:rPr>
                  </w:pPr>
                  <w:r w:rsidRPr="00EB1825">
                    <w:rPr>
                      <w:rFonts w:ascii="Arial Narrow" w:hAnsi="Arial Narrow"/>
                      <w:b/>
                      <w:bCs/>
                      <w:sz w:val="20"/>
                      <w:szCs w:val="20"/>
                    </w:rPr>
                    <w:t>Uptake rate</w:t>
                  </w:r>
                </w:p>
              </w:tc>
              <w:tc>
                <w:tcPr>
                  <w:tcW w:w="1350" w:type="pct"/>
                </w:tcPr>
                <w:p w14:paraId="1CB64947" w14:textId="77777777" w:rsidR="005F69BD" w:rsidRPr="00EB1825" w:rsidRDefault="005F69BD" w:rsidP="00891F79">
                  <w:pPr>
                    <w:widowControl w:val="0"/>
                    <w:jc w:val="left"/>
                    <w:rPr>
                      <w:rFonts w:ascii="Arial Narrow" w:hAnsi="Arial Narrow"/>
                      <w:b/>
                      <w:bCs/>
                      <w:sz w:val="20"/>
                      <w:szCs w:val="20"/>
                    </w:rPr>
                  </w:pPr>
                  <w:r w:rsidRPr="00EB1825">
                    <w:rPr>
                      <w:rFonts w:ascii="Arial Narrow" w:hAnsi="Arial Narrow"/>
                      <w:b/>
                      <w:bCs/>
                      <w:sz w:val="20"/>
                      <w:szCs w:val="20"/>
                    </w:rPr>
                    <w:t>GF</w:t>
                  </w:r>
                </w:p>
              </w:tc>
              <w:tc>
                <w:tcPr>
                  <w:tcW w:w="1791" w:type="pct"/>
                </w:tcPr>
                <w:p w14:paraId="1825F778" w14:textId="77777777" w:rsidR="005F69BD" w:rsidRPr="00EB1825" w:rsidRDefault="005F69BD" w:rsidP="00891F79">
                  <w:pPr>
                    <w:widowControl w:val="0"/>
                    <w:jc w:val="left"/>
                    <w:rPr>
                      <w:rFonts w:ascii="Arial Narrow" w:hAnsi="Arial Narrow"/>
                      <w:b/>
                      <w:bCs/>
                      <w:sz w:val="20"/>
                      <w:szCs w:val="20"/>
                    </w:rPr>
                  </w:pPr>
                  <w:r w:rsidRPr="00EB1825">
                    <w:rPr>
                      <w:rFonts w:ascii="Arial Narrow" w:hAnsi="Arial Narrow"/>
                      <w:b/>
                      <w:bCs/>
                      <w:sz w:val="20"/>
                      <w:szCs w:val="20"/>
                    </w:rPr>
                    <w:t>Initiating pts</w:t>
                  </w:r>
                </w:p>
              </w:tc>
            </w:tr>
            <w:tr w:rsidR="005F69BD" w:rsidRPr="00EB1825" w14:paraId="3CC3130D" w14:textId="77777777" w:rsidTr="00891F79">
              <w:trPr>
                <w:trHeight w:val="20"/>
              </w:trPr>
              <w:tc>
                <w:tcPr>
                  <w:tcW w:w="511" w:type="pct"/>
                  <w:tcMar>
                    <w:left w:w="0" w:type="dxa"/>
                    <w:right w:w="0" w:type="dxa"/>
                  </w:tcMar>
                </w:tcPr>
                <w:p w14:paraId="4D80965C"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Y1</w:t>
                  </w:r>
                </w:p>
              </w:tc>
              <w:tc>
                <w:tcPr>
                  <w:tcW w:w="1348" w:type="pct"/>
                  <w:tcMar>
                    <w:left w:w="0" w:type="dxa"/>
                    <w:right w:w="0" w:type="dxa"/>
                  </w:tcMar>
                </w:tcPr>
                <w:p w14:paraId="59152A8D" w14:textId="6B7B37C7" w:rsidR="005F69BD" w:rsidRPr="00EB1825" w:rsidRDefault="009010DC" w:rsidP="00891F79">
                  <w:pPr>
                    <w:widowControl w:val="0"/>
                    <w:jc w:val="left"/>
                    <w:rPr>
                      <w:rFonts w:ascii="Arial Narrow" w:hAnsi="Arial Narrow"/>
                      <w:sz w:val="20"/>
                      <w:szCs w:val="20"/>
                    </w:rPr>
                  </w:pPr>
                  <w:r>
                    <w:rPr>
                      <w:rFonts w:ascii="Arial Narrow" w:hAnsi="Arial Narrow"/>
                      <w:sz w:val="20"/>
                      <w:szCs w:val="20"/>
                    </w:rPr>
                    <w:t>:</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1350" w:type="pct"/>
                </w:tcPr>
                <w:p w14:paraId="1C0E48FA" w14:textId="370B6BB7" w:rsidR="005F69BD" w:rsidRPr="000155F1" w:rsidRDefault="00E901B5" w:rsidP="00891F79">
                  <w:pPr>
                    <w:widowControl w:val="0"/>
                    <w:jc w:val="left"/>
                    <w:rPr>
                      <w:rFonts w:ascii="Arial Narrow" w:hAnsi="Arial Narrow"/>
                      <w:sz w:val="20"/>
                      <w:szCs w:val="20"/>
                      <w:vertAlign w:val="superscript"/>
                    </w:rPr>
                  </w:pPr>
                  <w:r w:rsidRPr="00E901B5">
                    <w:rPr>
                      <w:rFonts w:ascii="Arial Narrow" w:hAnsi="Arial Narrow" w:cstheme="minorHAnsi"/>
                      <w:sz w:val="20"/>
                      <w:szCs w:val="20"/>
                      <w:highlight w:val="black"/>
                    </w:rPr>
                    <w:t>&amp;&amp;&amp;&amp;</w:t>
                  </w:r>
                  <w:r w:rsidR="000155F1">
                    <w:rPr>
                      <w:rFonts w:ascii="Arial Narrow" w:hAnsi="Arial Narrow" w:cstheme="minorHAnsi"/>
                      <w:sz w:val="20"/>
                      <w:szCs w:val="20"/>
                      <w:vertAlign w:val="superscript"/>
                    </w:rPr>
                    <w:t>6</w:t>
                  </w:r>
                </w:p>
              </w:tc>
              <w:tc>
                <w:tcPr>
                  <w:tcW w:w="1791" w:type="pct"/>
                </w:tcPr>
                <w:p w14:paraId="6B126BEB" w14:textId="6CE999E9" w:rsidR="005F69BD" w:rsidRPr="000D7BB2" w:rsidRDefault="00E901B5" w:rsidP="00891F79">
                  <w:pPr>
                    <w:widowControl w:val="0"/>
                    <w:jc w:val="left"/>
                    <w:rPr>
                      <w:rFonts w:ascii="Arial Narrow" w:hAnsi="Arial Narrow"/>
                      <w:sz w:val="20"/>
                      <w:szCs w:val="20"/>
                      <w:vertAlign w:val="superscript"/>
                    </w:rPr>
                  </w:pPr>
                  <w:r w:rsidRPr="00E901B5">
                    <w:rPr>
                      <w:rFonts w:ascii="Arial Narrow" w:hAnsi="Arial Narrow" w:cstheme="minorHAnsi"/>
                      <w:sz w:val="20"/>
                      <w:szCs w:val="20"/>
                      <w:highlight w:val="black"/>
                    </w:rPr>
                    <w:t>&amp;&amp;&amp;&amp;</w:t>
                  </w:r>
                  <w:r w:rsidR="000D7BB2">
                    <w:rPr>
                      <w:rFonts w:ascii="Arial Narrow" w:hAnsi="Arial Narrow" w:cstheme="minorHAnsi"/>
                      <w:sz w:val="20"/>
                      <w:szCs w:val="20"/>
                      <w:vertAlign w:val="superscript"/>
                    </w:rPr>
                    <w:t>7</w:t>
                  </w:r>
                </w:p>
              </w:tc>
            </w:tr>
            <w:tr w:rsidR="005F69BD" w:rsidRPr="00EB1825" w14:paraId="42AF867E" w14:textId="77777777" w:rsidTr="00891F79">
              <w:trPr>
                <w:trHeight w:val="20"/>
              </w:trPr>
              <w:tc>
                <w:tcPr>
                  <w:tcW w:w="511" w:type="pct"/>
                  <w:tcMar>
                    <w:left w:w="0" w:type="dxa"/>
                    <w:right w:w="0" w:type="dxa"/>
                  </w:tcMar>
                </w:tcPr>
                <w:p w14:paraId="22BEBD28"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Y2</w:t>
                  </w:r>
                </w:p>
              </w:tc>
              <w:tc>
                <w:tcPr>
                  <w:tcW w:w="1348" w:type="pct"/>
                  <w:tcMar>
                    <w:left w:w="0" w:type="dxa"/>
                    <w:right w:w="0" w:type="dxa"/>
                  </w:tcMar>
                </w:tcPr>
                <w:p w14:paraId="0A6B5C6F" w14:textId="33DB7131" w:rsidR="005F69BD" w:rsidRPr="00EB1825" w:rsidRDefault="009010DC" w:rsidP="00891F79">
                  <w:pPr>
                    <w:widowControl w:val="0"/>
                    <w:jc w:val="left"/>
                    <w:rPr>
                      <w:rFonts w:ascii="Arial Narrow" w:hAnsi="Arial Narrow"/>
                      <w:sz w:val="20"/>
                      <w:szCs w:val="20"/>
                    </w:rPr>
                  </w:pPr>
                  <w:r>
                    <w:rPr>
                      <w:rFonts w:ascii="Arial Narrow" w:hAnsi="Arial Narrow"/>
                      <w:sz w:val="20"/>
                      <w:szCs w:val="20"/>
                    </w:rPr>
                    <w:t>:</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1350" w:type="pct"/>
                </w:tcPr>
                <w:p w14:paraId="53C5CAF1" w14:textId="77777777" w:rsidR="005F69BD" w:rsidRPr="00EB1825" w:rsidRDefault="005F69BD" w:rsidP="00891F79">
                  <w:pPr>
                    <w:widowControl w:val="0"/>
                    <w:jc w:val="left"/>
                    <w:rPr>
                      <w:rFonts w:ascii="Arial Narrow" w:hAnsi="Arial Narrow"/>
                      <w:sz w:val="20"/>
                      <w:szCs w:val="20"/>
                    </w:rPr>
                  </w:pPr>
                </w:p>
              </w:tc>
              <w:tc>
                <w:tcPr>
                  <w:tcW w:w="1791" w:type="pct"/>
                </w:tcPr>
                <w:p w14:paraId="6607575D" w14:textId="75CDF589"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cstheme="minorHAnsi"/>
                      <w:sz w:val="20"/>
                      <w:szCs w:val="20"/>
                      <w:highlight w:val="black"/>
                    </w:rPr>
                    <w:t>&amp;&amp;&amp;&amp;</w:t>
                  </w:r>
                  <w:r w:rsidR="008F2739">
                    <w:rPr>
                      <w:rFonts w:ascii="Arial Narrow" w:hAnsi="Arial Narrow" w:cstheme="minorHAnsi"/>
                      <w:sz w:val="20"/>
                      <w:szCs w:val="20"/>
                      <w:vertAlign w:val="superscript"/>
                    </w:rPr>
                    <w:t>5</w:t>
                  </w:r>
                </w:p>
              </w:tc>
            </w:tr>
            <w:tr w:rsidR="005F69BD" w:rsidRPr="00EB1825" w14:paraId="40EFBEEB" w14:textId="77777777" w:rsidTr="00891F79">
              <w:trPr>
                <w:trHeight w:val="20"/>
              </w:trPr>
              <w:tc>
                <w:tcPr>
                  <w:tcW w:w="511" w:type="pct"/>
                  <w:tcMar>
                    <w:left w:w="0" w:type="dxa"/>
                    <w:right w:w="0" w:type="dxa"/>
                  </w:tcMar>
                </w:tcPr>
                <w:p w14:paraId="62C76557" w14:textId="77777777" w:rsidR="005F69BD" w:rsidRPr="00566351" w:rsidRDefault="005F69BD" w:rsidP="00891F79">
                  <w:pPr>
                    <w:widowControl w:val="0"/>
                    <w:jc w:val="left"/>
                    <w:rPr>
                      <w:rFonts w:ascii="Arial Narrow" w:hAnsi="Arial Narrow"/>
                      <w:sz w:val="20"/>
                      <w:szCs w:val="20"/>
                    </w:rPr>
                  </w:pPr>
                  <w:r w:rsidRPr="00566351">
                    <w:rPr>
                      <w:rFonts w:ascii="Arial Narrow" w:hAnsi="Arial Narrow"/>
                      <w:sz w:val="20"/>
                      <w:szCs w:val="20"/>
                    </w:rPr>
                    <w:t>Y3</w:t>
                  </w:r>
                </w:p>
              </w:tc>
              <w:tc>
                <w:tcPr>
                  <w:tcW w:w="1348" w:type="pct"/>
                  <w:tcMar>
                    <w:left w:w="0" w:type="dxa"/>
                    <w:right w:w="0" w:type="dxa"/>
                  </w:tcMar>
                </w:tcPr>
                <w:p w14:paraId="1687A515" w14:textId="48AA22A6" w:rsidR="005F69BD" w:rsidRPr="00566351" w:rsidRDefault="009010DC" w:rsidP="00891F79">
                  <w:pPr>
                    <w:widowControl w:val="0"/>
                    <w:jc w:val="left"/>
                    <w:rPr>
                      <w:rFonts w:ascii="Arial Narrow" w:hAnsi="Arial Narrow"/>
                      <w:sz w:val="20"/>
                      <w:szCs w:val="20"/>
                    </w:rPr>
                  </w:pPr>
                  <w:r w:rsidRPr="00566351">
                    <w:rPr>
                      <w:rFonts w:ascii="Arial Narrow" w:hAnsi="Arial Narrow"/>
                      <w:sz w:val="20"/>
                      <w:szCs w:val="20"/>
                    </w:rPr>
                    <w:t>:</w:t>
                  </w:r>
                  <w:r w:rsidR="00E901B5" w:rsidRPr="00E901B5">
                    <w:rPr>
                      <w:rFonts w:ascii="Arial Narrow" w:hAnsi="Arial Narrow"/>
                      <w:sz w:val="20"/>
                      <w:szCs w:val="20"/>
                      <w:highlight w:val="black"/>
                    </w:rPr>
                    <w:t>&amp;&amp;&amp;&amp;</w:t>
                  </w:r>
                  <w:r w:rsidR="005F69BD" w:rsidRPr="00566351">
                    <w:rPr>
                      <w:rFonts w:ascii="Arial Narrow" w:hAnsi="Arial Narrow"/>
                      <w:sz w:val="20"/>
                      <w:szCs w:val="20"/>
                    </w:rPr>
                    <w:t>%</w:t>
                  </w:r>
                </w:p>
              </w:tc>
              <w:tc>
                <w:tcPr>
                  <w:tcW w:w="1350" w:type="pct"/>
                </w:tcPr>
                <w:p w14:paraId="6CD4CE60" w14:textId="77777777" w:rsidR="005F69BD" w:rsidRPr="00EB1825" w:rsidRDefault="005F69BD" w:rsidP="00891F79">
                  <w:pPr>
                    <w:widowControl w:val="0"/>
                    <w:jc w:val="left"/>
                    <w:rPr>
                      <w:rFonts w:ascii="Arial Narrow" w:hAnsi="Arial Narrow"/>
                      <w:sz w:val="20"/>
                      <w:szCs w:val="20"/>
                    </w:rPr>
                  </w:pPr>
                </w:p>
              </w:tc>
              <w:tc>
                <w:tcPr>
                  <w:tcW w:w="1791" w:type="pct"/>
                </w:tcPr>
                <w:p w14:paraId="3AFE181C" w14:textId="1828A015"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cstheme="minorHAnsi"/>
                      <w:sz w:val="20"/>
                      <w:szCs w:val="20"/>
                      <w:highlight w:val="black"/>
                    </w:rPr>
                    <w:t>&amp;&amp;&amp;&amp;</w:t>
                  </w:r>
                  <w:r w:rsidR="008F2739">
                    <w:rPr>
                      <w:rFonts w:ascii="Arial Narrow" w:hAnsi="Arial Narrow" w:cstheme="minorHAnsi"/>
                      <w:sz w:val="20"/>
                      <w:szCs w:val="20"/>
                      <w:vertAlign w:val="superscript"/>
                    </w:rPr>
                    <w:t>5</w:t>
                  </w:r>
                </w:p>
              </w:tc>
            </w:tr>
            <w:tr w:rsidR="005F69BD" w:rsidRPr="00EB1825" w14:paraId="5126DA25" w14:textId="77777777" w:rsidTr="00891F79">
              <w:trPr>
                <w:trHeight w:val="20"/>
              </w:trPr>
              <w:tc>
                <w:tcPr>
                  <w:tcW w:w="511" w:type="pct"/>
                  <w:tcMar>
                    <w:left w:w="0" w:type="dxa"/>
                    <w:right w:w="0" w:type="dxa"/>
                  </w:tcMar>
                </w:tcPr>
                <w:p w14:paraId="487C018E"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Y4</w:t>
                  </w:r>
                </w:p>
              </w:tc>
              <w:tc>
                <w:tcPr>
                  <w:tcW w:w="1348" w:type="pct"/>
                  <w:tcMar>
                    <w:left w:w="0" w:type="dxa"/>
                    <w:right w:w="0" w:type="dxa"/>
                  </w:tcMar>
                </w:tcPr>
                <w:p w14:paraId="585489AA" w14:textId="20CC09F2" w:rsidR="005F69BD" w:rsidRPr="00EB1825" w:rsidRDefault="009010DC" w:rsidP="00891F79">
                  <w:pPr>
                    <w:widowControl w:val="0"/>
                    <w:jc w:val="left"/>
                    <w:rPr>
                      <w:rFonts w:ascii="Arial Narrow" w:hAnsi="Arial Narrow"/>
                      <w:sz w:val="20"/>
                      <w:szCs w:val="20"/>
                    </w:rPr>
                  </w:pPr>
                  <w:r>
                    <w:rPr>
                      <w:rFonts w:ascii="Arial Narrow" w:hAnsi="Arial Narrow"/>
                      <w:sz w:val="20"/>
                      <w:szCs w:val="20"/>
                    </w:rPr>
                    <w:t>:</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1350" w:type="pct"/>
                </w:tcPr>
                <w:p w14:paraId="3E3219DF" w14:textId="77777777" w:rsidR="005F69BD" w:rsidRPr="00EB1825" w:rsidRDefault="005F69BD" w:rsidP="00891F79">
                  <w:pPr>
                    <w:widowControl w:val="0"/>
                    <w:jc w:val="left"/>
                    <w:rPr>
                      <w:rFonts w:ascii="Arial Narrow" w:hAnsi="Arial Narrow"/>
                      <w:sz w:val="20"/>
                      <w:szCs w:val="20"/>
                    </w:rPr>
                  </w:pPr>
                </w:p>
              </w:tc>
              <w:tc>
                <w:tcPr>
                  <w:tcW w:w="1791" w:type="pct"/>
                </w:tcPr>
                <w:p w14:paraId="2317550F" w14:textId="5F91DE82"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cstheme="minorHAnsi"/>
                      <w:sz w:val="20"/>
                      <w:szCs w:val="20"/>
                      <w:highlight w:val="black"/>
                    </w:rPr>
                    <w:t>&amp;&amp;&amp;&amp;</w:t>
                  </w:r>
                  <w:r w:rsidR="008F2739">
                    <w:rPr>
                      <w:rFonts w:ascii="Arial Narrow" w:hAnsi="Arial Narrow" w:cstheme="minorHAnsi"/>
                      <w:sz w:val="20"/>
                      <w:szCs w:val="20"/>
                      <w:vertAlign w:val="superscript"/>
                    </w:rPr>
                    <w:t>5</w:t>
                  </w:r>
                </w:p>
              </w:tc>
            </w:tr>
            <w:tr w:rsidR="005F69BD" w:rsidRPr="00EB1825" w14:paraId="332DE4A7" w14:textId="77777777" w:rsidTr="00891F79">
              <w:trPr>
                <w:trHeight w:val="20"/>
              </w:trPr>
              <w:tc>
                <w:tcPr>
                  <w:tcW w:w="511" w:type="pct"/>
                  <w:tcMar>
                    <w:left w:w="0" w:type="dxa"/>
                    <w:right w:w="0" w:type="dxa"/>
                  </w:tcMar>
                </w:tcPr>
                <w:p w14:paraId="5A8B9209"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Y5</w:t>
                  </w:r>
                </w:p>
              </w:tc>
              <w:tc>
                <w:tcPr>
                  <w:tcW w:w="1348" w:type="pct"/>
                  <w:tcMar>
                    <w:left w:w="0" w:type="dxa"/>
                    <w:right w:w="0" w:type="dxa"/>
                  </w:tcMar>
                </w:tcPr>
                <w:p w14:paraId="376E3FE2" w14:textId="2226A6D4" w:rsidR="005F69BD" w:rsidRPr="00EB1825" w:rsidRDefault="009010DC" w:rsidP="00891F79">
                  <w:pPr>
                    <w:widowControl w:val="0"/>
                    <w:jc w:val="left"/>
                    <w:rPr>
                      <w:rFonts w:ascii="Arial Narrow" w:hAnsi="Arial Narrow"/>
                      <w:sz w:val="20"/>
                      <w:szCs w:val="20"/>
                    </w:rPr>
                  </w:pPr>
                  <w:r>
                    <w:rPr>
                      <w:rFonts w:ascii="Arial Narrow" w:hAnsi="Arial Narrow"/>
                      <w:sz w:val="20"/>
                      <w:szCs w:val="20"/>
                    </w:rPr>
                    <w:t>:</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1350" w:type="pct"/>
                </w:tcPr>
                <w:p w14:paraId="1B958810" w14:textId="77777777" w:rsidR="005F69BD" w:rsidRPr="00EB1825" w:rsidRDefault="005F69BD" w:rsidP="00891F79">
                  <w:pPr>
                    <w:widowControl w:val="0"/>
                    <w:jc w:val="left"/>
                    <w:rPr>
                      <w:rFonts w:ascii="Arial Narrow" w:hAnsi="Arial Narrow"/>
                      <w:sz w:val="20"/>
                      <w:szCs w:val="20"/>
                    </w:rPr>
                  </w:pPr>
                </w:p>
              </w:tc>
              <w:tc>
                <w:tcPr>
                  <w:tcW w:w="1791" w:type="pct"/>
                </w:tcPr>
                <w:p w14:paraId="529181D0" w14:textId="4953868C"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cstheme="minorHAnsi"/>
                      <w:sz w:val="20"/>
                      <w:szCs w:val="20"/>
                      <w:highlight w:val="black"/>
                    </w:rPr>
                    <w:t>&amp;&amp;&amp;&amp;</w:t>
                  </w:r>
                  <w:r w:rsidR="008F2739">
                    <w:rPr>
                      <w:rFonts w:ascii="Arial Narrow" w:hAnsi="Arial Narrow" w:cstheme="minorHAnsi"/>
                      <w:sz w:val="20"/>
                      <w:szCs w:val="20"/>
                      <w:vertAlign w:val="superscript"/>
                    </w:rPr>
                    <w:t>5</w:t>
                  </w:r>
                </w:p>
              </w:tc>
            </w:tr>
            <w:tr w:rsidR="005F69BD" w:rsidRPr="00EB1825" w14:paraId="798A81D9" w14:textId="77777777" w:rsidTr="00891F79">
              <w:trPr>
                <w:trHeight w:val="20"/>
              </w:trPr>
              <w:tc>
                <w:tcPr>
                  <w:tcW w:w="511" w:type="pct"/>
                  <w:tcMar>
                    <w:left w:w="0" w:type="dxa"/>
                    <w:right w:w="0" w:type="dxa"/>
                  </w:tcMar>
                </w:tcPr>
                <w:p w14:paraId="02A99737"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Y6</w:t>
                  </w:r>
                </w:p>
              </w:tc>
              <w:tc>
                <w:tcPr>
                  <w:tcW w:w="1348" w:type="pct"/>
                  <w:tcMar>
                    <w:left w:w="0" w:type="dxa"/>
                    <w:right w:w="0" w:type="dxa"/>
                  </w:tcMar>
                </w:tcPr>
                <w:p w14:paraId="3F1AC377" w14:textId="3060B63D" w:rsidR="005F69BD" w:rsidRPr="00EB1825" w:rsidRDefault="009010DC" w:rsidP="00891F79">
                  <w:pPr>
                    <w:widowControl w:val="0"/>
                    <w:jc w:val="left"/>
                    <w:rPr>
                      <w:rFonts w:ascii="Arial Narrow" w:hAnsi="Arial Narrow"/>
                      <w:sz w:val="20"/>
                      <w:szCs w:val="20"/>
                    </w:rPr>
                  </w:pPr>
                  <w:r>
                    <w:rPr>
                      <w:rFonts w:ascii="Arial Narrow" w:hAnsi="Arial Narrow"/>
                      <w:sz w:val="20"/>
                      <w:szCs w:val="20"/>
                    </w:rPr>
                    <w:t>:</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1350" w:type="pct"/>
                </w:tcPr>
                <w:p w14:paraId="00C985B4" w14:textId="77777777" w:rsidR="005F69BD" w:rsidRPr="00EB1825" w:rsidRDefault="005F69BD" w:rsidP="00891F79">
                  <w:pPr>
                    <w:widowControl w:val="0"/>
                    <w:jc w:val="left"/>
                    <w:rPr>
                      <w:rFonts w:ascii="Arial Narrow" w:hAnsi="Arial Narrow"/>
                      <w:sz w:val="20"/>
                      <w:szCs w:val="20"/>
                    </w:rPr>
                  </w:pPr>
                </w:p>
              </w:tc>
              <w:tc>
                <w:tcPr>
                  <w:tcW w:w="1791" w:type="pct"/>
                </w:tcPr>
                <w:p w14:paraId="4E1AE9DC" w14:textId="5F649C31" w:rsidR="005F69BD" w:rsidRPr="00A7440D" w:rsidRDefault="00E901B5" w:rsidP="00891F79">
                  <w:pPr>
                    <w:widowControl w:val="0"/>
                    <w:jc w:val="left"/>
                    <w:rPr>
                      <w:rFonts w:ascii="Arial Narrow" w:hAnsi="Arial Narrow"/>
                      <w:sz w:val="20"/>
                      <w:szCs w:val="20"/>
                      <w:vertAlign w:val="superscript"/>
                    </w:rPr>
                  </w:pPr>
                  <w:r w:rsidRPr="00E901B5">
                    <w:rPr>
                      <w:rFonts w:ascii="Arial Narrow" w:hAnsi="Arial Narrow" w:cstheme="minorHAnsi"/>
                      <w:sz w:val="20"/>
                      <w:szCs w:val="20"/>
                      <w:highlight w:val="black"/>
                    </w:rPr>
                    <w:t>&amp;&amp;&amp;&amp;</w:t>
                  </w:r>
                  <w:r w:rsidR="00A7440D">
                    <w:rPr>
                      <w:rFonts w:ascii="Arial Narrow" w:hAnsi="Arial Narrow" w:cstheme="minorHAnsi"/>
                      <w:sz w:val="20"/>
                      <w:szCs w:val="20"/>
                      <w:vertAlign w:val="superscript"/>
                    </w:rPr>
                    <w:t>2</w:t>
                  </w:r>
                </w:p>
              </w:tc>
            </w:tr>
          </w:tbl>
          <w:p w14:paraId="51A460D6" w14:textId="584C3315" w:rsidR="005F69BD" w:rsidRPr="00EB1825" w:rsidRDefault="005F69BD" w:rsidP="00891F79">
            <w:pPr>
              <w:widowControl w:val="0"/>
              <w:jc w:val="left"/>
              <w:rPr>
                <w:rFonts w:ascii="Arial Narrow" w:hAnsi="Arial Narrow"/>
                <w:sz w:val="18"/>
                <w:szCs w:val="18"/>
              </w:rPr>
            </w:pPr>
            <w:r w:rsidRPr="00EB1825">
              <w:rPr>
                <w:rFonts w:ascii="Arial Narrow" w:hAnsi="Arial Narrow"/>
                <w:sz w:val="18"/>
                <w:szCs w:val="18"/>
              </w:rPr>
              <w:t xml:space="preserve">Note: The submission assumed that </w:t>
            </w:r>
            <w:r w:rsidR="00E901B5" w:rsidRPr="00E901B5">
              <w:rPr>
                <w:rFonts w:ascii="Arial Narrow" w:hAnsi="Arial Narrow"/>
                <w:sz w:val="18"/>
                <w:szCs w:val="18"/>
                <w:highlight w:val="black"/>
              </w:rPr>
              <w:t>&amp;&amp;&amp;&amp;</w:t>
            </w:r>
            <w:r w:rsidR="007B4614">
              <w:rPr>
                <w:rFonts w:ascii="Arial Narrow" w:hAnsi="Arial Narrow"/>
                <w:sz w:val="18"/>
                <w:szCs w:val="18"/>
                <w:vertAlign w:val="superscript"/>
              </w:rPr>
              <w:t>8</w:t>
            </w:r>
            <w:r w:rsidRPr="00EB1825">
              <w:rPr>
                <w:rFonts w:ascii="Arial Narrow" w:hAnsi="Arial Narrow"/>
                <w:sz w:val="18"/>
                <w:szCs w:val="18"/>
              </w:rPr>
              <w:t xml:space="preserve"> GF patients would transition from private treatment to PBS in mid-2026 and receive the PBS-listed treatment for only six months (</w:t>
            </w:r>
            <w:r w:rsidR="00E901B5" w:rsidRPr="00E901B5">
              <w:rPr>
                <w:rFonts w:ascii="Arial Narrow" w:hAnsi="Arial Narrow"/>
                <w:sz w:val="18"/>
                <w:szCs w:val="18"/>
                <w:highlight w:val="black"/>
              </w:rPr>
              <w:t>&amp;&amp;&amp;&amp;</w:t>
            </w:r>
            <w:r w:rsidR="007B4614">
              <w:rPr>
                <w:rFonts w:ascii="Arial Narrow" w:hAnsi="Arial Narrow"/>
                <w:sz w:val="18"/>
                <w:szCs w:val="18"/>
                <w:vertAlign w:val="superscript"/>
              </w:rPr>
              <w:t>8</w:t>
            </w:r>
            <w:r w:rsidRPr="00EB1825">
              <w:rPr>
                <w:rFonts w:ascii="Arial Narrow" w:hAnsi="Arial Narrow"/>
                <w:sz w:val="18"/>
                <w:szCs w:val="18"/>
              </w:rPr>
              <w:t xml:space="preserve"> patients × 0.5 year). This was based on the sponsor’s private market forecast.</w:t>
            </w:r>
          </w:p>
          <w:p w14:paraId="2A23C716" w14:textId="77777777" w:rsidR="005F69BD" w:rsidRPr="00EB1825" w:rsidRDefault="005F69BD" w:rsidP="00891F79">
            <w:pPr>
              <w:pStyle w:val="TableText0"/>
              <w:keepNext w:val="0"/>
            </w:pPr>
          </w:p>
        </w:tc>
        <w:tc>
          <w:tcPr>
            <w:tcW w:w="1336" w:type="pct"/>
            <w:tcBorders>
              <w:top w:val="single" w:sz="4" w:space="0" w:color="auto"/>
              <w:left w:val="single" w:sz="4" w:space="0" w:color="auto"/>
              <w:bottom w:val="single" w:sz="4" w:space="0" w:color="auto"/>
              <w:right w:val="single" w:sz="4" w:space="0" w:color="auto"/>
            </w:tcBorders>
          </w:tcPr>
          <w:tbl>
            <w:tblPr>
              <w:tblStyle w:val="TableGrid"/>
              <w:tblW w:w="2046" w:type="dxa"/>
              <w:tblCellMar>
                <w:left w:w="28" w:type="dxa"/>
                <w:right w:w="28" w:type="dxa"/>
              </w:tblCellMar>
              <w:tblLook w:val="04A0" w:firstRow="1" w:lastRow="0" w:firstColumn="1" w:lastColumn="0" w:noHBand="0" w:noVBand="1"/>
            </w:tblPr>
            <w:tblGrid>
              <w:gridCol w:w="201"/>
              <w:gridCol w:w="584"/>
              <w:gridCol w:w="553"/>
              <w:gridCol w:w="740"/>
            </w:tblGrid>
            <w:tr w:rsidR="005F69BD" w:rsidRPr="00EB1825" w14:paraId="664F2B8F" w14:textId="77777777" w:rsidTr="002A388F">
              <w:trPr>
                <w:trHeight w:val="20"/>
              </w:trPr>
              <w:tc>
                <w:tcPr>
                  <w:tcW w:w="491" w:type="pct"/>
                  <w:tcMar>
                    <w:left w:w="0" w:type="dxa"/>
                    <w:right w:w="0" w:type="dxa"/>
                  </w:tcMar>
                </w:tcPr>
                <w:p w14:paraId="39996C90" w14:textId="77777777" w:rsidR="005F69BD" w:rsidRPr="00EB1825" w:rsidRDefault="005F69BD" w:rsidP="00891F79">
                  <w:pPr>
                    <w:widowControl w:val="0"/>
                    <w:jc w:val="left"/>
                    <w:rPr>
                      <w:rFonts w:ascii="Arial Narrow" w:hAnsi="Arial Narrow"/>
                      <w:b/>
                      <w:bCs/>
                      <w:sz w:val="20"/>
                      <w:szCs w:val="20"/>
                    </w:rPr>
                  </w:pPr>
                </w:p>
              </w:tc>
              <w:tc>
                <w:tcPr>
                  <w:tcW w:w="1337" w:type="pct"/>
                  <w:tcMar>
                    <w:left w:w="0" w:type="dxa"/>
                    <w:right w:w="0" w:type="dxa"/>
                  </w:tcMar>
                </w:tcPr>
                <w:p w14:paraId="4DE6946C" w14:textId="77777777" w:rsidR="005F69BD" w:rsidRPr="00EB1825" w:rsidRDefault="005F69BD" w:rsidP="00891F79">
                  <w:pPr>
                    <w:widowControl w:val="0"/>
                    <w:jc w:val="left"/>
                    <w:rPr>
                      <w:rFonts w:ascii="Arial Narrow" w:hAnsi="Arial Narrow"/>
                      <w:b/>
                      <w:bCs/>
                      <w:sz w:val="20"/>
                      <w:szCs w:val="20"/>
                    </w:rPr>
                  </w:pPr>
                  <w:r w:rsidRPr="00EB1825">
                    <w:rPr>
                      <w:rFonts w:ascii="Arial Narrow" w:hAnsi="Arial Narrow"/>
                      <w:b/>
                      <w:bCs/>
                      <w:sz w:val="20"/>
                      <w:szCs w:val="20"/>
                    </w:rPr>
                    <w:t>Uptake rate</w:t>
                  </w:r>
                </w:p>
              </w:tc>
              <w:tc>
                <w:tcPr>
                  <w:tcW w:w="816" w:type="pct"/>
                </w:tcPr>
                <w:p w14:paraId="21D8D159" w14:textId="77777777" w:rsidR="005F69BD" w:rsidRPr="00EB1825" w:rsidRDefault="005F69BD" w:rsidP="00891F79">
                  <w:pPr>
                    <w:widowControl w:val="0"/>
                    <w:jc w:val="left"/>
                    <w:rPr>
                      <w:rFonts w:ascii="Arial Narrow" w:hAnsi="Arial Narrow"/>
                      <w:b/>
                      <w:bCs/>
                      <w:sz w:val="20"/>
                      <w:szCs w:val="20"/>
                    </w:rPr>
                  </w:pPr>
                  <w:r w:rsidRPr="00EB1825">
                    <w:rPr>
                      <w:rFonts w:ascii="Arial Narrow" w:hAnsi="Arial Narrow"/>
                      <w:b/>
                      <w:bCs/>
                      <w:sz w:val="20"/>
                      <w:szCs w:val="20"/>
                    </w:rPr>
                    <w:t>GF</w:t>
                  </w:r>
                </w:p>
              </w:tc>
              <w:tc>
                <w:tcPr>
                  <w:tcW w:w="2356" w:type="pct"/>
                </w:tcPr>
                <w:p w14:paraId="15E3FC35" w14:textId="77777777" w:rsidR="005F69BD" w:rsidRPr="00EB1825" w:rsidRDefault="005F69BD" w:rsidP="00891F79">
                  <w:pPr>
                    <w:widowControl w:val="0"/>
                    <w:jc w:val="left"/>
                    <w:rPr>
                      <w:rFonts w:ascii="Arial Narrow" w:hAnsi="Arial Narrow"/>
                      <w:b/>
                      <w:bCs/>
                      <w:sz w:val="20"/>
                      <w:szCs w:val="20"/>
                    </w:rPr>
                  </w:pPr>
                  <w:r w:rsidRPr="00EB1825">
                    <w:rPr>
                      <w:rFonts w:ascii="Arial Narrow" w:hAnsi="Arial Narrow"/>
                      <w:b/>
                      <w:bCs/>
                      <w:sz w:val="20"/>
                      <w:szCs w:val="20"/>
                    </w:rPr>
                    <w:t>Initiating pts</w:t>
                  </w:r>
                </w:p>
              </w:tc>
            </w:tr>
            <w:tr w:rsidR="005F69BD" w:rsidRPr="00EB1825" w14:paraId="52FF5D95" w14:textId="77777777" w:rsidTr="002A388F">
              <w:trPr>
                <w:trHeight w:val="20"/>
              </w:trPr>
              <w:tc>
                <w:tcPr>
                  <w:tcW w:w="491" w:type="pct"/>
                  <w:tcMar>
                    <w:left w:w="0" w:type="dxa"/>
                    <w:right w:w="0" w:type="dxa"/>
                  </w:tcMar>
                </w:tcPr>
                <w:p w14:paraId="0646F088"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Y1</w:t>
                  </w:r>
                </w:p>
              </w:tc>
              <w:tc>
                <w:tcPr>
                  <w:tcW w:w="1337" w:type="pct"/>
                  <w:tcMar>
                    <w:left w:w="0" w:type="dxa"/>
                    <w:right w:w="0" w:type="dxa"/>
                  </w:tcMar>
                </w:tcPr>
                <w:p w14:paraId="6A86543D" w14:textId="760F0F8D" w:rsidR="005F69BD" w:rsidRPr="00EB1825" w:rsidRDefault="002754DC" w:rsidP="00891F7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816" w:type="pct"/>
                </w:tcPr>
                <w:p w14:paraId="3E5AA943" w14:textId="0677808F" w:rsidR="005F69BD" w:rsidRPr="000155F1"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0155F1">
                    <w:rPr>
                      <w:rFonts w:ascii="Arial Narrow" w:hAnsi="Arial Narrow"/>
                      <w:sz w:val="20"/>
                      <w:szCs w:val="20"/>
                      <w:vertAlign w:val="superscript"/>
                    </w:rPr>
                    <w:t>6</w:t>
                  </w:r>
                </w:p>
              </w:tc>
              <w:tc>
                <w:tcPr>
                  <w:tcW w:w="2356" w:type="pct"/>
                </w:tcPr>
                <w:p w14:paraId="371C47E8" w14:textId="5383525D" w:rsidR="005F69BD" w:rsidRPr="007A00B1"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7A00B1">
                    <w:rPr>
                      <w:rFonts w:ascii="Arial Narrow" w:hAnsi="Arial Narrow"/>
                      <w:sz w:val="20"/>
                      <w:szCs w:val="20"/>
                      <w:vertAlign w:val="superscript"/>
                    </w:rPr>
                    <w:t>9</w:t>
                  </w:r>
                </w:p>
              </w:tc>
            </w:tr>
            <w:tr w:rsidR="005F69BD" w:rsidRPr="00EB1825" w14:paraId="0990CB1E" w14:textId="77777777" w:rsidTr="002A388F">
              <w:trPr>
                <w:trHeight w:val="20"/>
              </w:trPr>
              <w:tc>
                <w:tcPr>
                  <w:tcW w:w="491" w:type="pct"/>
                  <w:tcMar>
                    <w:left w:w="0" w:type="dxa"/>
                    <w:right w:w="0" w:type="dxa"/>
                  </w:tcMar>
                </w:tcPr>
                <w:p w14:paraId="29B5EFDA"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Y2</w:t>
                  </w:r>
                </w:p>
              </w:tc>
              <w:tc>
                <w:tcPr>
                  <w:tcW w:w="1337" w:type="pct"/>
                  <w:tcMar>
                    <w:left w:w="0" w:type="dxa"/>
                    <w:right w:w="0" w:type="dxa"/>
                  </w:tcMar>
                </w:tcPr>
                <w:p w14:paraId="43BF460D" w14:textId="255D64A1" w:rsidR="005F69BD" w:rsidRPr="00EB1825" w:rsidRDefault="002754DC" w:rsidP="00891F7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816" w:type="pct"/>
                </w:tcPr>
                <w:p w14:paraId="1BEF41FB" w14:textId="77777777" w:rsidR="005F69BD" w:rsidRPr="00EB1825" w:rsidRDefault="005F69BD" w:rsidP="00891F79">
                  <w:pPr>
                    <w:widowControl w:val="0"/>
                    <w:jc w:val="left"/>
                    <w:rPr>
                      <w:rFonts w:ascii="Arial Narrow" w:hAnsi="Arial Narrow"/>
                      <w:sz w:val="20"/>
                      <w:szCs w:val="20"/>
                    </w:rPr>
                  </w:pPr>
                </w:p>
              </w:tc>
              <w:tc>
                <w:tcPr>
                  <w:tcW w:w="2356" w:type="pct"/>
                </w:tcPr>
                <w:p w14:paraId="44C30B2E" w14:textId="57BAD5FB" w:rsidR="005F69BD" w:rsidRPr="00EB2794"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EB2794">
                    <w:rPr>
                      <w:rFonts w:ascii="Arial Narrow" w:hAnsi="Arial Narrow"/>
                      <w:sz w:val="20"/>
                      <w:szCs w:val="20"/>
                      <w:vertAlign w:val="superscript"/>
                    </w:rPr>
                    <w:t>10</w:t>
                  </w:r>
                </w:p>
              </w:tc>
            </w:tr>
            <w:tr w:rsidR="005F69BD" w:rsidRPr="00EB1825" w14:paraId="56B24A9B" w14:textId="77777777" w:rsidTr="002A388F">
              <w:trPr>
                <w:trHeight w:val="20"/>
              </w:trPr>
              <w:tc>
                <w:tcPr>
                  <w:tcW w:w="491" w:type="pct"/>
                  <w:tcMar>
                    <w:left w:w="0" w:type="dxa"/>
                    <w:right w:w="0" w:type="dxa"/>
                  </w:tcMar>
                </w:tcPr>
                <w:p w14:paraId="12CCE47D"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Y3</w:t>
                  </w:r>
                </w:p>
              </w:tc>
              <w:tc>
                <w:tcPr>
                  <w:tcW w:w="1337" w:type="pct"/>
                  <w:tcMar>
                    <w:left w:w="0" w:type="dxa"/>
                    <w:right w:w="0" w:type="dxa"/>
                  </w:tcMar>
                </w:tcPr>
                <w:p w14:paraId="596657CA" w14:textId="3A54BDEF" w:rsidR="005F69BD" w:rsidRPr="00EB1825" w:rsidRDefault="002754DC" w:rsidP="00891F7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816" w:type="pct"/>
                </w:tcPr>
                <w:p w14:paraId="4642CC0E" w14:textId="77777777" w:rsidR="005F69BD" w:rsidRPr="00EB1825" w:rsidRDefault="005F69BD" w:rsidP="00891F79">
                  <w:pPr>
                    <w:widowControl w:val="0"/>
                    <w:jc w:val="left"/>
                    <w:rPr>
                      <w:rFonts w:ascii="Arial Narrow" w:hAnsi="Arial Narrow"/>
                      <w:sz w:val="20"/>
                      <w:szCs w:val="20"/>
                    </w:rPr>
                  </w:pPr>
                </w:p>
              </w:tc>
              <w:tc>
                <w:tcPr>
                  <w:tcW w:w="2356" w:type="pct"/>
                </w:tcPr>
                <w:p w14:paraId="0B9B0F9A" w14:textId="116411FD" w:rsidR="005F69BD" w:rsidRPr="00E00BCD"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E00BCD">
                    <w:rPr>
                      <w:rFonts w:ascii="Arial Narrow" w:hAnsi="Arial Narrow"/>
                      <w:sz w:val="20"/>
                      <w:szCs w:val="20"/>
                      <w:vertAlign w:val="superscript"/>
                    </w:rPr>
                    <w:t>11</w:t>
                  </w:r>
                </w:p>
              </w:tc>
            </w:tr>
            <w:tr w:rsidR="005F69BD" w:rsidRPr="00EB1825" w14:paraId="3AF3CEC8" w14:textId="77777777" w:rsidTr="002A388F">
              <w:trPr>
                <w:trHeight w:val="20"/>
              </w:trPr>
              <w:tc>
                <w:tcPr>
                  <w:tcW w:w="491" w:type="pct"/>
                  <w:tcMar>
                    <w:left w:w="0" w:type="dxa"/>
                    <w:right w:w="0" w:type="dxa"/>
                  </w:tcMar>
                </w:tcPr>
                <w:p w14:paraId="10E4F6FA"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Y4</w:t>
                  </w:r>
                </w:p>
              </w:tc>
              <w:tc>
                <w:tcPr>
                  <w:tcW w:w="1337" w:type="pct"/>
                  <w:tcMar>
                    <w:left w:w="0" w:type="dxa"/>
                    <w:right w:w="0" w:type="dxa"/>
                  </w:tcMar>
                </w:tcPr>
                <w:p w14:paraId="3AE3800E" w14:textId="38103C72" w:rsidR="005F69BD" w:rsidRPr="00EB1825" w:rsidRDefault="002754DC" w:rsidP="00891F7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816" w:type="pct"/>
                </w:tcPr>
                <w:p w14:paraId="44B46B82" w14:textId="77777777" w:rsidR="005F69BD" w:rsidRPr="00EB1825" w:rsidRDefault="005F69BD" w:rsidP="00891F79">
                  <w:pPr>
                    <w:widowControl w:val="0"/>
                    <w:jc w:val="left"/>
                    <w:rPr>
                      <w:rFonts w:ascii="Arial Narrow" w:hAnsi="Arial Narrow"/>
                      <w:sz w:val="20"/>
                      <w:szCs w:val="20"/>
                    </w:rPr>
                  </w:pPr>
                </w:p>
              </w:tc>
              <w:tc>
                <w:tcPr>
                  <w:tcW w:w="2356" w:type="pct"/>
                </w:tcPr>
                <w:p w14:paraId="588D2C92" w14:textId="2BA97C38" w:rsidR="005F69BD" w:rsidRPr="00CF4F2A"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CF4F2A">
                    <w:rPr>
                      <w:rFonts w:ascii="Arial Narrow" w:hAnsi="Arial Narrow"/>
                      <w:sz w:val="20"/>
                      <w:szCs w:val="20"/>
                      <w:vertAlign w:val="superscript"/>
                    </w:rPr>
                    <w:t>12</w:t>
                  </w:r>
                </w:p>
              </w:tc>
            </w:tr>
            <w:tr w:rsidR="005F69BD" w:rsidRPr="00EB1825" w14:paraId="10A4DE77" w14:textId="77777777" w:rsidTr="002A388F">
              <w:trPr>
                <w:trHeight w:val="20"/>
              </w:trPr>
              <w:tc>
                <w:tcPr>
                  <w:tcW w:w="491" w:type="pct"/>
                  <w:tcMar>
                    <w:left w:w="0" w:type="dxa"/>
                    <w:right w:w="0" w:type="dxa"/>
                  </w:tcMar>
                </w:tcPr>
                <w:p w14:paraId="36509E28"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Y5</w:t>
                  </w:r>
                </w:p>
              </w:tc>
              <w:tc>
                <w:tcPr>
                  <w:tcW w:w="1337" w:type="pct"/>
                  <w:tcMar>
                    <w:left w:w="0" w:type="dxa"/>
                    <w:right w:w="0" w:type="dxa"/>
                  </w:tcMar>
                </w:tcPr>
                <w:p w14:paraId="4DD033A8" w14:textId="016AAF1E" w:rsidR="005F69BD" w:rsidRPr="00EB1825" w:rsidRDefault="002754DC" w:rsidP="00891F7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816" w:type="pct"/>
                </w:tcPr>
                <w:p w14:paraId="475A86AD" w14:textId="77777777" w:rsidR="005F69BD" w:rsidRPr="00EB1825" w:rsidRDefault="005F69BD" w:rsidP="00891F79">
                  <w:pPr>
                    <w:widowControl w:val="0"/>
                    <w:jc w:val="left"/>
                    <w:rPr>
                      <w:rFonts w:ascii="Arial Narrow" w:hAnsi="Arial Narrow"/>
                      <w:sz w:val="20"/>
                      <w:szCs w:val="20"/>
                    </w:rPr>
                  </w:pPr>
                </w:p>
              </w:tc>
              <w:tc>
                <w:tcPr>
                  <w:tcW w:w="2356" w:type="pct"/>
                </w:tcPr>
                <w:p w14:paraId="76ED8219" w14:textId="6FAE3AAF" w:rsidR="005F69BD" w:rsidRPr="00CF4F2A"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CF4F2A">
                    <w:rPr>
                      <w:rFonts w:ascii="Arial Narrow" w:hAnsi="Arial Narrow"/>
                      <w:sz w:val="20"/>
                      <w:szCs w:val="20"/>
                      <w:vertAlign w:val="superscript"/>
                    </w:rPr>
                    <w:t>12</w:t>
                  </w:r>
                </w:p>
              </w:tc>
            </w:tr>
            <w:tr w:rsidR="005F69BD" w:rsidRPr="00EB1825" w14:paraId="2D65A074" w14:textId="77777777" w:rsidTr="002A388F">
              <w:trPr>
                <w:trHeight w:val="20"/>
              </w:trPr>
              <w:tc>
                <w:tcPr>
                  <w:tcW w:w="491" w:type="pct"/>
                  <w:tcMar>
                    <w:left w:w="0" w:type="dxa"/>
                    <w:right w:w="0" w:type="dxa"/>
                  </w:tcMar>
                </w:tcPr>
                <w:p w14:paraId="1FF72591" w14:textId="77777777" w:rsidR="005F69BD" w:rsidRPr="00EB1825" w:rsidRDefault="005F69BD" w:rsidP="00891F79">
                  <w:pPr>
                    <w:widowControl w:val="0"/>
                    <w:jc w:val="left"/>
                    <w:rPr>
                      <w:rFonts w:ascii="Arial Narrow" w:hAnsi="Arial Narrow"/>
                      <w:sz w:val="20"/>
                      <w:szCs w:val="20"/>
                    </w:rPr>
                  </w:pPr>
                  <w:r w:rsidRPr="00EB1825">
                    <w:rPr>
                      <w:rFonts w:ascii="Arial Narrow" w:hAnsi="Arial Narrow"/>
                      <w:sz w:val="20"/>
                      <w:szCs w:val="20"/>
                    </w:rPr>
                    <w:t>Y6</w:t>
                  </w:r>
                </w:p>
              </w:tc>
              <w:tc>
                <w:tcPr>
                  <w:tcW w:w="1337" w:type="pct"/>
                  <w:tcMar>
                    <w:left w:w="0" w:type="dxa"/>
                    <w:right w:w="0" w:type="dxa"/>
                  </w:tcMar>
                </w:tcPr>
                <w:p w14:paraId="6768F734" w14:textId="5D4513AA" w:rsidR="005F69BD" w:rsidRPr="00EB1825" w:rsidRDefault="002754DC" w:rsidP="00891F7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5F69BD" w:rsidRPr="00EB1825">
                    <w:rPr>
                      <w:rFonts w:ascii="Arial Narrow" w:hAnsi="Arial Narrow"/>
                      <w:sz w:val="20"/>
                      <w:szCs w:val="20"/>
                    </w:rPr>
                    <w:t>%</w:t>
                  </w:r>
                </w:p>
              </w:tc>
              <w:tc>
                <w:tcPr>
                  <w:tcW w:w="816" w:type="pct"/>
                </w:tcPr>
                <w:p w14:paraId="40E06354" w14:textId="77777777" w:rsidR="005F69BD" w:rsidRPr="00EB1825" w:rsidRDefault="005F69BD" w:rsidP="00891F79">
                  <w:pPr>
                    <w:widowControl w:val="0"/>
                    <w:jc w:val="left"/>
                    <w:rPr>
                      <w:rFonts w:ascii="Arial Narrow" w:hAnsi="Arial Narrow"/>
                      <w:sz w:val="20"/>
                      <w:szCs w:val="20"/>
                    </w:rPr>
                  </w:pPr>
                </w:p>
              </w:tc>
              <w:tc>
                <w:tcPr>
                  <w:tcW w:w="2356" w:type="pct"/>
                </w:tcPr>
                <w:p w14:paraId="7B4F5465" w14:textId="12DDCC24" w:rsidR="005F69BD" w:rsidRPr="008F2739" w:rsidRDefault="00E901B5" w:rsidP="00891F7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8F2739">
                    <w:rPr>
                      <w:rFonts w:ascii="Arial Narrow" w:hAnsi="Arial Narrow"/>
                      <w:sz w:val="20"/>
                      <w:szCs w:val="20"/>
                      <w:vertAlign w:val="superscript"/>
                    </w:rPr>
                    <w:t>5</w:t>
                  </w:r>
                </w:p>
              </w:tc>
            </w:tr>
          </w:tbl>
          <w:p w14:paraId="0171BDDD" w14:textId="1689B6D4" w:rsidR="003D7A1D" w:rsidRDefault="003D7A1D" w:rsidP="00580C2F">
            <w:pPr>
              <w:pStyle w:val="ListParagraph"/>
              <w:widowControl w:val="0"/>
              <w:numPr>
                <w:ilvl w:val="0"/>
                <w:numId w:val="0"/>
              </w:numPr>
              <w:spacing w:after="0"/>
              <w:ind w:left="1021" w:hanging="284"/>
              <w:rPr>
                <w:rFonts w:ascii="Arial Narrow" w:hAnsi="Arial Narrow"/>
                <w:sz w:val="18"/>
                <w:szCs w:val="18"/>
              </w:rPr>
            </w:pPr>
          </w:p>
          <w:p w14:paraId="734CFF5A" w14:textId="77777777" w:rsidR="00A25083" w:rsidRDefault="00A25083" w:rsidP="00580C2F">
            <w:pPr>
              <w:pStyle w:val="ListParagraph"/>
              <w:widowControl w:val="0"/>
              <w:numPr>
                <w:ilvl w:val="0"/>
                <w:numId w:val="0"/>
              </w:numPr>
              <w:spacing w:after="0"/>
              <w:ind w:left="1021" w:hanging="284"/>
              <w:rPr>
                <w:rFonts w:ascii="Arial Narrow" w:hAnsi="Arial Narrow"/>
                <w:sz w:val="18"/>
                <w:szCs w:val="18"/>
              </w:rPr>
            </w:pPr>
          </w:p>
          <w:p w14:paraId="56145F87" w14:textId="2A575462" w:rsidR="00A25083" w:rsidRDefault="00A25083" w:rsidP="00DA10B6">
            <w:pPr>
              <w:pStyle w:val="TableText0"/>
            </w:pPr>
            <w:r>
              <w:t>Revised in pre-PBAC to:</w:t>
            </w:r>
          </w:p>
          <w:tbl>
            <w:tblPr>
              <w:tblStyle w:val="TableGrid"/>
              <w:tblW w:w="1948" w:type="dxa"/>
              <w:tblCellMar>
                <w:left w:w="28" w:type="dxa"/>
                <w:right w:w="28" w:type="dxa"/>
              </w:tblCellMar>
              <w:tblLook w:val="04A0" w:firstRow="1" w:lastRow="0" w:firstColumn="1" w:lastColumn="0" w:noHBand="0" w:noVBand="1"/>
            </w:tblPr>
            <w:tblGrid>
              <w:gridCol w:w="201"/>
              <w:gridCol w:w="602"/>
              <w:gridCol w:w="525"/>
              <w:gridCol w:w="620"/>
            </w:tblGrid>
            <w:tr w:rsidR="00D96099" w:rsidRPr="00EB1825" w14:paraId="2E9F1FFB" w14:textId="77777777" w:rsidTr="005A64FF">
              <w:trPr>
                <w:trHeight w:val="20"/>
              </w:trPr>
              <w:tc>
                <w:tcPr>
                  <w:tcW w:w="516" w:type="pct"/>
                  <w:tcMar>
                    <w:left w:w="0" w:type="dxa"/>
                    <w:right w:w="0" w:type="dxa"/>
                  </w:tcMar>
                </w:tcPr>
                <w:p w14:paraId="6C1A85A6" w14:textId="77777777" w:rsidR="00D96099" w:rsidRPr="00EB1825" w:rsidRDefault="00D96099" w:rsidP="00D96099">
                  <w:pPr>
                    <w:widowControl w:val="0"/>
                    <w:jc w:val="left"/>
                    <w:rPr>
                      <w:rFonts w:ascii="Arial Narrow" w:hAnsi="Arial Narrow"/>
                      <w:sz w:val="20"/>
                      <w:szCs w:val="20"/>
                    </w:rPr>
                  </w:pPr>
                  <w:r w:rsidRPr="00EB1825">
                    <w:rPr>
                      <w:rFonts w:ascii="Arial Narrow" w:hAnsi="Arial Narrow"/>
                      <w:sz w:val="20"/>
                      <w:szCs w:val="20"/>
                    </w:rPr>
                    <w:t>Y1</w:t>
                  </w:r>
                </w:p>
              </w:tc>
              <w:tc>
                <w:tcPr>
                  <w:tcW w:w="1545" w:type="pct"/>
                  <w:tcMar>
                    <w:left w:w="0" w:type="dxa"/>
                    <w:right w:w="0" w:type="dxa"/>
                  </w:tcMar>
                </w:tcPr>
                <w:p w14:paraId="50861509" w14:textId="64EED2C8" w:rsidR="00D96099" w:rsidRPr="00EB1825" w:rsidRDefault="009836EA" w:rsidP="00D9609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D96099" w:rsidRPr="00BE28A8">
                    <w:rPr>
                      <w:rFonts w:ascii="Arial Narrow" w:hAnsi="Arial Narrow"/>
                      <w:sz w:val="20"/>
                      <w:szCs w:val="20"/>
                    </w:rPr>
                    <w:t>%</w:t>
                  </w:r>
                </w:p>
              </w:tc>
              <w:tc>
                <w:tcPr>
                  <w:tcW w:w="1348" w:type="pct"/>
                </w:tcPr>
                <w:p w14:paraId="7DE36A14" w14:textId="150D92CD" w:rsidR="00D96099" w:rsidRDefault="00E901B5" w:rsidP="00D96099">
                  <w:pPr>
                    <w:widowControl w:val="0"/>
                    <w:jc w:val="left"/>
                    <w:rPr>
                      <w:rFonts w:ascii="Arial Narrow" w:hAnsi="Arial Narrow"/>
                      <w:sz w:val="20"/>
                      <w:szCs w:val="20"/>
                    </w:rPr>
                  </w:pPr>
                  <w:r w:rsidRPr="00E901B5">
                    <w:rPr>
                      <w:rFonts w:ascii="Arial Narrow" w:hAnsi="Arial Narrow"/>
                      <w:sz w:val="20"/>
                      <w:szCs w:val="20"/>
                      <w:highlight w:val="black"/>
                    </w:rPr>
                    <w:t>&amp;&amp;&amp;&amp;</w:t>
                  </w:r>
                </w:p>
                <w:p w14:paraId="42E1CB1E" w14:textId="5F5D80D3" w:rsidR="00C2180B" w:rsidRPr="00C2180B" w:rsidRDefault="00C2180B" w:rsidP="00D96099">
                  <w:pPr>
                    <w:widowControl w:val="0"/>
                    <w:jc w:val="left"/>
                    <w:rPr>
                      <w:rFonts w:ascii="Arial Narrow" w:hAnsi="Arial Narrow"/>
                      <w:sz w:val="20"/>
                      <w:szCs w:val="20"/>
                      <w:vertAlign w:val="superscript"/>
                    </w:rPr>
                  </w:pPr>
                  <w:r>
                    <w:rPr>
                      <w:rFonts w:ascii="Arial Narrow" w:hAnsi="Arial Narrow"/>
                      <w:sz w:val="20"/>
                      <w:szCs w:val="20"/>
                      <w:vertAlign w:val="superscript"/>
                    </w:rPr>
                    <w:t>13</w:t>
                  </w:r>
                </w:p>
              </w:tc>
              <w:tc>
                <w:tcPr>
                  <w:tcW w:w="1591" w:type="pct"/>
                </w:tcPr>
                <w:p w14:paraId="6B3A175C" w14:textId="676D0FE3" w:rsidR="00D96099" w:rsidRPr="007B4614" w:rsidRDefault="00E901B5" w:rsidP="00D9609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7B4614">
                    <w:rPr>
                      <w:rFonts w:ascii="Arial Narrow" w:hAnsi="Arial Narrow"/>
                      <w:sz w:val="20"/>
                      <w:szCs w:val="20"/>
                      <w:vertAlign w:val="superscript"/>
                    </w:rPr>
                    <w:t>8</w:t>
                  </w:r>
                </w:p>
              </w:tc>
            </w:tr>
            <w:tr w:rsidR="00D96099" w:rsidRPr="00EB1825" w14:paraId="6833004C" w14:textId="77777777" w:rsidTr="005A64FF">
              <w:trPr>
                <w:trHeight w:val="20"/>
              </w:trPr>
              <w:tc>
                <w:tcPr>
                  <w:tcW w:w="516" w:type="pct"/>
                  <w:tcMar>
                    <w:left w:w="0" w:type="dxa"/>
                    <w:right w:w="0" w:type="dxa"/>
                  </w:tcMar>
                </w:tcPr>
                <w:p w14:paraId="299AA7E4" w14:textId="77777777" w:rsidR="00D96099" w:rsidRPr="00EB1825" w:rsidRDefault="00D96099" w:rsidP="00D96099">
                  <w:pPr>
                    <w:widowControl w:val="0"/>
                    <w:jc w:val="left"/>
                    <w:rPr>
                      <w:rFonts w:ascii="Arial Narrow" w:hAnsi="Arial Narrow"/>
                      <w:sz w:val="20"/>
                      <w:szCs w:val="20"/>
                    </w:rPr>
                  </w:pPr>
                  <w:r w:rsidRPr="00EB1825">
                    <w:rPr>
                      <w:rFonts w:ascii="Arial Narrow" w:hAnsi="Arial Narrow"/>
                      <w:sz w:val="20"/>
                      <w:szCs w:val="20"/>
                    </w:rPr>
                    <w:t>Y2</w:t>
                  </w:r>
                </w:p>
              </w:tc>
              <w:tc>
                <w:tcPr>
                  <w:tcW w:w="1545" w:type="pct"/>
                  <w:tcMar>
                    <w:left w:w="0" w:type="dxa"/>
                    <w:right w:w="0" w:type="dxa"/>
                  </w:tcMar>
                </w:tcPr>
                <w:p w14:paraId="2D27A926" w14:textId="5A9305D3" w:rsidR="00D96099" w:rsidRPr="00EB1825" w:rsidRDefault="009836EA" w:rsidP="00D9609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D96099" w:rsidRPr="00BE28A8">
                    <w:rPr>
                      <w:rFonts w:ascii="Arial Narrow" w:hAnsi="Arial Narrow"/>
                      <w:sz w:val="20"/>
                      <w:szCs w:val="20"/>
                    </w:rPr>
                    <w:t>%</w:t>
                  </w:r>
                </w:p>
              </w:tc>
              <w:tc>
                <w:tcPr>
                  <w:tcW w:w="1348" w:type="pct"/>
                </w:tcPr>
                <w:p w14:paraId="6590F00B" w14:textId="77777777" w:rsidR="00D96099" w:rsidRPr="00EB1825" w:rsidRDefault="00D96099" w:rsidP="00D96099">
                  <w:pPr>
                    <w:widowControl w:val="0"/>
                    <w:jc w:val="left"/>
                    <w:rPr>
                      <w:rFonts w:ascii="Arial Narrow" w:hAnsi="Arial Narrow"/>
                      <w:sz w:val="20"/>
                      <w:szCs w:val="20"/>
                    </w:rPr>
                  </w:pPr>
                </w:p>
              </w:tc>
              <w:tc>
                <w:tcPr>
                  <w:tcW w:w="1591" w:type="pct"/>
                </w:tcPr>
                <w:p w14:paraId="0455BCA7" w14:textId="794B0084" w:rsidR="00D96099" w:rsidRPr="007A00B1" w:rsidRDefault="00E901B5" w:rsidP="00D9609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7A00B1">
                    <w:rPr>
                      <w:rFonts w:ascii="Arial Narrow" w:hAnsi="Arial Narrow"/>
                      <w:sz w:val="20"/>
                      <w:szCs w:val="20"/>
                      <w:vertAlign w:val="superscript"/>
                    </w:rPr>
                    <w:t>9</w:t>
                  </w:r>
                </w:p>
              </w:tc>
            </w:tr>
            <w:tr w:rsidR="00D96099" w:rsidRPr="00EB1825" w14:paraId="50196E8E" w14:textId="77777777" w:rsidTr="005A64FF">
              <w:trPr>
                <w:trHeight w:val="20"/>
              </w:trPr>
              <w:tc>
                <w:tcPr>
                  <w:tcW w:w="516" w:type="pct"/>
                  <w:tcMar>
                    <w:left w:w="0" w:type="dxa"/>
                    <w:right w:w="0" w:type="dxa"/>
                  </w:tcMar>
                </w:tcPr>
                <w:p w14:paraId="079F5534" w14:textId="77777777" w:rsidR="00D96099" w:rsidRPr="00EB1825" w:rsidRDefault="00D96099" w:rsidP="00D96099">
                  <w:pPr>
                    <w:widowControl w:val="0"/>
                    <w:jc w:val="left"/>
                    <w:rPr>
                      <w:rFonts w:ascii="Arial Narrow" w:hAnsi="Arial Narrow"/>
                      <w:sz w:val="20"/>
                      <w:szCs w:val="20"/>
                    </w:rPr>
                  </w:pPr>
                  <w:r w:rsidRPr="00EB1825">
                    <w:rPr>
                      <w:rFonts w:ascii="Arial Narrow" w:hAnsi="Arial Narrow"/>
                      <w:sz w:val="20"/>
                      <w:szCs w:val="20"/>
                    </w:rPr>
                    <w:t>Y3</w:t>
                  </w:r>
                </w:p>
              </w:tc>
              <w:tc>
                <w:tcPr>
                  <w:tcW w:w="1545" w:type="pct"/>
                  <w:tcMar>
                    <w:left w:w="0" w:type="dxa"/>
                    <w:right w:w="0" w:type="dxa"/>
                  </w:tcMar>
                </w:tcPr>
                <w:p w14:paraId="06946D75" w14:textId="6F3810B8" w:rsidR="00D96099" w:rsidRPr="00EB1825" w:rsidRDefault="009836EA" w:rsidP="00D9609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D96099" w:rsidRPr="00BE28A8">
                    <w:rPr>
                      <w:rFonts w:ascii="Arial Narrow" w:hAnsi="Arial Narrow"/>
                      <w:sz w:val="20"/>
                      <w:szCs w:val="20"/>
                    </w:rPr>
                    <w:t>%</w:t>
                  </w:r>
                </w:p>
              </w:tc>
              <w:tc>
                <w:tcPr>
                  <w:tcW w:w="1348" w:type="pct"/>
                </w:tcPr>
                <w:p w14:paraId="0737D283" w14:textId="77777777" w:rsidR="00D96099" w:rsidRPr="00EB1825" w:rsidRDefault="00D96099" w:rsidP="00D96099">
                  <w:pPr>
                    <w:widowControl w:val="0"/>
                    <w:jc w:val="left"/>
                    <w:rPr>
                      <w:rFonts w:ascii="Arial Narrow" w:hAnsi="Arial Narrow"/>
                      <w:sz w:val="20"/>
                      <w:szCs w:val="20"/>
                    </w:rPr>
                  </w:pPr>
                </w:p>
              </w:tc>
              <w:tc>
                <w:tcPr>
                  <w:tcW w:w="1591" w:type="pct"/>
                </w:tcPr>
                <w:p w14:paraId="03939721" w14:textId="2586B447" w:rsidR="00D96099" w:rsidRPr="000B1DF4" w:rsidRDefault="00E901B5" w:rsidP="00D9609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0B1DF4">
                    <w:rPr>
                      <w:rFonts w:ascii="Arial Narrow" w:hAnsi="Arial Narrow"/>
                      <w:sz w:val="20"/>
                      <w:szCs w:val="20"/>
                      <w:vertAlign w:val="superscript"/>
                    </w:rPr>
                    <w:t>14</w:t>
                  </w:r>
                </w:p>
              </w:tc>
            </w:tr>
            <w:tr w:rsidR="00D96099" w:rsidRPr="00EB1825" w14:paraId="0C45A451" w14:textId="77777777" w:rsidTr="005A64FF">
              <w:trPr>
                <w:trHeight w:val="20"/>
              </w:trPr>
              <w:tc>
                <w:tcPr>
                  <w:tcW w:w="516" w:type="pct"/>
                  <w:tcMar>
                    <w:left w:w="0" w:type="dxa"/>
                    <w:right w:w="0" w:type="dxa"/>
                  </w:tcMar>
                </w:tcPr>
                <w:p w14:paraId="7AB325CF" w14:textId="77777777" w:rsidR="00D96099" w:rsidRPr="00EB1825" w:rsidRDefault="00D96099" w:rsidP="00D96099">
                  <w:pPr>
                    <w:widowControl w:val="0"/>
                    <w:jc w:val="left"/>
                    <w:rPr>
                      <w:rFonts w:ascii="Arial Narrow" w:hAnsi="Arial Narrow"/>
                      <w:sz w:val="20"/>
                      <w:szCs w:val="20"/>
                    </w:rPr>
                  </w:pPr>
                  <w:r w:rsidRPr="00EB1825">
                    <w:rPr>
                      <w:rFonts w:ascii="Arial Narrow" w:hAnsi="Arial Narrow"/>
                      <w:sz w:val="20"/>
                      <w:szCs w:val="20"/>
                    </w:rPr>
                    <w:t>Y4</w:t>
                  </w:r>
                </w:p>
              </w:tc>
              <w:tc>
                <w:tcPr>
                  <w:tcW w:w="1545" w:type="pct"/>
                  <w:tcMar>
                    <w:left w:w="0" w:type="dxa"/>
                    <w:right w:w="0" w:type="dxa"/>
                  </w:tcMar>
                </w:tcPr>
                <w:p w14:paraId="45BE6970" w14:textId="2295900A" w:rsidR="00D96099" w:rsidRPr="00EB1825" w:rsidRDefault="009836EA" w:rsidP="00D9609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D96099" w:rsidRPr="00BE28A8">
                    <w:rPr>
                      <w:rFonts w:ascii="Arial Narrow" w:hAnsi="Arial Narrow"/>
                      <w:sz w:val="20"/>
                      <w:szCs w:val="20"/>
                    </w:rPr>
                    <w:t>%</w:t>
                  </w:r>
                </w:p>
              </w:tc>
              <w:tc>
                <w:tcPr>
                  <w:tcW w:w="1348" w:type="pct"/>
                </w:tcPr>
                <w:p w14:paraId="34DFD59D" w14:textId="77777777" w:rsidR="00D96099" w:rsidRPr="00EB1825" w:rsidRDefault="00D96099" w:rsidP="00D96099">
                  <w:pPr>
                    <w:widowControl w:val="0"/>
                    <w:jc w:val="left"/>
                    <w:rPr>
                      <w:rFonts w:ascii="Arial Narrow" w:hAnsi="Arial Narrow"/>
                      <w:sz w:val="20"/>
                      <w:szCs w:val="20"/>
                    </w:rPr>
                  </w:pPr>
                </w:p>
              </w:tc>
              <w:tc>
                <w:tcPr>
                  <w:tcW w:w="1591" w:type="pct"/>
                </w:tcPr>
                <w:p w14:paraId="0A12BF68" w14:textId="0D97FA33" w:rsidR="00D96099" w:rsidRPr="007B4614" w:rsidRDefault="00E901B5" w:rsidP="00D9609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7B4614">
                    <w:rPr>
                      <w:rFonts w:ascii="Arial Narrow" w:hAnsi="Arial Narrow"/>
                      <w:sz w:val="20"/>
                      <w:szCs w:val="20"/>
                      <w:vertAlign w:val="superscript"/>
                    </w:rPr>
                    <w:t>7</w:t>
                  </w:r>
                </w:p>
              </w:tc>
            </w:tr>
            <w:tr w:rsidR="00D96099" w:rsidRPr="00EB1825" w14:paraId="40E13206" w14:textId="77777777" w:rsidTr="005A64FF">
              <w:trPr>
                <w:trHeight w:val="20"/>
              </w:trPr>
              <w:tc>
                <w:tcPr>
                  <w:tcW w:w="516" w:type="pct"/>
                  <w:tcMar>
                    <w:left w:w="0" w:type="dxa"/>
                    <w:right w:w="0" w:type="dxa"/>
                  </w:tcMar>
                </w:tcPr>
                <w:p w14:paraId="66BD7F5B" w14:textId="77777777" w:rsidR="00D96099" w:rsidRPr="00EB1825" w:rsidRDefault="00D96099" w:rsidP="00D96099">
                  <w:pPr>
                    <w:widowControl w:val="0"/>
                    <w:jc w:val="left"/>
                    <w:rPr>
                      <w:rFonts w:ascii="Arial Narrow" w:hAnsi="Arial Narrow"/>
                      <w:sz w:val="20"/>
                      <w:szCs w:val="20"/>
                    </w:rPr>
                  </w:pPr>
                  <w:r w:rsidRPr="00EB1825">
                    <w:rPr>
                      <w:rFonts w:ascii="Arial Narrow" w:hAnsi="Arial Narrow"/>
                      <w:sz w:val="20"/>
                      <w:szCs w:val="20"/>
                    </w:rPr>
                    <w:t>Y5</w:t>
                  </w:r>
                </w:p>
              </w:tc>
              <w:tc>
                <w:tcPr>
                  <w:tcW w:w="1545" w:type="pct"/>
                  <w:tcMar>
                    <w:left w:w="0" w:type="dxa"/>
                    <w:right w:w="0" w:type="dxa"/>
                  </w:tcMar>
                </w:tcPr>
                <w:p w14:paraId="0ECBAE4A" w14:textId="5EFE3C29" w:rsidR="00D96099" w:rsidRPr="00EB1825" w:rsidRDefault="009836EA" w:rsidP="00D9609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sidR="00D96099" w:rsidRPr="00BE28A8">
                    <w:rPr>
                      <w:rFonts w:ascii="Arial Narrow" w:hAnsi="Arial Narrow"/>
                      <w:sz w:val="20"/>
                      <w:szCs w:val="20"/>
                    </w:rPr>
                    <w:t>%</w:t>
                  </w:r>
                </w:p>
              </w:tc>
              <w:tc>
                <w:tcPr>
                  <w:tcW w:w="1348" w:type="pct"/>
                </w:tcPr>
                <w:p w14:paraId="36E9F366" w14:textId="77777777" w:rsidR="00D96099" w:rsidRPr="00EB1825" w:rsidRDefault="00D96099" w:rsidP="00D96099">
                  <w:pPr>
                    <w:widowControl w:val="0"/>
                    <w:jc w:val="left"/>
                    <w:rPr>
                      <w:rFonts w:ascii="Arial Narrow" w:hAnsi="Arial Narrow"/>
                      <w:sz w:val="20"/>
                      <w:szCs w:val="20"/>
                    </w:rPr>
                  </w:pPr>
                </w:p>
              </w:tc>
              <w:tc>
                <w:tcPr>
                  <w:tcW w:w="1591" w:type="pct"/>
                </w:tcPr>
                <w:p w14:paraId="482B5178" w14:textId="4FAC3475" w:rsidR="00D96099" w:rsidRPr="00CF4F2A" w:rsidRDefault="00E901B5" w:rsidP="00D9609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CF4F2A">
                    <w:rPr>
                      <w:rFonts w:ascii="Arial Narrow" w:hAnsi="Arial Narrow"/>
                      <w:sz w:val="20"/>
                      <w:szCs w:val="20"/>
                      <w:vertAlign w:val="superscript"/>
                    </w:rPr>
                    <w:t>12</w:t>
                  </w:r>
                </w:p>
              </w:tc>
            </w:tr>
            <w:tr w:rsidR="005A64FF" w:rsidRPr="00EB1825" w14:paraId="39AEA4F8" w14:textId="77777777" w:rsidTr="005A64FF">
              <w:trPr>
                <w:trHeight w:val="20"/>
              </w:trPr>
              <w:tc>
                <w:tcPr>
                  <w:tcW w:w="516" w:type="pct"/>
                  <w:tcMar>
                    <w:left w:w="0" w:type="dxa"/>
                    <w:right w:w="0" w:type="dxa"/>
                  </w:tcMar>
                </w:tcPr>
                <w:p w14:paraId="0C6B001D" w14:textId="71FF2E48" w:rsidR="005A64FF" w:rsidRPr="00EB1825" w:rsidRDefault="005A64FF" w:rsidP="00D96099">
                  <w:pPr>
                    <w:widowControl w:val="0"/>
                    <w:jc w:val="left"/>
                    <w:rPr>
                      <w:rFonts w:ascii="Arial Narrow" w:hAnsi="Arial Narrow"/>
                      <w:sz w:val="20"/>
                      <w:szCs w:val="20"/>
                    </w:rPr>
                  </w:pPr>
                  <w:r>
                    <w:rPr>
                      <w:rFonts w:ascii="Arial Narrow" w:hAnsi="Arial Narrow"/>
                      <w:sz w:val="20"/>
                      <w:szCs w:val="20"/>
                    </w:rPr>
                    <w:t>Y6</w:t>
                  </w:r>
                  <w:r w:rsidR="009836EA">
                    <w:rPr>
                      <w:rFonts w:ascii="Arial Narrow" w:hAnsi="Arial Narrow"/>
                      <w:sz w:val="20"/>
                      <w:szCs w:val="20"/>
                    </w:rPr>
                    <w:t xml:space="preserve">  </w:t>
                  </w:r>
                  <w:r>
                    <w:rPr>
                      <w:rFonts w:ascii="Arial Narrow" w:hAnsi="Arial Narrow"/>
                      <w:sz w:val="20"/>
                      <w:szCs w:val="20"/>
                    </w:rPr>
                    <w:t xml:space="preserve"> </w:t>
                  </w:r>
                </w:p>
              </w:tc>
              <w:tc>
                <w:tcPr>
                  <w:tcW w:w="1545" w:type="pct"/>
                  <w:tcMar>
                    <w:left w:w="0" w:type="dxa"/>
                    <w:right w:w="0" w:type="dxa"/>
                  </w:tcMar>
                </w:tcPr>
                <w:p w14:paraId="7FF00231" w14:textId="76BDF351" w:rsidR="005A64FF" w:rsidRDefault="009836EA" w:rsidP="00D96099">
                  <w:pPr>
                    <w:widowControl w:val="0"/>
                    <w:jc w:val="left"/>
                    <w:rPr>
                      <w:rFonts w:ascii="Arial Narrow" w:hAnsi="Arial Narrow"/>
                      <w:sz w:val="20"/>
                      <w:szCs w:val="20"/>
                    </w:rPr>
                  </w:pPr>
                  <w:r>
                    <w:rPr>
                      <w:rFonts w:ascii="Arial Narrow" w:hAnsi="Arial Narrow"/>
                      <w:sz w:val="20"/>
                      <w:szCs w:val="20"/>
                    </w:rPr>
                    <w:t xml:space="preserve"> </w:t>
                  </w:r>
                  <w:r w:rsidR="00E901B5" w:rsidRPr="00E901B5">
                    <w:rPr>
                      <w:rFonts w:ascii="Arial Narrow" w:hAnsi="Arial Narrow"/>
                      <w:sz w:val="20"/>
                      <w:szCs w:val="20"/>
                      <w:highlight w:val="black"/>
                    </w:rPr>
                    <w:t>&amp;&amp;&amp;&amp;</w:t>
                  </w:r>
                  <w:r>
                    <w:rPr>
                      <w:rFonts w:ascii="Arial Narrow" w:hAnsi="Arial Narrow"/>
                      <w:sz w:val="20"/>
                      <w:szCs w:val="20"/>
                    </w:rPr>
                    <w:t>%</w:t>
                  </w:r>
                </w:p>
              </w:tc>
              <w:tc>
                <w:tcPr>
                  <w:tcW w:w="1348" w:type="pct"/>
                </w:tcPr>
                <w:p w14:paraId="359111B4" w14:textId="77777777" w:rsidR="005A64FF" w:rsidRPr="00EB1825" w:rsidRDefault="005A64FF" w:rsidP="00D96099">
                  <w:pPr>
                    <w:widowControl w:val="0"/>
                    <w:jc w:val="left"/>
                    <w:rPr>
                      <w:rFonts w:ascii="Arial Narrow" w:hAnsi="Arial Narrow"/>
                      <w:sz w:val="20"/>
                      <w:szCs w:val="20"/>
                    </w:rPr>
                  </w:pPr>
                </w:p>
              </w:tc>
              <w:tc>
                <w:tcPr>
                  <w:tcW w:w="1591" w:type="pct"/>
                </w:tcPr>
                <w:p w14:paraId="196102A1" w14:textId="6FECF7B9" w:rsidR="005A64FF" w:rsidRPr="00CF4F2A" w:rsidRDefault="00E901B5" w:rsidP="00D96099">
                  <w:pPr>
                    <w:widowControl w:val="0"/>
                    <w:jc w:val="left"/>
                    <w:rPr>
                      <w:rFonts w:ascii="Arial Narrow" w:hAnsi="Arial Narrow"/>
                      <w:sz w:val="20"/>
                      <w:szCs w:val="20"/>
                      <w:vertAlign w:val="superscript"/>
                    </w:rPr>
                  </w:pPr>
                  <w:r w:rsidRPr="00E901B5">
                    <w:rPr>
                      <w:rFonts w:ascii="Arial Narrow" w:hAnsi="Arial Narrow"/>
                      <w:sz w:val="20"/>
                      <w:szCs w:val="20"/>
                      <w:highlight w:val="black"/>
                    </w:rPr>
                    <w:t>&amp;&amp;&amp;&amp;</w:t>
                  </w:r>
                  <w:r w:rsidR="00CF4F2A">
                    <w:rPr>
                      <w:rFonts w:ascii="Arial Narrow" w:hAnsi="Arial Narrow"/>
                      <w:sz w:val="20"/>
                      <w:szCs w:val="20"/>
                      <w:vertAlign w:val="superscript"/>
                    </w:rPr>
                    <w:t>12</w:t>
                  </w:r>
                </w:p>
              </w:tc>
            </w:tr>
          </w:tbl>
          <w:p w14:paraId="2EC93C10" w14:textId="04C7548D" w:rsidR="005645BF" w:rsidRPr="00EB1825" w:rsidRDefault="005645BF" w:rsidP="00580C2F">
            <w:pPr>
              <w:pStyle w:val="ListParagraph"/>
              <w:widowControl w:val="0"/>
              <w:numPr>
                <w:ilvl w:val="0"/>
                <w:numId w:val="0"/>
              </w:numPr>
              <w:spacing w:after="0"/>
              <w:ind w:left="1021" w:hanging="284"/>
              <w:rPr>
                <w:rFonts w:ascii="Arial Narrow" w:hAnsi="Arial Narrow"/>
                <w:sz w:val="18"/>
                <w:szCs w:val="18"/>
              </w:rPr>
            </w:pPr>
          </w:p>
        </w:tc>
        <w:tc>
          <w:tcPr>
            <w:tcW w:w="1544" w:type="pct"/>
            <w:tcBorders>
              <w:top w:val="single" w:sz="4" w:space="0" w:color="auto"/>
              <w:left w:val="single" w:sz="4" w:space="0" w:color="auto"/>
              <w:bottom w:val="single" w:sz="4" w:space="0" w:color="auto"/>
              <w:right w:val="single" w:sz="4" w:space="0" w:color="auto"/>
            </w:tcBorders>
          </w:tcPr>
          <w:p w14:paraId="7911F4F2" w14:textId="62C28608" w:rsidR="005F69BD" w:rsidRPr="00EB1825" w:rsidRDefault="005F69BD" w:rsidP="00891F79">
            <w:pPr>
              <w:pStyle w:val="TableText0"/>
              <w:keepNext w:val="0"/>
            </w:pPr>
            <w:r w:rsidRPr="00EB1825">
              <w:rPr>
                <w:shd w:val="clear" w:color="auto" w:fill="B8CCE4" w:themeFill="accent1" w:themeFillTint="66"/>
              </w:rPr>
              <w:t xml:space="preserve">The PBAC </w:t>
            </w:r>
            <w:r w:rsidR="001A7406" w:rsidRPr="00EB1825">
              <w:rPr>
                <w:shd w:val="clear" w:color="auto" w:fill="B8CCE4" w:themeFill="accent1" w:themeFillTint="66"/>
              </w:rPr>
              <w:t xml:space="preserve">previously </w:t>
            </w:r>
            <w:r w:rsidRPr="00EB1825">
              <w:rPr>
                <w:shd w:val="clear" w:color="auto" w:fill="B8CCE4" w:themeFill="accent1" w:themeFillTint="66"/>
              </w:rPr>
              <w:t xml:space="preserve">considered the uptake rates to be underestimated, particularly if MHT-averse patients are included in the assumptions.  </w:t>
            </w:r>
            <w:r w:rsidRPr="00EB1825">
              <w:t xml:space="preserve">Uptake estimates were increased for the first four years and remained the same for the final two years. The resubmission did not provide any justification for the adjustments in uptake rates, particularly given that MHT-averse patients were excluded from the target population. </w:t>
            </w:r>
            <w:r w:rsidR="007E6E09">
              <w:t xml:space="preserve">The uptake rates were increased substantially for years </w:t>
            </w:r>
            <w:r w:rsidR="00801E1C">
              <w:t>2-6 in the pre-PBAC response.</w:t>
            </w:r>
          </w:p>
        </w:tc>
      </w:tr>
      <w:tr w:rsidR="00EB3FB8" w:rsidRPr="00EB1825" w14:paraId="60A95307"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tcPr>
          <w:p w14:paraId="50CF2449" w14:textId="4998257E" w:rsidR="00EB3FB8" w:rsidRPr="00EB1825" w:rsidRDefault="00EB3FB8" w:rsidP="00EB3FB8">
            <w:pPr>
              <w:pStyle w:val="TableText0"/>
              <w:keepNext w:val="0"/>
            </w:pPr>
            <w:r w:rsidRPr="00EB1825">
              <w:t>Discontinuation rate</w:t>
            </w:r>
          </w:p>
        </w:tc>
        <w:tc>
          <w:tcPr>
            <w:tcW w:w="1446" w:type="pct"/>
            <w:vMerge w:val="restart"/>
            <w:tcBorders>
              <w:top w:val="single" w:sz="4" w:space="0" w:color="auto"/>
              <w:left w:val="single" w:sz="4" w:space="0" w:color="auto"/>
              <w:right w:val="single" w:sz="4" w:space="0" w:color="auto"/>
            </w:tcBorders>
            <w:shd w:val="clear" w:color="auto" w:fill="B8CCE4" w:themeFill="accent1" w:themeFillTint="66"/>
          </w:tcPr>
          <w:p w14:paraId="35AFEA0C" w14:textId="4CDCECB5" w:rsidR="00EB3FB8" w:rsidRPr="00EB1825" w:rsidRDefault="00EB3FB8" w:rsidP="00891F79">
            <w:pPr>
              <w:pStyle w:val="TableText0"/>
            </w:pPr>
            <w:r w:rsidRPr="00EB1825">
              <w:t>72.6%, projected as the annual discontinuation rate</w:t>
            </w:r>
          </w:p>
        </w:tc>
        <w:tc>
          <w:tcPr>
            <w:tcW w:w="1336" w:type="pct"/>
            <w:tcBorders>
              <w:top w:val="single" w:sz="4" w:space="0" w:color="auto"/>
              <w:left w:val="single" w:sz="4" w:space="0" w:color="auto"/>
              <w:bottom w:val="single" w:sz="4" w:space="0" w:color="auto"/>
              <w:right w:val="single" w:sz="4" w:space="0" w:color="auto"/>
            </w:tcBorders>
          </w:tcPr>
          <w:p w14:paraId="4AF8D1E5" w14:textId="77777777" w:rsidR="00EB3FB8" w:rsidRPr="00EB1825" w:rsidRDefault="00EB3FB8" w:rsidP="00EB3FB8">
            <w:pPr>
              <w:pStyle w:val="TableText0"/>
              <w:keepNext w:val="0"/>
              <w:rPr>
                <w:color w:val="000000" w:themeColor="text1"/>
                <w:szCs w:val="28"/>
              </w:rPr>
            </w:pPr>
            <w:r w:rsidRPr="00EB1825">
              <w:rPr>
                <w:color w:val="000000" w:themeColor="text1"/>
                <w:szCs w:val="28"/>
              </w:rPr>
              <w:t xml:space="preserve">The annual rate of 27.4% </w:t>
            </w:r>
            <w:r w:rsidRPr="00EB1825">
              <w:rPr>
                <w:szCs w:val="28"/>
              </w:rPr>
              <w:t>was estimated from the discontinuation rate reported in DAYLIGHT at 24 weeks (13.72%). Annual discontinuation rate was used to estimate the average treatment duration of 265.29 days (=365.25 days*(1-27.4%)).</w:t>
            </w:r>
          </w:p>
          <w:p w14:paraId="38B2ACEB" w14:textId="46991256" w:rsidR="00EB3FB8" w:rsidRPr="00EB1825" w:rsidRDefault="00EB3FB8" w:rsidP="00EB3FB8">
            <w:pPr>
              <w:pStyle w:val="TableText0"/>
              <w:keepNext w:val="0"/>
              <w:rPr>
                <w:color w:val="000000"/>
                <w:szCs w:val="28"/>
              </w:rPr>
            </w:pPr>
            <w:r w:rsidRPr="00EB1825">
              <w:rPr>
                <w:szCs w:val="28"/>
              </w:rPr>
              <w:t>Average treatment duration for GF patients was assumed to be 6 months (i.e., 183 days).</w:t>
            </w:r>
          </w:p>
        </w:tc>
        <w:tc>
          <w:tcPr>
            <w:tcW w:w="1544" w:type="pct"/>
            <w:tcBorders>
              <w:top w:val="single" w:sz="4" w:space="0" w:color="auto"/>
              <w:left w:val="single" w:sz="4" w:space="0" w:color="auto"/>
              <w:right w:val="single" w:sz="4" w:space="0" w:color="auto"/>
            </w:tcBorders>
          </w:tcPr>
          <w:p w14:paraId="39A0960D" w14:textId="55444C90" w:rsidR="00EB3FB8" w:rsidRPr="00EB1825" w:rsidRDefault="00EB3FB8" w:rsidP="00EB3FB8">
            <w:pPr>
              <w:pStyle w:val="TableText0"/>
              <w:rPr>
                <w:shd w:val="clear" w:color="auto" w:fill="B8CCE4" w:themeFill="accent1" w:themeFillTint="66"/>
              </w:rPr>
            </w:pPr>
            <w:r w:rsidRPr="00EB1825">
              <w:rPr>
                <w:shd w:val="clear" w:color="auto" w:fill="B8CCE4" w:themeFill="accent1" w:themeFillTint="66"/>
              </w:rPr>
              <w:t>The PBAC</w:t>
            </w:r>
            <w:r w:rsidR="001A7406" w:rsidRPr="00EB1825">
              <w:rPr>
                <w:shd w:val="clear" w:color="auto" w:fill="B8CCE4" w:themeFill="accent1" w:themeFillTint="66"/>
              </w:rPr>
              <w:t xml:space="preserve"> previously</w:t>
            </w:r>
            <w:r w:rsidRPr="00EB1825">
              <w:rPr>
                <w:shd w:val="clear" w:color="auto" w:fill="B8CCE4" w:themeFill="accent1" w:themeFillTint="66"/>
              </w:rPr>
              <w:t xml:space="preserve"> noted that using the discontinuation rate as an annual compliance rate was inappropriate, as it failed to account for patients discontinuing treatment being removed from the prevalent pool (para 6.72, </w:t>
            </w:r>
            <w:proofErr w:type="spellStart"/>
            <w:r w:rsidRPr="00EB1825">
              <w:rPr>
                <w:shd w:val="clear" w:color="auto" w:fill="B8CCE4" w:themeFill="accent1" w:themeFillTint="66"/>
              </w:rPr>
              <w:t>fezolinetant</w:t>
            </w:r>
            <w:proofErr w:type="spellEnd"/>
            <w:r w:rsidRPr="00EB1825">
              <w:rPr>
                <w:shd w:val="clear" w:color="auto" w:fill="B8CCE4" w:themeFill="accent1" w:themeFillTint="66"/>
              </w:rPr>
              <w:t xml:space="preserve"> </w:t>
            </w:r>
            <w:r w:rsidR="00250FD7" w:rsidRPr="00EB1825">
              <w:rPr>
                <w:shd w:val="clear" w:color="auto" w:fill="B8CCE4" w:themeFill="accent1" w:themeFillTint="66"/>
              </w:rPr>
              <w:t>PSD</w:t>
            </w:r>
            <w:r w:rsidRPr="00EB1825">
              <w:rPr>
                <w:shd w:val="clear" w:color="auto" w:fill="B8CCE4" w:themeFill="accent1" w:themeFillTint="66"/>
              </w:rPr>
              <w:t xml:space="preserve"> March 2025).</w:t>
            </w:r>
            <w:r w:rsidRPr="00EB1825">
              <w:t xml:space="preserve"> In response, the resubmission modelled discontinuation (from DAYLIGHT) and compliance (from a real-world study), separately. Given that the resubmission had applied a prevalence approach, patients were not tracked over time in the financial estimates. The trial based one year discontinuation rate was thus uncertain when applied in this context. </w:t>
            </w:r>
          </w:p>
        </w:tc>
      </w:tr>
      <w:tr w:rsidR="00EB3FB8" w:rsidRPr="00EB1825" w14:paraId="22E24420"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tcPr>
          <w:p w14:paraId="26DBA933" w14:textId="77777777" w:rsidR="00EB3FB8" w:rsidRPr="00EB1825" w:rsidRDefault="00EB3FB8" w:rsidP="00891F79">
            <w:pPr>
              <w:pStyle w:val="TableText0"/>
              <w:keepNext w:val="0"/>
            </w:pPr>
            <w:r w:rsidRPr="00EB1825">
              <w:t>Compliance rate</w:t>
            </w:r>
          </w:p>
        </w:tc>
        <w:tc>
          <w:tcPr>
            <w:tcW w:w="1446" w:type="pct"/>
            <w:vMerge/>
            <w:tcBorders>
              <w:left w:val="single" w:sz="4" w:space="0" w:color="auto"/>
              <w:right w:val="single" w:sz="4" w:space="0" w:color="auto"/>
            </w:tcBorders>
            <w:shd w:val="clear" w:color="auto" w:fill="B8CCE4" w:themeFill="accent1" w:themeFillTint="66"/>
          </w:tcPr>
          <w:p w14:paraId="53F6E04B" w14:textId="1AD08722" w:rsidR="00EB3FB8" w:rsidRPr="00EB1825" w:rsidRDefault="00EB3FB8" w:rsidP="00891F79">
            <w:pPr>
              <w:pStyle w:val="TableText0"/>
              <w:keepNext w:val="0"/>
            </w:pPr>
          </w:p>
        </w:tc>
        <w:tc>
          <w:tcPr>
            <w:tcW w:w="1336" w:type="pct"/>
            <w:tcBorders>
              <w:top w:val="single" w:sz="4" w:space="0" w:color="auto"/>
              <w:left w:val="single" w:sz="4" w:space="0" w:color="auto"/>
              <w:bottom w:val="single" w:sz="4" w:space="0" w:color="auto"/>
              <w:right w:val="single" w:sz="4" w:space="0" w:color="auto"/>
            </w:tcBorders>
          </w:tcPr>
          <w:p w14:paraId="4107841F" w14:textId="30DB0A8D" w:rsidR="00EB3FB8" w:rsidRPr="00EB1825" w:rsidRDefault="00EB3FB8" w:rsidP="00891F79">
            <w:pPr>
              <w:pStyle w:val="TableText0"/>
              <w:keepNext w:val="0"/>
              <w:rPr>
                <w:color w:val="000000"/>
                <w:szCs w:val="28"/>
              </w:rPr>
            </w:pPr>
            <w:r w:rsidRPr="00EB1825">
              <w:rPr>
                <w:color w:val="000000"/>
                <w:szCs w:val="28"/>
              </w:rPr>
              <w:t xml:space="preserve">The compliance rate of 77.9% was based on the average of real-world compliance rates across 10 countries for </w:t>
            </w:r>
            <w:proofErr w:type="spellStart"/>
            <w:r w:rsidRPr="00EB1825">
              <w:rPr>
                <w:color w:val="000000"/>
                <w:szCs w:val="28"/>
              </w:rPr>
              <w:t>fezolinetant</w:t>
            </w:r>
            <w:proofErr w:type="spellEnd"/>
            <w:r w:rsidRPr="00EB1825">
              <w:rPr>
                <w:color w:val="000000"/>
                <w:szCs w:val="28"/>
              </w:rPr>
              <w:t>. This was used to estimate the Scripts/Year of 9.48 (365.2 days/pack size of 30 x compliance rate).</w:t>
            </w:r>
          </w:p>
        </w:tc>
        <w:tc>
          <w:tcPr>
            <w:tcW w:w="1544" w:type="pct"/>
            <w:tcBorders>
              <w:top w:val="single" w:sz="4" w:space="0" w:color="auto"/>
              <w:left w:val="single" w:sz="4" w:space="0" w:color="auto"/>
              <w:right w:val="single" w:sz="4" w:space="0" w:color="auto"/>
            </w:tcBorders>
          </w:tcPr>
          <w:p w14:paraId="58648229" w14:textId="1EDE489A" w:rsidR="00EB3FB8" w:rsidRPr="00EB1825" w:rsidRDefault="00B96947" w:rsidP="0077230E">
            <w:pPr>
              <w:pStyle w:val="TableText0"/>
            </w:pPr>
            <w:r w:rsidRPr="00EB1825">
              <w:t>T</w:t>
            </w:r>
            <w:r w:rsidR="00007274" w:rsidRPr="00EB1825">
              <w:t>he</w:t>
            </w:r>
            <w:r w:rsidR="00EB3FB8" w:rsidRPr="00EB1825">
              <w:t xml:space="preserve"> real-world compliance rate (77.9%, based on 10 countries over ~13 months) was higher than the DAYLIGHT study’s ≥168-day exposure rate (68.1%, para 5.6, DAYLIGHT CSR)</w:t>
            </w:r>
            <w:r w:rsidR="00234EF0">
              <w:t>, but is consistent with the economic evaluation.</w:t>
            </w:r>
          </w:p>
        </w:tc>
      </w:tr>
      <w:tr w:rsidR="005F69BD" w:rsidRPr="00EB1825" w14:paraId="6CFEF276"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hideMark/>
          </w:tcPr>
          <w:p w14:paraId="32B383EE" w14:textId="77777777" w:rsidR="005F69BD" w:rsidRPr="00EB1825" w:rsidRDefault="005F69BD" w:rsidP="00891F79">
            <w:pPr>
              <w:pStyle w:val="TableText0"/>
              <w:keepNext w:val="0"/>
            </w:pPr>
            <w:r w:rsidRPr="00EB1825">
              <w:t>Number of scripts</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tbl>
            <w:tblPr>
              <w:tblStyle w:val="TableGrid"/>
              <w:tblW w:w="0" w:type="auto"/>
              <w:tblCellMar>
                <w:left w:w="28" w:type="dxa"/>
                <w:right w:w="28" w:type="dxa"/>
              </w:tblCellMar>
              <w:tblLook w:val="04A0" w:firstRow="1" w:lastRow="0" w:firstColumn="1" w:lastColumn="0" w:noHBand="0" w:noVBand="1"/>
            </w:tblPr>
            <w:tblGrid>
              <w:gridCol w:w="394"/>
              <w:gridCol w:w="698"/>
              <w:gridCol w:w="518"/>
              <w:gridCol w:w="741"/>
            </w:tblGrid>
            <w:tr w:rsidR="005F69BD" w:rsidRPr="00EB1825" w14:paraId="6818F488" w14:textId="77777777" w:rsidTr="00891F79">
              <w:tc>
                <w:tcPr>
                  <w:tcW w:w="395" w:type="dxa"/>
                </w:tcPr>
                <w:p w14:paraId="2BD910BD"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Year</w:t>
                  </w:r>
                </w:p>
              </w:tc>
              <w:tc>
                <w:tcPr>
                  <w:tcW w:w="713" w:type="dxa"/>
                </w:tcPr>
                <w:p w14:paraId="4163DCE1"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PBS</w:t>
                  </w:r>
                </w:p>
              </w:tc>
              <w:tc>
                <w:tcPr>
                  <w:tcW w:w="521" w:type="dxa"/>
                </w:tcPr>
                <w:p w14:paraId="2F1D82C0"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RPBS</w:t>
                  </w:r>
                </w:p>
              </w:tc>
              <w:tc>
                <w:tcPr>
                  <w:tcW w:w="759" w:type="dxa"/>
                </w:tcPr>
                <w:p w14:paraId="1A2DBF84"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Total</w:t>
                  </w:r>
                </w:p>
              </w:tc>
            </w:tr>
            <w:tr w:rsidR="005F69BD" w:rsidRPr="00EB1825" w14:paraId="0A55C23F" w14:textId="77777777" w:rsidTr="00891F79">
              <w:tc>
                <w:tcPr>
                  <w:tcW w:w="395" w:type="dxa"/>
                </w:tcPr>
                <w:p w14:paraId="2069ED7C"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Y1</w:t>
                  </w:r>
                </w:p>
              </w:tc>
              <w:tc>
                <w:tcPr>
                  <w:tcW w:w="713" w:type="dxa"/>
                </w:tcPr>
                <w:p w14:paraId="3887A91F" w14:textId="1E14D0EF" w:rsidR="00F52230"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1AC86CFD" w14:textId="75EA4C8D" w:rsidR="005F69BD" w:rsidRPr="00F52230" w:rsidRDefault="00F52230"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15</w:t>
                  </w:r>
                </w:p>
              </w:tc>
              <w:tc>
                <w:tcPr>
                  <w:tcW w:w="521" w:type="dxa"/>
                </w:tcPr>
                <w:p w14:paraId="71807F30" w14:textId="5AF2A2BF"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1609EF91" w14:textId="15E1EAA8" w:rsidR="005A711D" w:rsidRPr="005A711D" w:rsidRDefault="005A711D"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13</w:t>
                  </w:r>
                </w:p>
              </w:tc>
              <w:tc>
                <w:tcPr>
                  <w:tcW w:w="759" w:type="dxa"/>
                </w:tcPr>
                <w:p w14:paraId="2D56DE2E" w14:textId="0C79443E" w:rsidR="00F52230"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1638565C" w14:textId="589D807B" w:rsidR="005F69BD" w:rsidRPr="00F52230" w:rsidRDefault="00F52230"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15</w:t>
                  </w:r>
                </w:p>
              </w:tc>
            </w:tr>
            <w:tr w:rsidR="005F69BD" w:rsidRPr="00EB1825" w14:paraId="097480C5" w14:textId="77777777" w:rsidTr="00891F79">
              <w:tc>
                <w:tcPr>
                  <w:tcW w:w="395" w:type="dxa"/>
                </w:tcPr>
                <w:p w14:paraId="17098E8E"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Y2</w:t>
                  </w:r>
                </w:p>
              </w:tc>
              <w:tc>
                <w:tcPr>
                  <w:tcW w:w="713" w:type="dxa"/>
                </w:tcPr>
                <w:p w14:paraId="19E635C6" w14:textId="7AD60E32"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64AEA2BE" w14:textId="55ECFAAC" w:rsidR="00D3483B" w:rsidRPr="00D3483B" w:rsidRDefault="00D3483B"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16</w:t>
                  </w:r>
                </w:p>
              </w:tc>
              <w:tc>
                <w:tcPr>
                  <w:tcW w:w="521" w:type="dxa"/>
                </w:tcPr>
                <w:p w14:paraId="7D723507" w14:textId="6996413C"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1AA645F7" w14:textId="427E61F9" w:rsidR="00F361E4" w:rsidRPr="000155F1" w:rsidRDefault="00F361E4"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6</w:t>
                  </w:r>
                </w:p>
              </w:tc>
              <w:tc>
                <w:tcPr>
                  <w:tcW w:w="759" w:type="dxa"/>
                </w:tcPr>
                <w:p w14:paraId="00918DBA" w14:textId="06757184"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77D6E0A1" w14:textId="4CF35A2A" w:rsidR="00A371F1" w:rsidRPr="00A371F1" w:rsidRDefault="00A371F1"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17</w:t>
                  </w:r>
                </w:p>
              </w:tc>
            </w:tr>
            <w:tr w:rsidR="005F69BD" w:rsidRPr="00EB1825" w14:paraId="5E6D57C6" w14:textId="77777777" w:rsidTr="00891F79">
              <w:tc>
                <w:tcPr>
                  <w:tcW w:w="395" w:type="dxa"/>
                </w:tcPr>
                <w:p w14:paraId="557CB7D8"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Y3</w:t>
                  </w:r>
                </w:p>
              </w:tc>
              <w:tc>
                <w:tcPr>
                  <w:tcW w:w="713" w:type="dxa"/>
                </w:tcPr>
                <w:p w14:paraId="15A2211B" w14:textId="5CCC0145"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2CA5AEBD" w14:textId="5DFE4CB8" w:rsidR="00A371F1" w:rsidRPr="00A371F1" w:rsidRDefault="00A371F1"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17</w:t>
                  </w:r>
                </w:p>
              </w:tc>
              <w:tc>
                <w:tcPr>
                  <w:tcW w:w="521" w:type="dxa"/>
                </w:tcPr>
                <w:p w14:paraId="01B12A67" w14:textId="1F6BA380"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6B2D5742" w14:textId="34D00159" w:rsidR="00862B47" w:rsidRPr="00862B47" w:rsidRDefault="00862B47"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6</w:t>
                  </w:r>
                </w:p>
              </w:tc>
              <w:tc>
                <w:tcPr>
                  <w:tcW w:w="759" w:type="dxa"/>
                </w:tcPr>
                <w:p w14:paraId="21C18B84" w14:textId="762B8542"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45796D92" w14:textId="3F33C416" w:rsidR="00A371F1" w:rsidRPr="00A371F1" w:rsidRDefault="00A371F1"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17</w:t>
                  </w:r>
                </w:p>
              </w:tc>
            </w:tr>
            <w:tr w:rsidR="005F69BD" w:rsidRPr="00EB1825" w14:paraId="6ADF6F83" w14:textId="77777777" w:rsidTr="00891F79">
              <w:tc>
                <w:tcPr>
                  <w:tcW w:w="395" w:type="dxa"/>
                </w:tcPr>
                <w:p w14:paraId="23CD29B0"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Y4</w:t>
                  </w:r>
                </w:p>
              </w:tc>
              <w:tc>
                <w:tcPr>
                  <w:tcW w:w="713" w:type="dxa"/>
                </w:tcPr>
                <w:p w14:paraId="637837D3" w14:textId="7B62856C"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10C507DA" w14:textId="35192FA3" w:rsidR="00A371F1" w:rsidRPr="00A371F1" w:rsidRDefault="00A371F1"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17</w:t>
                  </w:r>
                </w:p>
              </w:tc>
              <w:tc>
                <w:tcPr>
                  <w:tcW w:w="521" w:type="dxa"/>
                </w:tcPr>
                <w:p w14:paraId="0CEC139E" w14:textId="1FEFA970"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71CAF189" w14:textId="7897BFD5" w:rsidR="00862B47" w:rsidRPr="00862B47" w:rsidRDefault="00862B47"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6</w:t>
                  </w:r>
                </w:p>
              </w:tc>
              <w:tc>
                <w:tcPr>
                  <w:tcW w:w="759" w:type="dxa"/>
                </w:tcPr>
                <w:p w14:paraId="24820105" w14:textId="72C25028"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11A10F95" w14:textId="38D49BF5" w:rsidR="00DF1435" w:rsidRPr="00DF1435" w:rsidRDefault="00DF1435"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17</w:t>
                  </w:r>
                </w:p>
              </w:tc>
            </w:tr>
            <w:tr w:rsidR="005F69BD" w:rsidRPr="00EB1825" w14:paraId="4823FC92" w14:textId="77777777" w:rsidTr="00891F79">
              <w:tc>
                <w:tcPr>
                  <w:tcW w:w="395" w:type="dxa"/>
                </w:tcPr>
                <w:p w14:paraId="18C5F120"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Y5</w:t>
                  </w:r>
                </w:p>
              </w:tc>
              <w:tc>
                <w:tcPr>
                  <w:tcW w:w="713" w:type="dxa"/>
                </w:tcPr>
                <w:p w14:paraId="2628596E" w14:textId="7E50A2E9"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7CC007E7" w14:textId="379FD8AA" w:rsidR="00DF1435" w:rsidRPr="00DF1435" w:rsidRDefault="00DF1435"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17</w:t>
                  </w:r>
                </w:p>
              </w:tc>
              <w:tc>
                <w:tcPr>
                  <w:tcW w:w="521" w:type="dxa"/>
                </w:tcPr>
                <w:p w14:paraId="74B55A94" w14:textId="2B20ABD2"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6DFC1A5B" w14:textId="5069B0AF" w:rsidR="00862B47" w:rsidRPr="00862B47" w:rsidRDefault="00862B47"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6</w:t>
                  </w:r>
                </w:p>
              </w:tc>
              <w:tc>
                <w:tcPr>
                  <w:tcW w:w="759" w:type="dxa"/>
                </w:tcPr>
                <w:p w14:paraId="1BACB9A9" w14:textId="1A547DAB"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7B8C158F" w14:textId="2505148D" w:rsidR="00DF1435" w:rsidRPr="00DF1435" w:rsidRDefault="00DF1435"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17</w:t>
                  </w:r>
                </w:p>
              </w:tc>
            </w:tr>
            <w:tr w:rsidR="005F69BD" w:rsidRPr="00EB1825" w14:paraId="38F0A6AF" w14:textId="77777777" w:rsidTr="00891F79">
              <w:tc>
                <w:tcPr>
                  <w:tcW w:w="395" w:type="dxa"/>
                </w:tcPr>
                <w:p w14:paraId="279D3CFD"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Y6</w:t>
                  </w:r>
                </w:p>
              </w:tc>
              <w:tc>
                <w:tcPr>
                  <w:tcW w:w="713" w:type="dxa"/>
                </w:tcPr>
                <w:p w14:paraId="2F3B015D" w14:textId="7A2332AE"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5639887B" w14:textId="24257C29" w:rsidR="00DF1435" w:rsidRPr="00DF1435" w:rsidRDefault="00DF1435"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17</w:t>
                  </w:r>
                </w:p>
              </w:tc>
              <w:tc>
                <w:tcPr>
                  <w:tcW w:w="521" w:type="dxa"/>
                </w:tcPr>
                <w:p w14:paraId="75E13269" w14:textId="723FF930"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7835B6F7" w14:textId="242FFEBB" w:rsidR="00862B47" w:rsidRPr="00862B47" w:rsidRDefault="00862B47"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6</w:t>
                  </w:r>
                </w:p>
              </w:tc>
              <w:tc>
                <w:tcPr>
                  <w:tcW w:w="759" w:type="dxa"/>
                  <w:vAlign w:val="center"/>
                </w:tcPr>
                <w:p w14:paraId="65938BC1" w14:textId="2335FCEA" w:rsidR="005F69BD" w:rsidRDefault="00E901B5" w:rsidP="00891F79">
                  <w:pPr>
                    <w:keepLines/>
                    <w:widowControl w:val="0"/>
                    <w:jc w:val="left"/>
                    <w:rPr>
                      <w:rFonts w:ascii="Arial Narrow" w:hAnsi="Arial Narrow" w:cstheme="minorHAnsi"/>
                      <w:sz w:val="18"/>
                      <w:szCs w:val="18"/>
                    </w:rPr>
                  </w:pPr>
                  <w:r w:rsidRPr="00E901B5">
                    <w:rPr>
                      <w:rFonts w:ascii="Arial Narrow" w:hAnsi="Arial Narrow" w:cstheme="minorHAnsi"/>
                      <w:sz w:val="18"/>
                      <w:szCs w:val="18"/>
                      <w:highlight w:val="black"/>
                    </w:rPr>
                    <w:t>&amp;&amp;&amp;&amp;</w:t>
                  </w:r>
                </w:p>
                <w:p w14:paraId="3FB90B3B" w14:textId="0507BD03" w:rsidR="00DF1435" w:rsidRPr="00DF1435" w:rsidRDefault="00DF1435" w:rsidP="00891F79">
                  <w:pPr>
                    <w:keepLines/>
                    <w:widowControl w:val="0"/>
                    <w:jc w:val="left"/>
                    <w:rPr>
                      <w:rFonts w:ascii="Arial Narrow" w:hAnsi="Arial Narrow"/>
                      <w:sz w:val="18"/>
                      <w:szCs w:val="18"/>
                      <w:vertAlign w:val="superscript"/>
                    </w:rPr>
                  </w:pPr>
                  <w:r>
                    <w:rPr>
                      <w:rFonts w:ascii="Arial Narrow" w:hAnsi="Arial Narrow" w:cstheme="minorHAnsi"/>
                      <w:sz w:val="18"/>
                      <w:szCs w:val="18"/>
                      <w:vertAlign w:val="superscript"/>
                    </w:rPr>
                    <w:t>17</w:t>
                  </w:r>
                </w:p>
              </w:tc>
            </w:tr>
            <w:tr w:rsidR="005F69BD" w:rsidRPr="00EB1825" w14:paraId="68214303" w14:textId="77777777" w:rsidTr="00891F79">
              <w:tc>
                <w:tcPr>
                  <w:tcW w:w="1629" w:type="dxa"/>
                  <w:gridSpan w:val="3"/>
                </w:tcPr>
                <w:p w14:paraId="03374FA9" w14:textId="77777777" w:rsidR="005F69BD" w:rsidRPr="00EB1825" w:rsidRDefault="005F69BD" w:rsidP="00891F79">
                  <w:pPr>
                    <w:keepLines/>
                    <w:widowControl w:val="0"/>
                    <w:jc w:val="left"/>
                    <w:rPr>
                      <w:rFonts w:ascii="Arial Narrow" w:hAnsi="Arial Narrow"/>
                      <w:sz w:val="18"/>
                      <w:szCs w:val="18"/>
                    </w:rPr>
                  </w:pPr>
                  <w:r w:rsidRPr="00EB1825">
                    <w:rPr>
                      <w:rFonts w:ascii="Arial Narrow" w:hAnsi="Arial Narrow"/>
                      <w:sz w:val="18"/>
                      <w:szCs w:val="18"/>
                    </w:rPr>
                    <w:t>Total (</w:t>
                  </w:r>
                  <w:r w:rsidRPr="00EB1825">
                    <w:rPr>
                      <w:rFonts w:ascii="Arial Narrow" w:hAnsi="Arial Narrow"/>
                      <w:b/>
                      <w:bCs/>
                      <w:sz w:val="18"/>
                      <w:szCs w:val="18"/>
                    </w:rPr>
                    <w:t>6Years</w:t>
                  </w:r>
                  <w:r w:rsidRPr="00EB1825">
                    <w:rPr>
                      <w:rFonts w:ascii="Arial Narrow" w:hAnsi="Arial Narrow"/>
                      <w:sz w:val="18"/>
                      <w:szCs w:val="18"/>
                    </w:rPr>
                    <w:t>)</w:t>
                  </w:r>
                </w:p>
              </w:tc>
              <w:tc>
                <w:tcPr>
                  <w:tcW w:w="759" w:type="dxa"/>
                  <w:vAlign w:val="center"/>
                </w:tcPr>
                <w:p w14:paraId="28A83B78" w14:textId="5268F700" w:rsidR="0063263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7BF7AFD4" w14:textId="24FA1299" w:rsidR="005F69BD" w:rsidRPr="0063263D" w:rsidRDefault="0063263D"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18</w:t>
                  </w:r>
                </w:p>
              </w:tc>
            </w:tr>
          </w:tbl>
          <w:p w14:paraId="5F14C9B1" w14:textId="77777777" w:rsidR="005F69BD" w:rsidRPr="00EB1825" w:rsidRDefault="005F69BD" w:rsidP="00891F79">
            <w:pPr>
              <w:pStyle w:val="TableText0"/>
              <w:keepNext w:val="0"/>
            </w:pPr>
          </w:p>
        </w:tc>
        <w:tc>
          <w:tcPr>
            <w:tcW w:w="1336" w:type="pct"/>
            <w:tcBorders>
              <w:top w:val="single" w:sz="4" w:space="0" w:color="auto"/>
              <w:left w:val="single" w:sz="4" w:space="0" w:color="auto"/>
              <w:bottom w:val="single" w:sz="4" w:space="0" w:color="auto"/>
              <w:right w:val="single" w:sz="4" w:space="0" w:color="auto"/>
            </w:tcBorders>
          </w:tcPr>
          <w:tbl>
            <w:tblPr>
              <w:tblStyle w:val="TableGrid"/>
              <w:tblW w:w="0" w:type="auto"/>
              <w:tblCellMar>
                <w:left w:w="28" w:type="dxa"/>
                <w:right w:w="28" w:type="dxa"/>
              </w:tblCellMar>
              <w:tblLook w:val="04A0" w:firstRow="1" w:lastRow="0" w:firstColumn="1" w:lastColumn="0" w:noHBand="0" w:noVBand="1"/>
            </w:tblPr>
            <w:tblGrid>
              <w:gridCol w:w="389"/>
              <w:gridCol w:w="590"/>
              <w:gridCol w:w="474"/>
              <w:gridCol w:w="730"/>
            </w:tblGrid>
            <w:tr w:rsidR="005F69BD" w:rsidRPr="00EB1825" w14:paraId="6EF2392F" w14:textId="77777777" w:rsidTr="001C6495">
              <w:tc>
                <w:tcPr>
                  <w:tcW w:w="389" w:type="dxa"/>
                </w:tcPr>
                <w:p w14:paraId="3B8A71F4"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Year</w:t>
                  </w:r>
                </w:p>
              </w:tc>
              <w:tc>
                <w:tcPr>
                  <w:tcW w:w="590" w:type="dxa"/>
                </w:tcPr>
                <w:p w14:paraId="494271A3"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PBS</w:t>
                  </w:r>
                </w:p>
              </w:tc>
              <w:tc>
                <w:tcPr>
                  <w:tcW w:w="474" w:type="dxa"/>
                </w:tcPr>
                <w:p w14:paraId="150E4572"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RPBS</w:t>
                  </w:r>
                </w:p>
              </w:tc>
              <w:tc>
                <w:tcPr>
                  <w:tcW w:w="730" w:type="dxa"/>
                </w:tcPr>
                <w:p w14:paraId="5F8AE7FA"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Total</w:t>
                  </w:r>
                </w:p>
              </w:tc>
            </w:tr>
            <w:tr w:rsidR="005F69BD" w:rsidRPr="00EB1825" w14:paraId="1B68FCD4" w14:textId="77777777" w:rsidTr="001C6495">
              <w:tc>
                <w:tcPr>
                  <w:tcW w:w="389" w:type="dxa"/>
                </w:tcPr>
                <w:p w14:paraId="5D88B855"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Y1</w:t>
                  </w:r>
                </w:p>
              </w:tc>
              <w:tc>
                <w:tcPr>
                  <w:tcW w:w="590" w:type="dxa"/>
                  <w:vAlign w:val="center"/>
                </w:tcPr>
                <w:p w14:paraId="575E3548" w14:textId="51A7DB3A"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6114833F" w14:textId="1BBE83A0" w:rsidR="004138B1" w:rsidRPr="004138B1" w:rsidRDefault="004138B1"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19</w:t>
                  </w:r>
                </w:p>
              </w:tc>
              <w:tc>
                <w:tcPr>
                  <w:tcW w:w="474" w:type="dxa"/>
                  <w:vAlign w:val="center"/>
                </w:tcPr>
                <w:p w14:paraId="5556A387" w14:textId="13E486B7" w:rsidR="003D0D2C" w:rsidRPr="003D0D2C"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6AFBF714" w14:textId="754AE596" w:rsidR="00705F02" w:rsidRPr="00705F02" w:rsidRDefault="00705F02" w:rsidP="00891F79">
                  <w:pPr>
                    <w:keepLines/>
                    <w:widowControl w:val="0"/>
                    <w:jc w:val="left"/>
                    <w:rPr>
                      <w:rFonts w:ascii="Arial Narrow" w:hAnsi="Arial Narrow"/>
                      <w:sz w:val="18"/>
                      <w:szCs w:val="18"/>
                      <w:highlight w:val="darkGray"/>
                      <w:vertAlign w:val="superscript"/>
                    </w:rPr>
                  </w:pPr>
                  <w:r w:rsidRPr="00705F02">
                    <w:rPr>
                      <w:rFonts w:ascii="Arial Narrow" w:hAnsi="Arial Narrow"/>
                      <w:sz w:val="18"/>
                      <w:szCs w:val="18"/>
                      <w:vertAlign w:val="superscript"/>
                    </w:rPr>
                    <w:t>20</w:t>
                  </w:r>
                </w:p>
              </w:tc>
              <w:tc>
                <w:tcPr>
                  <w:tcW w:w="730" w:type="dxa"/>
                  <w:vAlign w:val="center"/>
                </w:tcPr>
                <w:p w14:paraId="55CB4698" w14:textId="3DC275C7"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5F42A962" w14:textId="1E7E5ED9" w:rsidR="004138B1" w:rsidRPr="004138B1" w:rsidRDefault="004138B1"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19</w:t>
                  </w:r>
                </w:p>
              </w:tc>
            </w:tr>
            <w:tr w:rsidR="005F69BD" w:rsidRPr="00EB1825" w14:paraId="5B1BDDA7" w14:textId="77777777" w:rsidTr="001C6495">
              <w:tc>
                <w:tcPr>
                  <w:tcW w:w="389" w:type="dxa"/>
                </w:tcPr>
                <w:p w14:paraId="25B81DE5"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Y2</w:t>
                  </w:r>
                </w:p>
              </w:tc>
              <w:tc>
                <w:tcPr>
                  <w:tcW w:w="590" w:type="dxa"/>
                  <w:vAlign w:val="center"/>
                </w:tcPr>
                <w:p w14:paraId="656C8CA7" w14:textId="28C47C0B"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235F9B9B" w14:textId="69D2D5AD" w:rsidR="004138B1" w:rsidRPr="004138B1" w:rsidRDefault="004138B1"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19</w:t>
                  </w:r>
                </w:p>
              </w:tc>
              <w:tc>
                <w:tcPr>
                  <w:tcW w:w="474" w:type="dxa"/>
                  <w:vAlign w:val="center"/>
                </w:tcPr>
                <w:p w14:paraId="7D5AFC68" w14:textId="27709837" w:rsidR="00705F02"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25E152BE" w14:textId="34781218" w:rsidR="005F69BD" w:rsidRPr="00705F02" w:rsidRDefault="00705F02"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20</w:t>
                  </w:r>
                </w:p>
              </w:tc>
              <w:tc>
                <w:tcPr>
                  <w:tcW w:w="730" w:type="dxa"/>
                  <w:vAlign w:val="center"/>
                </w:tcPr>
                <w:p w14:paraId="0D41CB0C" w14:textId="1101D26F"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502FF6CC" w14:textId="183F5119" w:rsidR="004138B1" w:rsidRPr="004138B1" w:rsidRDefault="004138B1"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19</w:t>
                  </w:r>
                </w:p>
              </w:tc>
            </w:tr>
            <w:tr w:rsidR="005F69BD" w:rsidRPr="00EB1825" w14:paraId="759D1B5C" w14:textId="77777777" w:rsidTr="001C6495">
              <w:tc>
                <w:tcPr>
                  <w:tcW w:w="389" w:type="dxa"/>
                </w:tcPr>
                <w:p w14:paraId="57133EEF"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Y3</w:t>
                  </w:r>
                </w:p>
              </w:tc>
              <w:tc>
                <w:tcPr>
                  <w:tcW w:w="590" w:type="dxa"/>
                  <w:vAlign w:val="center"/>
                </w:tcPr>
                <w:p w14:paraId="68078109" w14:textId="2EE0D90B"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18624CEA" w14:textId="763AD9B8" w:rsidR="00BB1A30" w:rsidRPr="00BB1A30" w:rsidRDefault="00BB1A30"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21</w:t>
                  </w:r>
                </w:p>
              </w:tc>
              <w:tc>
                <w:tcPr>
                  <w:tcW w:w="474" w:type="dxa"/>
                  <w:vAlign w:val="center"/>
                </w:tcPr>
                <w:p w14:paraId="3620B70B" w14:textId="4B4CAFF3" w:rsidR="00942AE4"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0E2D6AAD" w14:textId="7B31874E" w:rsidR="005F69BD" w:rsidRPr="00942AE4" w:rsidRDefault="00942AE4"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13</w:t>
                  </w:r>
                </w:p>
              </w:tc>
              <w:tc>
                <w:tcPr>
                  <w:tcW w:w="730" w:type="dxa"/>
                  <w:vAlign w:val="center"/>
                </w:tcPr>
                <w:p w14:paraId="6F74798E" w14:textId="19EA7D67"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7F623520" w14:textId="4A25BBB0" w:rsidR="00BB1A30" w:rsidRPr="00BB1A30" w:rsidRDefault="00BB1A30"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21</w:t>
                  </w:r>
                </w:p>
              </w:tc>
            </w:tr>
            <w:tr w:rsidR="005F69BD" w:rsidRPr="00EB1825" w14:paraId="08B060B2" w14:textId="77777777" w:rsidTr="001C6495">
              <w:tc>
                <w:tcPr>
                  <w:tcW w:w="389" w:type="dxa"/>
                </w:tcPr>
                <w:p w14:paraId="272F99AD"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Y4</w:t>
                  </w:r>
                </w:p>
              </w:tc>
              <w:tc>
                <w:tcPr>
                  <w:tcW w:w="590" w:type="dxa"/>
                  <w:vAlign w:val="center"/>
                </w:tcPr>
                <w:p w14:paraId="6E0FCEB9" w14:textId="5E7663BB"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6827420F" w14:textId="3D20A890" w:rsidR="00E17FE9" w:rsidRPr="00E17FE9" w:rsidRDefault="00E17FE9"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15</w:t>
                  </w:r>
                </w:p>
              </w:tc>
              <w:tc>
                <w:tcPr>
                  <w:tcW w:w="474" w:type="dxa"/>
                  <w:vAlign w:val="center"/>
                </w:tcPr>
                <w:p w14:paraId="2CBAD055" w14:textId="78EBDE50"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451E2CD7" w14:textId="0DEDD839" w:rsidR="00942AE4" w:rsidRPr="00942AE4" w:rsidRDefault="00942AE4"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13</w:t>
                  </w:r>
                </w:p>
              </w:tc>
              <w:tc>
                <w:tcPr>
                  <w:tcW w:w="730" w:type="dxa"/>
                  <w:vAlign w:val="center"/>
                </w:tcPr>
                <w:p w14:paraId="6EAADCCC" w14:textId="603A6927"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31AB0375" w14:textId="1A48D5B6" w:rsidR="00F52230" w:rsidRPr="00F52230" w:rsidRDefault="00F52230"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15</w:t>
                  </w:r>
                </w:p>
              </w:tc>
            </w:tr>
            <w:tr w:rsidR="005F69BD" w:rsidRPr="00EB1825" w14:paraId="483FCF20" w14:textId="77777777" w:rsidTr="001C6495">
              <w:tc>
                <w:tcPr>
                  <w:tcW w:w="389" w:type="dxa"/>
                </w:tcPr>
                <w:p w14:paraId="717A4130"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Y5</w:t>
                  </w:r>
                </w:p>
              </w:tc>
              <w:tc>
                <w:tcPr>
                  <w:tcW w:w="590" w:type="dxa"/>
                  <w:vAlign w:val="center"/>
                </w:tcPr>
                <w:p w14:paraId="301260D9" w14:textId="3F4B6F5E"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7A23B4F0" w14:textId="27FCD538" w:rsidR="00E17FE9" w:rsidRPr="00E17FE9" w:rsidRDefault="00E17FE9"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15</w:t>
                  </w:r>
                </w:p>
              </w:tc>
              <w:tc>
                <w:tcPr>
                  <w:tcW w:w="474" w:type="dxa"/>
                  <w:vAlign w:val="center"/>
                </w:tcPr>
                <w:p w14:paraId="0608AFA7" w14:textId="2812D08A"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46E1479C" w14:textId="147ADCEA" w:rsidR="00942AE4" w:rsidRPr="00942AE4" w:rsidRDefault="00942AE4"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13</w:t>
                  </w:r>
                </w:p>
              </w:tc>
              <w:tc>
                <w:tcPr>
                  <w:tcW w:w="730" w:type="dxa"/>
                  <w:vAlign w:val="center"/>
                </w:tcPr>
                <w:p w14:paraId="52B2B4A9" w14:textId="79976A72"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4B84FF37" w14:textId="11B8B420" w:rsidR="00F52230" w:rsidRPr="00F52230" w:rsidRDefault="00F52230"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15</w:t>
                  </w:r>
                </w:p>
              </w:tc>
            </w:tr>
            <w:tr w:rsidR="005F69BD" w:rsidRPr="00EB1825" w14:paraId="7E8AF510" w14:textId="77777777" w:rsidTr="001C6495">
              <w:tc>
                <w:tcPr>
                  <w:tcW w:w="389" w:type="dxa"/>
                </w:tcPr>
                <w:p w14:paraId="52F9D8EA"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Y6</w:t>
                  </w:r>
                </w:p>
              </w:tc>
              <w:tc>
                <w:tcPr>
                  <w:tcW w:w="590" w:type="dxa"/>
                  <w:vAlign w:val="center"/>
                </w:tcPr>
                <w:p w14:paraId="05AD227B" w14:textId="43A4D686"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56035E20" w14:textId="328A5959" w:rsidR="003625AD" w:rsidRPr="003625AD" w:rsidRDefault="003625AD"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22</w:t>
                  </w:r>
                </w:p>
              </w:tc>
              <w:tc>
                <w:tcPr>
                  <w:tcW w:w="474" w:type="dxa"/>
                  <w:vAlign w:val="center"/>
                </w:tcPr>
                <w:p w14:paraId="2D3AB042" w14:textId="52C3D141"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5A3ED8A6" w14:textId="266A7CAD" w:rsidR="00942AE4" w:rsidRPr="00942AE4" w:rsidRDefault="00942AE4"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13</w:t>
                  </w:r>
                </w:p>
              </w:tc>
              <w:tc>
                <w:tcPr>
                  <w:tcW w:w="730" w:type="dxa"/>
                  <w:vAlign w:val="center"/>
                </w:tcPr>
                <w:p w14:paraId="7870A24A" w14:textId="49338307"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380A4F24" w14:textId="39E3250B" w:rsidR="003625AD" w:rsidRPr="003625AD" w:rsidRDefault="003625AD"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22</w:t>
                  </w:r>
                </w:p>
              </w:tc>
            </w:tr>
            <w:tr w:rsidR="005F69BD" w:rsidRPr="00EB1825" w14:paraId="4F19B5B5" w14:textId="77777777" w:rsidTr="001C6495">
              <w:tc>
                <w:tcPr>
                  <w:tcW w:w="1453" w:type="dxa"/>
                  <w:gridSpan w:val="3"/>
                </w:tcPr>
                <w:p w14:paraId="33E8509D" w14:textId="77777777" w:rsidR="005F69BD" w:rsidRPr="00EB1825" w:rsidRDefault="005F69BD" w:rsidP="00891F79">
                  <w:pPr>
                    <w:keepLines/>
                    <w:widowControl w:val="0"/>
                    <w:jc w:val="left"/>
                    <w:rPr>
                      <w:rFonts w:ascii="Arial Narrow" w:hAnsi="Arial Narrow"/>
                      <w:b/>
                      <w:bCs/>
                      <w:sz w:val="18"/>
                      <w:szCs w:val="18"/>
                    </w:rPr>
                  </w:pPr>
                  <w:r w:rsidRPr="00EB1825">
                    <w:rPr>
                      <w:rFonts w:ascii="Arial Narrow" w:hAnsi="Arial Narrow"/>
                      <w:b/>
                      <w:bCs/>
                      <w:sz w:val="18"/>
                      <w:szCs w:val="18"/>
                    </w:rPr>
                    <w:t>Total (6Years)</w:t>
                  </w:r>
                </w:p>
              </w:tc>
              <w:tc>
                <w:tcPr>
                  <w:tcW w:w="730" w:type="dxa"/>
                  <w:vAlign w:val="center"/>
                </w:tcPr>
                <w:p w14:paraId="68C2335C" w14:textId="3D89095E" w:rsidR="005F69BD" w:rsidRDefault="00E901B5" w:rsidP="00891F79">
                  <w:pPr>
                    <w:keepLines/>
                    <w:widowControl w:val="0"/>
                    <w:jc w:val="left"/>
                    <w:rPr>
                      <w:rFonts w:ascii="Arial Narrow" w:hAnsi="Arial Narrow"/>
                      <w:sz w:val="18"/>
                      <w:szCs w:val="18"/>
                    </w:rPr>
                  </w:pPr>
                  <w:r w:rsidRPr="00E901B5">
                    <w:rPr>
                      <w:rFonts w:ascii="Arial Narrow" w:hAnsi="Arial Narrow"/>
                      <w:sz w:val="18"/>
                      <w:szCs w:val="18"/>
                      <w:highlight w:val="black"/>
                    </w:rPr>
                    <w:t>&amp;&amp;&amp;&amp;</w:t>
                  </w:r>
                </w:p>
                <w:p w14:paraId="72695CCA" w14:textId="50C9581E" w:rsidR="008E7B33" w:rsidRPr="008E7B33" w:rsidRDefault="008E7B33" w:rsidP="00891F79">
                  <w:pPr>
                    <w:keepLines/>
                    <w:widowControl w:val="0"/>
                    <w:jc w:val="left"/>
                    <w:rPr>
                      <w:rFonts w:ascii="Arial Narrow" w:hAnsi="Arial Narrow"/>
                      <w:sz w:val="18"/>
                      <w:szCs w:val="18"/>
                      <w:vertAlign w:val="superscript"/>
                    </w:rPr>
                  </w:pPr>
                  <w:r>
                    <w:rPr>
                      <w:rFonts w:ascii="Arial Narrow" w:hAnsi="Arial Narrow"/>
                      <w:sz w:val="18"/>
                      <w:szCs w:val="18"/>
                      <w:vertAlign w:val="superscript"/>
                    </w:rPr>
                    <w:t>23</w:t>
                  </w:r>
                </w:p>
              </w:tc>
            </w:tr>
            <w:tr w:rsidR="001C6495" w:rsidRPr="00EB1825" w14:paraId="5B8ADA7A" w14:textId="77777777" w:rsidTr="001C6495">
              <w:tc>
                <w:tcPr>
                  <w:tcW w:w="1453" w:type="dxa"/>
                  <w:gridSpan w:val="3"/>
                </w:tcPr>
                <w:p w14:paraId="095A5556" w14:textId="77777777" w:rsidR="001C6495" w:rsidRDefault="001C6495" w:rsidP="00891F79">
                  <w:pPr>
                    <w:keepLines/>
                    <w:widowControl w:val="0"/>
                    <w:jc w:val="left"/>
                    <w:rPr>
                      <w:rFonts w:ascii="Arial Narrow" w:hAnsi="Arial Narrow"/>
                      <w:b/>
                      <w:bCs/>
                      <w:sz w:val="18"/>
                      <w:szCs w:val="18"/>
                    </w:rPr>
                  </w:pPr>
                </w:p>
                <w:p w14:paraId="32F3DD8A" w14:textId="121DECFA" w:rsidR="001C6495" w:rsidRPr="001C6495" w:rsidRDefault="001C6495" w:rsidP="00891F79">
                  <w:pPr>
                    <w:keepLines/>
                    <w:widowControl w:val="0"/>
                    <w:jc w:val="left"/>
                    <w:rPr>
                      <w:rFonts w:ascii="Arial Narrow" w:hAnsi="Arial Narrow"/>
                      <w:sz w:val="18"/>
                      <w:szCs w:val="18"/>
                    </w:rPr>
                  </w:pPr>
                  <w:r w:rsidRPr="001C6495">
                    <w:rPr>
                      <w:rFonts w:ascii="Arial Narrow" w:hAnsi="Arial Narrow"/>
                      <w:sz w:val="18"/>
                      <w:szCs w:val="18"/>
                    </w:rPr>
                    <w:t xml:space="preserve">Updated in pre-PBAC response (see </w:t>
                  </w:r>
                  <w:r w:rsidRPr="001C6495">
                    <w:rPr>
                      <w:rFonts w:ascii="Arial Narrow" w:hAnsi="Arial Narrow"/>
                      <w:sz w:val="18"/>
                      <w:szCs w:val="18"/>
                    </w:rPr>
                    <w:fldChar w:fldCharType="begin"/>
                  </w:r>
                  <w:r w:rsidRPr="001C6495">
                    <w:rPr>
                      <w:rFonts w:ascii="Arial Narrow" w:hAnsi="Arial Narrow"/>
                      <w:sz w:val="18"/>
                      <w:szCs w:val="18"/>
                    </w:rPr>
                    <w:instrText xml:space="preserve"> REF _Ref204857237 \h  \* MERGEFORMAT </w:instrText>
                  </w:r>
                  <w:r w:rsidRPr="001C6495">
                    <w:rPr>
                      <w:rFonts w:ascii="Arial Narrow" w:hAnsi="Arial Narrow"/>
                      <w:sz w:val="18"/>
                      <w:szCs w:val="18"/>
                    </w:rPr>
                  </w:r>
                  <w:r w:rsidRPr="001C6495">
                    <w:rPr>
                      <w:rFonts w:ascii="Arial Narrow" w:hAnsi="Arial Narrow"/>
                      <w:sz w:val="18"/>
                      <w:szCs w:val="18"/>
                    </w:rPr>
                    <w:fldChar w:fldCharType="separate"/>
                  </w:r>
                  <w:r w:rsidR="00946DF5" w:rsidRPr="00946DF5">
                    <w:rPr>
                      <w:rFonts w:ascii="Arial Narrow" w:hAnsi="Arial Narrow"/>
                      <w:sz w:val="18"/>
                      <w:szCs w:val="18"/>
                    </w:rPr>
                    <w:t>Table 20</w:t>
                  </w:r>
                  <w:r w:rsidRPr="001C6495">
                    <w:rPr>
                      <w:rFonts w:ascii="Arial Narrow" w:hAnsi="Arial Narrow"/>
                      <w:sz w:val="18"/>
                      <w:szCs w:val="18"/>
                    </w:rPr>
                    <w:fldChar w:fldCharType="end"/>
                  </w:r>
                  <w:r w:rsidRPr="001C6495">
                    <w:rPr>
                      <w:rFonts w:ascii="Arial Narrow" w:hAnsi="Arial Narrow"/>
                      <w:sz w:val="18"/>
                      <w:szCs w:val="18"/>
                    </w:rPr>
                    <w:t>)</w:t>
                  </w:r>
                </w:p>
              </w:tc>
              <w:tc>
                <w:tcPr>
                  <w:tcW w:w="730" w:type="dxa"/>
                  <w:vAlign w:val="center"/>
                </w:tcPr>
                <w:p w14:paraId="5086B998" w14:textId="77777777" w:rsidR="001C6495" w:rsidRPr="001C6495" w:rsidRDefault="001C6495" w:rsidP="00891F79">
                  <w:pPr>
                    <w:keepLines/>
                    <w:widowControl w:val="0"/>
                    <w:jc w:val="left"/>
                    <w:rPr>
                      <w:rFonts w:ascii="Arial Narrow" w:hAnsi="Arial Narrow"/>
                      <w:b/>
                      <w:bCs/>
                      <w:sz w:val="18"/>
                      <w:szCs w:val="18"/>
                    </w:rPr>
                  </w:pPr>
                </w:p>
              </w:tc>
            </w:tr>
          </w:tbl>
          <w:p w14:paraId="285CB234" w14:textId="77777777" w:rsidR="005F69BD" w:rsidRPr="00EB1825" w:rsidRDefault="005F69BD" w:rsidP="00891F79">
            <w:pPr>
              <w:pStyle w:val="TableText0"/>
              <w:keepNext w:val="0"/>
              <w:rPr>
                <w:rFonts w:eastAsia="Times New Roman" w:cs="Arial"/>
                <w:b/>
                <w:sz w:val="18"/>
                <w:szCs w:val="18"/>
              </w:rPr>
            </w:pPr>
          </w:p>
        </w:tc>
        <w:tc>
          <w:tcPr>
            <w:tcW w:w="1544" w:type="pct"/>
            <w:tcBorders>
              <w:top w:val="single" w:sz="4" w:space="0" w:color="auto"/>
              <w:left w:val="single" w:sz="4" w:space="0" w:color="auto"/>
              <w:bottom w:val="single" w:sz="4" w:space="0" w:color="auto"/>
              <w:right w:val="single" w:sz="4" w:space="0" w:color="auto"/>
            </w:tcBorders>
          </w:tcPr>
          <w:p w14:paraId="072D3961" w14:textId="124A2619" w:rsidR="005F69BD" w:rsidRPr="00EB1825" w:rsidRDefault="005F69BD" w:rsidP="00891F79">
            <w:pPr>
              <w:pStyle w:val="TableText0"/>
              <w:keepNext w:val="0"/>
            </w:pPr>
            <w:r w:rsidRPr="00EB1825">
              <w:t>The resubmission estimated treatment durations as 0.73 years (or 265.29 days</w:t>
            </w:r>
            <w:r w:rsidR="00E2638E" w:rsidRPr="00EB1825">
              <w:t>, accounting for discontinuation</w:t>
            </w:r>
            <w:r w:rsidR="005D014F" w:rsidRPr="00EB1825">
              <w:t>s</w:t>
            </w:r>
            <w:r w:rsidRPr="00EB1825">
              <w:t>) for initiating patients (excluding GF and accounting for discontinuation) and 0.5 years for GF patients. Total patient-years were then multiplied by 9.48 prescriptions per patient to reflect compliance.</w:t>
            </w:r>
            <w:r w:rsidR="00950467" w:rsidRPr="00EB1825">
              <w:t xml:space="preserve"> </w:t>
            </w:r>
          </w:p>
        </w:tc>
      </w:tr>
      <w:tr w:rsidR="005F69BD" w:rsidRPr="00EB1825" w14:paraId="5BBD9376" w14:textId="77777777" w:rsidTr="00891F79">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14:paraId="0BA889DD" w14:textId="77777777" w:rsidR="005F69BD" w:rsidRPr="00EB1825" w:rsidRDefault="005F69BD" w:rsidP="00F40521">
            <w:pPr>
              <w:pStyle w:val="TableText0"/>
              <w:rPr>
                <w:b/>
              </w:rPr>
            </w:pPr>
            <w:r w:rsidRPr="00EB1825">
              <w:rPr>
                <w:b/>
              </w:rPr>
              <w:t>Costs</w:t>
            </w:r>
          </w:p>
        </w:tc>
      </w:tr>
      <w:tr w:rsidR="005F69BD" w:rsidRPr="00EB1825" w14:paraId="108E3BA7"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hideMark/>
          </w:tcPr>
          <w:p w14:paraId="12CF0E35" w14:textId="77777777" w:rsidR="005F69BD" w:rsidRPr="00EB1825" w:rsidRDefault="005F69BD" w:rsidP="00891F79">
            <w:pPr>
              <w:pStyle w:val="TableText0"/>
              <w:keepNext w:val="0"/>
            </w:pPr>
            <w:proofErr w:type="spellStart"/>
            <w:r w:rsidRPr="00EB1825">
              <w:t>Fezolinetant</w:t>
            </w:r>
            <w:proofErr w:type="spellEnd"/>
            <w:r w:rsidRPr="00EB1825">
              <w:t xml:space="preserve"> 45 mg</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C60AFCB" w14:textId="2149D514" w:rsidR="005F69BD" w:rsidRPr="00EB1825" w:rsidRDefault="005F69BD" w:rsidP="00891F79">
            <w:pPr>
              <w:pStyle w:val="TableText0"/>
              <w:keepNext w:val="0"/>
            </w:pPr>
            <w:r w:rsidRPr="00EB1825">
              <w:t>Proposed AEMP=$</w:t>
            </w:r>
            <w:r w:rsidR="00E901B5" w:rsidRPr="00E901B5">
              <w:rPr>
                <w:highlight w:val="black"/>
              </w:rPr>
              <w:t>&amp;&amp;&amp;&amp;</w:t>
            </w:r>
            <w:r w:rsidRPr="00EB1825">
              <w:t>, Proposed DPMQ=</w:t>
            </w:r>
            <w:r w:rsidRPr="00EB1825">
              <w:rPr>
                <w:rFonts w:eastAsia="Times New Roman" w:cs="Times New Roman"/>
                <w:bCs w:val="0"/>
                <w:lang w:eastAsia="en-GB"/>
              </w:rPr>
              <w:t>$</w:t>
            </w:r>
            <w:r w:rsidR="00E901B5" w:rsidRPr="00E901B5">
              <w:rPr>
                <w:rFonts w:eastAsia="Times New Roman" w:cs="Times New Roman"/>
                <w:bCs w:val="0"/>
                <w:highlight w:val="black"/>
                <w:lang w:eastAsia="en-GB"/>
              </w:rPr>
              <w:t>&amp;&amp;&amp;&amp;</w:t>
            </w:r>
            <w:r w:rsidRPr="00EB1825">
              <w:rPr>
                <w:rFonts w:eastAsia="Times New Roman" w:cs="Times New Roman"/>
                <w:bCs w:val="0"/>
                <w:lang w:eastAsia="en-GB"/>
              </w:rPr>
              <w:t xml:space="preserve"> per </w:t>
            </w:r>
            <w:r w:rsidRPr="00EB1825">
              <w:rPr>
                <w:rFonts w:cs="Times New Roman"/>
                <w:lang w:eastAsia="en-GB"/>
              </w:rPr>
              <w:t>30-day supply</w:t>
            </w:r>
          </w:p>
        </w:tc>
        <w:tc>
          <w:tcPr>
            <w:tcW w:w="1336" w:type="pct"/>
            <w:tcBorders>
              <w:top w:val="single" w:sz="4" w:space="0" w:color="auto"/>
              <w:left w:val="single" w:sz="4" w:space="0" w:color="auto"/>
              <w:bottom w:val="single" w:sz="4" w:space="0" w:color="auto"/>
              <w:right w:val="single" w:sz="4" w:space="0" w:color="auto"/>
            </w:tcBorders>
          </w:tcPr>
          <w:p w14:paraId="09F3B96F" w14:textId="54E454DB" w:rsidR="005F69BD" w:rsidRDefault="005F69BD" w:rsidP="00891F79">
            <w:pPr>
              <w:pStyle w:val="TableText0"/>
              <w:keepNext w:val="0"/>
              <w:rPr>
                <w:rFonts w:cs="Times New Roman"/>
                <w:lang w:eastAsia="en-GB"/>
              </w:rPr>
            </w:pPr>
            <w:r w:rsidRPr="00EB1825">
              <w:t>Proposed effective AEMP=$</w:t>
            </w:r>
            <w:r w:rsidR="00E901B5" w:rsidRPr="00E901B5">
              <w:rPr>
                <w:highlight w:val="black"/>
              </w:rPr>
              <w:t>&amp;&amp;&amp;&amp;</w:t>
            </w:r>
            <w:r w:rsidRPr="00EB1825">
              <w:t>, Proposed effective DPMQ=</w:t>
            </w:r>
            <w:r w:rsidRPr="00EB1825">
              <w:rPr>
                <w:rFonts w:eastAsia="Times New Roman" w:cs="Times New Roman"/>
                <w:bCs w:val="0"/>
                <w:lang w:eastAsia="en-GB"/>
              </w:rPr>
              <w:t>$</w:t>
            </w:r>
            <w:r w:rsidR="00E901B5" w:rsidRPr="00E901B5">
              <w:rPr>
                <w:rFonts w:eastAsia="Times New Roman" w:cs="Times New Roman"/>
                <w:bCs w:val="0"/>
                <w:highlight w:val="black"/>
                <w:lang w:eastAsia="en-GB"/>
              </w:rPr>
              <w:t>&amp;&amp;&amp;&amp;</w:t>
            </w:r>
            <w:r w:rsidRPr="00EB1825">
              <w:rPr>
                <w:rFonts w:eastAsia="Times New Roman" w:cs="Times New Roman"/>
                <w:bCs w:val="0"/>
                <w:lang w:eastAsia="en-GB"/>
              </w:rPr>
              <w:t xml:space="preserve"> per </w:t>
            </w:r>
            <w:r w:rsidRPr="00EB1825">
              <w:rPr>
                <w:rFonts w:cs="Times New Roman"/>
                <w:lang w:eastAsia="en-GB"/>
              </w:rPr>
              <w:t>30-day supply</w:t>
            </w:r>
          </w:p>
          <w:p w14:paraId="1814B89E" w14:textId="77777777" w:rsidR="00922EAA" w:rsidRDefault="00922EAA" w:rsidP="00891F79">
            <w:pPr>
              <w:pStyle w:val="TableText0"/>
              <w:keepNext w:val="0"/>
              <w:rPr>
                <w:lang w:eastAsia="en-GB"/>
              </w:rPr>
            </w:pPr>
          </w:p>
          <w:p w14:paraId="1444BC7D" w14:textId="270628BE" w:rsidR="00922EAA" w:rsidRPr="00EB1825" w:rsidRDefault="00922EAA" w:rsidP="00891F79">
            <w:pPr>
              <w:pStyle w:val="TableText0"/>
              <w:keepNext w:val="0"/>
            </w:pPr>
            <w:r>
              <w:rPr>
                <w:lang w:eastAsia="en-GB"/>
              </w:rPr>
              <w:t xml:space="preserve">DPMQ updated in pre-PBAC response to </w:t>
            </w:r>
            <w:r w:rsidR="00E901B5" w:rsidRPr="00E901B5">
              <w:rPr>
                <w:highlight w:val="black"/>
                <w:lang w:eastAsia="en-GB"/>
              </w:rPr>
              <w:t>&amp;&amp;&amp;&amp;</w:t>
            </w:r>
            <w:r>
              <w:rPr>
                <w:lang w:eastAsia="en-GB"/>
              </w:rPr>
              <w:t xml:space="preserve"> per 30-day supply</w:t>
            </w:r>
          </w:p>
        </w:tc>
        <w:tc>
          <w:tcPr>
            <w:tcW w:w="1544" w:type="pct"/>
            <w:tcBorders>
              <w:top w:val="single" w:sz="4" w:space="0" w:color="auto"/>
              <w:left w:val="single" w:sz="4" w:space="0" w:color="auto"/>
              <w:bottom w:val="single" w:sz="4" w:space="0" w:color="auto"/>
              <w:right w:val="single" w:sz="4" w:space="0" w:color="auto"/>
            </w:tcBorders>
          </w:tcPr>
          <w:p w14:paraId="2BFFD4AA" w14:textId="1D731EBE" w:rsidR="005F69BD" w:rsidRPr="00EB1825" w:rsidRDefault="00E901B5" w:rsidP="00891F79">
            <w:pPr>
              <w:pStyle w:val="TableText0"/>
              <w:keepNext w:val="0"/>
            </w:pPr>
            <w:r w:rsidRPr="00E901B5">
              <w:rPr>
                <w:highlight w:val="black"/>
              </w:rPr>
              <w:t>&amp;&amp;&amp;&amp;</w:t>
            </w:r>
            <w:r w:rsidR="005F69BD" w:rsidRPr="00EB1825">
              <w:t>% reduction in the proposed effective price, through SPA.</w:t>
            </w:r>
          </w:p>
        </w:tc>
      </w:tr>
      <w:tr w:rsidR="005F69BD" w:rsidRPr="00EB1825" w14:paraId="1F75EDB3"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hideMark/>
          </w:tcPr>
          <w:p w14:paraId="3B932A7E" w14:textId="77777777" w:rsidR="005F69BD" w:rsidRPr="00EB1825" w:rsidRDefault="005F69BD" w:rsidP="00891F79">
            <w:pPr>
              <w:pStyle w:val="TableText0"/>
              <w:keepNext w:val="0"/>
            </w:pPr>
            <w:r w:rsidRPr="00EB1825">
              <w:t>PBS/RPBS split</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D1FFCA" w14:textId="77777777" w:rsidR="005F69BD" w:rsidRPr="00EB1825" w:rsidRDefault="005F69BD" w:rsidP="00891F79">
            <w:pPr>
              <w:keepLines/>
              <w:widowControl w:val="0"/>
              <w:jc w:val="left"/>
              <w:rPr>
                <w:rFonts w:ascii="Arial Narrow" w:hAnsi="Arial Narrow" w:cs="Times New Roman"/>
                <w:sz w:val="20"/>
                <w:lang w:eastAsia="en-GB"/>
              </w:rPr>
            </w:pPr>
            <w:r w:rsidRPr="00EB1825">
              <w:rPr>
                <w:rFonts w:ascii="Arial Narrow" w:hAnsi="Arial Narrow" w:cs="Times New Roman"/>
                <w:sz w:val="20"/>
                <w:lang w:eastAsia="en-GB"/>
              </w:rPr>
              <w:t>PBS: 98.95%, RPBS: 1.05%</w:t>
            </w:r>
          </w:p>
        </w:tc>
        <w:tc>
          <w:tcPr>
            <w:tcW w:w="1336" w:type="pct"/>
            <w:tcBorders>
              <w:top w:val="single" w:sz="4" w:space="0" w:color="auto"/>
              <w:left w:val="single" w:sz="4" w:space="0" w:color="auto"/>
              <w:bottom w:val="single" w:sz="4" w:space="0" w:color="auto"/>
              <w:right w:val="single" w:sz="4" w:space="0" w:color="auto"/>
            </w:tcBorders>
          </w:tcPr>
          <w:p w14:paraId="6E4E9DF4" w14:textId="77777777" w:rsidR="005F69BD" w:rsidRPr="00EB1825" w:rsidRDefault="005F69BD" w:rsidP="00891F79">
            <w:pPr>
              <w:pStyle w:val="TableText0"/>
              <w:keepNext w:val="0"/>
            </w:pPr>
            <w:r w:rsidRPr="00EB1825">
              <w:rPr>
                <w:rFonts w:cs="Times New Roman"/>
                <w:lang w:eastAsia="en-GB"/>
              </w:rPr>
              <w:t>PBS: 99.05%, RPBS: 0.95%</w:t>
            </w:r>
          </w:p>
        </w:tc>
        <w:tc>
          <w:tcPr>
            <w:tcW w:w="1544" w:type="pct"/>
            <w:vMerge w:val="restart"/>
            <w:tcBorders>
              <w:top w:val="single" w:sz="4" w:space="0" w:color="auto"/>
              <w:left w:val="single" w:sz="4" w:space="0" w:color="auto"/>
              <w:bottom w:val="single" w:sz="4" w:space="0" w:color="auto"/>
              <w:right w:val="single" w:sz="4" w:space="0" w:color="auto"/>
            </w:tcBorders>
          </w:tcPr>
          <w:p w14:paraId="590E94F9" w14:textId="637585DB" w:rsidR="005F69BD" w:rsidRPr="00EB1825" w:rsidRDefault="005F69BD" w:rsidP="00891F79">
            <w:pPr>
              <w:jc w:val="left"/>
              <w:rPr>
                <w:rFonts w:ascii="Arial Narrow" w:eastAsiaTheme="majorEastAsia" w:hAnsi="Arial Narrow" w:cstheme="majorBidi"/>
                <w:bCs/>
                <w:sz w:val="20"/>
              </w:rPr>
            </w:pPr>
            <w:r w:rsidRPr="00EB1825">
              <w:rPr>
                <w:rFonts w:ascii="Arial Narrow" w:eastAsiaTheme="majorEastAsia" w:hAnsi="Arial Narrow" w:cstheme="majorBidi"/>
                <w:bCs/>
                <w:sz w:val="20"/>
              </w:rPr>
              <w:t>Values were updated based on PBS data for MHT prescriptions from May 2024 to April 2025.</w:t>
            </w:r>
            <w:r w:rsidR="0026493A" w:rsidRPr="00EB1825">
              <w:rPr>
                <w:rFonts w:ascii="Arial Narrow" w:eastAsiaTheme="majorEastAsia" w:hAnsi="Arial Narrow" w:cstheme="majorBidi"/>
                <w:bCs/>
                <w:sz w:val="20"/>
              </w:rPr>
              <w:t xml:space="preserve"> </w:t>
            </w:r>
            <w:r w:rsidR="00EB3FB8" w:rsidRPr="00EB1825">
              <w:rPr>
                <w:rFonts w:ascii="Arial Narrow" w:eastAsiaTheme="majorEastAsia" w:hAnsi="Arial Narrow" w:cstheme="majorBidi"/>
                <w:bCs/>
                <w:sz w:val="20"/>
              </w:rPr>
              <w:t>This may be uncertain, as the s</w:t>
            </w:r>
            <w:r w:rsidR="0026493A" w:rsidRPr="00EB1825">
              <w:rPr>
                <w:rFonts w:ascii="Arial Narrow" w:eastAsiaTheme="majorEastAsia" w:hAnsi="Arial Narrow" w:cstheme="majorBidi"/>
                <w:bCs/>
                <w:sz w:val="20"/>
              </w:rPr>
              <w:t>ervice volumes should reflect the last full calendar year</w:t>
            </w:r>
            <w:r w:rsidR="00EB3FB8" w:rsidRPr="00EB1825">
              <w:rPr>
                <w:rFonts w:ascii="Arial Narrow" w:eastAsiaTheme="majorEastAsia" w:hAnsi="Arial Narrow" w:cstheme="majorBidi"/>
                <w:bCs/>
                <w:sz w:val="20"/>
              </w:rPr>
              <w:t>.</w:t>
            </w:r>
          </w:p>
        </w:tc>
      </w:tr>
      <w:tr w:rsidR="005F69BD" w:rsidRPr="00EB1825" w14:paraId="18FF4A31"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hideMark/>
          </w:tcPr>
          <w:p w14:paraId="0A2CAC52" w14:textId="77777777" w:rsidR="005F69BD" w:rsidRPr="00EB1825" w:rsidRDefault="005F69BD" w:rsidP="00891F79">
            <w:pPr>
              <w:pStyle w:val="TableText0"/>
              <w:keepNext w:val="0"/>
            </w:pPr>
            <w:r w:rsidRPr="00EB1825">
              <w:t>Co-payment</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EDB736B" w14:textId="77777777" w:rsidR="005F69BD" w:rsidRPr="00EB1825" w:rsidRDefault="005F69BD" w:rsidP="00891F79">
            <w:pPr>
              <w:pStyle w:val="TableText0"/>
              <w:keepNext w:val="0"/>
              <w:widowControl w:val="0"/>
              <w:rPr>
                <w:rFonts w:eastAsia="Times New Roman" w:cs="Times New Roman"/>
                <w:bCs w:val="0"/>
                <w:lang w:eastAsia="en-GB"/>
              </w:rPr>
            </w:pPr>
            <w:r w:rsidRPr="00EB1825">
              <w:rPr>
                <w:rFonts w:eastAsia="Times New Roman" w:cs="Times New Roman"/>
                <w:bCs w:val="0"/>
                <w:lang w:eastAsia="en-GB"/>
              </w:rPr>
              <w:t>PBS: $7.08, RPBS: $5.33</w:t>
            </w:r>
          </w:p>
        </w:tc>
        <w:tc>
          <w:tcPr>
            <w:tcW w:w="1336" w:type="pct"/>
            <w:tcBorders>
              <w:top w:val="single" w:sz="4" w:space="0" w:color="auto"/>
              <w:left w:val="single" w:sz="4" w:space="0" w:color="auto"/>
              <w:bottom w:val="single" w:sz="4" w:space="0" w:color="auto"/>
              <w:right w:val="single" w:sz="4" w:space="0" w:color="auto"/>
            </w:tcBorders>
          </w:tcPr>
          <w:p w14:paraId="73E7C176" w14:textId="77777777" w:rsidR="005F69BD" w:rsidRPr="00EB1825" w:rsidRDefault="005F69BD" w:rsidP="00891F79">
            <w:pPr>
              <w:pStyle w:val="TableText0"/>
              <w:keepNext w:val="0"/>
            </w:pPr>
            <w:r w:rsidRPr="00EB1825">
              <w:rPr>
                <w:rFonts w:eastAsia="Times New Roman" w:cs="Times New Roman"/>
                <w:bCs w:val="0"/>
                <w:lang w:eastAsia="en-GB"/>
              </w:rPr>
              <w:t>PBS: $11.89, RPBS: $5.68</w:t>
            </w:r>
          </w:p>
        </w:tc>
        <w:tc>
          <w:tcPr>
            <w:tcW w:w="1544" w:type="pct"/>
            <w:vMerge/>
            <w:tcBorders>
              <w:top w:val="single" w:sz="4" w:space="0" w:color="auto"/>
              <w:left w:val="single" w:sz="4" w:space="0" w:color="auto"/>
              <w:bottom w:val="single" w:sz="4" w:space="0" w:color="auto"/>
              <w:right w:val="single" w:sz="4" w:space="0" w:color="auto"/>
            </w:tcBorders>
          </w:tcPr>
          <w:p w14:paraId="1CF5B3CC" w14:textId="77777777" w:rsidR="005F69BD" w:rsidRPr="00EB1825" w:rsidRDefault="005F69BD" w:rsidP="00891F79">
            <w:pPr>
              <w:jc w:val="left"/>
              <w:rPr>
                <w:rFonts w:ascii="Arial Narrow" w:eastAsiaTheme="majorEastAsia" w:hAnsi="Arial Narrow" w:cstheme="majorBidi"/>
                <w:bCs/>
                <w:sz w:val="20"/>
              </w:rPr>
            </w:pPr>
          </w:p>
        </w:tc>
      </w:tr>
      <w:tr w:rsidR="005F69BD" w:rsidRPr="00EB1825" w14:paraId="151FA6DE" w14:textId="77777777" w:rsidTr="00A620D1">
        <w:trPr>
          <w:trHeight w:val="20"/>
        </w:trPr>
        <w:tc>
          <w:tcPr>
            <w:tcW w:w="674" w:type="pct"/>
            <w:tcBorders>
              <w:top w:val="single" w:sz="4" w:space="0" w:color="auto"/>
              <w:left w:val="single" w:sz="4" w:space="0" w:color="auto"/>
              <w:bottom w:val="single" w:sz="4" w:space="0" w:color="auto"/>
              <w:right w:val="single" w:sz="4" w:space="0" w:color="auto"/>
            </w:tcBorders>
          </w:tcPr>
          <w:p w14:paraId="14CDEC4E" w14:textId="77777777" w:rsidR="005F69BD" w:rsidRPr="00EB1825" w:rsidRDefault="005F69BD" w:rsidP="00891F79">
            <w:pPr>
              <w:pStyle w:val="TableText0"/>
              <w:keepNext w:val="0"/>
            </w:pPr>
            <w:r w:rsidRPr="00EB1825">
              <w:t>MBS items</w:t>
            </w:r>
          </w:p>
        </w:tc>
        <w:tc>
          <w:tcPr>
            <w:tcW w:w="144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AEF3026" w14:textId="77777777" w:rsidR="005F69BD" w:rsidRPr="00EB1825" w:rsidRDefault="005F69BD" w:rsidP="00891F79">
            <w:pPr>
              <w:pStyle w:val="TableText0"/>
              <w:keepNext w:val="0"/>
            </w:pPr>
            <w:r w:rsidRPr="00EB1825">
              <w:t>GP and specialist visits (items 23 and 36)</w:t>
            </w:r>
          </w:p>
        </w:tc>
        <w:tc>
          <w:tcPr>
            <w:tcW w:w="1336" w:type="pct"/>
            <w:tcBorders>
              <w:top w:val="single" w:sz="4" w:space="0" w:color="auto"/>
              <w:left w:val="single" w:sz="4" w:space="0" w:color="auto"/>
              <w:bottom w:val="single" w:sz="4" w:space="0" w:color="auto"/>
              <w:right w:val="single" w:sz="4" w:space="0" w:color="auto"/>
            </w:tcBorders>
          </w:tcPr>
          <w:p w14:paraId="0516E40C" w14:textId="18B94A68" w:rsidR="005F69BD" w:rsidRPr="00EB1825" w:rsidRDefault="005F69BD" w:rsidP="00891F79">
            <w:pPr>
              <w:pStyle w:val="TableText0"/>
              <w:keepNext w:val="0"/>
            </w:pPr>
            <w:r w:rsidRPr="00EB1825">
              <w:t>Excluded GP and specialist visits, included LFT costs (item 66512, $17.7 per test)</w:t>
            </w:r>
          </w:p>
        </w:tc>
        <w:tc>
          <w:tcPr>
            <w:tcW w:w="1544" w:type="pct"/>
            <w:tcBorders>
              <w:top w:val="single" w:sz="4" w:space="0" w:color="auto"/>
              <w:left w:val="single" w:sz="4" w:space="0" w:color="auto"/>
              <w:bottom w:val="single" w:sz="4" w:space="0" w:color="auto"/>
              <w:right w:val="single" w:sz="4" w:space="0" w:color="auto"/>
            </w:tcBorders>
          </w:tcPr>
          <w:p w14:paraId="5A37435A" w14:textId="171CB56A" w:rsidR="005F69BD" w:rsidRPr="00EB1825" w:rsidRDefault="005F69BD" w:rsidP="00891F79">
            <w:pPr>
              <w:jc w:val="left"/>
              <w:rPr>
                <w:rFonts w:ascii="Arial Narrow" w:eastAsiaTheme="majorEastAsia" w:hAnsi="Arial Narrow" w:cstheme="majorBidi"/>
                <w:b/>
                <w:sz w:val="20"/>
              </w:rPr>
            </w:pPr>
            <w:r w:rsidRPr="00EB1825">
              <w:rPr>
                <w:rFonts w:ascii="Arial Narrow" w:eastAsiaTheme="majorEastAsia" w:hAnsi="Arial Narrow" w:cstheme="majorBidi"/>
                <w:bCs/>
                <w:sz w:val="20"/>
                <w:shd w:val="clear" w:color="auto" w:fill="B8CCE4" w:themeFill="accent1" w:themeFillTint="66"/>
              </w:rPr>
              <w:t xml:space="preserve">The PBAC </w:t>
            </w:r>
            <w:r w:rsidR="00A620D1" w:rsidRPr="00EB1825">
              <w:rPr>
                <w:rFonts w:ascii="Arial Narrow" w:eastAsiaTheme="majorEastAsia" w:hAnsi="Arial Narrow" w:cstheme="majorBidi"/>
                <w:bCs/>
                <w:sz w:val="20"/>
                <w:shd w:val="clear" w:color="auto" w:fill="B8CCE4" w:themeFill="accent1" w:themeFillTint="66"/>
              </w:rPr>
              <w:t xml:space="preserve">previously </w:t>
            </w:r>
            <w:r w:rsidRPr="00EB1825">
              <w:rPr>
                <w:rFonts w:ascii="Arial Narrow" w:eastAsiaTheme="majorEastAsia" w:hAnsi="Arial Narrow" w:cstheme="majorBidi"/>
                <w:bCs/>
                <w:sz w:val="20"/>
                <w:shd w:val="clear" w:color="auto" w:fill="B8CCE4" w:themeFill="accent1" w:themeFillTint="66"/>
              </w:rPr>
              <w:t>noted that MBS items 23 and 36 should not be included in savings calculations, as reduced demand would likely be offset by other patients.</w:t>
            </w:r>
            <w:r w:rsidRPr="00EB1825">
              <w:rPr>
                <w:rFonts w:ascii="Arial Narrow" w:eastAsiaTheme="majorEastAsia" w:hAnsi="Arial Narrow" w:cstheme="majorBidi"/>
                <w:bCs/>
                <w:sz w:val="20"/>
              </w:rPr>
              <w:t xml:space="preserve"> </w:t>
            </w:r>
            <w:r w:rsidRPr="00EB1825">
              <w:rPr>
                <w:rFonts w:ascii="Arial Narrow" w:eastAsiaTheme="majorEastAsia" w:hAnsi="Arial Narrow" w:cstheme="majorBidi"/>
                <w:bCs/>
                <w:sz w:val="20"/>
                <w:shd w:val="clear" w:color="auto" w:fill="B8CCE4" w:themeFill="accent1" w:themeFillTint="66"/>
              </w:rPr>
              <w:t xml:space="preserve">DUSC highlighted that menopause-related consultations may increase due to the need for follow-up appointments and longer initial consults (para 6.72, </w:t>
            </w:r>
            <w:proofErr w:type="spellStart"/>
            <w:r w:rsidRPr="00EB1825">
              <w:rPr>
                <w:rFonts w:ascii="Arial Narrow" w:eastAsiaTheme="majorEastAsia" w:hAnsi="Arial Narrow" w:cstheme="majorBidi"/>
                <w:bCs/>
                <w:sz w:val="20"/>
                <w:shd w:val="clear" w:color="auto" w:fill="B8CCE4" w:themeFill="accent1" w:themeFillTint="66"/>
              </w:rPr>
              <w:t>fezolinetant</w:t>
            </w:r>
            <w:proofErr w:type="spellEnd"/>
            <w:r w:rsidRPr="00EB1825">
              <w:rPr>
                <w:rFonts w:ascii="Arial Narrow" w:eastAsiaTheme="majorEastAsia" w:hAnsi="Arial Narrow" w:cstheme="majorBidi"/>
                <w:bCs/>
                <w:sz w:val="20"/>
                <w:shd w:val="clear" w:color="auto" w:fill="B8CCE4" w:themeFill="accent1" w:themeFillTint="66"/>
              </w:rPr>
              <w:t xml:space="preserve">, </w:t>
            </w:r>
            <w:r w:rsidR="008A09A4" w:rsidRPr="00EB1825">
              <w:rPr>
                <w:rFonts w:ascii="Arial Narrow" w:eastAsiaTheme="majorEastAsia" w:hAnsi="Arial Narrow" w:cstheme="majorBidi"/>
                <w:bCs/>
                <w:sz w:val="20"/>
                <w:shd w:val="clear" w:color="auto" w:fill="B8CCE4" w:themeFill="accent1" w:themeFillTint="66"/>
              </w:rPr>
              <w:t>PSD</w:t>
            </w:r>
            <w:r w:rsidRPr="00EB1825">
              <w:rPr>
                <w:rFonts w:ascii="Arial Narrow" w:eastAsiaTheme="majorEastAsia" w:hAnsi="Arial Narrow" w:cstheme="majorBidi"/>
                <w:bCs/>
                <w:sz w:val="20"/>
                <w:shd w:val="clear" w:color="auto" w:fill="B8CCE4" w:themeFill="accent1" w:themeFillTint="66"/>
              </w:rPr>
              <w:t xml:space="preserve"> March 2025).</w:t>
            </w:r>
            <w:r w:rsidRPr="00EB1825">
              <w:rPr>
                <w:rFonts w:ascii="Arial Narrow" w:eastAsiaTheme="majorEastAsia" w:hAnsi="Arial Narrow" w:cstheme="majorBidi"/>
                <w:bCs/>
                <w:sz w:val="20"/>
              </w:rPr>
              <w:t xml:space="preserve"> The resubmission excluded items 23 and 36 from savings and included item 66512 for LFTs</w:t>
            </w:r>
            <w:r w:rsidR="00481C0A" w:rsidRPr="00EB1825">
              <w:rPr>
                <w:rFonts w:ascii="Arial Narrow" w:eastAsiaTheme="majorEastAsia" w:hAnsi="Arial Narrow" w:cstheme="majorBidi"/>
                <w:bCs/>
                <w:sz w:val="20"/>
              </w:rPr>
              <w:t xml:space="preserve"> prior to treatment, and then at months 1, 2, 3, 6 and 9</w:t>
            </w:r>
            <w:r w:rsidRPr="00EB1825">
              <w:rPr>
                <w:rFonts w:ascii="Arial Narrow" w:eastAsiaTheme="majorEastAsia" w:hAnsi="Arial Narrow" w:cstheme="majorBidi"/>
                <w:bCs/>
                <w:sz w:val="20"/>
              </w:rPr>
              <w:t xml:space="preserve">, but did not incorporate DUSC's advice regarding additional consultations for patients requiring LFT monitoring. Additionally, </w:t>
            </w:r>
            <w:r w:rsidR="00481C0A" w:rsidRPr="00EB1825">
              <w:rPr>
                <w:rFonts w:ascii="Arial Narrow" w:eastAsiaTheme="majorEastAsia" w:hAnsi="Arial Narrow" w:cstheme="majorBidi"/>
                <w:bCs/>
                <w:sz w:val="20"/>
              </w:rPr>
              <w:t>as the model use</w:t>
            </w:r>
            <w:r w:rsidR="005569AB" w:rsidRPr="00EB1825">
              <w:rPr>
                <w:rFonts w:ascii="Arial Narrow" w:eastAsiaTheme="majorEastAsia" w:hAnsi="Arial Narrow" w:cstheme="majorBidi"/>
                <w:bCs/>
                <w:sz w:val="20"/>
              </w:rPr>
              <w:t>d</w:t>
            </w:r>
            <w:r w:rsidR="00481C0A" w:rsidRPr="00EB1825">
              <w:rPr>
                <w:rFonts w:ascii="Arial Narrow" w:eastAsiaTheme="majorEastAsia" w:hAnsi="Arial Narrow" w:cstheme="majorBidi"/>
                <w:bCs/>
                <w:sz w:val="20"/>
              </w:rPr>
              <w:t xml:space="preserve"> a prevalent approach, each patient receive</w:t>
            </w:r>
            <w:r w:rsidR="00A56E13" w:rsidRPr="00EB1825">
              <w:rPr>
                <w:rFonts w:ascii="Arial Narrow" w:eastAsiaTheme="majorEastAsia" w:hAnsi="Arial Narrow" w:cstheme="majorBidi"/>
                <w:bCs/>
                <w:sz w:val="20"/>
              </w:rPr>
              <w:t>d</w:t>
            </w:r>
            <w:r w:rsidR="00481C0A" w:rsidRPr="00EB1825">
              <w:rPr>
                <w:rFonts w:ascii="Arial Narrow" w:eastAsiaTheme="majorEastAsia" w:hAnsi="Arial Narrow" w:cstheme="majorBidi"/>
                <w:bCs/>
                <w:sz w:val="20"/>
              </w:rPr>
              <w:t xml:space="preserve"> six liver function tests every year instead of receiving </w:t>
            </w:r>
            <w:r w:rsidR="00220AE9">
              <w:rPr>
                <w:rFonts w:ascii="Arial Narrow" w:eastAsiaTheme="majorEastAsia" w:hAnsi="Arial Narrow" w:cstheme="majorBidi"/>
                <w:bCs/>
                <w:sz w:val="20"/>
              </w:rPr>
              <w:t>6</w:t>
            </w:r>
            <w:r w:rsidR="00220AE9" w:rsidRPr="00EB1825">
              <w:rPr>
                <w:rFonts w:ascii="Arial Narrow" w:eastAsiaTheme="majorEastAsia" w:hAnsi="Arial Narrow" w:cstheme="majorBidi"/>
                <w:bCs/>
                <w:sz w:val="20"/>
              </w:rPr>
              <w:t xml:space="preserve"> </w:t>
            </w:r>
            <w:r w:rsidR="00481C0A" w:rsidRPr="00EB1825">
              <w:rPr>
                <w:rFonts w:ascii="Arial Narrow" w:eastAsiaTheme="majorEastAsia" w:hAnsi="Arial Narrow" w:cstheme="majorBidi"/>
                <w:bCs/>
                <w:sz w:val="20"/>
              </w:rPr>
              <w:t>tests in their first year</w:t>
            </w:r>
            <w:r w:rsidR="00220AE9">
              <w:rPr>
                <w:rFonts w:ascii="Arial Narrow" w:eastAsiaTheme="majorEastAsia" w:hAnsi="Arial Narrow" w:cstheme="majorBidi"/>
                <w:bCs/>
                <w:sz w:val="20"/>
              </w:rPr>
              <w:t>, and 1 test per year thereafter</w:t>
            </w:r>
            <w:r w:rsidR="00481C0A" w:rsidRPr="00EB1825">
              <w:rPr>
                <w:rFonts w:ascii="Arial Narrow" w:eastAsiaTheme="majorEastAsia" w:hAnsi="Arial Narrow" w:cstheme="majorBidi"/>
                <w:bCs/>
                <w:sz w:val="20"/>
              </w:rPr>
              <w:t>. Furthermore, the model has assumed that GF patients will not need any LFT because they are already 6 months into treatment, however they would still require a LFT at month 9.</w:t>
            </w:r>
          </w:p>
        </w:tc>
      </w:tr>
    </w:tbl>
    <w:p w14:paraId="7A515DF3" w14:textId="77777777" w:rsidR="005F69BD" w:rsidRPr="00EB1825" w:rsidRDefault="005F69BD" w:rsidP="005F69BD">
      <w:pPr>
        <w:pStyle w:val="TableFigureFooter"/>
      </w:pPr>
      <w:r w:rsidRPr="00EB1825">
        <w:t xml:space="preserve">Source: Table 4.1-1, pp105-106, Table 4.2-1, p107, Table 4.2-2, p108, Table 4.2-3, p108, Table 4.2-4, p109, Table 4.2-5, p109, Table 4.-6, p110, Table 4.2-7 and Table 4.2-8, p111, Table 4.2-10, p114, and Table 4.5-2, p120. </w:t>
      </w:r>
    </w:p>
    <w:p w14:paraId="1E8E222C" w14:textId="11424DEC" w:rsidR="005F69BD" w:rsidRPr="00EB1825" w:rsidRDefault="005F69BD" w:rsidP="005F69BD">
      <w:pPr>
        <w:pStyle w:val="TableFigureFooter"/>
      </w:pPr>
      <w:r w:rsidRPr="00EB1825">
        <w:t>GF=grandfathered, MBS=Medicare Benefits Schedule; MHT=Menopausal hormone therapy, M-S VMS=moderate to severe vasomotor symptoms, LFT=liver function test; PBS=Pharmaceutical Benefits Advisory Committee; PBS=Pharmaceutical Benefits Scheme; RPBS=Repatriation Schedule of Pharmaceutical Benefits</w:t>
      </w:r>
      <w:r w:rsidR="00CA52B4" w:rsidRPr="00EB1825">
        <w:t>;</w:t>
      </w:r>
      <w:r w:rsidRPr="00EB1825">
        <w:t xml:space="preserve"> VMS=vasomotor symptoms</w:t>
      </w:r>
      <w:r w:rsidR="00CA52B4" w:rsidRPr="00EB1825">
        <w:t>;</w:t>
      </w:r>
      <w:r w:rsidR="004C7597" w:rsidRPr="00EB1825">
        <w:t xml:space="preserve"> Y = year</w:t>
      </w:r>
      <w:r w:rsidR="00CA52B4" w:rsidRPr="00EB1825">
        <w:t>; Ys = years</w:t>
      </w:r>
      <w:r w:rsidRPr="00EB1825">
        <w:t>.</w:t>
      </w:r>
    </w:p>
    <w:p w14:paraId="459FBD95" w14:textId="77777777" w:rsidR="00834CA2" w:rsidRDefault="00BF04CC" w:rsidP="00834CA2">
      <w:pPr>
        <w:pStyle w:val="TableFigureFooter"/>
        <w:keepNext/>
        <w:rPr>
          <w:i/>
        </w:rPr>
      </w:pPr>
      <w:r w:rsidRPr="00EB1825">
        <w:rPr>
          <w:rStyle w:val="CommentReference"/>
          <w:b w:val="0"/>
          <w:sz w:val="18"/>
          <w:szCs w:val="18"/>
          <w:shd w:val="clear" w:color="auto" w:fill="B8CCE4" w:themeFill="accent1" w:themeFillTint="66"/>
        </w:rPr>
        <w:t xml:space="preserve">Blue </w:t>
      </w:r>
      <w:r w:rsidRPr="00EB1825">
        <w:rPr>
          <w:rStyle w:val="CommentReference"/>
          <w:b w:val="0"/>
          <w:sz w:val="18"/>
          <w:szCs w:val="18"/>
        </w:rPr>
        <w:t>shading indicates data previously seen by the PBAC.</w:t>
      </w:r>
    </w:p>
    <w:p w14:paraId="287FCB18" w14:textId="60A218D6" w:rsidR="00834CA2" w:rsidRPr="00834CA2" w:rsidRDefault="00834CA2" w:rsidP="00834CA2">
      <w:pPr>
        <w:pStyle w:val="TableFigureFooter"/>
        <w:keepNext/>
        <w:rPr>
          <w:i/>
        </w:rPr>
      </w:pPr>
      <w:r w:rsidRPr="00834CA2">
        <w:rPr>
          <w:i/>
        </w:rPr>
        <w:t xml:space="preserve">The redacted values correspond to the following ranges: </w:t>
      </w:r>
    </w:p>
    <w:p w14:paraId="499F1562" w14:textId="390C5EC1" w:rsidR="00834CA2" w:rsidRPr="00834CA2" w:rsidRDefault="00834CA2" w:rsidP="00834CA2">
      <w:pPr>
        <w:pStyle w:val="TableFigureFooter"/>
        <w:keepNext/>
        <w:rPr>
          <w:i/>
        </w:rPr>
      </w:pPr>
      <w:r w:rsidRPr="00834CA2">
        <w:rPr>
          <w:i/>
          <w:vertAlign w:val="superscript"/>
        </w:rPr>
        <w:t>1</w:t>
      </w:r>
      <w:r w:rsidRPr="00834CA2">
        <w:rPr>
          <w:i/>
        </w:rPr>
        <w:t xml:space="preserve"> </w:t>
      </w:r>
      <w:r w:rsidR="00142DA2" w:rsidRPr="00142DA2">
        <w:rPr>
          <w:i/>
        </w:rPr>
        <w:t>6,000,000 to &lt; 7,000,000</w:t>
      </w:r>
    </w:p>
    <w:p w14:paraId="77043D3F" w14:textId="1D510B8C" w:rsidR="00834CA2" w:rsidRPr="00834CA2" w:rsidRDefault="00834CA2" w:rsidP="00834CA2">
      <w:pPr>
        <w:pStyle w:val="TableFigureFooter"/>
        <w:keepNext/>
        <w:rPr>
          <w:i/>
        </w:rPr>
      </w:pPr>
      <w:r w:rsidRPr="00834CA2">
        <w:rPr>
          <w:i/>
          <w:vertAlign w:val="superscript"/>
        </w:rPr>
        <w:t>2</w:t>
      </w:r>
      <w:r w:rsidRPr="00834CA2">
        <w:rPr>
          <w:i/>
        </w:rPr>
        <w:t xml:space="preserve"> </w:t>
      </w:r>
      <w:r w:rsidR="00AD700D" w:rsidRPr="00AD700D">
        <w:rPr>
          <w:i/>
        </w:rPr>
        <w:t>200,000 to &lt; 300,000</w:t>
      </w:r>
    </w:p>
    <w:p w14:paraId="78AE8242" w14:textId="236DDCED" w:rsidR="00834CA2" w:rsidRPr="00834CA2" w:rsidRDefault="00834CA2" w:rsidP="00834CA2">
      <w:pPr>
        <w:pStyle w:val="TableFigureFooter"/>
        <w:keepNext/>
        <w:rPr>
          <w:i/>
        </w:rPr>
      </w:pPr>
      <w:r w:rsidRPr="00834CA2">
        <w:rPr>
          <w:i/>
          <w:vertAlign w:val="superscript"/>
        </w:rPr>
        <w:t>3</w:t>
      </w:r>
      <w:r w:rsidRPr="00834CA2">
        <w:rPr>
          <w:i/>
        </w:rPr>
        <w:t xml:space="preserve"> </w:t>
      </w:r>
      <w:r w:rsidR="007E36AF" w:rsidRPr="007E36AF">
        <w:rPr>
          <w:i/>
        </w:rPr>
        <w:t>300,000 to &lt; 400,000</w:t>
      </w:r>
    </w:p>
    <w:p w14:paraId="59C81F3A" w14:textId="424144BA" w:rsidR="00834CA2" w:rsidRPr="00834CA2" w:rsidRDefault="00834CA2" w:rsidP="00834CA2">
      <w:pPr>
        <w:pStyle w:val="TableFigureFooter"/>
        <w:keepNext/>
        <w:rPr>
          <w:i/>
        </w:rPr>
      </w:pPr>
      <w:r w:rsidRPr="00834CA2">
        <w:rPr>
          <w:i/>
          <w:vertAlign w:val="superscript"/>
        </w:rPr>
        <w:t>4</w:t>
      </w:r>
      <w:r w:rsidRPr="00834CA2">
        <w:rPr>
          <w:i/>
        </w:rPr>
        <w:t xml:space="preserve"> </w:t>
      </w:r>
      <w:r w:rsidR="001D1DE0" w:rsidRPr="001D1DE0">
        <w:rPr>
          <w:i/>
        </w:rPr>
        <w:t>4,000,000 to &lt; 5,000,000</w:t>
      </w:r>
    </w:p>
    <w:p w14:paraId="6D62DAA5" w14:textId="3869453B" w:rsidR="00834CA2" w:rsidRPr="00834CA2" w:rsidRDefault="00834CA2" w:rsidP="00834CA2">
      <w:pPr>
        <w:pStyle w:val="TableFigureFooter"/>
        <w:keepNext/>
        <w:rPr>
          <w:i/>
        </w:rPr>
      </w:pPr>
      <w:r w:rsidRPr="00834CA2">
        <w:rPr>
          <w:i/>
          <w:vertAlign w:val="superscript"/>
        </w:rPr>
        <w:t>5</w:t>
      </w:r>
      <w:r w:rsidRPr="00834CA2">
        <w:rPr>
          <w:i/>
        </w:rPr>
        <w:t xml:space="preserve"> </w:t>
      </w:r>
      <w:r w:rsidR="0081643D" w:rsidRPr="0081643D">
        <w:rPr>
          <w:i/>
        </w:rPr>
        <w:t>100,000 to &lt; 200,000</w:t>
      </w:r>
    </w:p>
    <w:p w14:paraId="23E82F5F" w14:textId="4C0FD7EF" w:rsidR="00F361E4" w:rsidRPr="00F361E4" w:rsidRDefault="00834CA2" w:rsidP="00F361E4">
      <w:pPr>
        <w:pStyle w:val="TableFigureFooter"/>
        <w:keepNext/>
        <w:rPr>
          <w:i/>
        </w:rPr>
      </w:pPr>
      <w:r w:rsidRPr="00834CA2">
        <w:rPr>
          <w:i/>
          <w:vertAlign w:val="superscript"/>
        </w:rPr>
        <w:t>6</w:t>
      </w:r>
      <w:r w:rsidRPr="00834CA2">
        <w:rPr>
          <w:i/>
        </w:rPr>
        <w:t xml:space="preserve"> </w:t>
      </w:r>
      <w:bookmarkStart w:id="80" w:name="_Hlk219454664"/>
      <w:r w:rsidR="000D7BB2" w:rsidRPr="000D7BB2">
        <w:rPr>
          <w:i/>
        </w:rPr>
        <w:t>10,000 to &lt; 20,000</w:t>
      </w:r>
      <w:bookmarkEnd w:id="80"/>
    </w:p>
    <w:p w14:paraId="293D58F4" w14:textId="38F3CB58" w:rsidR="00F361E4" w:rsidRPr="00F361E4" w:rsidRDefault="00F361E4" w:rsidP="00F361E4">
      <w:pPr>
        <w:pStyle w:val="TableFigureFooter"/>
        <w:rPr>
          <w:i/>
        </w:rPr>
      </w:pPr>
      <w:r>
        <w:rPr>
          <w:i/>
          <w:vertAlign w:val="superscript"/>
        </w:rPr>
        <w:t>7</w:t>
      </w:r>
      <w:r w:rsidRPr="00F361E4">
        <w:rPr>
          <w:i/>
        </w:rPr>
        <w:t xml:space="preserve"> </w:t>
      </w:r>
      <w:r w:rsidR="007B4614" w:rsidRPr="007B4614">
        <w:rPr>
          <w:i/>
        </w:rPr>
        <w:t>70,000 to &lt; 80,000</w:t>
      </w:r>
    </w:p>
    <w:p w14:paraId="318A54D8" w14:textId="60FAF1DA" w:rsidR="00F361E4" w:rsidRPr="00F361E4" w:rsidRDefault="00F361E4" w:rsidP="00F361E4">
      <w:pPr>
        <w:pStyle w:val="TableFigureFooter"/>
        <w:rPr>
          <w:i/>
        </w:rPr>
      </w:pPr>
      <w:r>
        <w:rPr>
          <w:i/>
          <w:vertAlign w:val="superscript"/>
        </w:rPr>
        <w:t>8</w:t>
      </w:r>
      <w:r w:rsidRPr="00F361E4">
        <w:rPr>
          <w:i/>
        </w:rPr>
        <w:t xml:space="preserve"> </w:t>
      </w:r>
      <w:r w:rsidR="005A4FE5" w:rsidRPr="005A4FE5">
        <w:rPr>
          <w:i/>
        </w:rPr>
        <w:t>20,000 to &lt; 30,000</w:t>
      </w:r>
    </w:p>
    <w:p w14:paraId="22E5B1E5" w14:textId="29AC9486" w:rsidR="00F361E4" w:rsidRPr="00F361E4" w:rsidRDefault="00F361E4" w:rsidP="00F361E4">
      <w:pPr>
        <w:pStyle w:val="TableFigureFooter"/>
        <w:rPr>
          <w:i/>
        </w:rPr>
      </w:pPr>
      <w:r>
        <w:rPr>
          <w:i/>
          <w:vertAlign w:val="superscript"/>
        </w:rPr>
        <w:t>9</w:t>
      </w:r>
      <w:r w:rsidRPr="00F361E4">
        <w:rPr>
          <w:i/>
        </w:rPr>
        <w:t xml:space="preserve"> </w:t>
      </w:r>
      <w:bookmarkStart w:id="81" w:name="_Hlk219455138"/>
      <w:r w:rsidR="007A00B1" w:rsidRPr="007A00B1">
        <w:rPr>
          <w:i/>
        </w:rPr>
        <w:t>40,000 to &lt; 50,000</w:t>
      </w:r>
      <w:bookmarkEnd w:id="81"/>
    </w:p>
    <w:p w14:paraId="60E66658" w14:textId="602929B2" w:rsidR="00F361E4" w:rsidRPr="00F361E4" w:rsidRDefault="00F361E4" w:rsidP="00F361E4">
      <w:pPr>
        <w:pStyle w:val="TableFigureFooter"/>
        <w:rPr>
          <w:i/>
        </w:rPr>
      </w:pPr>
      <w:r>
        <w:rPr>
          <w:i/>
          <w:vertAlign w:val="superscript"/>
        </w:rPr>
        <w:t>10</w:t>
      </w:r>
      <w:r w:rsidRPr="00F361E4">
        <w:rPr>
          <w:i/>
        </w:rPr>
        <w:t xml:space="preserve"> </w:t>
      </w:r>
      <w:r w:rsidR="007813D4" w:rsidRPr="007813D4">
        <w:rPr>
          <w:i/>
        </w:rPr>
        <w:t>60,000 to &lt; 70,000</w:t>
      </w:r>
    </w:p>
    <w:p w14:paraId="2F69494D" w14:textId="63465EC4" w:rsidR="00674A83" w:rsidRPr="00674A83" w:rsidRDefault="00F361E4" w:rsidP="00674A83">
      <w:pPr>
        <w:pStyle w:val="TableFigureFooter"/>
        <w:rPr>
          <w:i/>
        </w:rPr>
      </w:pPr>
      <w:r>
        <w:rPr>
          <w:i/>
          <w:vertAlign w:val="superscript"/>
        </w:rPr>
        <w:t>11</w:t>
      </w:r>
      <w:r w:rsidRPr="00F361E4">
        <w:rPr>
          <w:i/>
        </w:rPr>
        <w:t xml:space="preserve"> </w:t>
      </w:r>
      <w:r w:rsidR="000B1DF4" w:rsidRPr="000B1DF4">
        <w:rPr>
          <w:i/>
        </w:rPr>
        <w:t>80,000 to &lt; 90,000</w:t>
      </w:r>
    </w:p>
    <w:p w14:paraId="1F75AC6E" w14:textId="7C6478B3" w:rsidR="00674A83" w:rsidRPr="00674A83" w:rsidRDefault="00674A83" w:rsidP="00674A83">
      <w:pPr>
        <w:pStyle w:val="TableFigureFooter"/>
        <w:rPr>
          <w:i/>
        </w:rPr>
      </w:pPr>
      <w:r>
        <w:rPr>
          <w:i/>
          <w:vertAlign w:val="superscript"/>
        </w:rPr>
        <w:t>12</w:t>
      </w:r>
      <w:r w:rsidRPr="00674A83">
        <w:rPr>
          <w:i/>
        </w:rPr>
        <w:t xml:space="preserve"> </w:t>
      </w:r>
      <w:r w:rsidR="00293CE8" w:rsidRPr="00293CE8">
        <w:rPr>
          <w:i/>
        </w:rPr>
        <w:t>90,000 to &lt; 100,000</w:t>
      </w:r>
    </w:p>
    <w:p w14:paraId="0064B448" w14:textId="20564DA0" w:rsidR="00674A83" w:rsidRPr="00674A83" w:rsidRDefault="00674A83" w:rsidP="00674A83">
      <w:pPr>
        <w:pStyle w:val="TableFigureFooter"/>
        <w:rPr>
          <w:i/>
        </w:rPr>
      </w:pPr>
      <w:r>
        <w:rPr>
          <w:i/>
          <w:vertAlign w:val="superscript"/>
        </w:rPr>
        <w:t>13</w:t>
      </w:r>
      <w:r w:rsidRPr="00674A83">
        <w:rPr>
          <w:i/>
        </w:rPr>
        <w:t xml:space="preserve"> </w:t>
      </w:r>
      <w:bookmarkStart w:id="82" w:name="_Hlk219362990"/>
      <w:r w:rsidR="00211FAD" w:rsidRPr="00211FAD">
        <w:rPr>
          <w:i/>
        </w:rPr>
        <w:t>5,000 to &lt; 10,000</w:t>
      </w:r>
      <w:bookmarkEnd w:id="82"/>
    </w:p>
    <w:p w14:paraId="3264EA1A" w14:textId="4B0893FD" w:rsidR="00674A83" w:rsidRPr="00674A83" w:rsidRDefault="00674A83" w:rsidP="00674A83">
      <w:pPr>
        <w:pStyle w:val="TableFigureFooter"/>
        <w:rPr>
          <w:i/>
        </w:rPr>
      </w:pPr>
      <w:r>
        <w:rPr>
          <w:i/>
          <w:vertAlign w:val="superscript"/>
        </w:rPr>
        <w:t>14</w:t>
      </w:r>
      <w:r w:rsidRPr="00674A83">
        <w:rPr>
          <w:i/>
        </w:rPr>
        <w:t xml:space="preserve"> </w:t>
      </w:r>
      <w:r w:rsidR="005A711D" w:rsidRPr="005A711D">
        <w:rPr>
          <w:i/>
        </w:rPr>
        <w:t>50,000 to &lt; 60,000</w:t>
      </w:r>
    </w:p>
    <w:p w14:paraId="6475A6E9" w14:textId="2713EB7C" w:rsidR="00674A83" w:rsidRPr="00674A83" w:rsidRDefault="00674A83" w:rsidP="00674A83">
      <w:pPr>
        <w:pStyle w:val="TableFigureFooter"/>
        <w:rPr>
          <w:i/>
        </w:rPr>
      </w:pPr>
      <w:r>
        <w:rPr>
          <w:i/>
          <w:vertAlign w:val="superscript"/>
        </w:rPr>
        <w:t>15</w:t>
      </w:r>
      <w:r w:rsidRPr="00674A83">
        <w:rPr>
          <w:i/>
        </w:rPr>
        <w:t xml:space="preserve"> </w:t>
      </w:r>
      <w:r w:rsidR="005324B0">
        <w:rPr>
          <w:i/>
        </w:rPr>
        <w:t>600</w:t>
      </w:r>
      <w:r w:rsidR="00991173">
        <w:rPr>
          <w:i/>
        </w:rPr>
        <w:t>,000 &lt; 700,000</w:t>
      </w:r>
    </w:p>
    <w:p w14:paraId="37EAE527" w14:textId="77777777" w:rsidR="00D3483B" w:rsidRPr="00D3483B" w:rsidRDefault="00674A83" w:rsidP="00D3483B">
      <w:pPr>
        <w:pStyle w:val="TableFigureFooter"/>
        <w:rPr>
          <w:i/>
        </w:rPr>
      </w:pPr>
      <w:r w:rsidRPr="00674A83">
        <w:rPr>
          <w:i/>
          <w:vertAlign w:val="superscript"/>
        </w:rPr>
        <w:t>1</w:t>
      </w:r>
      <w:r>
        <w:rPr>
          <w:i/>
          <w:vertAlign w:val="superscript"/>
        </w:rPr>
        <w:t>6</w:t>
      </w:r>
      <w:r w:rsidRPr="00674A83">
        <w:rPr>
          <w:i/>
        </w:rPr>
        <w:t xml:space="preserve"> </w:t>
      </w:r>
      <w:r w:rsidR="00D3483B" w:rsidRPr="00D3483B">
        <w:rPr>
          <w:i/>
        </w:rPr>
        <w:t>900,000 to &lt; 1,000,000</w:t>
      </w:r>
    </w:p>
    <w:p w14:paraId="10911B1B" w14:textId="577B84A6" w:rsidR="00674A83" w:rsidRPr="00674A83" w:rsidRDefault="00D3483B" w:rsidP="00674A83">
      <w:pPr>
        <w:pStyle w:val="TableFigureFooter"/>
        <w:rPr>
          <w:i/>
        </w:rPr>
      </w:pPr>
      <w:r>
        <w:rPr>
          <w:i/>
          <w:vertAlign w:val="superscript"/>
        </w:rPr>
        <w:t xml:space="preserve">17 </w:t>
      </w:r>
      <w:r w:rsidR="00DF1435" w:rsidRPr="00DF1435">
        <w:rPr>
          <w:i/>
        </w:rPr>
        <w:t>1,000,000 to &lt; 2,000,000</w:t>
      </w:r>
    </w:p>
    <w:p w14:paraId="0E9DA56D" w14:textId="7F709071" w:rsidR="00DF1435" w:rsidRPr="00DF1435" w:rsidRDefault="00DF1435" w:rsidP="00DF1435">
      <w:pPr>
        <w:pStyle w:val="TableFigureFooter"/>
        <w:rPr>
          <w:i/>
        </w:rPr>
      </w:pPr>
      <w:r w:rsidRPr="00DF1435">
        <w:rPr>
          <w:i/>
          <w:vertAlign w:val="superscript"/>
        </w:rPr>
        <w:t>1</w:t>
      </w:r>
      <w:r>
        <w:rPr>
          <w:i/>
          <w:vertAlign w:val="superscript"/>
        </w:rPr>
        <w:t>8</w:t>
      </w:r>
      <w:r w:rsidRPr="00DF1435">
        <w:rPr>
          <w:i/>
        </w:rPr>
        <w:t xml:space="preserve"> </w:t>
      </w:r>
      <w:r w:rsidR="004138B1" w:rsidRPr="004138B1">
        <w:rPr>
          <w:i/>
        </w:rPr>
        <w:t>7,000,000 to &lt; 8,000,000</w:t>
      </w:r>
    </w:p>
    <w:p w14:paraId="50DFFD38" w14:textId="781E55E0" w:rsidR="00DF1435" w:rsidRPr="00DF1435" w:rsidRDefault="00DF1435" w:rsidP="00DF1435">
      <w:pPr>
        <w:pStyle w:val="TableFigureFooter"/>
        <w:rPr>
          <w:i/>
        </w:rPr>
      </w:pPr>
      <w:r w:rsidRPr="00DF1435">
        <w:rPr>
          <w:i/>
          <w:vertAlign w:val="superscript"/>
        </w:rPr>
        <w:t>1</w:t>
      </w:r>
      <w:r>
        <w:rPr>
          <w:i/>
          <w:vertAlign w:val="superscript"/>
        </w:rPr>
        <w:t>9</w:t>
      </w:r>
      <w:r w:rsidRPr="00DF1435">
        <w:rPr>
          <w:i/>
        </w:rPr>
        <w:t xml:space="preserve"> </w:t>
      </w:r>
      <w:r w:rsidR="00705F02" w:rsidRPr="00705F02">
        <w:rPr>
          <w:i/>
        </w:rPr>
        <w:t>400,000 to &lt; 500,000</w:t>
      </w:r>
    </w:p>
    <w:p w14:paraId="3C023725" w14:textId="1FE27BD5" w:rsidR="00DF1435" w:rsidRPr="00DF1435" w:rsidRDefault="00DF1435" w:rsidP="00DF1435">
      <w:pPr>
        <w:pStyle w:val="TableFigureFooter"/>
        <w:rPr>
          <w:i/>
        </w:rPr>
      </w:pPr>
      <w:r>
        <w:rPr>
          <w:i/>
          <w:vertAlign w:val="superscript"/>
        </w:rPr>
        <w:t>20</w:t>
      </w:r>
      <w:r w:rsidRPr="00DF1435">
        <w:rPr>
          <w:i/>
        </w:rPr>
        <w:t xml:space="preserve"> </w:t>
      </w:r>
      <w:r w:rsidR="00F918F3" w:rsidRPr="00F918F3">
        <w:rPr>
          <w:i/>
        </w:rPr>
        <w:t>500 to &lt; 5,000</w:t>
      </w:r>
    </w:p>
    <w:p w14:paraId="3C0A4C33" w14:textId="083D1A28" w:rsidR="00DF1435" w:rsidRPr="00DF1435" w:rsidRDefault="00BB1A30" w:rsidP="00DF1435">
      <w:pPr>
        <w:pStyle w:val="TableFigureFooter"/>
        <w:rPr>
          <w:i/>
        </w:rPr>
      </w:pPr>
      <w:r>
        <w:rPr>
          <w:i/>
          <w:vertAlign w:val="superscript"/>
        </w:rPr>
        <w:t>21</w:t>
      </w:r>
      <w:r w:rsidR="00DF1435" w:rsidRPr="00DF1435">
        <w:rPr>
          <w:i/>
          <w:vertAlign w:val="superscript"/>
        </w:rPr>
        <w:t xml:space="preserve"> </w:t>
      </w:r>
      <w:r w:rsidR="00991173" w:rsidRPr="00991173">
        <w:rPr>
          <w:i/>
        </w:rPr>
        <w:t>500,000 to &lt; 600,000</w:t>
      </w:r>
    </w:p>
    <w:p w14:paraId="67BED549" w14:textId="5DCE37B7" w:rsidR="00991173" w:rsidRPr="00991173" w:rsidRDefault="00991173" w:rsidP="00991173">
      <w:pPr>
        <w:pStyle w:val="TableFigureFooter"/>
        <w:rPr>
          <w:i/>
        </w:rPr>
      </w:pPr>
      <w:r>
        <w:rPr>
          <w:i/>
          <w:vertAlign w:val="superscript"/>
        </w:rPr>
        <w:t>22</w:t>
      </w:r>
      <w:r w:rsidRPr="00991173">
        <w:rPr>
          <w:i/>
        </w:rPr>
        <w:t xml:space="preserve"> </w:t>
      </w:r>
      <w:r w:rsidR="003625AD" w:rsidRPr="003625AD">
        <w:rPr>
          <w:i/>
        </w:rPr>
        <w:t>700,000 to &lt; 800,000</w:t>
      </w:r>
    </w:p>
    <w:p w14:paraId="11510969" w14:textId="3555C2DC" w:rsidR="00BF04CC" w:rsidRPr="00EB1825" w:rsidRDefault="00991173" w:rsidP="00BF04CC">
      <w:pPr>
        <w:pStyle w:val="TableFigureFooter"/>
        <w:keepNext/>
        <w:spacing w:after="0"/>
        <w:rPr>
          <w:bCs w:val="0"/>
        </w:rPr>
      </w:pPr>
      <w:r w:rsidRPr="00991173">
        <w:rPr>
          <w:i/>
          <w:vertAlign w:val="superscript"/>
        </w:rPr>
        <w:t>2</w:t>
      </w:r>
      <w:r>
        <w:rPr>
          <w:i/>
          <w:vertAlign w:val="superscript"/>
        </w:rPr>
        <w:t>3</w:t>
      </w:r>
      <w:r w:rsidRPr="00991173">
        <w:rPr>
          <w:i/>
          <w:vertAlign w:val="superscript"/>
        </w:rPr>
        <w:t xml:space="preserve"> </w:t>
      </w:r>
      <w:r w:rsidR="008E7B33" w:rsidRPr="008E7B33">
        <w:rPr>
          <w:i/>
        </w:rPr>
        <w:t>3,000,000 to &lt; 4,000,000</w:t>
      </w:r>
    </w:p>
    <w:p w14:paraId="0F92AF07" w14:textId="77777777" w:rsidR="00BF04CC" w:rsidRPr="00EB1825" w:rsidRDefault="00BF04CC" w:rsidP="00BF04CC">
      <w:pPr>
        <w:pStyle w:val="FooterTableFigure"/>
      </w:pPr>
    </w:p>
    <w:p w14:paraId="4DC1C53B" w14:textId="53B832D3" w:rsidR="005F69BD" w:rsidRDefault="00CF3947" w:rsidP="00766C07">
      <w:pPr>
        <w:pStyle w:val="3-BodyText"/>
      </w:pPr>
      <w:r w:rsidRPr="00E10290">
        <w:fldChar w:fldCharType="begin"/>
      </w:r>
      <w:r w:rsidRPr="00E10290">
        <w:instrText xml:space="preserve"> REF _Ref204857237 \h </w:instrText>
      </w:r>
      <w:r w:rsidR="00741834" w:rsidRPr="00E10290">
        <w:instrText xml:space="preserve"> \* MERGEFORMAT </w:instrText>
      </w:r>
      <w:r w:rsidRPr="00E10290">
        <w:fldChar w:fldCharType="separate"/>
      </w:r>
      <w:r w:rsidR="00946DF5" w:rsidRPr="00EB1825">
        <w:t xml:space="preserve">Table </w:t>
      </w:r>
      <w:r w:rsidR="00946DF5">
        <w:t>20</w:t>
      </w:r>
      <w:r w:rsidRPr="00E10290">
        <w:fldChar w:fldCharType="end"/>
      </w:r>
      <w:r w:rsidRPr="00E10290">
        <w:t xml:space="preserve"> </w:t>
      </w:r>
      <w:r w:rsidR="005F69BD" w:rsidRPr="00E10290">
        <w:t xml:space="preserve">summarises the estimated changes in </w:t>
      </w:r>
      <w:r w:rsidR="00AD3B05">
        <w:t xml:space="preserve">patient numbers, </w:t>
      </w:r>
      <w:r w:rsidR="005F69BD" w:rsidRPr="00E10290">
        <w:t>script volume and total cost to the government budget as presented in March 2025 submission (blue shaded)</w:t>
      </w:r>
      <w:r w:rsidR="00372DC5">
        <w:t xml:space="preserve">, </w:t>
      </w:r>
      <w:r w:rsidR="005F69BD" w:rsidRPr="00E10290">
        <w:t>resubmission</w:t>
      </w:r>
      <w:r w:rsidR="00372DC5">
        <w:t>, PSCR and pre-PBAC response</w:t>
      </w:r>
      <w:r w:rsidR="005F69BD" w:rsidRPr="00E10290">
        <w:t xml:space="preserve">. </w:t>
      </w:r>
    </w:p>
    <w:p w14:paraId="1F78B6C8" w14:textId="6E9DA53B" w:rsidR="0087612A" w:rsidRPr="00EB1825" w:rsidRDefault="0087612A" w:rsidP="00766C07">
      <w:pPr>
        <w:pStyle w:val="3-BodyText"/>
        <w:numPr>
          <w:ilvl w:val="1"/>
          <w:numId w:val="1"/>
        </w:numPr>
        <w:ind w:left="720"/>
      </w:pPr>
      <w:r w:rsidRPr="00EB1825">
        <w:t>The PSCR included a revised the financial model, which it reported included the following amendments:</w:t>
      </w:r>
    </w:p>
    <w:p w14:paraId="7508DAC3" w14:textId="7EA8370B" w:rsidR="0087612A" w:rsidRPr="00EB1825" w:rsidRDefault="0087612A" w:rsidP="0087612A">
      <w:pPr>
        <w:pStyle w:val="ListParagraph"/>
        <w:ind w:left="1021" w:hanging="284"/>
      </w:pPr>
      <w:r w:rsidRPr="00EB1825">
        <w:t>Estimated the number of new patients initiating treatment each year by calculating the difference between the treated patient population in the current and previous year.</w:t>
      </w:r>
      <w:r w:rsidR="00AA4B73">
        <w:t xml:space="preserve"> Total patient numbers </w:t>
      </w:r>
      <w:r w:rsidR="004D3002">
        <w:t>were</w:t>
      </w:r>
      <w:r w:rsidR="00AA4B73">
        <w:t xml:space="preserve"> unchanged in the PSCR estimates.</w:t>
      </w:r>
    </w:p>
    <w:p w14:paraId="6FBD6F4F" w14:textId="77777777" w:rsidR="0087612A" w:rsidRPr="00EB1825" w:rsidRDefault="0087612A" w:rsidP="0087612A">
      <w:pPr>
        <w:pStyle w:val="ListParagraph"/>
        <w:ind w:left="1021" w:hanging="284"/>
      </w:pPr>
      <w:r w:rsidRPr="00EB1825">
        <w:t xml:space="preserve">Applied the treatment discontinuation rate to patients initiating </w:t>
      </w:r>
      <w:proofErr w:type="spellStart"/>
      <w:r w:rsidRPr="00EB1825">
        <w:t>fezolinetant</w:t>
      </w:r>
      <w:proofErr w:type="spellEnd"/>
      <w:r w:rsidRPr="00EB1825">
        <w:t xml:space="preserve"> each year and tracked persistence over time.</w:t>
      </w:r>
    </w:p>
    <w:p w14:paraId="51642F4C" w14:textId="77777777" w:rsidR="0087612A" w:rsidRPr="00EB1825" w:rsidRDefault="0087612A" w:rsidP="0087612A">
      <w:pPr>
        <w:pStyle w:val="ListParagraph"/>
        <w:ind w:left="1021" w:hanging="284"/>
      </w:pPr>
      <w:r w:rsidRPr="00EB1825">
        <w:t xml:space="preserve">Revised the treatment compliance to 100% to avoid double counting. (However, this adjustment, was not reflected in the presented revised base case presented in the PSCR). The ESC considered that it was appropriate for compliance and discontinuation to be applied separately in the financial estimates and for these values to be consistent with the economic evaluation. </w:t>
      </w:r>
    </w:p>
    <w:p w14:paraId="1F1F505D" w14:textId="27E51AA6" w:rsidR="008A1855" w:rsidRPr="00183925" w:rsidRDefault="00372DC5" w:rsidP="00766C07">
      <w:pPr>
        <w:pStyle w:val="3-BodyText"/>
      </w:pPr>
      <w:r>
        <w:t xml:space="preserve">The pre-PBAC </w:t>
      </w:r>
      <w:r w:rsidR="008A1855">
        <w:t>provided revised estimates, which it reported included the following amendments</w:t>
      </w:r>
      <w:r w:rsidR="008A1855" w:rsidRPr="00183925">
        <w:t>:</w:t>
      </w:r>
    </w:p>
    <w:p w14:paraId="0F5ACED6" w14:textId="563844D0" w:rsidR="008A1855" w:rsidRDefault="008A1855" w:rsidP="008A1855">
      <w:pPr>
        <w:pStyle w:val="ListParagraph"/>
        <w:ind w:left="1021" w:hanging="284"/>
      </w:pPr>
      <w:r>
        <w:t xml:space="preserve">Revised the eligible population </w:t>
      </w:r>
      <w:r w:rsidR="00810BC8">
        <w:t xml:space="preserve">from </w:t>
      </w:r>
      <w:r w:rsidR="006B2948">
        <w:t xml:space="preserve">45.04% </w:t>
      </w:r>
      <w:r>
        <w:t xml:space="preserve">to 26.4%, based on the </w:t>
      </w:r>
      <w:r w:rsidRPr="006D203C">
        <w:t>proportion of post-menopausal women with moderate to severe VMS who are MHT contraindicated or MHT stoppers</w:t>
      </w:r>
      <w:r>
        <w:t xml:space="preserve">, excluding the “MHT caution” subgroup </w:t>
      </w:r>
      <w:r w:rsidRPr="006D203C">
        <w:t>26.4%</w:t>
      </w:r>
      <w:r>
        <w:rPr>
          <w:rStyle w:val="FootnoteReference"/>
        </w:rPr>
        <w:footnoteReference w:id="12"/>
      </w:r>
      <w:r w:rsidRPr="006D203C">
        <w:t>.</w:t>
      </w:r>
    </w:p>
    <w:p w14:paraId="29BDB36C" w14:textId="30571F63" w:rsidR="008A1855" w:rsidRDefault="008A1855" w:rsidP="008A1855">
      <w:pPr>
        <w:pStyle w:val="ListParagraph"/>
        <w:ind w:left="1021" w:hanging="284"/>
      </w:pPr>
      <w:r>
        <w:t xml:space="preserve">Updated uptake rates </w:t>
      </w:r>
      <w:r w:rsidR="00041960">
        <w:t>based on</w:t>
      </w:r>
      <w:r>
        <w:t xml:space="preserve"> ESC advice that due to limited treatment option</w:t>
      </w:r>
      <w:r w:rsidR="00314136">
        <w:t>s</w:t>
      </w:r>
      <w:r>
        <w:t xml:space="preserve"> for patients on </w:t>
      </w:r>
      <w:r w:rsidR="00314136">
        <w:t xml:space="preserve">the </w:t>
      </w:r>
      <w:r>
        <w:t xml:space="preserve">PBS, the uptakes rates were underestimated. </w:t>
      </w:r>
      <w:r w:rsidR="005A10A9">
        <w:t xml:space="preserve">Uptake was reduced slightly in year 1 and increased </w:t>
      </w:r>
      <w:r w:rsidR="00495521">
        <w:t xml:space="preserve">substantially </w:t>
      </w:r>
      <w:r w:rsidR="005A10A9">
        <w:t>in subsequent years</w:t>
      </w:r>
      <w:r w:rsidR="00495521">
        <w:t xml:space="preserve">, </w:t>
      </w:r>
      <w:r w:rsidR="005F01CF">
        <w:t xml:space="preserve">including </w:t>
      </w:r>
      <w:r w:rsidR="00495521">
        <w:t xml:space="preserve">from </w:t>
      </w:r>
      <w:r w:rsidR="00E901B5" w:rsidRPr="00E901B5">
        <w:rPr>
          <w:highlight w:val="black"/>
        </w:rPr>
        <w:t>&amp;&amp;&amp;&amp;</w:t>
      </w:r>
      <w:r w:rsidR="00495521">
        <w:t xml:space="preserve">% </w:t>
      </w:r>
      <w:r w:rsidR="005F01CF">
        <w:t>t</w:t>
      </w:r>
      <w:r w:rsidR="005A10A9">
        <w:t xml:space="preserve">o </w:t>
      </w:r>
      <w:r w:rsidR="00E901B5" w:rsidRPr="00E901B5">
        <w:rPr>
          <w:highlight w:val="black"/>
        </w:rPr>
        <w:t>&amp;&amp;&amp;&amp;</w:t>
      </w:r>
      <w:r w:rsidR="005A10A9">
        <w:t>% in year 6</w:t>
      </w:r>
      <w:r w:rsidR="00041960">
        <w:t xml:space="preserve"> (see </w:t>
      </w:r>
      <w:r w:rsidR="00041960">
        <w:fldChar w:fldCharType="begin"/>
      </w:r>
      <w:r w:rsidR="00041960">
        <w:instrText xml:space="preserve"> REF _Ref184049924 \h </w:instrText>
      </w:r>
      <w:r w:rsidR="00041960">
        <w:fldChar w:fldCharType="separate"/>
      </w:r>
      <w:r w:rsidR="00946DF5" w:rsidRPr="00EB1825">
        <w:t xml:space="preserve">Table </w:t>
      </w:r>
      <w:r w:rsidR="00946DF5">
        <w:rPr>
          <w:noProof/>
        </w:rPr>
        <w:t>19</w:t>
      </w:r>
      <w:r w:rsidR="00041960">
        <w:fldChar w:fldCharType="end"/>
      </w:r>
      <w:r w:rsidR="00041960">
        <w:t>)</w:t>
      </w:r>
      <w:r w:rsidR="005A10A9">
        <w:t>.</w:t>
      </w:r>
    </w:p>
    <w:p w14:paraId="6D98FB3E" w14:textId="28F89941" w:rsidR="008A1855" w:rsidRDefault="008A1855" w:rsidP="008A1855">
      <w:pPr>
        <w:pStyle w:val="ListParagraph"/>
        <w:ind w:left="1021" w:hanging="284"/>
      </w:pPr>
      <w:r>
        <w:t>Decreased grandfathered patients (</w:t>
      </w:r>
      <w:r w:rsidR="007A27C8" w:rsidRPr="007A27C8">
        <w:t>5,000 to &lt; 10,000</w:t>
      </w:r>
      <w:r w:rsidR="007A27C8">
        <w:t xml:space="preserve"> </w:t>
      </w:r>
      <w:r>
        <w:t xml:space="preserve">from </w:t>
      </w:r>
      <w:r w:rsidR="0044664E" w:rsidRPr="0044664E">
        <w:t>10,000 to &lt; 20,000</w:t>
      </w:r>
      <w:r>
        <w:t>).</w:t>
      </w:r>
    </w:p>
    <w:p w14:paraId="20EB5E87" w14:textId="77777777" w:rsidR="008A1855" w:rsidRDefault="008A1855" w:rsidP="008A1855">
      <w:pPr>
        <w:pStyle w:val="ListParagraph"/>
        <w:ind w:left="1021" w:hanging="284"/>
      </w:pPr>
      <w:r>
        <w:t>Updated wholesale mark-ups, AHI fees and dispensing fees as of 1st July 2025.</w:t>
      </w:r>
    </w:p>
    <w:p w14:paraId="0B50F310" w14:textId="16F96D30" w:rsidR="008A1855" w:rsidRPr="00E10290" w:rsidRDefault="008A1855" w:rsidP="005F01CF">
      <w:pPr>
        <w:pStyle w:val="ListParagraph"/>
        <w:ind w:left="1021" w:hanging="284"/>
      </w:pPr>
      <w:r>
        <w:t xml:space="preserve">Changed the published and effective prices to </w:t>
      </w:r>
      <w:r w:rsidR="00E901B5" w:rsidRPr="00E901B5">
        <w:rPr>
          <w:highlight w:val="black"/>
        </w:rPr>
        <w:t>&amp;&amp;&amp;&amp;</w:t>
      </w:r>
      <w:r>
        <w:t xml:space="preserve"> and $</w:t>
      </w:r>
      <w:r w:rsidR="00E901B5" w:rsidRPr="00E901B5">
        <w:rPr>
          <w:highlight w:val="black"/>
        </w:rPr>
        <w:t>&amp;&amp;&amp;&amp;</w:t>
      </w:r>
      <w:r>
        <w:t>, respectively.</w:t>
      </w:r>
    </w:p>
    <w:p w14:paraId="1DB83AB5" w14:textId="30305AF6" w:rsidR="005F69BD" w:rsidRPr="00EB1825" w:rsidRDefault="005F69BD" w:rsidP="008A4EF6">
      <w:pPr>
        <w:pStyle w:val="Caption"/>
        <w:widowControl w:val="0"/>
        <w:rPr>
          <w:rStyle w:val="CommentReference"/>
          <w:b/>
          <w:bCs w:val="0"/>
          <w:szCs w:val="24"/>
        </w:rPr>
      </w:pPr>
      <w:bookmarkStart w:id="83" w:name="_Ref204857237"/>
      <w:r w:rsidRPr="00EB1825">
        <w:t xml:space="preserve">Table </w:t>
      </w:r>
      <w:r w:rsidR="005B6061">
        <w:fldChar w:fldCharType="begin"/>
      </w:r>
      <w:r w:rsidR="005B6061">
        <w:instrText xml:space="preserve"> SEQ Table \* ARABIC </w:instrText>
      </w:r>
      <w:r w:rsidR="005B6061">
        <w:fldChar w:fldCharType="separate"/>
      </w:r>
      <w:r w:rsidR="00946DF5">
        <w:rPr>
          <w:noProof/>
        </w:rPr>
        <w:t>20</w:t>
      </w:r>
      <w:r w:rsidR="005B6061">
        <w:rPr>
          <w:noProof/>
        </w:rPr>
        <w:fldChar w:fldCharType="end"/>
      </w:r>
      <w:bookmarkEnd w:id="83"/>
      <w:r w:rsidRPr="00EB1825">
        <w:t>:</w:t>
      </w:r>
      <w:r w:rsidRPr="00EB1825">
        <w:rPr>
          <w:rStyle w:val="CommentReference"/>
          <w:b/>
          <w:bCs w:val="0"/>
          <w:szCs w:val="24"/>
        </w:rPr>
        <w:t xml:space="preserve"> Estimated use and financial implications</w:t>
      </w:r>
    </w:p>
    <w:tbl>
      <w:tblPr>
        <w:tblStyle w:val="PBAClayout"/>
        <w:tblW w:w="5000" w:type="pct"/>
        <w:tblLayout w:type="fixed"/>
        <w:tblLook w:val="04A0" w:firstRow="1" w:lastRow="0" w:firstColumn="1" w:lastColumn="0" w:noHBand="0" w:noVBand="1"/>
        <w:tblCaption w:val="Table 20: Estimated use and financial implications"/>
      </w:tblPr>
      <w:tblGrid>
        <w:gridCol w:w="1270"/>
        <w:gridCol w:w="1046"/>
        <w:gridCol w:w="1102"/>
        <w:gridCol w:w="1102"/>
        <w:gridCol w:w="1102"/>
        <w:gridCol w:w="1102"/>
        <w:gridCol w:w="1068"/>
        <w:gridCol w:w="1225"/>
      </w:tblGrid>
      <w:tr w:rsidR="005F69BD" w:rsidRPr="00177467" w14:paraId="0FC0925D" w14:textId="77777777" w:rsidTr="0044664E">
        <w:trPr>
          <w:tblHeader/>
        </w:trPr>
        <w:tc>
          <w:tcPr>
            <w:tcW w:w="705" w:type="pct"/>
            <w:tcBorders>
              <w:top w:val="single" w:sz="4" w:space="0" w:color="auto"/>
              <w:left w:val="single" w:sz="4" w:space="0" w:color="auto"/>
              <w:bottom w:val="single" w:sz="4" w:space="0" w:color="auto"/>
              <w:right w:val="single" w:sz="4" w:space="0" w:color="auto"/>
            </w:tcBorders>
          </w:tcPr>
          <w:p w14:paraId="3FB0F62A" w14:textId="77777777" w:rsidR="005F69BD" w:rsidRPr="00177467" w:rsidRDefault="005F69BD" w:rsidP="008A4EF6">
            <w:pPr>
              <w:pStyle w:val="In-tableHeading"/>
              <w:widowControl w:val="0"/>
              <w:rPr>
                <w:szCs w:val="20"/>
                <w:lang w:val="en-AU"/>
              </w:rPr>
            </w:pPr>
          </w:p>
        </w:tc>
        <w:tc>
          <w:tcPr>
            <w:tcW w:w="580" w:type="pct"/>
            <w:tcBorders>
              <w:top w:val="single" w:sz="4" w:space="0" w:color="auto"/>
              <w:left w:val="single" w:sz="4" w:space="0" w:color="auto"/>
              <w:bottom w:val="single" w:sz="4" w:space="0" w:color="auto"/>
              <w:right w:val="single" w:sz="4" w:space="0" w:color="auto"/>
            </w:tcBorders>
            <w:hideMark/>
          </w:tcPr>
          <w:p w14:paraId="02E07CE2" w14:textId="77777777" w:rsidR="005F69BD" w:rsidRPr="00177467" w:rsidRDefault="005F69BD" w:rsidP="008A4EF6">
            <w:pPr>
              <w:pStyle w:val="In-tableHeading"/>
              <w:widowControl w:val="0"/>
              <w:jc w:val="center"/>
              <w:rPr>
                <w:szCs w:val="20"/>
                <w:lang w:val="en-AU"/>
              </w:rPr>
            </w:pPr>
            <w:r w:rsidRPr="00177467">
              <w:rPr>
                <w:szCs w:val="20"/>
                <w:lang w:val="en-AU"/>
              </w:rPr>
              <w:t>Year 1</w:t>
            </w:r>
          </w:p>
        </w:tc>
        <w:tc>
          <w:tcPr>
            <w:tcW w:w="611" w:type="pct"/>
            <w:tcBorders>
              <w:top w:val="single" w:sz="4" w:space="0" w:color="auto"/>
              <w:left w:val="single" w:sz="4" w:space="0" w:color="auto"/>
              <w:bottom w:val="single" w:sz="4" w:space="0" w:color="auto"/>
              <w:right w:val="single" w:sz="4" w:space="0" w:color="auto"/>
            </w:tcBorders>
            <w:hideMark/>
          </w:tcPr>
          <w:p w14:paraId="7923927C" w14:textId="77777777" w:rsidR="005F69BD" w:rsidRPr="00177467" w:rsidRDefault="005F69BD" w:rsidP="008A4EF6">
            <w:pPr>
              <w:pStyle w:val="In-tableHeading"/>
              <w:widowControl w:val="0"/>
              <w:jc w:val="center"/>
              <w:rPr>
                <w:szCs w:val="20"/>
                <w:lang w:val="en-AU"/>
              </w:rPr>
            </w:pPr>
            <w:r w:rsidRPr="00177467">
              <w:rPr>
                <w:szCs w:val="20"/>
                <w:lang w:val="en-AU"/>
              </w:rPr>
              <w:t>Year 2</w:t>
            </w:r>
          </w:p>
        </w:tc>
        <w:tc>
          <w:tcPr>
            <w:tcW w:w="611" w:type="pct"/>
            <w:tcBorders>
              <w:top w:val="single" w:sz="4" w:space="0" w:color="auto"/>
              <w:left w:val="single" w:sz="4" w:space="0" w:color="auto"/>
              <w:bottom w:val="single" w:sz="4" w:space="0" w:color="auto"/>
              <w:right w:val="single" w:sz="4" w:space="0" w:color="auto"/>
            </w:tcBorders>
            <w:hideMark/>
          </w:tcPr>
          <w:p w14:paraId="64B79B94" w14:textId="77777777" w:rsidR="005F69BD" w:rsidRPr="00177467" w:rsidRDefault="005F69BD" w:rsidP="008A4EF6">
            <w:pPr>
              <w:pStyle w:val="In-tableHeading"/>
              <w:widowControl w:val="0"/>
              <w:jc w:val="center"/>
              <w:rPr>
                <w:szCs w:val="20"/>
                <w:lang w:val="en-AU"/>
              </w:rPr>
            </w:pPr>
            <w:r w:rsidRPr="00177467">
              <w:rPr>
                <w:szCs w:val="20"/>
                <w:lang w:val="en-AU"/>
              </w:rPr>
              <w:t>Year 3</w:t>
            </w:r>
          </w:p>
        </w:tc>
        <w:tc>
          <w:tcPr>
            <w:tcW w:w="611" w:type="pct"/>
            <w:tcBorders>
              <w:top w:val="single" w:sz="4" w:space="0" w:color="auto"/>
              <w:left w:val="single" w:sz="4" w:space="0" w:color="auto"/>
              <w:bottom w:val="single" w:sz="4" w:space="0" w:color="auto"/>
              <w:right w:val="single" w:sz="4" w:space="0" w:color="auto"/>
            </w:tcBorders>
            <w:hideMark/>
          </w:tcPr>
          <w:p w14:paraId="72D86955" w14:textId="77777777" w:rsidR="005F69BD" w:rsidRPr="00177467" w:rsidRDefault="005F69BD" w:rsidP="008A4EF6">
            <w:pPr>
              <w:pStyle w:val="In-tableHeading"/>
              <w:widowControl w:val="0"/>
              <w:jc w:val="center"/>
              <w:rPr>
                <w:szCs w:val="20"/>
                <w:lang w:val="en-AU"/>
              </w:rPr>
            </w:pPr>
            <w:r w:rsidRPr="00177467">
              <w:rPr>
                <w:szCs w:val="20"/>
                <w:lang w:val="en-AU"/>
              </w:rPr>
              <w:t>Year 4</w:t>
            </w:r>
          </w:p>
        </w:tc>
        <w:tc>
          <w:tcPr>
            <w:tcW w:w="611" w:type="pct"/>
            <w:tcBorders>
              <w:top w:val="single" w:sz="4" w:space="0" w:color="auto"/>
              <w:left w:val="single" w:sz="4" w:space="0" w:color="auto"/>
              <w:bottom w:val="single" w:sz="4" w:space="0" w:color="auto"/>
              <w:right w:val="single" w:sz="4" w:space="0" w:color="auto"/>
            </w:tcBorders>
            <w:hideMark/>
          </w:tcPr>
          <w:p w14:paraId="734DE9A5" w14:textId="77777777" w:rsidR="005F69BD" w:rsidRPr="00177467" w:rsidRDefault="005F69BD" w:rsidP="008A4EF6">
            <w:pPr>
              <w:pStyle w:val="In-tableHeading"/>
              <w:widowControl w:val="0"/>
              <w:jc w:val="center"/>
              <w:rPr>
                <w:szCs w:val="20"/>
                <w:lang w:val="en-AU"/>
              </w:rPr>
            </w:pPr>
            <w:r w:rsidRPr="00177467">
              <w:rPr>
                <w:szCs w:val="20"/>
                <w:lang w:val="en-AU"/>
              </w:rPr>
              <w:t>Year 5</w:t>
            </w:r>
          </w:p>
        </w:tc>
        <w:tc>
          <w:tcPr>
            <w:tcW w:w="592" w:type="pct"/>
            <w:tcBorders>
              <w:top w:val="single" w:sz="4" w:space="0" w:color="auto"/>
              <w:left w:val="single" w:sz="4" w:space="0" w:color="auto"/>
              <w:bottom w:val="single" w:sz="4" w:space="0" w:color="auto"/>
              <w:right w:val="single" w:sz="4" w:space="0" w:color="auto"/>
            </w:tcBorders>
            <w:hideMark/>
          </w:tcPr>
          <w:p w14:paraId="0F09643E" w14:textId="77777777" w:rsidR="005F69BD" w:rsidRPr="00177467" w:rsidRDefault="005F69BD" w:rsidP="008A4EF6">
            <w:pPr>
              <w:pStyle w:val="In-tableHeading"/>
              <w:widowControl w:val="0"/>
              <w:jc w:val="center"/>
              <w:rPr>
                <w:szCs w:val="20"/>
                <w:lang w:val="en-AU"/>
              </w:rPr>
            </w:pPr>
            <w:r w:rsidRPr="00177467">
              <w:rPr>
                <w:szCs w:val="20"/>
                <w:lang w:val="en-AU"/>
              </w:rPr>
              <w:t>Year 6</w:t>
            </w:r>
          </w:p>
        </w:tc>
        <w:tc>
          <w:tcPr>
            <w:tcW w:w="679" w:type="pct"/>
            <w:tcBorders>
              <w:top w:val="single" w:sz="4" w:space="0" w:color="auto"/>
              <w:left w:val="single" w:sz="4" w:space="0" w:color="auto"/>
              <w:bottom w:val="single" w:sz="4" w:space="0" w:color="auto"/>
              <w:right w:val="single" w:sz="4" w:space="0" w:color="auto"/>
            </w:tcBorders>
            <w:hideMark/>
          </w:tcPr>
          <w:p w14:paraId="76575764" w14:textId="77777777" w:rsidR="005F69BD" w:rsidRPr="00177467" w:rsidRDefault="005F69BD" w:rsidP="008A4EF6">
            <w:pPr>
              <w:pStyle w:val="In-tableHeading"/>
              <w:widowControl w:val="0"/>
              <w:jc w:val="center"/>
              <w:rPr>
                <w:szCs w:val="20"/>
                <w:lang w:val="en-AU"/>
              </w:rPr>
            </w:pPr>
            <w:r w:rsidRPr="00177467">
              <w:rPr>
                <w:szCs w:val="20"/>
                <w:lang w:val="en-AU"/>
              </w:rPr>
              <w:t>Total</w:t>
            </w:r>
          </w:p>
        </w:tc>
      </w:tr>
      <w:tr w:rsidR="005F69BD" w:rsidRPr="00177467" w14:paraId="616E23F0" w14:textId="77777777" w:rsidTr="006E29A6">
        <w:tc>
          <w:tcPr>
            <w:tcW w:w="5000" w:type="pct"/>
            <w:gridSpan w:val="8"/>
            <w:tcBorders>
              <w:top w:val="single" w:sz="4" w:space="0" w:color="auto"/>
              <w:left w:val="single" w:sz="4" w:space="0" w:color="auto"/>
              <w:bottom w:val="single" w:sz="4" w:space="0" w:color="auto"/>
              <w:right w:val="single" w:sz="4" w:space="0" w:color="auto"/>
            </w:tcBorders>
            <w:hideMark/>
          </w:tcPr>
          <w:p w14:paraId="69BBB726" w14:textId="7E5A3AF6" w:rsidR="005F69BD" w:rsidRPr="00177467" w:rsidRDefault="005F69BD" w:rsidP="008A4EF6">
            <w:pPr>
              <w:pStyle w:val="TableText0"/>
              <w:widowControl w:val="0"/>
              <w:rPr>
                <w:b/>
                <w:szCs w:val="20"/>
              </w:rPr>
            </w:pPr>
            <w:r w:rsidRPr="00177467">
              <w:rPr>
                <w:b/>
                <w:szCs w:val="20"/>
              </w:rPr>
              <w:t>Eligible patients</w:t>
            </w:r>
          </w:p>
        </w:tc>
      </w:tr>
      <w:tr w:rsidR="006E29A6" w:rsidRPr="00177467" w14:paraId="6897935D" w14:textId="77777777" w:rsidTr="0044664E">
        <w:tc>
          <w:tcPr>
            <w:tcW w:w="70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965A70C" w14:textId="77777777" w:rsidR="005F69BD" w:rsidRPr="00177467" w:rsidRDefault="005F69BD" w:rsidP="008A4EF6">
            <w:pPr>
              <w:pStyle w:val="TableText0"/>
              <w:widowControl w:val="0"/>
              <w:rPr>
                <w:szCs w:val="20"/>
              </w:rPr>
            </w:pPr>
            <w:r w:rsidRPr="00177467">
              <w:rPr>
                <w:szCs w:val="20"/>
              </w:rPr>
              <w:t>March 2025</w:t>
            </w:r>
          </w:p>
        </w:tc>
        <w:tc>
          <w:tcPr>
            <w:tcW w:w="58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C650AD" w14:textId="6782EC53" w:rsidR="005F69BD" w:rsidRPr="0056694B" w:rsidRDefault="00E901B5" w:rsidP="008A4EF6">
            <w:pPr>
              <w:pStyle w:val="TableText0"/>
              <w:widowControl w:val="0"/>
              <w:jc w:val="center"/>
              <w:rPr>
                <w:szCs w:val="20"/>
                <w:vertAlign w:val="superscript"/>
              </w:rPr>
            </w:pPr>
            <w:r w:rsidRPr="00E901B5">
              <w:rPr>
                <w:szCs w:val="20"/>
                <w:highlight w:val="black"/>
              </w:rPr>
              <w:t>&amp;&amp;&amp;&amp;</w:t>
            </w:r>
            <w:r w:rsidR="0056694B">
              <w:rPr>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211C41A" w14:textId="3947D007" w:rsidR="005F69BD" w:rsidRPr="0056694B" w:rsidRDefault="00E901B5" w:rsidP="008A4EF6">
            <w:pPr>
              <w:pStyle w:val="TableText0"/>
              <w:widowControl w:val="0"/>
              <w:jc w:val="center"/>
              <w:rPr>
                <w:szCs w:val="20"/>
                <w:vertAlign w:val="superscript"/>
              </w:rPr>
            </w:pPr>
            <w:r w:rsidRPr="00E901B5">
              <w:rPr>
                <w:szCs w:val="20"/>
                <w:highlight w:val="black"/>
              </w:rPr>
              <w:t>&amp;&amp;&amp;&amp;</w:t>
            </w:r>
            <w:r w:rsidR="0056694B">
              <w:rPr>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9D0FAF" w14:textId="2D27604F" w:rsidR="005F69BD" w:rsidRPr="003133E1" w:rsidRDefault="00E901B5" w:rsidP="008A4EF6">
            <w:pPr>
              <w:pStyle w:val="TableText0"/>
              <w:widowControl w:val="0"/>
              <w:jc w:val="center"/>
              <w:rPr>
                <w:szCs w:val="20"/>
                <w:vertAlign w:val="superscript"/>
              </w:rPr>
            </w:pPr>
            <w:r w:rsidRPr="00E901B5">
              <w:rPr>
                <w:szCs w:val="20"/>
                <w:highlight w:val="black"/>
              </w:rPr>
              <w:t>&amp;&amp;&amp;&amp;</w:t>
            </w:r>
            <w:r w:rsidR="003133E1">
              <w:rPr>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A6F7853" w14:textId="422399E4" w:rsidR="005F69BD" w:rsidRPr="003133E1" w:rsidRDefault="00E901B5" w:rsidP="008A4EF6">
            <w:pPr>
              <w:pStyle w:val="TableText0"/>
              <w:widowControl w:val="0"/>
              <w:jc w:val="center"/>
              <w:rPr>
                <w:szCs w:val="20"/>
                <w:vertAlign w:val="superscript"/>
              </w:rPr>
            </w:pPr>
            <w:r w:rsidRPr="00E901B5">
              <w:rPr>
                <w:szCs w:val="20"/>
                <w:highlight w:val="black"/>
              </w:rPr>
              <w:t>&amp;&amp;&amp;&amp;</w:t>
            </w:r>
            <w:r w:rsidR="003133E1">
              <w:rPr>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167FA7F" w14:textId="54D76E7B" w:rsidR="005F69BD" w:rsidRPr="003133E1" w:rsidRDefault="00E901B5" w:rsidP="008A4EF6">
            <w:pPr>
              <w:pStyle w:val="TableText0"/>
              <w:widowControl w:val="0"/>
              <w:jc w:val="center"/>
              <w:rPr>
                <w:szCs w:val="20"/>
                <w:vertAlign w:val="superscript"/>
              </w:rPr>
            </w:pPr>
            <w:r w:rsidRPr="00E901B5">
              <w:rPr>
                <w:szCs w:val="20"/>
                <w:highlight w:val="black"/>
              </w:rPr>
              <w:t>&amp;&amp;&amp;&amp;</w:t>
            </w:r>
            <w:r w:rsidR="003133E1">
              <w:rPr>
                <w:szCs w:val="20"/>
                <w:vertAlign w:val="superscript"/>
              </w:rPr>
              <w:t>2</w:t>
            </w:r>
          </w:p>
        </w:tc>
        <w:tc>
          <w:tcPr>
            <w:tcW w:w="59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D0194A9" w14:textId="545E79CD" w:rsidR="005F69BD" w:rsidRPr="003133E1" w:rsidRDefault="00E901B5" w:rsidP="008A4EF6">
            <w:pPr>
              <w:pStyle w:val="TableText0"/>
              <w:widowControl w:val="0"/>
              <w:jc w:val="center"/>
              <w:rPr>
                <w:szCs w:val="20"/>
                <w:vertAlign w:val="superscript"/>
              </w:rPr>
            </w:pPr>
            <w:r w:rsidRPr="00E901B5">
              <w:rPr>
                <w:szCs w:val="20"/>
                <w:highlight w:val="black"/>
              </w:rPr>
              <w:t>&amp;&amp;&amp;&amp;</w:t>
            </w:r>
            <w:r w:rsidR="003133E1">
              <w:rPr>
                <w:szCs w:val="20"/>
                <w:vertAlign w:val="superscript"/>
              </w:rPr>
              <w:t>2</w:t>
            </w:r>
          </w:p>
        </w:tc>
        <w:tc>
          <w:tcPr>
            <w:tcW w:w="679"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0B0C58E" w14:textId="37068F21" w:rsidR="005F69BD" w:rsidRPr="003716A5" w:rsidRDefault="00E901B5" w:rsidP="008A4EF6">
            <w:pPr>
              <w:pStyle w:val="TableText0"/>
              <w:widowControl w:val="0"/>
              <w:jc w:val="center"/>
              <w:rPr>
                <w:szCs w:val="20"/>
                <w:vertAlign w:val="superscript"/>
              </w:rPr>
            </w:pPr>
            <w:r w:rsidRPr="00E901B5">
              <w:rPr>
                <w:szCs w:val="20"/>
                <w:highlight w:val="black"/>
              </w:rPr>
              <w:t>&amp;&amp;&amp;&amp;</w:t>
            </w:r>
            <w:r w:rsidR="003716A5">
              <w:rPr>
                <w:szCs w:val="20"/>
                <w:vertAlign w:val="superscript"/>
              </w:rPr>
              <w:t>3</w:t>
            </w:r>
          </w:p>
        </w:tc>
      </w:tr>
      <w:tr w:rsidR="005F69BD" w:rsidRPr="00177467" w14:paraId="5EA5C261" w14:textId="77777777" w:rsidTr="0044664E">
        <w:tc>
          <w:tcPr>
            <w:tcW w:w="705" w:type="pct"/>
            <w:tcBorders>
              <w:top w:val="single" w:sz="4" w:space="0" w:color="auto"/>
              <w:left w:val="single" w:sz="4" w:space="0" w:color="auto"/>
              <w:bottom w:val="single" w:sz="4" w:space="0" w:color="auto"/>
              <w:right w:val="single" w:sz="4" w:space="0" w:color="auto"/>
            </w:tcBorders>
            <w:hideMark/>
          </w:tcPr>
          <w:p w14:paraId="19FD56E1" w14:textId="77777777" w:rsidR="005F69BD" w:rsidRPr="00177467" w:rsidRDefault="005F69BD" w:rsidP="008A4EF6">
            <w:pPr>
              <w:pStyle w:val="TableText0"/>
              <w:widowControl w:val="0"/>
              <w:rPr>
                <w:szCs w:val="20"/>
              </w:rPr>
            </w:pPr>
            <w:r w:rsidRPr="00177467">
              <w:rPr>
                <w:szCs w:val="20"/>
              </w:rPr>
              <w:t>Resubmission</w:t>
            </w:r>
          </w:p>
        </w:tc>
        <w:tc>
          <w:tcPr>
            <w:tcW w:w="580" w:type="pct"/>
            <w:tcBorders>
              <w:top w:val="single" w:sz="4" w:space="0" w:color="auto"/>
              <w:left w:val="single" w:sz="4" w:space="0" w:color="auto"/>
              <w:bottom w:val="single" w:sz="4" w:space="0" w:color="auto"/>
              <w:right w:val="single" w:sz="4" w:space="0" w:color="auto"/>
            </w:tcBorders>
          </w:tcPr>
          <w:p w14:paraId="26FAA9BE" w14:textId="528710CA" w:rsidR="005F69BD" w:rsidRPr="00A7223A" w:rsidRDefault="00E901B5" w:rsidP="008A4EF6">
            <w:pPr>
              <w:pStyle w:val="TableText0"/>
              <w:widowControl w:val="0"/>
              <w:jc w:val="center"/>
              <w:rPr>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tcPr>
          <w:p w14:paraId="794E93BE" w14:textId="53D06865" w:rsidR="005F69BD" w:rsidRPr="00A7223A" w:rsidRDefault="00E901B5" w:rsidP="008A4EF6">
            <w:pPr>
              <w:pStyle w:val="TableText0"/>
              <w:widowControl w:val="0"/>
              <w:jc w:val="center"/>
              <w:rPr>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tcPr>
          <w:p w14:paraId="5686E94A" w14:textId="60315AA9" w:rsidR="005F69BD" w:rsidRPr="00A7223A" w:rsidRDefault="00E901B5" w:rsidP="008A4EF6">
            <w:pPr>
              <w:pStyle w:val="TableText0"/>
              <w:widowControl w:val="0"/>
              <w:jc w:val="center"/>
              <w:rPr>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tcPr>
          <w:p w14:paraId="10B0B319" w14:textId="42BC2577" w:rsidR="005F69BD" w:rsidRPr="00A7223A" w:rsidRDefault="00E901B5" w:rsidP="008A4EF6">
            <w:pPr>
              <w:pStyle w:val="TableText0"/>
              <w:widowControl w:val="0"/>
              <w:jc w:val="center"/>
              <w:rPr>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tcPr>
          <w:p w14:paraId="65D3792E" w14:textId="68F47E55" w:rsidR="005F69BD" w:rsidRPr="00A7223A" w:rsidRDefault="00E901B5" w:rsidP="008A4EF6">
            <w:pPr>
              <w:pStyle w:val="TableText0"/>
              <w:widowControl w:val="0"/>
              <w:jc w:val="center"/>
              <w:rPr>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592" w:type="pct"/>
            <w:tcBorders>
              <w:top w:val="single" w:sz="4" w:space="0" w:color="auto"/>
              <w:left w:val="single" w:sz="4" w:space="0" w:color="auto"/>
              <w:bottom w:val="single" w:sz="4" w:space="0" w:color="auto"/>
              <w:right w:val="single" w:sz="4" w:space="0" w:color="auto"/>
            </w:tcBorders>
          </w:tcPr>
          <w:p w14:paraId="7CDCD544" w14:textId="2EA8A2FF" w:rsidR="005F69BD" w:rsidRPr="00A7223A" w:rsidRDefault="00E901B5" w:rsidP="008A4EF6">
            <w:pPr>
              <w:pStyle w:val="TableText0"/>
              <w:widowControl w:val="0"/>
              <w:jc w:val="center"/>
              <w:rPr>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679" w:type="pct"/>
            <w:tcBorders>
              <w:top w:val="single" w:sz="4" w:space="0" w:color="auto"/>
              <w:left w:val="single" w:sz="4" w:space="0" w:color="auto"/>
              <w:bottom w:val="single" w:sz="4" w:space="0" w:color="auto"/>
              <w:right w:val="single" w:sz="4" w:space="0" w:color="auto"/>
            </w:tcBorders>
          </w:tcPr>
          <w:p w14:paraId="3EEE7FB3" w14:textId="0C501292" w:rsidR="005F69BD" w:rsidRPr="00594AF8" w:rsidRDefault="00E901B5" w:rsidP="008A4EF6">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594AF8">
              <w:rPr>
                <w:rFonts w:cs="Calibri"/>
                <w:color w:val="000000"/>
                <w:szCs w:val="20"/>
                <w:vertAlign w:val="superscript"/>
              </w:rPr>
              <w:t>5</w:t>
            </w:r>
          </w:p>
        </w:tc>
      </w:tr>
      <w:tr w:rsidR="00804255" w:rsidRPr="00177467" w14:paraId="525DC34F" w14:textId="2A874164" w:rsidTr="0044664E">
        <w:tc>
          <w:tcPr>
            <w:tcW w:w="705" w:type="pct"/>
            <w:tcBorders>
              <w:top w:val="single" w:sz="4" w:space="0" w:color="auto"/>
              <w:left w:val="single" w:sz="4" w:space="0" w:color="auto"/>
              <w:bottom w:val="single" w:sz="4" w:space="0" w:color="auto"/>
              <w:right w:val="single" w:sz="4" w:space="0" w:color="auto"/>
            </w:tcBorders>
          </w:tcPr>
          <w:p w14:paraId="01B5CDBC" w14:textId="515C1656" w:rsidR="00804255" w:rsidRPr="00177467" w:rsidRDefault="00804255" w:rsidP="00804255">
            <w:pPr>
              <w:pStyle w:val="TableText0"/>
              <w:widowControl w:val="0"/>
              <w:rPr>
                <w:szCs w:val="20"/>
              </w:rPr>
            </w:pPr>
            <w:r w:rsidRPr="00177467">
              <w:rPr>
                <w:szCs w:val="20"/>
              </w:rPr>
              <w:t>PSCR</w:t>
            </w:r>
          </w:p>
        </w:tc>
        <w:tc>
          <w:tcPr>
            <w:tcW w:w="580" w:type="pct"/>
            <w:tcBorders>
              <w:top w:val="single" w:sz="4" w:space="0" w:color="auto"/>
              <w:left w:val="single" w:sz="4" w:space="0" w:color="auto"/>
              <w:bottom w:val="single" w:sz="4" w:space="0" w:color="auto"/>
              <w:right w:val="single" w:sz="4" w:space="0" w:color="auto"/>
            </w:tcBorders>
          </w:tcPr>
          <w:p w14:paraId="36A25B52" w14:textId="50A7EA6A" w:rsidR="00804255" w:rsidRPr="00A7223A" w:rsidRDefault="00E901B5" w:rsidP="00804255">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tcPr>
          <w:p w14:paraId="0D963136" w14:textId="1C33152D" w:rsidR="00804255" w:rsidRPr="00A7223A" w:rsidRDefault="00E901B5" w:rsidP="00804255">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tcPr>
          <w:p w14:paraId="55EA959F" w14:textId="5BB5A245" w:rsidR="00804255" w:rsidRPr="00A7223A" w:rsidRDefault="00E901B5" w:rsidP="00804255">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tcPr>
          <w:p w14:paraId="237AC6A9" w14:textId="5BFDB76F" w:rsidR="00804255" w:rsidRPr="00A7223A" w:rsidRDefault="00E901B5" w:rsidP="00804255">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tcPr>
          <w:p w14:paraId="38240954" w14:textId="6BB6F2F1" w:rsidR="00804255" w:rsidRPr="00A7223A" w:rsidRDefault="00E901B5" w:rsidP="00804255">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592" w:type="pct"/>
            <w:tcBorders>
              <w:top w:val="single" w:sz="4" w:space="0" w:color="auto"/>
              <w:left w:val="single" w:sz="4" w:space="0" w:color="auto"/>
              <w:bottom w:val="single" w:sz="4" w:space="0" w:color="auto"/>
              <w:right w:val="single" w:sz="4" w:space="0" w:color="auto"/>
            </w:tcBorders>
          </w:tcPr>
          <w:p w14:paraId="59869D60" w14:textId="7364797C" w:rsidR="00804255" w:rsidRPr="00A7223A" w:rsidRDefault="00E901B5" w:rsidP="00804255">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A7223A">
              <w:rPr>
                <w:rFonts w:cs="Calibri"/>
                <w:color w:val="000000"/>
                <w:szCs w:val="20"/>
                <w:vertAlign w:val="superscript"/>
              </w:rPr>
              <w:t>4</w:t>
            </w:r>
          </w:p>
        </w:tc>
        <w:tc>
          <w:tcPr>
            <w:tcW w:w="679" w:type="pct"/>
            <w:tcBorders>
              <w:top w:val="single" w:sz="4" w:space="0" w:color="auto"/>
              <w:left w:val="single" w:sz="4" w:space="0" w:color="auto"/>
              <w:bottom w:val="single" w:sz="4" w:space="0" w:color="auto"/>
              <w:right w:val="single" w:sz="4" w:space="0" w:color="auto"/>
            </w:tcBorders>
          </w:tcPr>
          <w:p w14:paraId="1C505F1E" w14:textId="315EC82C" w:rsidR="00804255" w:rsidRPr="00594AF8" w:rsidRDefault="00E901B5" w:rsidP="00804255">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594AF8">
              <w:rPr>
                <w:rFonts w:cs="Calibri"/>
                <w:color w:val="000000"/>
                <w:szCs w:val="20"/>
                <w:vertAlign w:val="superscript"/>
              </w:rPr>
              <w:t>5</w:t>
            </w:r>
          </w:p>
        </w:tc>
      </w:tr>
      <w:tr w:rsidR="002531CE" w:rsidRPr="00177467" w14:paraId="6649C26A" w14:textId="77777777" w:rsidTr="0044664E">
        <w:tc>
          <w:tcPr>
            <w:tcW w:w="705" w:type="pct"/>
            <w:tcBorders>
              <w:top w:val="single" w:sz="4" w:space="0" w:color="auto"/>
              <w:left w:val="single" w:sz="4" w:space="0" w:color="auto"/>
              <w:bottom w:val="single" w:sz="4" w:space="0" w:color="auto"/>
              <w:right w:val="single" w:sz="4" w:space="0" w:color="auto"/>
            </w:tcBorders>
          </w:tcPr>
          <w:p w14:paraId="721A9D7D" w14:textId="036AD532" w:rsidR="002531CE" w:rsidRPr="00D8190A" w:rsidRDefault="002531CE" w:rsidP="002531CE">
            <w:pPr>
              <w:pStyle w:val="TableText0"/>
              <w:widowControl w:val="0"/>
              <w:rPr>
                <w:szCs w:val="20"/>
              </w:rPr>
            </w:pPr>
            <w:r w:rsidRPr="00D8190A">
              <w:rPr>
                <w:szCs w:val="20"/>
              </w:rPr>
              <w:t>Pre-PBAC</w:t>
            </w:r>
          </w:p>
        </w:tc>
        <w:tc>
          <w:tcPr>
            <w:tcW w:w="580" w:type="pct"/>
            <w:tcBorders>
              <w:top w:val="single" w:sz="4" w:space="0" w:color="auto"/>
              <w:left w:val="single" w:sz="4" w:space="0" w:color="auto"/>
              <w:bottom w:val="single" w:sz="4" w:space="0" w:color="auto"/>
              <w:right w:val="single" w:sz="4" w:space="0" w:color="auto"/>
            </w:tcBorders>
          </w:tcPr>
          <w:p w14:paraId="0218C4EB" w14:textId="465824E1" w:rsidR="002531CE" w:rsidRPr="00BB40F5" w:rsidRDefault="00E901B5" w:rsidP="002531CE">
            <w:pPr>
              <w:pStyle w:val="TableText0"/>
              <w:widowControl w:val="0"/>
              <w:jc w:val="center"/>
              <w:rPr>
                <w:rFonts w:cs="Calibri"/>
                <w:color w:val="000000"/>
                <w:szCs w:val="20"/>
                <w:vertAlign w:val="superscript"/>
              </w:rPr>
            </w:pPr>
            <w:r w:rsidRPr="00E901B5">
              <w:rPr>
                <w:szCs w:val="20"/>
                <w:highlight w:val="black"/>
              </w:rPr>
              <w:t>&amp;&amp;&amp;&amp;</w:t>
            </w:r>
            <w:r w:rsidR="00BB40F5">
              <w:rPr>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tcPr>
          <w:p w14:paraId="0B470C45" w14:textId="0F812340" w:rsidR="002531CE" w:rsidRPr="00BB40F5" w:rsidRDefault="00E901B5" w:rsidP="002531CE">
            <w:pPr>
              <w:pStyle w:val="TableText0"/>
              <w:widowControl w:val="0"/>
              <w:jc w:val="center"/>
              <w:rPr>
                <w:rFonts w:cs="Calibri"/>
                <w:color w:val="000000"/>
                <w:szCs w:val="20"/>
                <w:vertAlign w:val="superscript"/>
              </w:rPr>
            </w:pPr>
            <w:r w:rsidRPr="00E901B5">
              <w:rPr>
                <w:szCs w:val="20"/>
                <w:highlight w:val="black"/>
              </w:rPr>
              <w:t>&amp;&amp;&amp;&amp;</w:t>
            </w:r>
            <w:r w:rsidR="00BB40F5">
              <w:rPr>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tcPr>
          <w:p w14:paraId="3FAE5C94" w14:textId="61A70C2C" w:rsidR="002531CE" w:rsidRPr="00BB40F5" w:rsidRDefault="00E901B5" w:rsidP="002531CE">
            <w:pPr>
              <w:pStyle w:val="TableText0"/>
              <w:widowControl w:val="0"/>
              <w:jc w:val="center"/>
              <w:rPr>
                <w:rFonts w:cs="Calibri"/>
                <w:color w:val="000000"/>
                <w:szCs w:val="20"/>
                <w:vertAlign w:val="superscript"/>
              </w:rPr>
            </w:pPr>
            <w:r w:rsidRPr="00E901B5">
              <w:rPr>
                <w:szCs w:val="20"/>
                <w:highlight w:val="black"/>
              </w:rPr>
              <w:t>&amp;&amp;&amp;&amp;</w:t>
            </w:r>
            <w:r w:rsidR="00BB40F5">
              <w:rPr>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tcPr>
          <w:p w14:paraId="1F227C5D" w14:textId="4993977A" w:rsidR="002531CE" w:rsidRPr="00BB40F5" w:rsidRDefault="00E901B5" w:rsidP="002531CE">
            <w:pPr>
              <w:pStyle w:val="TableText0"/>
              <w:widowControl w:val="0"/>
              <w:jc w:val="center"/>
              <w:rPr>
                <w:rFonts w:cs="Calibri"/>
                <w:color w:val="000000"/>
                <w:szCs w:val="20"/>
                <w:vertAlign w:val="superscript"/>
              </w:rPr>
            </w:pPr>
            <w:r w:rsidRPr="00E901B5">
              <w:rPr>
                <w:szCs w:val="20"/>
                <w:highlight w:val="black"/>
              </w:rPr>
              <w:t>&amp;&amp;&amp;&amp;</w:t>
            </w:r>
            <w:r w:rsidR="00BB40F5">
              <w:rPr>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tcPr>
          <w:p w14:paraId="0909C7D7" w14:textId="79BC54B3" w:rsidR="002531CE" w:rsidRPr="00BB40F5" w:rsidRDefault="00E901B5" w:rsidP="002531CE">
            <w:pPr>
              <w:pStyle w:val="TableText0"/>
              <w:widowControl w:val="0"/>
              <w:jc w:val="center"/>
              <w:rPr>
                <w:rFonts w:cs="Calibri"/>
                <w:color w:val="000000"/>
                <w:szCs w:val="20"/>
                <w:vertAlign w:val="superscript"/>
              </w:rPr>
            </w:pPr>
            <w:r w:rsidRPr="00E901B5">
              <w:rPr>
                <w:szCs w:val="20"/>
                <w:highlight w:val="black"/>
              </w:rPr>
              <w:t>&amp;&amp;&amp;&amp;</w:t>
            </w:r>
            <w:r w:rsidR="00BB40F5">
              <w:rPr>
                <w:szCs w:val="20"/>
                <w:vertAlign w:val="superscript"/>
              </w:rPr>
              <w:t>6</w:t>
            </w:r>
          </w:p>
        </w:tc>
        <w:tc>
          <w:tcPr>
            <w:tcW w:w="592" w:type="pct"/>
            <w:tcBorders>
              <w:top w:val="single" w:sz="4" w:space="0" w:color="auto"/>
              <w:left w:val="single" w:sz="4" w:space="0" w:color="auto"/>
              <w:bottom w:val="single" w:sz="4" w:space="0" w:color="auto"/>
              <w:right w:val="single" w:sz="4" w:space="0" w:color="auto"/>
            </w:tcBorders>
          </w:tcPr>
          <w:p w14:paraId="57444497" w14:textId="2C8D8682" w:rsidR="002531CE" w:rsidRPr="00BB40F5" w:rsidRDefault="00E901B5" w:rsidP="002531CE">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BB40F5">
              <w:rPr>
                <w:rFonts w:cs="Calibri"/>
                <w:color w:val="000000"/>
                <w:szCs w:val="20"/>
                <w:vertAlign w:val="superscript"/>
              </w:rPr>
              <w:t>6</w:t>
            </w:r>
          </w:p>
        </w:tc>
        <w:tc>
          <w:tcPr>
            <w:tcW w:w="679" w:type="pct"/>
            <w:tcBorders>
              <w:top w:val="single" w:sz="4" w:space="0" w:color="auto"/>
              <w:left w:val="single" w:sz="4" w:space="0" w:color="auto"/>
              <w:bottom w:val="single" w:sz="4" w:space="0" w:color="auto"/>
              <w:right w:val="single" w:sz="4" w:space="0" w:color="auto"/>
            </w:tcBorders>
          </w:tcPr>
          <w:p w14:paraId="71084B9D" w14:textId="3410CDFF" w:rsidR="002531CE" w:rsidRPr="0016669B" w:rsidRDefault="00E901B5" w:rsidP="002531CE">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16669B">
              <w:rPr>
                <w:rFonts w:cs="Calibri"/>
                <w:color w:val="000000"/>
                <w:szCs w:val="20"/>
                <w:vertAlign w:val="superscript"/>
              </w:rPr>
              <w:t>7</w:t>
            </w:r>
          </w:p>
        </w:tc>
      </w:tr>
      <w:tr w:rsidR="00D53682" w:rsidRPr="00177467" w14:paraId="739B33DB" w14:textId="77777777" w:rsidTr="006E29A6">
        <w:tc>
          <w:tcPr>
            <w:tcW w:w="5000" w:type="pct"/>
            <w:gridSpan w:val="8"/>
            <w:tcBorders>
              <w:top w:val="single" w:sz="4" w:space="0" w:color="auto"/>
              <w:left w:val="single" w:sz="4" w:space="0" w:color="auto"/>
              <w:bottom w:val="single" w:sz="4" w:space="0" w:color="auto"/>
              <w:right w:val="single" w:sz="4" w:space="0" w:color="auto"/>
            </w:tcBorders>
            <w:hideMark/>
          </w:tcPr>
          <w:p w14:paraId="181EE09A" w14:textId="77777777" w:rsidR="00D53682" w:rsidRPr="00177467" w:rsidRDefault="00D53682" w:rsidP="00D53682">
            <w:pPr>
              <w:pStyle w:val="TableText0"/>
              <w:widowControl w:val="0"/>
              <w:rPr>
                <w:b/>
                <w:szCs w:val="20"/>
              </w:rPr>
            </w:pPr>
            <w:r w:rsidRPr="00177467">
              <w:rPr>
                <w:b/>
                <w:szCs w:val="20"/>
              </w:rPr>
              <w:t xml:space="preserve">Patients electing to receive </w:t>
            </w:r>
            <w:proofErr w:type="spellStart"/>
            <w:r w:rsidRPr="00177467">
              <w:rPr>
                <w:b/>
                <w:szCs w:val="20"/>
              </w:rPr>
              <w:t>fezolinetant</w:t>
            </w:r>
            <w:proofErr w:type="spellEnd"/>
          </w:p>
        </w:tc>
      </w:tr>
      <w:tr w:rsidR="006E11D0" w:rsidRPr="00177467" w14:paraId="39A1F472" w14:textId="77777777" w:rsidTr="0044664E">
        <w:tc>
          <w:tcPr>
            <w:tcW w:w="70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4215671" w14:textId="77777777" w:rsidR="00D53682" w:rsidRPr="00177467" w:rsidRDefault="00D53682" w:rsidP="00D53682">
            <w:pPr>
              <w:pStyle w:val="TableText0"/>
              <w:widowControl w:val="0"/>
              <w:rPr>
                <w:szCs w:val="20"/>
              </w:rPr>
            </w:pPr>
            <w:r w:rsidRPr="00177467">
              <w:rPr>
                <w:szCs w:val="20"/>
              </w:rPr>
              <w:t>March 2025</w:t>
            </w:r>
          </w:p>
        </w:tc>
        <w:tc>
          <w:tcPr>
            <w:tcW w:w="58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DFDE686" w14:textId="48882DAE" w:rsidR="00D53682" w:rsidRPr="00653C51" w:rsidRDefault="00E901B5" w:rsidP="00D53682">
            <w:pPr>
              <w:pStyle w:val="TableText0"/>
              <w:widowControl w:val="0"/>
              <w:jc w:val="center"/>
              <w:rPr>
                <w:bCs w:val="0"/>
                <w:szCs w:val="20"/>
                <w:vertAlign w:val="superscript"/>
              </w:rPr>
            </w:pPr>
            <w:r w:rsidRPr="00E901B5">
              <w:rPr>
                <w:bCs w:val="0"/>
                <w:szCs w:val="20"/>
                <w:highlight w:val="black"/>
              </w:rPr>
              <w:t>&amp;&amp;&amp;&amp;</w:t>
            </w:r>
            <w:r w:rsidR="00653C51">
              <w:rPr>
                <w:bCs w:val="0"/>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81625F" w14:textId="4D2F21C9" w:rsidR="00D53682" w:rsidRPr="00C15A49" w:rsidRDefault="00E901B5" w:rsidP="00D53682">
            <w:pPr>
              <w:pStyle w:val="TableText0"/>
              <w:widowControl w:val="0"/>
              <w:jc w:val="center"/>
              <w:rPr>
                <w:bCs w:val="0"/>
                <w:szCs w:val="20"/>
                <w:vertAlign w:val="superscript"/>
              </w:rPr>
            </w:pPr>
            <w:r w:rsidRPr="00E901B5">
              <w:rPr>
                <w:bCs w:val="0"/>
                <w:szCs w:val="20"/>
                <w:highlight w:val="black"/>
              </w:rPr>
              <w:t>&amp;&amp;&amp;&amp;</w:t>
            </w:r>
            <w:r w:rsidR="00C15A49">
              <w:rPr>
                <w:bCs w:val="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A7991F" w14:textId="5DA779B9" w:rsidR="00D53682" w:rsidRPr="00C15A49" w:rsidRDefault="00E901B5" w:rsidP="00D53682">
            <w:pPr>
              <w:pStyle w:val="TableText0"/>
              <w:widowControl w:val="0"/>
              <w:jc w:val="center"/>
              <w:rPr>
                <w:bCs w:val="0"/>
                <w:szCs w:val="20"/>
                <w:vertAlign w:val="superscript"/>
              </w:rPr>
            </w:pPr>
            <w:r w:rsidRPr="00E901B5">
              <w:rPr>
                <w:bCs w:val="0"/>
                <w:szCs w:val="20"/>
                <w:highlight w:val="black"/>
              </w:rPr>
              <w:t>&amp;&amp;&amp;&amp;</w:t>
            </w:r>
            <w:r w:rsidR="00C15A49">
              <w:rPr>
                <w:bCs w:val="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AA2675" w14:textId="75A4412C" w:rsidR="00D53682" w:rsidRPr="00C15A49" w:rsidRDefault="00E901B5" w:rsidP="00D53682">
            <w:pPr>
              <w:pStyle w:val="TableText0"/>
              <w:widowControl w:val="0"/>
              <w:jc w:val="center"/>
              <w:rPr>
                <w:bCs w:val="0"/>
                <w:szCs w:val="20"/>
                <w:vertAlign w:val="superscript"/>
              </w:rPr>
            </w:pPr>
            <w:r w:rsidRPr="00E901B5">
              <w:rPr>
                <w:bCs w:val="0"/>
                <w:szCs w:val="20"/>
                <w:highlight w:val="black"/>
              </w:rPr>
              <w:t>&amp;&amp;&amp;&amp;</w:t>
            </w:r>
            <w:r w:rsidR="00C15A49">
              <w:rPr>
                <w:bCs w:val="0"/>
                <w:szCs w:val="20"/>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09246F8" w14:textId="771E6D91" w:rsidR="00D53682" w:rsidRPr="00C15A49" w:rsidRDefault="00E901B5" w:rsidP="00D53682">
            <w:pPr>
              <w:pStyle w:val="TableText0"/>
              <w:widowControl w:val="0"/>
              <w:jc w:val="center"/>
              <w:rPr>
                <w:bCs w:val="0"/>
                <w:szCs w:val="20"/>
                <w:vertAlign w:val="superscript"/>
              </w:rPr>
            </w:pPr>
            <w:r w:rsidRPr="00E901B5">
              <w:rPr>
                <w:bCs w:val="0"/>
                <w:szCs w:val="20"/>
                <w:highlight w:val="black"/>
              </w:rPr>
              <w:t>&amp;&amp;&amp;&amp;</w:t>
            </w:r>
            <w:r w:rsidR="00C15A49">
              <w:rPr>
                <w:bCs w:val="0"/>
                <w:szCs w:val="20"/>
                <w:vertAlign w:val="superscript"/>
              </w:rPr>
              <w:t>4</w:t>
            </w:r>
          </w:p>
        </w:tc>
        <w:tc>
          <w:tcPr>
            <w:tcW w:w="59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B98AA8" w14:textId="6C26EEB1" w:rsidR="00D53682" w:rsidRPr="003133E1" w:rsidRDefault="00E901B5" w:rsidP="00D53682">
            <w:pPr>
              <w:pStyle w:val="TableText0"/>
              <w:widowControl w:val="0"/>
              <w:jc w:val="center"/>
              <w:rPr>
                <w:bCs w:val="0"/>
                <w:szCs w:val="20"/>
                <w:vertAlign w:val="superscript"/>
              </w:rPr>
            </w:pPr>
            <w:r w:rsidRPr="00E901B5">
              <w:rPr>
                <w:bCs w:val="0"/>
                <w:szCs w:val="20"/>
                <w:highlight w:val="black"/>
              </w:rPr>
              <w:t>&amp;&amp;&amp;&amp;</w:t>
            </w:r>
            <w:r w:rsidR="003133E1">
              <w:rPr>
                <w:bCs w:val="0"/>
                <w:szCs w:val="20"/>
                <w:vertAlign w:val="superscript"/>
              </w:rPr>
              <w:t>1</w:t>
            </w:r>
          </w:p>
        </w:tc>
        <w:tc>
          <w:tcPr>
            <w:tcW w:w="679"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70944D1" w14:textId="0D177BAF" w:rsidR="00D53682" w:rsidRPr="007E5E18" w:rsidRDefault="00E901B5" w:rsidP="00D53682">
            <w:pPr>
              <w:pStyle w:val="TableText0"/>
              <w:widowControl w:val="0"/>
              <w:jc w:val="center"/>
              <w:rPr>
                <w:bCs w:val="0"/>
                <w:szCs w:val="20"/>
                <w:vertAlign w:val="superscript"/>
              </w:rPr>
            </w:pPr>
            <w:r w:rsidRPr="00E901B5">
              <w:rPr>
                <w:rFonts w:cs="Arial"/>
                <w:bCs w:val="0"/>
                <w:color w:val="000000"/>
                <w:szCs w:val="20"/>
                <w:highlight w:val="black"/>
              </w:rPr>
              <w:t>&amp;&amp;&amp;&amp;</w:t>
            </w:r>
            <w:r w:rsidR="007E5E18">
              <w:rPr>
                <w:rFonts w:cs="Arial"/>
                <w:bCs w:val="0"/>
                <w:color w:val="000000"/>
                <w:szCs w:val="20"/>
                <w:vertAlign w:val="superscript"/>
              </w:rPr>
              <w:t>9</w:t>
            </w:r>
          </w:p>
        </w:tc>
      </w:tr>
      <w:tr w:rsidR="00D53682" w:rsidRPr="00177467" w14:paraId="44C65064" w14:textId="77777777" w:rsidTr="0044664E">
        <w:tc>
          <w:tcPr>
            <w:tcW w:w="705" w:type="pct"/>
            <w:tcBorders>
              <w:top w:val="single" w:sz="4" w:space="0" w:color="auto"/>
              <w:left w:val="single" w:sz="4" w:space="0" w:color="auto"/>
              <w:bottom w:val="single" w:sz="4" w:space="0" w:color="auto"/>
              <w:right w:val="single" w:sz="4" w:space="0" w:color="auto"/>
            </w:tcBorders>
            <w:hideMark/>
          </w:tcPr>
          <w:p w14:paraId="152B9042" w14:textId="77777777" w:rsidR="00D53682" w:rsidRPr="00177467" w:rsidRDefault="00D53682" w:rsidP="00D53682">
            <w:pPr>
              <w:pStyle w:val="TableText0"/>
              <w:widowControl w:val="0"/>
              <w:rPr>
                <w:szCs w:val="20"/>
              </w:rPr>
            </w:pPr>
            <w:r w:rsidRPr="00177467">
              <w:rPr>
                <w:szCs w:val="20"/>
              </w:rPr>
              <w:t>Resubmission</w:t>
            </w:r>
          </w:p>
        </w:tc>
        <w:tc>
          <w:tcPr>
            <w:tcW w:w="580" w:type="pct"/>
            <w:tcBorders>
              <w:top w:val="single" w:sz="4" w:space="0" w:color="auto"/>
              <w:left w:val="single" w:sz="4" w:space="0" w:color="auto"/>
              <w:bottom w:val="single" w:sz="4" w:space="0" w:color="auto"/>
              <w:right w:val="single" w:sz="4" w:space="0" w:color="auto"/>
            </w:tcBorders>
          </w:tcPr>
          <w:p w14:paraId="4349FB75" w14:textId="23F275A0" w:rsidR="00D53682" w:rsidRPr="00177467" w:rsidRDefault="00E901B5" w:rsidP="00D53682">
            <w:pPr>
              <w:pStyle w:val="TableText0"/>
              <w:widowControl w:val="0"/>
              <w:jc w:val="center"/>
              <w:rPr>
                <w:szCs w:val="20"/>
              </w:rPr>
            </w:pPr>
            <w:r w:rsidRPr="00E901B5">
              <w:rPr>
                <w:rFonts w:cs="Calibri"/>
                <w:color w:val="000000"/>
                <w:szCs w:val="20"/>
                <w:highlight w:val="black"/>
              </w:rPr>
              <w:t>&amp;&amp;&amp;&amp;</w:t>
            </w:r>
            <w:r w:rsidR="00D53682" w:rsidRPr="00177467">
              <w:rPr>
                <w:rFonts w:cs="Calibri"/>
                <w:color w:val="000000"/>
                <w:szCs w:val="20"/>
              </w:rPr>
              <w:t xml:space="preserve"> </w:t>
            </w:r>
            <w:r w:rsidR="00D53682" w:rsidRPr="00177467">
              <w:rPr>
                <w:rFonts w:cs="Calibri"/>
                <w:color w:val="000000"/>
                <w:szCs w:val="20"/>
                <w:vertAlign w:val="superscript"/>
              </w:rPr>
              <w:t>a</w:t>
            </w:r>
            <w:r w:rsidR="00834B3B">
              <w:rPr>
                <w:rFonts w:cs="Calibri"/>
                <w:color w:val="000000"/>
                <w:szCs w:val="20"/>
                <w:vertAlign w:val="superscript"/>
              </w:rPr>
              <w:t>10</w:t>
            </w:r>
          </w:p>
        </w:tc>
        <w:tc>
          <w:tcPr>
            <w:tcW w:w="611" w:type="pct"/>
            <w:tcBorders>
              <w:top w:val="single" w:sz="4" w:space="0" w:color="auto"/>
              <w:left w:val="single" w:sz="4" w:space="0" w:color="auto"/>
              <w:bottom w:val="single" w:sz="4" w:space="0" w:color="auto"/>
              <w:right w:val="single" w:sz="4" w:space="0" w:color="auto"/>
            </w:tcBorders>
          </w:tcPr>
          <w:p w14:paraId="08409C49" w14:textId="723649D3" w:rsidR="00D53682" w:rsidRPr="004004E1" w:rsidRDefault="00E901B5" w:rsidP="00D53682">
            <w:pPr>
              <w:pStyle w:val="TableText0"/>
              <w:widowControl w:val="0"/>
              <w:jc w:val="center"/>
              <w:rPr>
                <w:szCs w:val="20"/>
                <w:vertAlign w:val="superscript"/>
              </w:rPr>
            </w:pPr>
            <w:r w:rsidRPr="00E901B5">
              <w:rPr>
                <w:rFonts w:cs="Calibri"/>
                <w:color w:val="000000"/>
                <w:szCs w:val="20"/>
                <w:highlight w:val="black"/>
              </w:rPr>
              <w:t>&amp;&amp;&amp;&amp;</w:t>
            </w:r>
            <w:r w:rsidR="004004E1">
              <w:rPr>
                <w:rFonts w:cs="Calibri"/>
                <w:color w:val="000000"/>
                <w:szCs w:val="20"/>
                <w:vertAlign w:val="superscript"/>
              </w:rPr>
              <w:t>10</w:t>
            </w:r>
          </w:p>
        </w:tc>
        <w:tc>
          <w:tcPr>
            <w:tcW w:w="611" w:type="pct"/>
            <w:tcBorders>
              <w:top w:val="single" w:sz="4" w:space="0" w:color="auto"/>
              <w:left w:val="single" w:sz="4" w:space="0" w:color="auto"/>
              <w:bottom w:val="single" w:sz="4" w:space="0" w:color="auto"/>
              <w:right w:val="single" w:sz="4" w:space="0" w:color="auto"/>
            </w:tcBorders>
          </w:tcPr>
          <w:p w14:paraId="31B85BC3" w14:textId="4F3C12D3" w:rsidR="00D53682" w:rsidRPr="00606707" w:rsidRDefault="00E901B5" w:rsidP="00D53682">
            <w:pPr>
              <w:pStyle w:val="TableText0"/>
              <w:widowControl w:val="0"/>
              <w:jc w:val="center"/>
              <w:rPr>
                <w:szCs w:val="20"/>
                <w:vertAlign w:val="superscript"/>
              </w:rPr>
            </w:pPr>
            <w:r w:rsidRPr="00E901B5">
              <w:rPr>
                <w:rFonts w:cs="Calibri"/>
                <w:color w:val="000000"/>
                <w:szCs w:val="20"/>
                <w:highlight w:val="black"/>
              </w:rPr>
              <w:t>&amp;&amp;&amp;&amp;</w:t>
            </w:r>
            <w:r w:rsidR="00606707">
              <w:rPr>
                <w:rFonts w:cs="Calibri"/>
                <w:color w:val="000000"/>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tcPr>
          <w:p w14:paraId="08A50702" w14:textId="0F8EA457" w:rsidR="00D53682" w:rsidRPr="00BB40F5" w:rsidRDefault="00E901B5" w:rsidP="00D53682">
            <w:pPr>
              <w:pStyle w:val="TableText0"/>
              <w:widowControl w:val="0"/>
              <w:jc w:val="center"/>
              <w:rPr>
                <w:szCs w:val="20"/>
                <w:vertAlign w:val="superscript"/>
              </w:rPr>
            </w:pPr>
            <w:r w:rsidRPr="00E901B5">
              <w:rPr>
                <w:rFonts w:cs="Calibri"/>
                <w:color w:val="000000"/>
                <w:szCs w:val="20"/>
                <w:highlight w:val="black"/>
              </w:rPr>
              <w:t>&amp;&amp;&amp;&amp;</w:t>
            </w:r>
            <w:r w:rsidR="00BB40F5">
              <w:rPr>
                <w:rFonts w:cs="Calibri"/>
                <w:color w:val="000000"/>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tcPr>
          <w:p w14:paraId="3E0A8FEC" w14:textId="278D442C" w:rsidR="00D53682" w:rsidRPr="00BB40F5" w:rsidRDefault="00E901B5" w:rsidP="00D53682">
            <w:pPr>
              <w:pStyle w:val="TableText0"/>
              <w:widowControl w:val="0"/>
              <w:jc w:val="center"/>
              <w:rPr>
                <w:szCs w:val="20"/>
                <w:vertAlign w:val="superscript"/>
              </w:rPr>
            </w:pPr>
            <w:r w:rsidRPr="00E901B5">
              <w:rPr>
                <w:rFonts w:cs="Calibri"/>
                <w:color w:val="000000"/>
                <w:szCs w:val="20"/>
                <w:highlight w:val="black"/>
              </w:rPr>
              <w:t>&amp;&amp;&amp;&amp;</w:t>
            </w:r>
            <w:r w:rsidR="00BB40F5">
              <w:rPr>
                <w:rFonts w:cs="Calibri"/>
                <w:color w:val="000000"/>
                <w:szCs w:val="20"/>
                <w:vertAlign w:val="superscript"/>
              </w:rPr>
              <w:t>6</w:t>
            </w:r>
          </w:p>
        </w:tc>
        <w:tc>
          <w:tcPr>
            <w:tcW w:w="592" w:type="pct"/>
            <w:tcBorders>
              <w:top w:val="single" w:sz="4" w:space="0" w:color="auto"/>
              <w:left w:val="single" w:sz="4" w:space="0" w:color="auto"/>
              <w:bottom w:val="single" w:sz="4" w:space="0" w:color="auto"/>
              <w:right w:val="single" w:sz="4" w:space="0" w:color="auto"/>
            </w:tcBorders>
          </w:tcPr>
          <w:p w14:paraId="3640336A" w14:textId="68746915" w:rsidR="00D53682" w:rsidRPr="00936135" w:rsidRDefault="00E901B5" w:rsidP="00D53682">
            <w:pPr>
              <w:pStyle w:val="TableText0"/>
              <w:widowControl w:val="0"/>
              <w:jc w:val="center"/>
              <w:rPr>
                <w:szCs w:val="20"/>
                <w:vertAlign w:val="superscript"/>
              </w:rPr>
            </w:pPr>
            <w:r w:rsidRPr="00E901B5">
              <w:rPr>
                <w:rFonts w:cs="Calibri"/>
                <w:color w:val="000000"/>
                <w:szCs w:val="20"/>
                <w:highlight w:val="black"/>
              </w:rPr>
              <w:t>&amp;&amp;&amp;&amp;</w:t>
            </w:r>
            <w:r w:rsidR="00936135">
              <w:rPr>
                <w:rFonts w:cs="Calibri"/>
                <w:color w:val="000000"/>
                <w:szCs w:val="20"/>
                <w:vertAlign w:val="superscript"/>
              </w:rPr>
              <w:t>12</w:t>
            </w:r>
          </w:p>
        </w:tc>
        <w:tc>
          <w:tcPr>
            <w:tcW w:w="679" w:type="pct"/>
            <w:tcBorders>
              <w:top w:val="single" w:sz="4" w:space="0" w:color="auto"/>
              <w:left w:val="single" w:sz="4" w:space="0" w:color="auto"/>
              <w:bottom w:val="single" w:sz="4" w:space="0" w:color="auto"/>
              <w:right w:val="single" w:sz="4" w:space="0" w:color="auto"/>
            </w:tcBorders>
          </w:tcPr>
          <w:p w14:paraId="58014BD0" w14:textId="1E37C44D" w:rsidR="00D53682" w:rsidRPr="0016669B" w:rsidRDefault="00E901B5" w:rsidP="00D53682">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16669B">
              <w:rPr>
                <w:rFonts w:cs="Calibri"/>
                <w:color w:val="000000"/>
                <w:szCs w:val="20"/>
                <w:vertAlign w:val="superscript"/>
              </w:rPr>
              <w:t>7</w:t>
            </w:r>
          </w:p>
        </w:tc>
      </w:tr>
      <w:tr w:rsidR="00D53682" w:rsidRPr="00177467" w14:paraId="72C29F89" w14:textId="77777777" w:rsidTr="0044664E">
        <w:tc>
          <w:tcPr>
            <w:tcW w:w="705" w:type="pct"/>
            <w:tcBorders>
              <w:top w:val="single" w:sz="4" w:space="0" w:color="auto"/>
              <w:left w:val="single" w:sz="4" w:space="0" w:color="auto"/>
              <w:bottom w:val="single" w:sz="4" w:space="0" w:color="auto"/>
              <w:right w:val="single" w:sz="4" w:space="0" w:color="auto"/>
            </w:tcBorders>
          </w:tcPr>
          <w:p w14:paraId="5B5CB60B" w14:textId="168E5295" w:rsidR="00D53682" w:rsidRPr="00177467" w:rsidRDefault="00D53682" w:rsidP="00D53682">
            <w:pPr>
              <w:pStyle w:val="TableText0"/>
              <w:widowControl w:val="0"/>
              <w:rPr>
                <w:szCs w:val="20"/>
              </w:rPr>
            </w:pPr>
            <w:r w:rsidRPr="00177467">
              <w:rPr>
                <w:szCs w:val="20"/>
              </w:rPr>
              <w:t>PSCR</w:t>
            </w:r>
          </w:p>
        </w:tc>
        <w:tc>
          <w:tcPr>
            <w:tcW w:w="580" w:type="pct"/>
            <w:tcBorders>
              <w:top w:val="single" w:sz="4" w:space="0" w:color="auto"/>
              <w:left w:val="single" w:sz="4" w:space="0" w:color="auto"/>
              <w:bottom w:val="single" w:sz="4" w:space="0" w:color="auto"/>
              <w:right w:val="single" w:sz="4" w:space="0" w:color="auto"/>
            </w:tcBorders>
          </w:tcPr>
          <w:p w14:paraId="0EC0A961" w14:textId="2D09DF5D" w:rsidR="00D53682" w:rsidRPr="00177467" w:rsidRDefault="00E901B5" w:rsidP="00D53682">
            <w:pPr>
              <w:pStyle w:val="TableText0"/>
              <w:widowControl w:val="0"/>
              <w:jc w:val="center"/>
              <w:rPr>
                <w:rFonts w:cs="Calibri"/>
                <w:color w:val="000000"/>
                <w:szCs w:val="20"/>
              </w:rPr>
            </w:pPr>
            <w:r w:rsidRPr="00E901B5">
              <w:rPr>
                <w:rFonts w:cs="Calibri"/>
                <w:color w:val="000000"/>
                <w:szCs w:val="20"/>
                <w:highlight w:val="black"/>
              </w:rPr>
              <w:t>&amp;&amp;&amp;&amp;</w:t>
            </w:r>
            <w:r w:rsidR="00D53682" w:rsidRPr="00177467">
              <w:rPr>
                <w:rFonts w:cs="Calibri"/>
                <w:color w:val="000000"/>
                <w:szCs w:val="20"/>
              </w:rPr>
              <w:t xml:space="preserve"> </w:t>
            </w:r>
            <w:r w:rsidR="00D53682" w:rsidRPr="00177467">
              <w:rPr>
                <w:rFonts w:cs="Calibri"/>
                <w:color w:val="000000"/>
                <w:szCs w:val="20"/>
                <w:vertAlign w:val="superscript"/>
              </w:rPr>
              <w:t>a</w:t>
            </w:r>
            <w:r w:rsidR="004004E1">
              <w:rPr>
                <w:rFonts w:cs="Calibri"/>
                <w:color w:val="000000"/>
                <w:szCs w:val="20"/>
                <w:vertAlign w:val="superscript"/>
              </w:rPr>
              <w:t>10</w:t>
            </w:r>
          </w:p>
        </w:tc>
        <w:tc>
          <w:tcPr>
            <w:tcW w:w="611" w:type="pct"/>
            <w:tcBorders>
              <w:top w:val="single" w:sz="4" w:space="0" w:color="auto"/>
              <w:left w:val="single" w:sz="4" w:space="0" w:color="auto"/>
              <w:bottom w:val="single" w:sz="4" w:space="0" w:color="auto"/>
              <w:right w:val="single" w:sz="4" w:space="0" w:color="auto"/>
            </w:tcBorders>
          </w:tcPr>
          <w:p w14:paraId="102EAF81" w14:textId="75806323" w:rsidR="00D53682" w:rsidRPr="004004E1" w:rsidRDefault="00E901B5" w:rsidP="00D53682">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4004E1">
              <w:rPr>
                <w:rFonts w:cs="Calibri"/>
                <w:color w:val="000000"/>
                <w:szCs w:val="20"/>
                <w:vertAlign w:val="superscript"/>
              </w:rPr>
              <w:t>10</w:t>
            </w:r>
          </w:p>
        </w:tc>
        <w:tc>
          <w:tcPr>
            <w:tcW w:w="611" w:type="pct"/>
            <w:tcBorders>
              <w:top w:val="single" w:sz="4" w:space="0" w:color="auto"/>
              <w:left w:val="single" w:sz="4" w:space="0" w:color="auto"/>
              <w:bottom w:val="single" w:sz="4" w:space="0" w:color="auto"/>
              <w:right w:val="single" w:sz="4" w:space="0" w:color="auto"/>
            </w:tcBorders>
          </w:tcPr>
          <w:p w14:paraId="6A0FA35B" w14:textId="0EA141D8" w:rsidR="00D53682" w:rsidRPr="00606707" w:rsidRDefault="00E901B5" w:rsidP="00D53682">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606707">
              <w:rPr>
                <w:rFonts w:cs="Calibri"/>
                <w:color w:val="000000"/>
                <w:szCs w:val="20"/>
                <w:vertAlign w:val="superscript"/>
              </w:rPr>
              <w:t>11</w:t>
            </w:r>
          </w:p>
        </w:tc>
        <w:tc>
          <w:tcPr>
            <w:tcW w:w="611" w:type="pct"/>
            <w:tcBorders>
              <w:top w:val="single" w:sz="4" w:space="0" w:color="auto"/>
              <w:left w:val="single" w:sz="4" w:space="0" w:color="auto"/>
              <w:bottom w:val="single" w:sz="4" w:space="0" w:color="auto"/>
              <w:right w:val="single" w:sz="4" w:space="0" w:color="auto"/>
            </w:tcBorders>
          </w:tcPr>
          <w:p w14:paraId="74FABC70" w14:textId="3561580F" w:rsidR="00D53682" w:rsidRPr="00BB40F5" w:rsidRDefault="00E901B5" w:rsidP="00D53682">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BB40F5">
              <w:rPr>
                <w:rFonts w:cs="Calibri"/>
                <w:color w:val="000000"/>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tcPr>
          <w:p w14:paraId="521C017C" w14:textId="1B5A04F2" w:rsidR="00D53682" w:rsidRPr="00BB40F5" w:rsidRDefault="00E901B5" w:rsidP="00D53682">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BB40F5">
              <w:rPr>
                <w:rFonts w:cs="Calibri"/>
                <w:color w:val="000000"/>
                <w:szCs w:val="20"/>
                <w:vertAlign w:val="superscript"/>
              </w:rPr>
              <w:t>6</w:t>
            </w:r>
          </w:p>
        </w:tc>
        <w:tc>
          <w:tcPr>
            <w:tcW w:w="592" w:type="pct"/>
            <w:tcBorders>
              <w:top w:val="single" w:sz="4" w:space="0" w:color="auto"/>
              <w:left w:val="single" w:sz="4" w:space="0" w:color="auto"/>
              <w:bottom w:val="single" w:sz="4" w:space="0" w:color="auto"/>
              <w:right w:val="single" w:sz="4" w:space="0" w:color="auto"/>
            </w:tcBorders>
          </w:tcPr>
          <w:p w14:paraId="1771C200" w14:textId="2FA2F9CA" w:rsidR="00D53682" w:rsidRPr="00936135" w:rsidRDefault="00E901B5" w:rsidP="00D53682">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936135">
              <w:rPr>
                <w:rFonts w:cs="Calibri"/>
                <w:color w:val="000000"/>
                <w:szCs w:val="20"/>
                <w:vertAlign w:val="superscript"/>
              </w:rPr>
              <w:t>12</w:t>
            </w:r>
          </w:p>
        </w:tc>
        <w:tc>
          <w:tcPr>
            <w:tcW w:w="679" w:type="pct"/>
            <w:tcBorders>
              <w:top w:val="single" w:sz="4" w:space="0" w:color="auto"/>
              <w:left w:val="single" w:sz="4" w:space="0" w:color="auto"/>
              <w:bottom w:val="single" w:sz="4" w:space="0" w:color="auto"/>
              <w:right w:val="single" w:sz="4" w:space="0" w:color="auto"/>
            </w:tcBorders>
          </w:tcPr>
          <w:p w14:paraId="022C2636" w14:textId="5CF984D9" w:rsidR="00D53682" w:rsidRPr="0016669B" w:rsidRDefault="00E901B5" w:rsidP="00D53682">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16669B">
              <w:rPr>
                <w:rFonts w:cs="Calibri"/>
                <w:color w:val="000000"/>
                <w:szCs w:val="20"/>
                <w:vertAlign w:val="superscript"/>
              </w:rPr>
              <w:t>7</w:t>
            </w:r>
          </w:p>
        </w:tc>
      </w:tr>
      <w:tr w:rsidR="006E11D0" w:rsidRPr="00177467" w14:paraId="490D5C5B" w14:textId="77777777" w:rsidTr="0044664E">
        <w:tc>
          <w:tcPr>
            <w:tcW w:w="705" w:type="pct"/>
            <w:tcBorders>
              <w:top w:val="single" w:sz="4" w:space="0" w:color="auto"/>
              <w:left w:val="single" w:sz="4" w:space="0" w:color="auto"/>
              <w:bottom w:val="single" w:sz="4" w:space="0" w:color="auto"/>
              <w:right w:val="single" w:sz="4" w:space="0" w:color="auto"/>
            </w:tcBorders>
          </w:tcPr>
          <w:p w14:paraId="2F6F3446" w14:textId="3A5C957D" w:rsidR="006E11D0" w:rsidRPr="00D8190A" w:rsidRDefault="006E11D0" w:rsidP="006E11D0">
            <w:pPr>
              <w:pStyle w:val="TableText0"/>
              <w:widowControl w:val="0"/>
              <w:rPr>
                <w:szCs w:val="20"/>
              </w:rPr>
            </w:pPr>
            <w:r w:rsidRPr="00D8190A">
              <w:rPr>
                <w:szCs w:val="20"/>
              </w:rPr>
              <w:t>Pre-PBAC</w:t>
            </w:r>
          </w:p>
        </w:tc>
        <w:tc>
          <w:tcPr>
            <w:tcW w:w="580" w:type="pct"/>
            <w:tcBorders>
              <w:top w:val="single" w:sz="4" w:space="0" w:color="auto"/>
              <w:left w:val="single" w:sz="4" w:space="0" w:color="auto"/>
              <w:bottom w:val="single" w:sz="4" w:space="0" w:color="auto"/>
              <w:right w:val="single" w:sz="4" w:space="0" w:color="auto"/>
            </w:tcBorders>
          </w:tcPr>
          <w:p w14:paraId="58352264" w14:textId="6A904F88" w:rsidR="006E11D0" w:rsidRPr="00462E21" w:rsidRDefault="00E901B5" w:rsidP="006E11D0">
            <w:pPr>
              <w:pStyle w:val="TableText0"/>
              <w:widowControl w:val="0"/>
              <w:jc w:val="center"/>
              <w:rPr>
                <w:rFonts w:cs="Calibri"/>
                <w:color w:val="000000"/>
                <w:szCs w:val="20"/>
                <w:vertAlign w:val="superscript"/>
              </w:rPr>
            </w:pPr>
            <w:r w:rsidRPr="00E901B5">
              <w:rPr>
                <w:szCs w:val="20"/>
                <w:highlight w:val="black"/>
              </w:rPr>
              <w:t>&amp;&amp;&amp;&amp;</w:t>
            </w:r>
            <w:r w:rsidR="00462E21">
              <w:rPr>
                <w:szCs w:val="20"/>
                <w:vertAlign w:val="superscript"/>
              </w:rPr>
              <w:t>13</w:t>
            </w:r>
          </w:p>
        </w:tc>
        <w:tc>
          <w:tcPr>
            <w:tcW w:w="611" w:type="pct"/>
            <w:tcBorders>
              <w:top w:val="single" w:sz="4" w:space="0" w:color="auto"/>
              <w:left w:val="single" w:sz="4" w:space="0" w:color="auto"/>
              <w:bottom w:val="single" w:sz="4" w:space="0" w:color="auto"/>
              <w:right w:val="single" w:sz="4" w:space="0" w:color="auto"/>
            </w:tcBorders>
          </w:tcPr>
          <w:p w14:paraId="097542AE" w14:textId="0E8E15E7" w:rsidR="006E11D0" w:rsidRPr="00462E21" w:rsidRDefault="00E901B5" w:rsidP="006E11D0">
            <w:pPr>
              <w:pStyle w:val="TableText0"/>
              <w:widowControl w:val="0"/>
              <w:jc w:val="center"/>
              <w:rPr>
                <w:rFonts w:cs="Calibri"/>
                <w:color w:val="000000"/>
                <w:szCs w:val="20"/>
                <w:vertAlign w:val="superscript"/>
              </w:rPr>
            </w:pPr>
            <w:r w:rsidRPr="00E901B5">
              <w:rPr>
                <w:szCs w:val="20"/>
                <w:highlight w:val="black"/>
              </w:rPr>
              <w:t>&amp;&amp;&amp;&amp;</w:t>
            </w:r>
            <w:r w:rsidR="00462E21">
              <w:rPr>
                <w:szCs w:val="20"/>
                <w:vertAlign w:val="superscript"/>
              </w:rPr>
              <w:t>14</w:t>
            </w:r>
          </w:p>
        </w:tc>
        <w:tc>
          <w:tcPr>
            <w:tcW w:w="611" w:type="pct"/>
            <w:tcBorders>
              <w:top w:val="single" w:sz="4" w:space="0" w:color="auto"/>
              <w:left w:val="single" w:sz="4" w:space="0" w:color="auto"/>
              <w:bottom w:val="single" w:sz="4" w:space="0" w:color="auto"/>
              <w:right w:val="single" w:sz="4" w:space="0" w:color="auto"/>
            </w:tcBorders>
          </w:tcPr>
          <w:p w14:paraId="728BB359" w14:textId="0087112D" w:rsidR="006E11D0" w:rsidRPr="008C5569" w:rsidRDefault="00E901B5" w:rsidP="006E11D0">
            <w:pPr>
              <w:pStyle w:val="TableText0"/>
              <w:widowControl w:val="0"/>
              <w:jc w:val="center"/>
              <w:rPr>
                <w:rFonts w:cs="Calibri"/>
                <w:color w:val="000000"/>
                <w:szCs w:val="20"/>
                <w:vertAlign w:val="superscript"/>
              </w:rPr>
            </w:pPr>
            <w:r w:rsidRPr="00E901B5">
              <w:rPr>
                <w:szCs w:val="20"/>
                <w:highlight w:val="black"/>
              </w:rPr>
              <w:t>&amp;&amp;&amp;&amp;</w:t>
            </w:r>
            <w:r w:rsidR="008C5569">
              <w:rPr>
                <w:szCs w:val="20"/>
                <w:vertAlign w:val="superscript"/>
              </w:rPr>
              <w:t>15</w:t>
            </w:r>
          </w:p>
        </w:tc>
        <w:tc>
          <w:tcPr>
            <w:tcW w:w="611" w:type="pct"/>
            <w:tcBorders>
              <w:top w:val="single" w:sz="4" w:space="0" w:color="auto"/>
              <w:left w:val="single" w:sz="4" w:space="0" w:color="auto"/>
              <w:bottom w:val="single" w:sz="4" w:space="0" w:color="auto"/>
              <w:right w:val="single" w:sz="4" w:space="0" w:color="auto"/>
            </w:tcBorders>
          </w:tcPr>
          <w:p w14:paraId="746C48A0" w14:textId="24C9D442" w:rsidR="006E11D0" w:rsidRPr="00653C51" w:rsidRDefault="00E901B5" w:rsidP="006E11D0">
            <w:pPr>
              <w:pStyle w:val="TableText0"/>
              <w:widowControl w:val="0"/>
              <w:jc w:val="center"/>
              <w:rPr>
                <w:rFonts w:cs="Calibri"/>
                <w:color w:val="000000"/>
                <w:szCs w:val="20"/>
                <w:vertAlign w:val="superscript"/>
              </w:rPr>
            </w:pPr>
            <w:r w:rsidRPr="00E901B5">
              <w:rPr>
                <w:szCs w:val="20"/>
                <w:highlight w:val="black"/>
              </w:rPr>
              <w:t>&amp;&amp;&amp;&amp;</w:t>
            </w:r>
            <w:r w:rsidR="00653C51">
              <w:rPr>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tcPr>
          <w:p w14:paraId="792B2685" w14:textId="5FFCFD2D" w:rsidR="006E11D0" w:rsidRPr="00BB40F5" w:rsidRDefault="00E901B5" w:rsidP="006E11D0">
            <w:pPr>
              <w:pStyle w:val="TableText0"/>
              <w:widowControl w:val="0"/>
              <w:jc w:val="center"/>
              <w:rPr>
                <w:rFonts w:cs="Calibri"/>
                <w:color w:val="000000"/>
                <w:szCs w:val="20"/>
                <w:vertAlign w:val="superscript"/>
              </w:rPr>
            </w:pPr>
            <w:r w:rsidRPr="00E901B5">
              <w:rPr>
                <w:szCs w:val="20"/>
                <w:highlight w:val="black"/>
              </w:rPr>
              <w:t>&amp;&amp;&amp;&amp;</w:t>
            </w:r>
            <w:r w:rsidR="00BB40F5">
              <w:rPr>
                <w:szCs w:val="20"/>
                <w:vertAlign w:val="superscript"/>
              </w:rPr>
              <w:t>6</w:t>
            </w:r>
          </w:p>
        </w:tc>
        <w:tc>
          <w:tcPr>
            <w:tcW w:w="592" w:type="pct"/>
            <w:tcBorders>
              <w:top w:val="single" w:sz="4" w:space="0" w:color="auto"/>
              <w:left w:val="single" w:sz="4" w:space="0" w:color="auto"/>
              <w:bottom w:val="single" w:sz="4" w:space="0" w:color="auto"/>
              <w:right w:val="single" w:sz="4" w:space="0" w:color="auto"/>
            </w:tcBorders>
          </w:tcPr>
          <w:p w14:paraId="0771BB06" w14:textId="4560EFBE" w:rsidR="006E11D0" w:rsidRPr="00BB40F5" w:rsidRDefault="00E901B5" w:rsidP="006E11D0">
            <w:pPr>
              <w:pStyle w:val="TableText0"/>
              <w:widowControl w:val="0"/>
              <w:jc w:val="center"/>
              <w:rPr>
                <w:rFonts w:cs="Calibri"/>
                <w:color w:val="000000"/>
                <w:szCs w:val="20"/>
                <w:vertAlign w:val="superscript"/>
              </w:rPr>
            </w:pPr>
            <w:r w:rsidRPr="00E901B5">
              <w:rPr>
                <w:szCs w:val="20"/>
                <w:highlight w:val="black"/>
              </w:rPr>
              <w:t>&amp;&amp;&amp;&amp;</w:t>
            </w:r>
            <w:r w:rsidR="00BB40F5">
              <w:rPr>
                <w:szCs w:val="20"/>
                <w:vertAlign w:val="superscript"/>
              </w:rPr>
              <w:t>6</w:t>
            </w:r>
          </w:p>
        </w:tc>
        <w:tc>
          <w:tcPr>
            <w:tcW w:w="679" w:type="pct"/>
            <w:tcBorders>
              <w:top w:val="single" w:sz="4" w:space="0" w:color="auto"/>
              <w:left w:val="single" w:sz="4" w:space="0" w:color="auto"/>
              <w:bottom w:val="single" w:sz="4" w:space="0" w:color="auto"/>
              <w:right w:val="single" w:sz="4" w:space="0" w:color="auto"/>
            </w:tcBorders>
          </w:tcPr>
          <w:p w14:paraId="31208EA7" w14:textId="74D76D5F" w:rsidR="006E11D0" w:rsidRPr="008C5569" w:rsidRDefault="00E901B5" w:rsidP="006E11D0">
            <w:pPr>
              <w:pStyle w:val="TableText0"/>
              <w:widowControl w:val="0"/>
              <w:jc w:val="center"/>
              <w:rPr>
                <w:rFonts w:cs="Calibri"/>
                <w:color w:val="000000"/>
                <w:szCs w:val="20"/>
                <w:vertAlign w:val="superscript"/>
              </w:rPr>
            </w:pPr>
            <w:r w:rsidRPr="00E901B5">
              <w:rPr>
                <w:szCs w:val="20"/>
                <w:highlight w:val="black"/>
              </w:rPr>
              <w:t>&amp;&amp;&amp;&amp;</w:t>
            </w:r>
            <w:r w:rsidR="008C5569">
              <w:rPr>
                <w:szCs w:val="20"/>
                <w:vertAlign w:val="superscript"/>
              </w:rPr>
              <w:t>16</w:t>
            </w:r>
          </w:p>
        </w:tc>
      </w:tr>
      <w:tr w:rsidR="00D53682" w:rsidRPr="00177467" w14:paraId="2DDB7B41" w14:textId="77777777" w:rsidTr="006E29A6">
        <w:tc>
          <w:tcPr>
            <w:tcW w:w="5000" w:type="pct"/>
            <w:gridSpan w:val="8"/>
            <w:tcBorders>
              <w:top w:val="single" w:sz="4" w:space="0" w:color="auto"/>
              <w:left w:val="single" w:sz="4" w:space="0" w:color="auto"/>
              <w:bottom w:val="single" w:sz="4" w:space="0" w:color="auto"/>
              <w:right w:val="single" w:sz="4" w:space="0" w:color="auto"/>
            </w:tcBorders>
            <w:hideMark/>
          </w:tcPr>
          <w:p w14:paraId="0706E067" w14:textId="77777777" w:rsidR="00D53682" w:rsidRPr="00177467" w:rsidRDefault="00D53682" w:rsidP="00D53682">
            <w:pPr>
              <w:pStyle w:val="TableText0"/>
              <w:widowControl w:val="0"/>
              <w:rPr>
                <w:b/>
                <w:szCs w:val="20"/>
              </w:rPr>
            </w:pPr>
            <w:r w:rsidRPr="00177467">
              <w:rPr>
                <w:rFonts w:cs="Times New Roman"/>
                <w:b/>
                <w:szCs w:val="20"/>
                <w:lang w:eastAsia="en-GB"/>
              </w:rPr>
              <w:t xml:space="preserve">Total </w:t>
            </w:r>
            <w:proofErr w:type="spellStart"/>
            <w:r w:rsidRPr="00177467">
              <w:rPr>
                <w:rFonts w:cs="Times New Roman"/>
                <w:b/>
                <w:szCs w:val="20"/>
                <w:lang w:eastAsia="en-GB"/>
              </w:rPr>
              <w:t>fezolinetant</w:t>
            </w:r>
            <w:proofErr w:type="spellEnd"/>
            <w:r w:rsidRPr="00177467">
              <w:rPr>
                <w:rFonts w:cs="Times New Roman"/>
                <w:b/>
                <w:szCs w:val="20"/>
                <w:lang w:eastAsia="en-GB"/>
              </w:rPr>
              <w:t xml:space="preserve"> scripts (PBS/RPBS)</w:t>
            </w:r>
          </w:p>
        </w:tc>
      </w:tr>
      <w:tr w:rsidR="006E11D0" w:rsidRPr="00177467" w14:paraId="670E7DBD" w14:textId="77777777" w:rsidTr="0044664E">
        <w:tc>
          <w:tcPr>
            <w:tcW w:w="70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8142A0E" w14:textId="77777777" w:rsidR="00D53682" w:rsidRPr="00177467" w:rsidRDefault="00D53682" w:rsidP="00D53682">
            <w:pPr>
              <w:pStyle w:val="TableText0"/>
              <w:widowControl w:val="0"/>
              <w:rPr>
                <w:szCs w:val="20"/>
              </w:rPr>
            </w:pPr>
            <w:r w:rsidRPr="00177467">
              <w:rPr>
                <w:szCs w:val="20"/>
              </w:rPr>
              <w:t>March 2025</w:t>
            </w:r>
          </w:p>
        </w:tc>
        <w:tc>
          <w:tcPr>
            <w:tcW w:w="58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89E32D4" w14:textId="168D8D87" w:rsidR="00D53682" w:rsidRPr="00EE5C05" w:rsidRDefault="00E901B5" w:rsidP="00D53682">
            <w:pPr>
              <w:pStyle w:val="TableText0"/>
              <w:widowControl w:val="0"/>
              <w:jc w:val="center"/>
              <w:rPr>
                <w:szCs w:val="20"/>
                <w:vertAlign w:val="superscript"/>
              </w:rPr>
            </w:pPr>
            <w:r w:rsidRPr="00E901B5">
              <w:rPr>
                <w:szCs w:val="20"/>
                <w:highlight w:val="black"/>
              </w:rPr>
              <w:t>&amp;&amp;&amp;&amp;</w:t>
            </w:r>
            <w:r w:rsidR="00EE5C05">
              <w:rPr>
                <w:szCs w:val="20"/>
                <w:vertAlign w:val="superscript"/>
              </w:rPr>
              <w:t>17</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810BD65" w14:textId="4642A179" w:rsidR="00D53682" w:rsidRPr="003716A5" w:rsidRDefault="00E901B5" w:rsidP="00D53682">
            <w:pPr>
              <w:pStyle w:val="TableText0"/>
              <w:widowControl w:val="0"/>
              <w:jc w:val="center"/>
              <w:rPr>
                <w:szCs w:val="20"/>
                <w:vertAlign w:val="superscript"/>
              </w:rPr>
            </w:pPr>
            <w:r w:rsidRPr="00E901B5">
              <w:rPr>
                <w:szCs w:val="20"/>
                <w:highlight w:val="black"/>
              </w:rPr>
              <w:t>&amp;&amp;&amp;&amp;</w:t>
            </w:r>
            <w:r w:rsidR="003716A5">
              <w:rPr>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53E7F05" w14:textId="0BC47A4A" w:rsidR="00D53682" w:rsidRPr="003716A5" w:rsidRDefault="00E901B5" w:rsidP="00D53682">
            <w:pPr>
              <w:pStyle w:val="TableText0"/>
              <w:widowControl w:val="0"/>
              <w:jc w:val="center"/>
              <w:rPr>
                <w:szCs w:val="20"/>
                <w:vertAlign w:val="superscript"/>
              </w:rPr>
            </w:pPr>
            <w:r w:rsidRPr="00E901B5">
              <w:rPr>
                <w:szCs w:val="20"/>
                <w:highlight w:val="black"/>
              </w:rPr>
              <w:t>&amp;&amp;&amp;&amp;</w:t>
            </w:r>
            <w:r w:rsidR="003716A5">
              <w:rPr>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9BA68D" w14:textId="4D051C1A" w:rsidR="00D53682" w:rsidRPr="003716A5" w:rsidRDefault="00E901B5" w:rsidP="00D53682">
            <w:pPr>
              <w:pStyle w:val="TableText0"/>
              <w:widowControl w:val="0"/>
              <w:jc w:val="center"/>
              <w:rPr>
                <w:szCs w:val="20"/>
                <w:vertAlign w:val="superscript"/>
              </w:rPr>
            </w:pPr>
            <w:r w:rsidRPr="00E901B5">
              <w:rPr>
                <w:szCs w:val="20"/>
                <w:highlight w:val="black"/>
              </w:rPr>
              <w:t>&amp;&amp;&amp;&amp;</w:t>
            </w:r>
            <w:r w:rsidR="003716A5">
              <w:rPr>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5150DA" w14:textId="0E644AA3" w:rsidR="00D53682" w:rsidRPr="003716A5" w:rsidRDefault="00E901B5" w:rsidP="00D53682">
            <w:pPr>
              <w:pStyle w:val="TableText0"/>
              <w:widowControl w:val="0"/>
              <w:jc w:val="center"/>
              <w:rPr>
                <w:szCs w:val="20"/>
                <w:vertAlign w:val="superscript"/>
              </w:rPr>
            </w:pPr>
            <w:r w:rsidRPr="00E901B5">
              <w:rPr>
                <w:szCs w:val="20"/>
                <w:highlight w:val="black"/>
              </w:rPr>
              <w:t>&amp;&amp;&amp;&amp;</w:t>
            </w:r>
            <w:r w:rsidR="003716A5">
              <w:rPr>
                <w:szCs w:val="20"/>
                <w:vertAlign w:val="superscript"/>
              </w:rPr>
              <w:t>3</w:t>
            </w:r>
          </w:p>
        </w:tc>
        <w:tc>
          <w:tcPr>
            <w:tcW w:w="59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197AF0A" w14:textId="06C9FD3A" w:rsidR="00D53682" w:rsidRPr="003716A5" w:rsidRDefault="00E901B5" w:rsidP="00D53682">
            <w:pPr>
              <w:pStyle w:val="TableText0"/>
              <w:widowControl w:val="0"/>
              <w:jc w:val="center"/>
              <w:rPr>
                <w:szCs w:val="20"/>
                <w:vertAlign w:val="superscript"/>
              </w:rPr>
            </w:pPr>
            <w:r w:rsidRPr="00E901B5">
              <w:rPr>
                <w:szCs w:val="20"/>
                <w:highlight w:val="black"/>
              </w:rPr>
              <w:t>&amp;&amp;&amp;&amp;</w:t>
            </w:r>
            <w:r w:rsidR="003716A5">
              <w:rPr>
                <w:szCs w:val="20"/>
                <w:vertAlign w:val="superscript"/>
              </w:rPr>
              <w:t>3</w:t>
            </w:r>
          </w:p>
        </w:tc>
        <w:tc>
          <w:tcPr>
            <w:tcW w:w="679"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22BF38" w14:textId="580B4F6A" w:rsidR="00D53682" w:rsidRPr="006248CA" w:rsidRDefault="00E901B5" w:rsidP="00D53682">
            <w:pPr>
              <w:pStyle w:val="TableText0"/>
              <w:widowControl w:val="0"/>
              <w:jc w:val="center"/>
              <w:rPr>
                <w:szCs w:val="20"/>
                <w:vertAlign w:val="superscript"/>
              </w:rPr>
            </w:pPr>
            <w:r w:rsidRPr="00E901B5">
              <w:rPr>
                <w:rFonts w:cs="Arial"/>
                <w:bCs w:val="0"/>
                <w:color w:val="000000"/>
                <w:szCs w:val="20"/>
                <w:highlight w:val="black"/>
              </w:rPr>
              <w:t>&amp;&amp;&amp;&amp;</w:t>
            </w:r>
            <w:r w:rsidR="006248CA">
              <w:rPr>
                <w:rFonts w:cs="Arial"/>
                <w:bCs w:val="0"/>
                <w:color w:val="000000"/>
                <w:szCs w:val="20"/>
                <w:vertAlign w:val="superscript"/>
              </w:rPr>
              <w:t>19</w:t>
            </w:r>
          </w:p>
        </w:tc>
      </w:tr>
      <w:tr w:rsidR="00D53682" w:rsidRPr="00177467" w14:paraId="4AB808F6" w14:textId="77777777" w:rsidTr="0044664E">
        <w:tc>
          <w:tcPr>
            <w:tcW w:w="705" w:type="pct"/>
            <w:tcBorders>
              <w:top w:val="single" w:sz="4" w:space="0" w:color="auto"/>
              <w:left w:val="single" w:sz="4" w:space="0" w:color="auto"/>
              <w:bottom w:val="single" w:sz="4" w:space="0" w:color="auto"/>
              <w:right w:val="single" w:sz="4" w:space="0" w:color="auto"/>
            </w:tcBorders>
            <w:hideMark/>
          </w:tcPr>
          <w:p w14:paraId="31FAB6EC" w14:textId="77777777" w:rsidR="00D53682" w:rsidRPr="00177467" w:rsidRDefault="00D53682" w:rsidP="00D53682">
            <w:pPr>
              <w:pStyle w:val="TableText0"/>
              <w:widowControl w:val="0"/>
              <w:rPr>
                <w:szCs w:val="20"/>
              </w:rPr>
            </w:pPr>
            <w:r w:rsidRPr="00177467">
              <w:rPr>
                <w:szCs w:val="20"/>
              </w:rPr>
              <w:t>Resubmission</w:t>
            </w:r>
          </w:p>
        </w:tc>
        <w:tc>
          <w:tcPr>
            <w:tcW w:w="580" w:type="pct"/>
            <w:tcBorders>
              <w:top w:val="single" w:sz="4" w:space="0" w:color="auto"/>
              <w:left w:val="single" w:sz="4" w:space="0" w:color="auto"/>
              <w:bottom w:val="single" w:sz="4" w:space="0" w:color="auto"/>
              <w:right w:val="single" w:sz="4" w:space="0" w:color="auto"/>
            </w:tcBorders>
          </w:tcPr>
          <w:p w14:paraId="7A483E7E" w14:textId="2735B202" w:rsidR="00D53682" w:rsidRPr="00CF6F7E" w:rsidRDefault="00E901B5" w:rsidP="00D53682">
            <w:pPr>
              <w:pStyle w:val="TableText0"/>
              <w:widowControl w:val="0"/>
              <w:jc w:val="center"/>
              <w:rPr>
                <w:bCs w:val="0"/>
                <w:szCs w:val="20"/>
                <w:vertAlign w:val="superscript"/>
              </w:rPr>
            </w:pPr>
            <w:r w:rsidRPr="00E901B5">
              <w:rPr>
                <w:rFonts w:cs="Calibri"/>
                <w:bCs w:val="0"/>
                <w:color w:val="000000"/>
                <w:szCs w:val="20"/>
                <w:highlight w:val="black"/>
              </w:rPr>
              <w:t>&amp;&amp;&amp;&amp;</w:t>
            </w:r>
            <w:r w:rsidR="00CF6F7E">
              <w:rPr>
                <w:rFonts w:cs="Calibri"/>
                <w:bCs w:val="0"/>
                <w:color w:val="000000"/>
                <w:szCs w:val="20"/>
                <w:vertAlign w:val="superscript"/>
              </w:rPr>
              <w:t>20</w:t>
            </w:r>
          </w:p>
        </w:tc>
        <w:tc>
          <w:tcPr>
            <w:tcW w:w="611" w:type="pct"/>
            <w:tcBorders>
              <w:top w:val="single" w:sz="4" w:space="0" w:color="auto"/>
              <w:left w:val="single" w:sz="4" w:space="0" w:color="auto"/>
              <w:bottom w:val="single" w:sz="4" w:space="0" w:color="auto"/>
              <w:right w:val="single" w:sz="4" w:space="0" w:color="auto"/>
            </w:tcBorders>
          </w:tcPr>
          <w:p w14:paraId="409261E8" w14:textId="1DC1409E" w:rsidR="00D53682" w:rsidRPr="00CF6F7E" w:rsidRDefault="00E901B5" w:rsidP="00D53682">
            <w:pPr>
              <w:pStyle w:val="TableText0"/>
              <w:widowControl w:val="0"/>
              <w:jc w:val="center"/>
              <w:rPr>
                <w:bCs w:val="0"/>
                <w:szCs w:val="20"/>
                <w:vertAlign w:val="superscript"/>
              </w:rPr>
            </w:pPr>
            <w:r w:rsidRPr="00E901B5">
              <w:rPr>
                <w:rFonts w:cs="Calibri"/>
                <w:bCs w:val="0"/>
                <w:color w:val="000000"/>
                <w:szCs w:val="20"/>
                <w:highlight w:val="black"/>
              </w:rPr>
              <w:t>&amp;&amp;&amp;&amp;</w:t>
            </w:r>
            <w:r w:rsidR="00CF6F7E">
              <w:rPr>
                <w:rFonts w:cs="Calibri"/>
                <w:bCs w:val="0"/>
                <w:color w:val="000000"/>
                <w:szCs w:val="20"/>
                <w:vertAlign w:val="superscript"/>
              </w:rPr>
              <w:t>20</w:t>
            </w:r>
          </w:p>
        </w:tc>
        <w:tc>
          <w:tcPr>
            <w:tcW w:w="611" w:type="pct"/>
            <w:tcBorders>
              <w:top w:val="single" w:sz="4" w:space="0" w:color="auto"/>
              <w:left w:val="single" w:sz="4" w:space="0" w:color="auto"/>
              <w:bottom w:val="single" w:sz="4" w:space="0" w:color="auto"/>
              <w:right w:val="single" w:sz="4" w:space="0" w:color="auto"/>
            </w:tcBorders>
          </w:tcPr>
          <w:p w14:paraId="4AC2DE1E" w14:textId="29B13FBE" w:rsidR="00D53682" w:rsidRPr="00EA50C1" w:rsidRDefault="00E901B5" w:rsidP="00D53682">
            <w:pPr>
              <w:pStyle w:val="TableText0"/>
              <w:widowControl w:val="0"/>
              <w:jc w:val="center"/>
              <w:rPr>
                <w:bCs w:val="0"/>
                <w:szCs w:val="20"/>
                <w:vertAlign w:val="superscript"/>
              </w:rPr>
            </w:pPr>
            <w:r w:rsidRPr="00E901B5">
              <w:rPr>
                <w:rFonts w:cs="Calibri"/>
                <w:bCs w:val="0"/>
                <w:color w:val="000000"/>
                <w:szCs w:val="20"/>
                <w:highlight w:val="black"/>
              </w:rPr>
              <w:t>&amp;&amp;&amp;&amp;</w:t>
            </w:r>
            <w:r w:rsidR="00EA50C1">
              <w:rPr>
                <w:rFonts w:cs="Calibri"/>
                <w:bCs w:val="0"/>
                <w:color w:val="000000"/>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tcPr>
          <w:p w14:paraId="30D000C3" w14:textId="3218E755" w:rsidR="00D53682" w:rsidRPr="00EE5C05" w:rsidRDefault="00E901B5" w:rsidP="00D53682">
            <w:pPr>
              <w:pStyle w:val="TableText0"/>
              <w:widowControl w:val="0"/>
              <w:jc w:val="center"/>
              <w:rPr>
                <w:bCs w:val="0"/>
                <w:szCs w:val="20"/>
                <w:vertAlign w:val="superscript"/>
              </w:rPr>
            </w:pPr>
            <w:r w:rsidRPr="00E901B5">
              <w:rPr>
                <w:rFonts w:cs="Calibri"/>
                <w:bCs w:val="0"/>
                <w:color w:val="000000"/>
                <w:szCs w:val="20"/>
                <w:highlight w:val="black"/>
              </w:rPr>
              <w:t>&amp;&amp;&amp;&amp;</w:t>
            </w:r>
            <w:r w:rsidR="00EE5C05">
              <w:rPr>
                <w:rFonts w:cs="Calibri"/>
                <w:bCs w:val="0"/>
                <w:color w:val="000000"/>
                <w:szCs w:val="20"/>
                <w:vertAlign w:val="superscript"/>
              </w:rPr>
              <w:t>17</w:t>
            </w:r>
          </w:p>
        </w:tc>
        <w:tc>
          <w:tcPr>
            <w:tcW w:w="611" w:type="pct"/>
            <w:tcBorders>
              <w:top w:val="single" w:sz="4" w:space="0" w:color="auto"/>
              <w:left w:val="single" w:sz="4" w:space="0" w:color="auto"/>
              <w:bottom w:val="single" w:sz="4" w:space="0" w:color="auto"/>
              <w:right w:val="single" w:sz="4" w:space="0" w:color="auto"/>
            </w:tcBorders>
          </w:tcPr>
          <w:p w14:paraId="36BA06D7" w14:textId="4E5ABDD6" w:rsidR="00D53682" w:rsidRPr="00EE5C05" w:rsidRDefault="00E901B5" w:rsidP="00D53682">
            <w:pPr>
              <w:pStyle w:val="TableText0"/>
              <w:widowControl w:val="0"/>
              <w:jc w:val="center"/>
              <w:rPr>
                <w:bCs w:val="0"/>
                <w:szCs w:val="20"/>
                <w:vertAlign w:val="superscript"/>
              </w:rPr>
            </w:pPr>
            <w:r w:rsidRPr="00E901B5">
              <w:rPr>
                <w:rFonts w:cs="Calibri"/>
                <w:bCs w:val="0"/>
                <w:color w:val="000000"/>
                <w:szCs w:val="20"/>
                <w:highlight w:val="black"/>
              </w:rPr>
              <w:t>&amp;&amp;&amp;&amp;</w:t>
            </w:r>
            <w:r w:rsidR="00EE5C05">
              <w:rPr>
                <w:rFonts w:cs="Calibri"/>
                <w:bCs w:val="0"/>
                <w:color w:val="000000"/>
                <w:szCs w:val="20"/>
                <w:vertAlign w:val="superscript"/>
              </w:rPr>
              <w:t>17</w:t>
            </w:r>
          </w:p>
        </w:tc>
        <w:tc>
          <w:tcPr>
            <w:tcW w:w="592" w:type="pct"/>
            <w:tcBorders>
              <w:top w:val="single" w:sz="4" w:space="0" w:color="auto"/>
              <w:left w:val="single" w:sz="4" w:space="0" w:color="auto"/>
              <w:bottom w:val="single" w:sz="4" w:space="0" w:color="auto"/>
              <w:right w:val="single" w:sz="4" w:space="0" w:color="auto"/>
            </w:tcBorders>
          </w:tcPr>
          <w:p w14:paraId="19A54352" w14:textId="2E11F341" w:rsidR="00D53682" w:rsidRPr="006248CA" w:rsidRDefault="00E901B5" w:rsidP="00D53682">
            <w:pPr>
              <w:pStyle w:val="TableText0"/>
              <w:widowControl w:val="0"/>
              <w:jc w:val="center"/>
              <w:rPr>
                <w:bCs w:val="0"/>
                <w:szCs w:val="20"/>
                <w:vertAlign w:val="superscript"/>
              </w:rPr>
            </w:pPr>
            <w:r w:rsidRPr="00E901B5">
              <w:rPr>
                <w:rFonts w:cs="Calibri"/>
                <w:bCs w:val="0"/>
                <w:color w:val="000000"/>
                <w:szCs w:val="20"/>
                <w:highlight w:val="black"/>
              </w:rPr>
              <w:t>&amp;&amp;&amp;&amp;</w:t>
            </w:r>
            <w:r w:rsidR="006248CA">
              <w:rPr>
                <w:rFonts w:cs="Calibri"/>
                <w:bCs w:val="0"/>
                <w:color w:val="000000"/>
                <w:szCs w:val="20"/>
                <w:vertAlign w:val="superscript"/>
              </w:rPr>
              <w:t>18</w:t>
            </w:r>
          </w:p>
        </w:tc>
        <w:tc>
          <w:tcPr>
            <w:tcW w:w="679" w:type="pct"/>
            <w:tcBorders>
              <w:top w:val="single" w:sz="4" w:space="0" w:color="auto"/>
              <w:left w:val="single" w:sz="4" w:space="0" w:color="auto"/>
              <w:bottom w:val="single" w:sz="4" w:space="0" w:color="auto"/>
              <w:right w:val="single" w:sz="4" w:space="0" w:color="auto"/>
            </w:tcBorders>
          </w:tcPr>
          <w:p w14:paraId="741452C3" w14:textId="0384391D" w:rsidR="00D53682" w:rsidRPr="000E698D" w:rsidRDefault="00E901B5" w:rsidP="00D53682">
            <w:pPr>
              <w:pStyle w:val="TableText0"/>
              <w:widowControl w:val="0"/>
              <w:jc w:val="center"/>
              <w:rPr>
                <w:rFonts w:cs="Calibri"/>
                <w:color w:val="000000"/>
                <w:szCs w:val="20"/>
                <w:vertAlign w:val="superscript"/>
              </w:rPr>
            </w:pPr>
            <w:r w:rsidRPr="00E901B5">
              <w:rPr>
                <w:rFonts w:cs="Calibri"/>
                <w:color w:val="000000"/>
                <w:szCs w:val="20"/>
                <w:highlight w:val="black"/>
              </w:rPr>
              <w:t>&amp;&amp;&amp;&amp;</w:t>
            </w:r>
            <w:r w:rsidR="000E698D">
              <w:rPr>
                <w:rFonts w:cs="Calibri"/>
                <w:color w:val="000000"/>
                <w:szCs w:val="20"/>
                <w:vertAlign w:val="superscript"/>
              </w:rPr>
              <w:t>21</w:t>
            </w:r>
          </w:p>
        </w:tc>
      </w:tr>
      <w:tr w:rsidR="005355BF" w:rsidRPr="00177467" w14:paraId="6DDA337E" w14:textId="77777777" w:rsidTr="0044664E">
        <w:tc>
          <w:tcPr>
            <w:tcW w:w="705" w:type="pct"/>
            <w:tcBorders>
              <w:top w:val="single" w:sz="4" w:space="0" w:color="auto"/>
              <w:left w:val="single" w:sz="4" w:space="0" w:color="auto"/>
              <w:bottom w:val="single" w:sz="4" w:space="0" w:color="auto"/>
              <w:right w:val="single" w:sz="4" w:space="0" w:color="auto"/>
            </w:tcBorders>
          </w:tcPr>
          <w:p w14:paraId="26AE556C" w14:textId="25A35C34" w:rsidR="005355BF" w:rsidRPr="00177467" w:rsidRDefault="005355BF" w:rsidP="005355BF">
            <w:pPr>
              <w:pStyle w:val="TableText0"/>
              <w:widowControl w:val="0"/>
              <w:rPr>
                <w:szCs w:val="20"/>
              </w:rPr>
            </w:pPr>
            <w:r w:rsidRPr="00177467">
              <w:rPr>
                <w:szCs w:val="20"/>
              </w:rPr>
              <w:t>PSCR</w:t>
            </w:r>
          </w:p>
        </w:tc>
        <w:tc>
          <w:tcPr>
            <w:tcW w:w="580" w:type="pct"/>
            <w:tcBorders>
              <w:top w:val="single" w:sz="4" w:space="0" w:color="auto"/>
              <w:left w:val="single" w:sz="4" w:space="0" w:color="auto"/>
              <w:bottom w:val="single" w:sz="4" w:space="0" w:color="auto"/>
              <w:right w:val="single" w:sz="4" w:space="0" w:color="auto"/>
            </w:tcBorders>
          </w:tcPr>
          <w:p w14:paraId="090FD03A" w14:textId="5FD579CA" w:rsidR="005355BF" w:rsidRPr="0016669B"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16669B">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tcPr>
          <w:p w14:paraId="3EB3F931" w14:textId="01851D40" w:rsidR="005355BF" w:rsidRPr="00EA50C1"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EA50C1">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tcPr>
          <w:p w14:paraId="196BA884" w14:textId="5C4FB690" w:rsidR="005355BF" w:rsidRPr="00CF6F7E"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CF6F7E">
              <w:rPr>
                <w:szCs w:val="20"/>
                <w:vertAlign w:val="superscript"/>
              </w:rPr>
              <w:t>20</w:t>
            </w:r>
          </w:p>
        </w:tc>
        <w:tc>
          <w:tcPr>
            <w:tcW w:w="611" w:type="pct"/>
            <w:tcBorders>
              <w:top w:val="single" w:sz="4" w:space="0" w:color="auto"/>
              <w:left w:val="single" w:sz="4" w:space="0" w:color="auto"/>
              <w:bottom w:val="single" w:sz="4" w:space="0" w:color="auto"/>
              <w:right w:val="single" w:sz="4" w:space="0" w:color="auto"/>
            </w:tcBorders>
          </w:tcPr>
          <w:p w14:paraId="522C9004" w14:textId="303B8D15" w:rsidR="005355BF" w:rsidRPr="00CF6F7E"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CF6F7E">
              <w:rPr>
                <w:szCs w:val="20"/>
                <w:vertAlign w:val="superscript"/>
              </w:rPr>
              <w:t>20</w:t>
            </w:r>
          </w:p>
        </w:tc>
        <w:tc>
          <w:tcPr>
            <w:tcW w:w="611" w:type="pct"/>
            <w:tcBorders>
              <w:top w:val="single" w:sz="4" w:space="0" w:color="auto"/>
              <w:left w:val="single" w:sz="4" w:space="0" w:color="auto"/>
              <w:bottom w:val="single" w:sz="4" w:space="0" w:color="auto"/>
              <w:right w:val="single" w:sz="4" w:space="0" w:color="auto"/>
            </w:tcBorders>
          </w:tcPr>
          <w:p w14:paraId="129DCEE9" w14:textId="58AEA4BF" w:rsidR="005355BF" w:rsidRPr="005B0108"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5B0108">
              <w:rPr>
                <w:szCs w:val="20"/>
                <w:vertAlign w:val="superscript"/>
              </w:rPr>
              <w:t>16</w:t>
            </w:r>
          </w:p>
        </w:tc>
        <w:tc>
          <w:tcPr>
            <w:tcW w:w="592" w:type="pct"/>
            <w:tcBorders>
              <w:top w:val="single" w:sz="4" w:space="0" w:color="auto"/>
              <w:left w:val="single" w:sz="4" w:space="0" w:color="auto"/>
              <w:bottom w:val="single" w:sz="4" w:space="0" w:color="auto"/>
              <w:right w:val="single" w:sz="4" w:space="0" w:color="auto"/>
            </w:tcBorders>
          </w:tcPr>
          <w:p w14:paraId="4B1771DF" w14:textId="108B1680" w:rsidR="005355BF" w:rsidRPr="005B0108"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5B0108">
              <w:rPr>
                <w:szCs w:val="20"/>
                <w:vertAlign w:val="superscript"/>
              </w:rPr>
              <w:t>16</w:t>
            </w:r>
          </w:p>
        </w:tc>
        <w:tc>
          <w:tcPr>
            <w:tcW w:w="679" w:type="pct"/>
            <w:tcBorders>
              <w:top w:val="single" w:sz="4" w:space="0" w:color="auto"/>
              <w:left w:val="single" w:sz="4" w:space="0" w:color="auto"/>
              <w:bottom w:val="single" w:sz="4" w:space="0" w:color="auto"/>
              <w:right w:val="single" w:sz="4" w:space="0" w:color="auto"/>
            </w:tcBorders>
          </w:tcPr>
          <w:p w14:paraId="5D785ED0" w14:textId="47EA0821" w:rsidR="005355BF" w:rsidRPr="00EA50C1" w:rsidRDefault="00E901B5" w:rsidP="005355BF">
            <w:pPr>
              <w:pStyle w:val="TableText0"/>
              <w:widowControl w:val="0"/>
              <w:jc w:val="center"/>
              <w:rPr>
                <w:rFonts w:cs="Calibri"/>
                <w:color w:val="000000"/>
                <w:szCs w:val="20"/>
                <w:vertAlign w:val="superscript"/>
              </w:rPr>
            </w:pPr>
            <w:r w:rsidRPr="00E901B5">
              <w:rPr>
                <w:szCs w:val="20"/>
                <w:highlight w:val="black"/>
              </w:rPr>
              <w:t>&amp;&amp;&amp;&amp;</w:t>
            </w:r>
            <w:r w:rsidR="00EA50C1">
              <w:rPr>
                <w:szCs w:val="20"/>
                <w:vertAlign w:val="superscript"/>
              </w:rPr>
              <w:t>22</w:t>
            </w:r>
          </w:p>
        </w:tc>
      </w:tr>
      <w:tr w:rsidR="005355BF" w:rsidRPr="00177467" w14:paraId="7449EEBD" w14:textId="77777777" w:rsidTr="0044664E">
        <w:tc>
          <w:tcPr>
            <w:tcW w:w="705" w:type="pct"/>
            <w:tcBorders>
              <w:top w:val="single" w:sz="4" w:space="0" w:color="auto"/>
              <w:left w:val="single" w:sz="4" w:space="0" w:color="auto"/>
              <w:bottom w:val="single" w:sz="4" w:space="0" w:color="auto"/>
              <w:right w:val="single" w:sz="4" w:space="0" w:color="auto"/>
            </w:tcBorders>
          </w:tcPr>
          <w:p w14:paraId="66F6521F" w14:textId="6F927E41" w:rsidR="005355BF" w:rsidRPr="00D8190A" w:rsidRDefault="005355BF" w:rsidP="005355BF">
            <w:pPr>
              <w:pStyle w:val="TableText0"/>
              <w:widowControl w:val="0"/>
              <w:rPr>
                <w:szCs w:val="20"/>
              </w:rPr>
            </w:pPr>
            <w:r w:rsidRPr="00D8190A">
              <w:rPr>
                <w:szCs w:val="20"/>
              </w:rPr>
              <w:t>Pre-PBAC</w:t>
            </w:r>
          </w:p>
        </w:tc>
        <w:tc>
          <w:tcPr>
            <w:tcW w:w="580" w:type="pct"/>
            <w:tcBorders>
              <w:top w:val="single" w:sz="4" w:space="0" w:color="auto"/>
              <w:left w:val="single" w:sz="4" w:space="0" w:color="auto"/>
              <w:bottom w:val="single" w:sz="4" w:space="0" w:color="auto"/>
              <w:right w:val="single" w:sz="4" w:space="0" w:color="auto"/>
            </w:tcBorders>
          </w:tcPr>
          <w:p w14:paraId="12B95817" w14:textId="4C8D10C1" w:rsidR="005355BF" w:rsidRPr="0056694B"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56694B">
              <w:rPr>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6B752240" w14:textId="5D9D72C2" w:rsidR="005355BF" w:rsidRPr="005B0108"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5B0108">
              <w:rPr>
                <w:szCs w:val="20"/>
                <w:vertAlign w:val="superscript"/>
              </w:rPr>
              <w:t>16</w:t>
            </w:r>
          </w:p>
        </w:tc>
        <w:tc>
          <w:tcPr>
            <w:tcW w:w="611" w:type="pct"/>
            <w:tcBorders>
              <w:top w:val="single" w:sz="4" w:space="0" w:color="auto"/>
              <w:left w:val="single" w:sz="4" w:space="0" w:color="auto"/>
              <w:bottom w:val="single" w:sz="4" w:space="0" w:color="auto"/>
              <w:right w:val="single" w:sz="4" w:space="0" w:color="auto"/>
            </w:tcBorders>
          </w:tcPr>
          <w:p w14:paraId="07AFDE6D" w14:textId="7F82E351" w:rsidR="005355BF" w:rsidRPr="005B0108"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5B0108">
              <w:rPr>
                <w:szCs w:val="20"/>
                <w:vertAlign w:val="superscript"/>
              </w:rPr>
              <w:t>16</w:t>
            </w:r>
          </w:p>
        </w:tc>
        <w:tc>
          <w:tcPr>
            <w:tcW w:w="611" w:type="pct"/>
            <w:tcBorders>
              <w:top w:val="single" w:sz="4" w:space="0" w:color="auto"/>
              <w:left w:val="single" w:sz="4" w:space="0" w:color="auto"/>
              <w:bottom w:val="single" w:sz="4" w:space="0" w:color="auto"/>
              <w:right w:val="single" w:sz="4" w:space="0" w:color="auto"/>
            </w:tcBorders>
          </w:tcPr>
          <w:p w14:paraId="00F4A1BE" w14:textId="4A276BFF" w:rsidR="005355BF" w:rsidRPr="00CF6F7E"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CF6F7E">
              <w:rPr>
                <w:szCs w:val="20"/>
                <w:vertAlign w:val="superscript"/>
              </w:rPr>
              <w:t>20</w:t>
            </w:r>
          </w:p>
        </w:tc>
        <w:tc>
          <w:tcPr>
            <w:tcW w:w="611" w:type="pct"/>
            <w:tcBorders>
              <w:top w:val="single" w:sz="4" w:space="0" w:color="auto"/>
              <w:left w:val="single" w:sz="4" w:space="0" w:color="auto"/>
              <w:bottom w:val="single" w:sz="4" w:space="0" w:color="auto"/>
              <w:right w:val="single" w:sz="4" w:space="0" w:color="auto"/>
            </w:tcBorders>
          </w:tcPr>
          <w:p w14:paraId="43ED9498" w14:textId="36C7A678" w:rsidR="005355BF" w:rsidRPr="0047150E"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47150E">
              <w:rPr>
                <w:szCs w:val="20"/>
                <w:vertAlign w:val="superscript"/>
              </w:rPr>
              <w:t>20</w:t>
            </w:r>
          </w:p>
        </w:tc>
        <w:tc>
          <w:tcPr>
            <w:tcW w:w="592" w:type="pct"/>
            <w:tcBorders>
              <w:top w:val="single" w:sz="4" w:space="0" w:color="auto"/>
              <w:left w:val="single" w:sz="4" w:space="0" w:color="auto"/>
              <w:bottom w:val="single" w:sz="4" w:space="0" w:color="auto"/>
              <w:right w:val="single" w:sz="4" w:space="0" w:color="auto"/>
            </w:tcBorders>
          </w:tcPr>
          <w:p w14:paraId="0C6A6942" w14:textId="4C1B810A" w:rsidR="005355BF" w:rsidRPr="0047150E" w:rsidRDefault="00E901B5" w:rsidP="005355BF">
            <w:pPr>
              <w:pStyle w:val="TableText0"/>
              <w:widowControl w:val="0"/>
              <w:jc w:val="center"/>
              <w:rPr>
                <w:rFonts w:cs="Calibri"/>
                <w:bCs w:val="0"/>
                <w:color w:val="000000"/>
                <w:szCs w:val="20"/>
                <w:vertAlign w:val="superscript"/>
              </w:rPr>
            </w:pPr>
            <w:r w:rsidRPr="00E901B5">
              <w:rPr>
                <w:szCs w:val="20"/>
                <w:highlight w:val="black"/>
              </w:rPr>
              <w:t>&amp;&amp;&amp;&amp;</w:t>
            </w:r>
            <w:r w:rsidR="0047150E">
              <w:rPr>
                <w:szCs w:val="20"/>
                <w:vertAlign w:val="superscript"/>
              </w:rPr>
              <w:t>20</w:t>
            </w:r>
          </w:p>
        </w:tc>
        <w:tc>
          <w:tcPr>
            <w:tcW w:w="679" w:type="pct"/>
            <w:tcBorders>
              <w:top w:val="single" w:sz="4" w:space="0" w:color="auto"/>
              <w:left w:val="single" w:sz="4" w:space="0" w:color="auto"/>
              <w:bottom w:val="single" w:sz="4" w:space="0" w:color="auto"/>
              <w:right w:val="single" w:sz="4" w:space="0" w:color="auto"/>
            </w:tcBorders>
          </w:tcPr>
          <w:p w14:paraId="6954C657" w14:textId="5DBFC461" w:rsidR="005355BF" w:rsidRPr="00EA50C1" w:rsidRDefault="00E901B5" w:rsidP="005355BF">
            <w:pPr>
              <w:pStyle w:val="TableText0"/>
              <w:widowControl w:val="0"/>
              <w:jc w:val="center"/>
              <w:rPr>
                <w:rFonts w:cs="Calibri"/>
                <w:color w:val="000000"/>
                <w:szCs w:val="20"/>
                <w:vertAlign w:val="superscript"/>
              </w:rPr>
            </w:pPr>
            <w:r w:rsidRPr="00E901B5">
              <w:rPr>
                <w:szCs w:val="20"/>
                <w:highlight w:val="black"/>
              </w:rPr>
              <w:t>&amp;&amp;&amp;&amp;</w:t>
            </w:r>
            <w:r w:rsidR="00EA50C1">
              <w:rPr>
                <w:szCs w:val="20"/>
                <w:vertAlign w:val="superscript"/>
              </w:rPr>
              <w:t>22</w:t>
            </w:r>
          </w:p>
        </w:tc>
      </w:tr>
      <w:tr w:rsidR="005355BF" w:rsidRPr="00177467" w14:paraId="5E837C9D" w14:textId="77777777" w:rsidTr="006E29A6">
        <w:tc>
          <w:tcPr>
            <w:tcW w:w="5000" w:type="pct"/>
            <w:gridSpan w:val="8"/>
            <w:tcBorders>
              <w:top w:val="single" w:sz="4" w:space="0" w:color="auto"/>
              <w:left w:val="single" w:sz="4" w:space="0" w:color="auto"/>
              <w:bottom w:val="single" w:sz="4" w:space="0" w:color="auto"/>
              <w:right w:val="single" w:sz="4" w:space="0" w:color="auto"/>
            </w:tcBorders>
            <w:hideMark/>
          </w:tcPr>
          <w:p w14:paraId="113CA49B" w14:textId="77777777" w:rsidR="005355BF" w:rsidRPr="00177467" w:rsidRDefault="005355BF" w:rsidP="005355BF">
            <w:pPr>
              <w:pStyle w:val="TableText0"/>
              <w:widowControl w:val="0"/>
              <w:rPr>
                <w:b/>
                <w:szCs w:val="20"/>
              </w:rPr>
            </w:pPr>
            <w:r w:rsidRPr="00177467">
              <w:rPr>
                <w:b/>
                <w:szCs w:val="20"/>
              </w:rPr>
              <w:t xml:space="preserve">Net cost of </w:t>
            </w:r>
            <w:proofErr w:type="spellStart"/>
            <w:r w:rsidRPr="00177467">
              <w:rPr>
                <w:b/>
                <w:szCs w:val="20"/>
              </w:rPr>
              <w:t>fezolinetant</w:t>
            </w:r>
            <w:proofErr w:type="spellEnd"/>
            <w:r w:rsidRPr="00177467">
              <w:rPr>
                <w:b/>
                <w:szCs w:val="20"/>
              </w:rPr>
              <w:t xml:space="preserve"> to PBS/RPBS</w:t>
            </w:r>
          </w:p>
        </w:tc>
      </w:tr>
      <w:tr w:rsidR="005355BF" w:rsidRPr="00177467" w14:paraId="77CA9DC0" w14:textId="77777777" w:rsidTr="0044664E">
        <w:tc>
          <w:tcPr>
            <w:tcW w:w="705"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hideMark/>
          </w:tcPr>
          <w:p w14:paraId="7550769D" w14:textId="77777777" w:rsidR="005355BF" w:rsidRPr="00177467" w:rsidRDefault="005355BF" w:rsidP="005355BF">
            <w:pPr>
              <w:pStyle w:val="TableText0"/>
              <w:widowControl w:val="0"/>
              <w:rPr>
                <w:szCs w:val="20"/>
              </w:rPr>
            </w:pPr>
            <w:r w:rsidRPr="00177467">
              <w:rPr>
                <w:szCs w:val="20"/>
              </w:rPr>
              <w:t>March 2025</w:t>
            </w:r>
          </w:p>
        </w:tc>
        <w:tc>
          <w:tcPr>
            <w:tcW w:w="580"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16ECA565" w14:textId="7338668F" w:rsidR="00310E4D"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2AE34E3C" w14:textId="3D198413" w:rsidR="005355BF" w:rsidRPr="00310E4D" w:rsidRDefault="00310E4D" w:rsidP="005355BF">
            <w:pPr>
              <w:pStyle w:val="TableText0"/>
              <w:widowControl w:val="0"/>
              <w:jc w:val="center"/>
              <w:rPr>
                <w:szCs w:val="20"/>
                <w:vertAlign w:val="superscript"/>
              </w:rPr>
            </w:pPr>
            <w:r>
              <w:rPr>
                <w:szCs w:val="20"/>
                <w:vertAlign w:val="superscript"/>
              </w:rPr>
              <w:t>23</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4B732B34" w14:textId="472B59BD" w:rsidR="005355BF"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6D3D2E88" w14:textId="60B18BCA" w:rsidR="00CA2DE7" w:rsidRPr="004E7FFA" w:rsidRDefault="004E7FFA" w:rsidP="005355BF">
            <w:pPr>
              <w:pStyle w:val="TableText0"/>
              <w:widowControl w:val="0"/>
              <w:jc w:val="center"/>
              <w:rPr>
                <w:szCs w:val="20"/>
                <w:vertAlign w:val="superscript"/>
              </w:rPr>
            </w:pPr>
            <w:r>
              <w:rPr>
                <w:szCs w:val="20"/>
                <w:vertAlign w:val="superscript"/>
              </w:rPr>
              <w:t>24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717BA65F" w14:textId="6109DE43" w:rsidR="005355BF"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5F2F1655" w14:textId="2C50F068" w:rsidR="004E7FFA" w:rsidRPr="004E7FFA" w:rsidRDefault="004E7FFA" w:rsidP="005355BF">
            <w:pPr>
              <w:pStyle w:val="TableText0"/>
              <w:widowControl w:val="0"/>
              <w:jc w:val="center"/>
              <w:rPr>
                <w:szCs w:val="20"/>
                <w:vertAlign w:val="superscript"/>
              </w:rPr>
            </w:pPr>
            <w:r>
              <w:rPr>
                <w:szCs w:val="20"/>
                <w:vertAlign w:val="superscript"/>
              </w:rPr>
              <w:t>24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2FEDB584" w14:textId="75B0A38F" w:rsidR="005355BF"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2C78AFB2" w14:textId="13A6F6B1" w:rsidR="004E7FFA" w:rsidRPr="004E7FFA" w:rsidRDefault="004E7FFA" w:rsidP="005355BF">
            <w:pPr>
              <w:pStyle w:val="TableText0"/>
              <w:widowControl w:val="0"/>
              <w:jc w:val="center"/>
              <w:rPr>
                <w:szCs w:val="20"/>
                <w:vertAlign w:val="superscript"/>
              </w:rPr>
            </w:pPr>
            <w:r>
              <w:rPr>
                <w:szCs w:val="20"/>
                <w:vertAlign w:val="superscript"/>
              </w:rPr>
              <w:t>24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7CF78AB6" w14:textId="7E2C4F4A" w:rsidR="005355BF"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2CF8F9F6" w14:textId="1CE5E835" w:rsidR="004E7FFA" w:rsidRPr="004E7FFA" w:rsidRDefault="004E7FFA" w:rsidP="005355BF">
            <w:pPr>
              <w:pStyle w:val="TableText0"/>
              <w:widowControl w:val="0"/>
              <w:jc w:val="center"/>
              <w:rPr>
                <w:szCs w:val="20"/>
                <w:vertAlign w:val="superscript"/>
              </w:rPr>
            </w:pPr>
            <w:r>
              <w:rPr>
                <w:szCs w:val="20"/>
                <w:vertAlign w:val="superscript"/>
              </w:rPr>
              <w:t>24</w:t>
            </w:r>
          </w:p>
        </w:tc>
        <w:tc>
          <w:tcPr>
            <w:tcW w:w="592"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6F490008" w14:textId="3F969176" w:rsidR="005355BF"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669A11FB" w14:textId="238F6300" w:rsidR="006D47DD" w:rsidRPr="006D47DD" w:rsidRDefault="006D47DD" w:rsidP="005355BF">
            <w:pPr>
              <w:pStyle w:val="TableText0"/>
              <w:widowControl w:val="0"/>
              <w:jc w:val="center"/>
              <w:rPr>
                <w:szCs w:val="20"/>
                <w:vertAlign w:val="superscript"/>
              </w:rPr>
            </w:pPr>
            <w:r>
              <w:rPr>
                <w:szCs w:val="20"/>
                <w:vertAlign w:val="superscript"/>
              </w:rPr>
              <w:t>25</w:t>
            </w:r>
          </w:p>
        </w:tc>
        <w:tc>
          <w:tcPr>
            <w:tcW w:w="679"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03E4A0ED" w14:textId="3F69F852" w:rsidR="005355BF" w:rsidRDefault="005355BF" w:rsidP="005355BF">
            <w:pPr>
              <w:pStyle w:val="TableText0"/>
              <w:widowControl w:val="0"/>
              <w:jc w:val="center"/>
              <w:rPr>
                <w:szCs w:val="20"/>
                <w:vertAlign w:val="superscript"/>
              </w:rPr>
            </w:pPr>
            <w:r w:rsidRPr="00177467">
              <w:rPr>
                <w:szCs w:val="20"/>
              </w:rPr>
              <w:t>$</w:t>
            </w:r>
            <w:r w:rsidR="00E901B5" w:rsidRPr="00E901B5">
              <w:rPr>
                <w:szCs w:val="20"/>
                <w:highlight w:val="black"/>
              </w:rPr>
              <w:t>&amp;&amp;&amp;&amp;</w:t>
            </w:r>
          </w:p>
          <w:p w14:paraId="3FB0AC31" w14:textId="4096EDEA" w:rsidR="008578FB" w:rsidRPr="008578FB" w:rsidRDefault="008578FB" w:rsidP="005355BF">
            <w:pPr>
              <w:pStyle w:val="TableText0"/>
              <w:widowControl w:val="0"/>
              <w:jc w:val="center"/>
              <w:rPr>
                <w:szCs w:val="20"/>
                <w:vertAlign w:val="superscript"/>
              </w:rPr>
            </w:pPr>
            <w:r>
              <w:rPr>
                <w:szCs w:val="20"/>
                <w:vertAlign w:val="superscript"/>
              </w:rPr>
              <w:t>26</w:t>
            </w:r>
          </w:p>
        </w:tc>
      </w:tr>
      <w:tr w:rsidR="005355BF" w:rsidRPr="00177467" w14:paraId="2D2108A1" w14:textId="77777777" w:rsidTr="0044664E">
        <w:trPr>
          <w:trHeight w:val="459"/>
        </w:trPr>
        <w:tc>
          <w:tcPr>
            <w:tcW w:w="70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C48E5FD" w14:textId="77777777" w:rsidR="005355BF" w:rsidRPr="00177467" w:rsidRDefault="005355BF" w:rsidP="005355BF">
            <w:pPr>
              <w:pStyle w:val="TableText0"/>
              <w:widowControl w:val="0"/>
              <w:rPr>
                <w:szCs w:val="20"/>
              </w:rPr>
            </w:pPr>
            <w:r w:rsidRPr="00177467">
              <w:rPr>
                <w:szCs w:val="20"/>
              </w:rPr>
              <w:t>Resubmission</w:t>
            </w:r>
          </w:p>
          <w:p w14:paraId="3312D9AB" w14:textId="5BF0753E" w:rsidR="005355BF" w:rsidRPr="00177467" w:rsidRDefault="005355BF" w:rsidP="005355BF">
            <w:pPr>
              <w:pStyle w:val="TableText0"/>
              <w:widowControl w:val="0"/>
              <w:rPr>
                <w:szCs w:val="20"/>
              </w:rPr>
            </w:pPr>
            <w:r w:rsidRPr="00177467">
              <w:rPr>
                <w:szCs w:val="20"/>
              </w:rPr>
              <w:t>(Change,</w:t>
            </w:r>
            <w:r w:rsidR="003B5CDE">
              <w:rPr>
                <w:szCs w:val="20"/>
              </w:rPr>
              <w:t xml:space="preserve"> vs March 2025 submission</w:t>
            </w:r>
            <w:r w:rsidRPr="00177467">
              <w:rPr>
                <w:szCs w:val="20"/>
              </w:rPr>
              <w:t xml:space="preserve"> %)</w:t>
            </w:r>
          </w:p>
        </w:tc>
        <w:tc>
          <w:tcPr>
            <w:tcW w:w="580" w:type="pct"/>
            <w:tcBorders>
              <w:top w:val="single" w:sz="4" w:space="0" w:color="auto"/>
              <w:left w:val="single" w:sz="4" w:space="0" w:color="auto"/>
              <w:right w:val="single" w:sz="4" w:space="0" w:color="auto"/>
            </w:tcBorders>
            <w:tcMar>
              <w:left w:w="28" w:type="dxa"/>
              <w:right w:w="28" w:type="dxa"/>
            </w:tcMar>
          </w:tcPr>
          <w:p w14:paraId="4368FF81" w14:textId="39ADE4BA" w:rsidR="005355BF" w:rsidRDefault="005355BF" w:rsidP="005355BF">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4EB643BB" w14:textId="026FF321" w:rsidR="008578FB" w:rsidRPr="008578FB" w:rsidRDefault="008578FB" w:rsidP="005355BF">
            <w:pPr>
              <w:pStyle w:val="TableText0"/>
              <w:widowControl w:val="0"/>
              <w:jc w:val="center"/>
              <w:rPr>
                <w:rFonts w:cs="Calibri"/>
                <w:bCs w:val="0"/>
                <w:color w:val="000000"/>
                <w:szCs w:val="20"/>
                <w:vertAlign w:val="superscript"/>
              </w:rPr>
            </w:pPr>
            <w:r>
              <w:rPr>
                <w:rFonts w:cs="Calibri"/>
                <w:bCs w:val="0"/>
                <w:color w:val="000000"/>
                <w:szCs w:val="20"/>
                <w:vertAlign w:val="superscript"/>
              </w:rPr>
              <w:t>27</w:t>
            </w:r>
          </w:p>
          <w:p w14:paraId="753545F7" w14:textId="488505FC" w:rsidR="005355BF" w:rsidRPr="00177467" w:rsidRDefault="005355BF" w:rsidP="005355BF">
            <w:pPr>
              <w:pStyle w:val="TableText0"/>
              <w:widowControl w:val="0"/>
              <w:jc w:val="center"/>
              <w:rPr>
                <w:rFonts w:cs="Calibri"/>
                <w:bCs w:val="0"/>
                <w:color w:val="000000"/>
                <w:szCs w:val="20"/>
              </w:rPr>
            </w:pPr>
            <w:r w:rsidRPr="00177467">
              <w:rPr>
                <w:rFonts w:cs="Calibri"/>
                <w:color w:val="000000"/>
                <w:szCs w:val="20"/>
              </w:rPr>
              <w:t>(-</w:t>
            </w:r>
            <w:r w:rsidR="00E901B5" w:rsidRPr="00E901B5">
              <w:rPr>
                <w:rFonts w:cs="Calibri"/>
                <w:color w:val="000000"/>
                <w:szCs w:val="20"/>
                <w:highlight w:val="black"/>
              </w:rPr>
              <w:t>&amp;&amp;&amp;&amp;</w:t>
            </w:r>
            <w:r w:rsidRPr="00177467">
              <w:rPr>
                <w:rFonts w:cs="Calibri"/>
                <w:color w:val="000000"/>
                <w:szCs w:val="20"/>
              </w:rPr>
              <w:t>%)</w:t>
            </w:r>
          </w:p>
        </w:tc>
        <w:tc>
          <w:tcPr>
            <w:tcW w:w="611" w:type="pct"/>
            <w:tcBorders>
              <w:top w:val="single" w:sz="4" w:space="0" w:color="auto"/>
              <w:left w:val="single" w:sz="4" w:space="0" w:color="auto"/>
              <w:right w:val="single" w:sz="4" w:space="0" w:color="auto"/>
            </w:tcBorders>
            <w:tcMar>
              <w:left w:w="28" w:type="dxa"/>
              <w:right w:w="28" w:type="dxa"/>
            </w:tcMar>
          </w:tcPr>
          <w:p w14:paraId="177E1946" w14:textId="5F3985C8" w:rsidR="005355BF" w:rsidRPr="00034457" w:rsidRDefault="005355BF" w:rsidP="005355BF">
            <w:pPr>
              <w:pStyle w:val="TableText0"/>
              <w:widowControl w:val="0"/>
              <w:jc w:val="center"/>
              <w:rPr>
                <w:rFonts w:cs="Calibri"/>
                <w:bCs w:val="0"/>
                <w:color w:val="000000"/>
                <w:szCs w:val="20"/>
                <w:vertAlign w:val="superscript"/>
              </w:rPr>
            </w:pPr>
            <w:r w:rsidRPr="00177467">
              <w:rPr>
                <w:rFonts w:cs="Calibri"/>
                <w:bCs w:val="0"/>
                <w:color w:val="000000"/>
                <w:szCs w:val="20"/>
              </w:rPr>
              <w:t>$</w:t>
            </w:r>
            <w:r w:rsidR="00E901B5" w:rsidRPr="00E901B5">
              <w:rPr>
                <w:rFonts w:cs="Calibri"/>
                <w:bCs w:val="0"/>
                <w:color w:val="000000"/>
                <w:szCs w:val="20"/>
                <w:highlight w:val="black"/>
              </w:rPr>
              <w:t>&amp;&amp;&amp;&amp;</w:t>
            </w:r>
          </w:p>
          <w:p w14:paraId="2BDDAF75" w14:textId="21E0D0D5" w:rsidR="00851699" w:rsidRPr="00851699" w:rsidRDefault="00851699" w:rsidP="005355BF">
            <w:pPr>
              <w:pStyle w:val="TableText0"/>
              <w:widowControl w:val="0"/>
              <w:jc w:val="center"/>
              <w:rPr>
                <w:rFonts w:cs="Calibri"/>
                <w:bCs w:val="0"/>
                <w:color w:val="000000"/>
                <w:szCs w:val="20"/>
                <w:vertAlign w:val="superscript"/>
              </w:rPr>
            </w:pPr>
            <w:r>
              <w:rPr>
                <w:rFonts w:cs="Calibri"/>
                <w:bCs w:val="0"/>
                <w:color w:val="000000"/>
                <w:szCs w:val="20"/>
                <w:vertAlign w:val="superscript"/>
              </w:rPr>
              <w:t>28</w:t>
            </w:r>
          </w:p>
          <w:p w14:paraId="17CA1490" w14:textId="4F8CFEC2" w:rsidR="005355BF" w:rsidRPr="00177467" w:rsidRDefault="005355BF" w:rsidP="005355BF">
            <w:pPr>
              <w:pStyle w:val="TableText0"/>
              <w:widowControl w:val="0"/>
              <w:jc w:val="center"/>
              <w:rPr>
                <w:rFonts w:cs="Calibri"/>
                <w:bCs w:val="0"/>
                <w:color w:val="000000"/>
                <w:szCs w:val="20"/>
              </w:rPr>
            </w:pPr>
            <w:r w:rsidRPr="00177467">
              <w:rPr>
                <w:rFonts w:cs="Calibri"/>
                <w:color w:val="000000"/>
                <w:szCs w:val="20"/>
              </w:rPr>
              <w:t>(-</w:t>
            </w:r>
            <w:r w:rsidR="00E901B5" w:rsidRPr="00E901B5">
              <w:rPr>
                <w:rFonts w:cs="Calibri"/>
                <w:color w:val="000000"/>
                <w:szCs w:val="20"/>
                <w:highlight w:val="black"/>
              </w:rPr>
              <w:t>&amp;&amp;&amp;&amp;</w:t>
            </w:r>
            <w:r w:rsidRPr="00177467">
              <w:rPr>
                <w:rFonts w:cs="Calibri"/>
                <w:color w:val="000000"/>
                <w:szCs w:val="20"/>
              </w:rPr>
              <w:t>%)</w:t>
            </w:r>
          </w:p>
        </w:tc>
        <w:tc>
          <w:tcPr>
            <w:tcW w:w="611" w:type="pct"/>
            <w:tcBorders>
              <w:top w:val="single" w:sz="4" w:space="0" w:color="auto"/>
              <w:left w:val="single" w:sz="4" w:space="0" w:color="auto"/>
              <w:right w:val="single" w:sz="4" w:space="0" w:color="auto"/>
            </w:tcBorders>
            <w:tcMar>
              <w:left w:w="28" w:type="dxa"/>
              <w:right w:w="28" w:type="dxa"/>
            </w:tcMar>
          </w:tcPr>
          <w:p w14:paraId="5F1BB370" w14:textId="43F9638D" w:rsidR="005355BF" w:rsidRDefault="005355BF" w:rsidP="005355BF">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1DF7A925" w14:textId="014CE64C" w:rsidR="00034457" w:rsidRPr="00034457" w:rsidRDefault="00034457" w:rsidP="005355BF">
            <w:pPr>
              <w:pStyle w:val="TableText0"/>
              <w:widowControl w:val="0"/>
              <w:jc w:val="center"/>
              <w:rPr>
                <w:rFonts w:cs="Calibri"/>
                <w:bCs w:val="0"/>
                <w:color w:val="000000"/>
                <w:szCs w:val="20"/>
                <w:vertAlign w:val="superscript"/>
              </w:rPr>
            </w:pPr>
            <w:r>
              <w:rPr>
                <w:rFonts w:cs="Calibri"/>
                <w:bCs w:val="0"/>
                <w:color w:val="000000"/>
                <w:szCs w:val="20"/>
                <w:vertAlign w:val="superscript"/>
              </w:rPr>
              <w:t>29</w:t>
            </w:r>
          </w:p>
          <w:p w14:paraId="3E83874B" w14:textId="5C301A3E" w:rsidR="005355BF" w:rsidRPr="00177467" w:rsidRDefault="005355BF" w:rsidP="005355BF">
            <w:pPr>
              <w:pStyle w:val="TableText0"/>
              <w:widowControl w:val="0"/>
              <w:jc w:val="center"/>
              <w:rPr>
                <w:rFonts w:cs="Calibri"/>
                <w:bCs w:val="0"/>
                <w:color w:val="000000"/>
                <w:szCs w:val="20"/>
              </w:rPr>
            </w:pPr>
            <w:r w:rsidRPr="00177467">
              <w:rPr>
                <w:rFonts w:cs="Calibri"/>
                <w:color w:val="000000"/>
                <w:szCs w:val="20"/>
              </w:rPr>
              <w:t>(-</w:t>
            </w:r>
            <w:r w:rsidR="00E901B5" w:rsidRPr="00E901B5">
              <w:rPr>
                <w:rFonts w:cs="Calibri"/>
                <w:color w:val="000000"/>
                <w:szCs w:val="20"/>
                <w:highlight w:val="black"/>
              </w:rPr>
              <w:t>&amp;&amp;&amp;&amp;</w:t>
            </w:r>
            <w:r w:rsidRPr="00177467">
              <w:rPr>
                <w:rFonts w:cs="Calibri"/>
                <w:color w:val="000000"/>
                <w:szCs w:val="20"/>
              </w:rPr>
              <w:t>%)</w:t>
            </w:r>
          </w:p>
        </w:tc>
        <w:tc>
          <w:tcPr>
            <w:tcW w:w="611" w:type="pct"/>
            <w:tcBorders>
              <w:top w:val="single" w:sz="4" w:space="0" w:color="auto"/>
              <w:left w:val="single" w:sz="4" w:space="0" w:color="auto"/>
              <w:right w:val="single" w:sz="4" w:space="0" w:color="auto"/>
            </w:tcBorders>
            <w:tcMar>
              <w:left w:w="28" w:type="dxa"/>
              <w:right w:w="28" w:type="dxa"/>
            </w:tcMar>
          </w:tcPr>
          <w:p w14:paraId="6A2CAB17" w14:textId="064C0145" w:rsidR="005355BF" w:rsidRDefault="005355BF" w:rsidP="005355BF">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40C5C3DA" w14:textId="63505E9B" w:rsidR="00034457" w:rsidRPr="00034457" w:rsidRDefault="00034457" w:rsidP="005355BF">
            <w:pPr>
              <w:pStyle w:val="TableText0"/>
              <w:widowControl w:val="0"/>
              <w:jc w:val="center"/>
              <w:rPr>
                <w:rFonts w:cs="Calibri"/>
                <w:bCs w:val="0"/>
                <w:color w:val="000000"/>
                <w:szCs w:val="20"/>
                <w:vertAlign w:val="superscript"/>
              </w:rPr>
            </w:pPr>
            <w:r>
              <w:rPr>
                <w:rFonts w:cs="Calibri"/>
                <w:bCs w:val="0"/>
                <w:color w:val="000000"/>
                <w:szCs w:val="20"/>
                <w:vertAlign w:val="superscript"/>
              </w:rPr>
              <w:t>29</w:t>
            </w:r>
          </w:p>
          <w:p w14:paraId="56EA1DD0" w14:textId="2E3A7094" w:rsidR="005355BF" w:rsidRPr="00177467" w:rsidRDefault="005355BF" w:rsidP="005355BF">
            <w:pPr>
              <w:pStyle w:val="TableText0"/>
              <w:widowControl w:val="0"/>
              <w:jc w:val="center"/>
              <w:rPr>
                <w:rFonts w:cs="Calibri"/>
                <w:bCs w:val="0"/>
                <w:color w:val="000000"/>
                <w:szCs w:val="20"/>
              </w:rPr>
            </w:pPr>
            <w:r w:rsidRPr="00177467">
              <w:rPr>
                <w:rFonts w:cs="Calibri"/>
                <w:color w:val="000000"/>
                <w:szCs w:val="20"/>
              </w:rPr>
              <w:t>(-</w:t>
            </w:r>
            <w:r w:rsidR="00E901B5" w:rsidRPr="00E901B5">
              <w:rPr>
                <w:rFonts w:cs="Calibri"/>
                <w:color w:val="000000"/>
                <w:szCs w:val="20"/>
                <w:highlight w:val="black"/>
              </w:rPr>
              <w:t>&amp;&amp;&amp;&amp;</w:t>
            </w:r>
            <w:r w:rsidRPr="00177467">
              <w:rPr>
                <w:rFonts w:cs="Calibri"/>
                <w:color w:val="000000"/>
                <w:szCs w:val="20"/>
              </w:rPr>
              <w:t>%)</w:t>
            </w:r>
          </w:p>
        </w:tc>
        <w:tc>
          <w:tcPr>
            <w:tcW w:w="611" w:type="pct"/>
            <w:tcBorders>
              <w:top w:val="single" w:sz="4" w:space="0" w:color="auto"/>
              <w:left w:val="single" w:sz="4" w:space="0" w:color="auto"/>
              <w:right w:val="single" w:sz="4" w:space="0" w:color="auto"/>
            </w:tcBorders>
            <w:tcMar>
              <w:left w:w="28" w:type="dxa"/>
              <w:right w:w="28" w:type="dxa"/>
            </w:tcMar>
          </w:tcPr>
          <w:p w14:paraId="54A158D8" w14:textId="2A00CC6A" w:rsidR="005355BF" w:rsidRDefault="005355BF" w:rsidP="005355BF">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06DB3116" w14:textId="03BA4740" w:rsidR="00034457" w:rsidRPr="00034457" w:rsidRDefault="00034457" w:rsidP="005355BF">
            <w:pPr>
              <w:pStyle w:val="TableText0"/>
              <w:widowControl w:val="0"/>
              <w:jc w:val="center"/>
              <w:rPr>
                <w:rFonts w:cs="Calibri"/>
                <w:bCs w:val="0"/>
                <w:color w:val="000000"/>
                <w:szCs w:val="20"/>
                <w:vertAlign w:val="superscript"/>
              </w:rPr>
            </w:pPr>
            <w:r>
              <w:rPr>
                <w:rFonts w:cs="Calibri"/>
                <w:bCs w:val="0"/>
                <w:color w:val="000000"/>
                <w:szCs w:val="20"/>
                <w:vertAlign w:val="superscript"/>
              </w:rPr>
              <w:t>29</w:t>
            </w:r>
          </w:p>
          <w:p w14:paraId="6E869F08" w14:textId="7ACEC11C" w:rsidR="005355BF" w:rsidRPr="00177467" w:rsidRDefault="005355BF" w:rsidP="005355BF">
            <w:pPr>
              <w:pStyle w:val="TableText0"/>
              <w:widowControl w:val="0"/>
              <w:jc w:val="center"/>
              <w:rPr>
                <w:rFonts w:cs="Calibri"/>
                <w:bCs w:val="0"/>
                <w:color w:val="000000"/>
                <w:szCs w:val="20"/>
              </w:rPr>
            </w:pPr>
            <w:r w:rsidRPr="00177467">
              <w:rPr>
                <w:rFonts w:cs="Calibri"/>
                <w:color w:val="000000"/>
                <w:szCs w:val="20"/>
              </w:rPr>
              <w:t>(-</w:t>
            </w:r>
            <w:r w:rsidR="00E901B5" w:rsidRPr="00E901B5">
              <w:rPr>
                <w:rFonts w:cs="Calibri"/>
                <w:color w:val="000000"/>
                <w:szCs w:val="20"/>
                <w:highlight w:val="black"/>
              </w:rPr>
              <w:t>&amp;&amp;&amp;&amp;</w:t>
            </w:r>
            <w:r w:rsidRPr="00177467">
              <w:rPr>
                <w:rFonts w:cs="Calibri"/>
                <w:color w:val="000000"/>
                <w:szCs w:val="20"/>
              </w:rPr>
              <w:t>%)</w:t>
            </w:r>
          </w:p>
        </w:tc>
        <w:tc>
          <w:tcPr>
            <w:tcW w:w="592" w:type="pct"/>
            <w:tcBorders>
              <w:top w:val="single" w:sz="4" w:space="0" w:color="auto"/>
              <w:left w:val="single" w:sz="4" w:space="0" w:color="auto"/>
              <w:right w:val="single" w:sz="4" w:space="0" w:color="auto"/>
            </w:tcBorders>
            <w:tcMar>
              <w:left w:w="28" w:type="dxa"/>
              <w:right w:w="28" w:type="dxa"/>
            </w:tcMar>
          </w:tcPr>
          <w:p w14:paraId="2775ED9A" w14:textId="0AAD8940" w:rsidR="005355BF" w:rsidRDefault="005355BF" w:rsidP="005355BF">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311D962A" w14:textId="7F63CDD1" w:rsidR="00127526" w:rsidRPr="00127526" w:rsidRDefault="00127526" w:rsidP="005355BF">
            <w:pPr>
              <w:pStyle w:val="TableText0"/>
              <w:widowControl w:val="0"/>
              <w:jc w:val="center"/>
              <w:rPr>
                <w:rFonts w:cs="Calibri"/>
                <w:bCs w:val="0"/>
                <w:color w:val="000000"/>
                <w:szCs w:val="20"/>
                <w:vertAlign w:val="superscript"/>
              </w:rPr>
            </w:pPr>
            <w:r>
              <w:rPr>
                <w:rFonts w:cs="Calibri"/>
                <w:bCs w:val="0"/>
                <w:color w:val="000000"/>
                <w:szCs w:val="20"/>
                <w:vertAlign w:val="superscript"/>
              </w:rPr>
              <w:t>28</w:t>
            </w:r>
          </w:p>
          <w:p w14:paraId="3D8FFA61" w14:textId="7935BDA5" w:rsidR="005355BF" w:rsidRPr="00177467" w:rsidRDefault="005355BF" w:rsidP="005355BF">
            <w:pPr>
              <w:pStyle w:val="TableText0"/>
              <w:widowControl w:val="0"/>
              <w:jc w:val="center"/>
              <w:rPr>
                <w:rFonts w:cs="Calibri"/>
                <w:bCs w:val="0"/>
                <w:color w:val="000000"/>
                <w:szCs w:val="20"/>
              </w:rPr>
            </w:pPr>
            <w:r w:rsidRPr="00177467">
              <w:rPr>
                <w:rFonts w:cs="Calibri"/>
                <w:color w:val="000000"/>
                <w:szCs w:val="20"/>
              </w:rPr>
              <w:t>(-</w:t>
            </w:r>
            <w:r w:rsidR="00E901B5" w:rsidRPr="00E901B5">
              <w:rPr>
                <w:rFonts w:cs="Calibri"/>
                <w:color w:val="000000"/>
                <w:szCs w:val="20"/>
                <w:highlight w:val="black"/>
              </w:rPr>
              <w:t>&amp;&amp;&amp;&amp;</w:t>
            </w:r>
            <w:r w:rsidRPr="00177467">
              <w:rPr>
                <w:rFonts w:cs="Calibri"/>
                <w:color w:val="000000"/>
                <w:szCs w:val="20"/>
              </w:rPr>
              <w:t>%)</w:t>
            </w:r>
          </w:p>
        </w:tc>
        <w:tc>
          <w:tcPr>
            <w:tcW w:w="679" w:type="pct"/>
            <w:tcBorders>
              <w:top w:val="single" w:sz="4" w:space="0" w:color="auto"/>
              <w:left w:val="single" w:sz="4" w:space="0" w:color="auto"/>
              <w:right w:val="single" w:sz="4" w:space="0" w:color="auto"/>
            </w:tcBorders>
            <w:tcMar>
              <w:left w:w="28" w:type="dxa"/>
              <w:right w:w="28" w:type="dxa"/>
            </w:tcMar>
          </w:tcPr>
          <w:p w14:paraId="5C30AB4D" w14:textId="694BD492" w:rsidR="005355BF" w:rsidRDefault="005355BF" w:rsidP="005355BF">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446B509E" w14:textId="0D90B77E" w:rsidR="00C815B2" w:rsidRPr="00C815B2" w:rsidRDefault="00C815B2" w:rsidP="005355BF">
            <w:pPr>
              <w:pStyle w:val="TableText0"/>
              <w:widowControl w:val="0"/>
              <w:jc w:val="center"/>
              <w:rPr>
                <w:rFonts w:cs="Calibri"/>
                <w:bCs w:val="0"/>
                <w:color w:val="000000"/>
                <w:szCs w:val="20"/>
                <w:vertAlign w:val="superscript"/>
              </w:rPr>
            </w:pPr>
            <w:r>
              <w:rPr>
                <w:rFonts w:cs="Calibri"/>
                <w:bCs w:val="0"/>
                <w:color w:val="000000"/>
                <w:szCs w:val="20"/>
                <w:vertAlign w:val="superscript"/>
              </w:rPr>
              <w:t>30</w:t>
            </w:r>
          </w:p>
          <w:p w14:paraId="57853A79" w14:textId="77ED706D" w:rsidR="005355BF" w:rsidRPr="00177467" w:rsidRDefault="005355BF" w:rsidP="005355BF">
            <w:pPr>
              <w:pStyle w:val="TableText0"/>
              <w:widowControl w:val="0"/>
              <w:jc w:val="center"/>
              <w:rPr>
                <w:rFonts w:cs="Calibri"/>
                <w:bCs w:val="0"/>
                <w:color w:val="000000"/>
                <w:szCs w:val="20"/>
              </w:rPr>
            </w:pPr>
            <w:r w:rsidRPr="00177467">
              <w:rPr>
                <w:rFonts w:cs="Calibri"/>
                <w:color w:val="000000"/>
                <w:szCs w:val="20"/>
              </w:rPr>
              <w:t>(-</w:t>
            </w:r>
            <w:r w:rsidR="00E901B5" w:rsidRPr="00E901B5">
              <w:rPr>
                <w:rFonts w:cs="Calibri"/>
                <w:color w:val="000000"/>
                <w:szCs w:val="20"/>
                <w:highlight w:val="black"/>
              </w:rPr>
              <w:t>&amp;&amp;&amp;&amp;</w:t>
            </w:r>
            <w:r w:rsidRPr="00177467">
              <w:rPr>
                <w:rFonts w:cs="Calibri"/>
                <w:color w:val="000000"/>
                <w:szCs w:val="20"/>
              </w:rPr>
              <w:t>%)</w:t>
            </w:r>
          </w:p>
        </w:tc>
      </w:tr>
      <w:tr w:rsidR="0035578F" w:rsidRPr="00177467" w14:paraId="70F41FE7" w14:textId="77777777" w:rsidTr="0044664E">
        <w:tc>
          <w:tcPr>
            <w:tcW w:w="705" w:type="pct"/>
            <w:tcBorders>
              <w:top w:val="single" w:sz="4" w:space="0" w:color="auto"/>
              <w:left w:val="single" w:sz="4" w:space="0" w:color="auto"/>
              <w:bottom w:val="single" w:sz="4" w:space="0" w:color="auto"/>
              <w:right w:val="single" w:sz="4" w:space="0" w:color="auto"/>
            </w:tcBorders>
            <w:tcMar>
              <w:left w:w="28" w:type="dxa"/>
              <w:right w:w="28" w:type="dxa"/>
            </w:tcMar>
          </w:tcPr>
          <w:p w14:paraId="11B3B796" w14:textId="6164B0A6" w:rsidR="005355BF" w:rsidRPr="00177467" w:rsidRDefault="005355BF" w:rsidP="005355BF">
            <w:pPr>
              <w:pStyle w:val="TableText0"/>
              <w:widowControl w:val="0"/>
              <w:rPr>
                <w:szCs w:val="20"/>
              </w:rPr>
            </w:pPr>
            <w:r w:rsidRPr="00177467">
              <w:rPr>
                <w:szCs w:val="20"/>
              </w:rPr>
              <w:t>PSCR</w:t>
            </w:r>
          </w:p>
          <w:p w14:paraId="64489132" w14:textId="512315AA" w:rsidR="005355BF" w:rsidRPr="00177467" w:rsidRDefault="005355BF" w:rsidP="005355BF">
            <w:pPr>
              <w:pStyle w:val="TableText0"/>
              <w:widowControl w:val="0"/>
              <w:rPr>
                <w:szCs w:val="20"/>
              </w:rPr>
            </w:pPr>
            <w:r w:rsidRPr="00177467">
              <w:rPr>
                <w:szCs w:val="20"/>
              </w:rPr>
              <w:t>(Change vs resubmission, %)</w:t>
            </w:r>
          </w:p>
        </w:tc>
        <w:tc>
          <w:tcPr>
            <w:tcW w:w="580" w:type="pct"/>
            <w:tcBorders>
              <w:top w:val="single" w:sz="4" w:space="0" w:color="auto"/>
              <w:left w:val="single" w:sz="4" w:space="0" w:color="auto"/>
              <w:bottom w:val="single" w:sz="4" w:space="0" w:color="auto"/>
              <w:right w:val="single" w:sz="4" w:space="0" w:color="auto"/>
            </w:tcBorders>
            <w:tcMar>
              <w:left w:w="28" w:type="dxa"/>
              <w:right w:w="28" w:type="dxa"/>
            </w:tcMar>
          </w:tcPr>
          <w:p w14:paraId="4284601D" w14:textId="52AE50BE" w:rsidR="00127526" w:rsidRDefault="005355BF" w:rsidP="005355BF">
            <w:pPr>
              <w:pStyle w:val="TableText0"/>
              <w:widowControl w:val="0"/>
              <w:rPr>
                <w:szCs w:val="20"/>
              </w:rPr>
            </w:pPr>
            <w:r w:rsidRPr="00177467">
              <w:rPr>
                <w:szCs w:val="20"/>
              </w:rPr>
              <w:t>$</w:t>
            </w:r>
            <w:r w:rsidR="00E901B5" w:rsidRPr="00E901B5">
              <w:rPr>
                <w:szCs w:val="20"/>
                <w:highlight w:val="black"/>
              </w:rPr>
              <w:t>&amp;&amp;&amp;&amp;</w:t>
            </w:r>
          </w:p>
          <w:p w14:paraId="7B987402" w14:textId="6A565C41" w:rsidR="00127526" w:rsidRPr="00127526" w:rsidRDefault="00127526" w:rsidP="00127526">
            <w:pPr>
              <w:pStyle w:val="TableText0"/>
              <w:widowControl w:val="0"/>
              <w:jc w:val="center"/>
              <w:rPr>
                <w:szCs w:val="20"/>
                <w:vertAlign w:val="superscript"/>
              </w:rPr>
            </w:pPr>
            <w:r>
              <w:rPr>
                <w:szCs w:val="20"/>
                <w:vertAlign w:val="superscript"/>
              </w:rPr>
              <w:t>28</w:t>
            </w:r>
          </w:p>
          <w:p w14:paraId="4EF709CC" w14:textId="66E20E9C" w:rsidR="005355BF" w:rsidRPr="00177467" w:rsidRDefault="005355BF" w:rsidP="005355BF">
            <w:pPr>
              <w:pStyle w:val="TableText0"/>
              <w:widowControl w:val="0"/>
              <w:jc w:val="center"/>
              <w:rPr>
                <w:rFonts w:cs="Calibri"/>
                <w:color w:val="000000"/>
                <w:szCs w:val="20"/>
              </w:rPr>
            </w:pPr>
            <w:r w:rsidRPr="00177467">
              <w:rPr>
                <w:szCs w:val="20"/>
              </w:rPr>
              <w:t>(</w:t>
            </w:r>
            <w:r w:rsidR="00E901B5" w:rsidRPr="00E901B5">
              <w:rPr>
                <w:szCs w:val="20"/>
                <w:highlight w:val="black"/>
              </w:rPr>
              <w:t>&amp;&amp;&amp;&amp;</w:t>
            </w:r>
            <w:r w:rsidRPr="00177467">
              <w:rPr>
                <w:szCs w:val="20"/>
              </w:rPr>
              <w:t>%)</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1573FF1E" w14:textId="7AA38A9D" w:rsidR="00127526"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25AF314A" w14:textId="06AC2780" w:rsidR="005355BF" w:rsidRPr="00127526" w:rsidRDefault="00127526" w:rsidP="005355BF">
            <w:pPr>
              <w:pStyle w:val="TableText0"/>
              <w:widowControl w:val="0"/>
              <w:jc w:val="center"/>
              <w:rPr>
                <w:szCs w:val="20"/>
                <w:vertAlign w:val="superscript"/>
              </w:rPr>
            </w:pPr>
            <w:r>
              <w:rPr>
                <w:szCs w:val="20"/>
                <w:vertAlign w:val="superscript"/>
              </w:rPr>
              <w:t>28</w:t>
            </w:r>
          </w:p>
          <w:p w14:paraId="763FC0C1" w14:textId="60525F0B" w:rsidR="005355BF" w:rsidRPr="00177467" w:rsidRDefault="005355BF" w:rsidP="005355BF">
            <w:pPr>
              <w:pStyle w:val="TableText0"/>
              <w:widowControl w:val="0"/>
              <w:jc w:val="center"/>
              <w:rPr>
                <w:rFonts w:cs="Calibri"/>
                <w:color w:val="000000"/>
                <w:szCs w:val="20"/>
              </w:rPr>
            </w:pPr>
            <w:r w:rsidRPr="00177467">
              <w:rPr>
                <w:color w:val="000000"/>
                <w:szCs w:val="20"/>
              </w:rPr>
              <w:t>(</w:t>
            </w:r>
            <w:r w:rsidR="00E901B5" w:rsidRPr="00E901B5">
              <w:rPr>
                <w:color w:val="000000"/>
                <w:szCs w:val="20"/>
                <w:highlight w:val="black"/>
              </w:rPr>
              <w:t>&amp;&amp;&amp;&amp;</w:t>
            </w:r>
            <w:r w:rsidRPr="00177467">
              <w:rPr>
                <w:color w:val="000000"/>
                <w:szCs w:val="20"/>
              </w:rPr>
              <w:t>%)</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7E370579" w14:textId="6B9B7510" w:rsidR="005355BF"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3E9691B1" w14:textId="5475A394" w:rsidR="00127526" w:rsidRPr="00127526" w:rsidRDefault="00127526" w:rsidP="005355BF">
            <w:pPr>
              <w:pStyle w:val="TableText0"/>
              <w:widowControl w:val="0"/>
              <w:jc w:val="center"/>
              <w:rPr>
                <w:szCs w:val="20"/>
                <w:vertAlign w:val="superscript"/>
              </w:rPr>
            </w:pPr>
            <w:r>
              <w:rPr>
                <w:szCs w:val="20"/>
                <w:vertAlign w:val="superscript"/>
              </w:rPr>
              <w:t>28</w:t>
            </w:r>
          </w:p>
          <w:p w14:paraId="06D2B0AA" w14:textId="4331391E" w:rsidR="005355BF" w:rsidRPr="00177467" w:rsidRDefault="005355BF" w:rsidP="005355BF">
            <w:pPr>
              <w:pStyle w:val="TableText0"/>
              <w:widowControl w:val="0"/>
              <w:jc w:val="center"/>
              <w:rPr>
                <w:rFonts w:cs="Calibri"/>
                <w:color w:val="000000"/>
                <w:szCs w:val="20"/>
              </w:rPr>
            </w:pPr>
            <w:r w:rsidRPr="00177467">
              <w:rPr>
                <w:color w:val="000000"/>
                <w:szCs w:val="20"/>
              </w:rPr>
              <w:t>(-</w:t>
            </w:r>
            <w:r w:rsidR="00E901B5" w:rsidRPr="00E901B5">
              <w:rPr>
                <w:color w:val="000000"/>
                <w:szCs w:val="20"/>
                <w:highlight w:val="black"/>
              </w:rPr>
              <w:t>&amp;&amp;&amp;&amp;</w:t>
            </w:r>
            <w:r w:rsidRPr="00177467">
              <w:rPr>
                <w:color w:val="000000"/>
                <w:szCs w:val="20"/>
              </w:rPr>
              <w:t>%)</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10634CBA" w14:textId="2440B1D3" w:rsidR="005355BF"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41D515D9" w14:textId="16FE2EAA" w:rsidR="00127526" w:rsidRPr="00127526" w:rsidRDefault="00127526" w:rsidP="005355BF">
            <w:pPr>
              <w:pStyle w:val="TableText0"/>
              <w:widowControl w:val="0"/>
              <w:jc w:val="center"/>
              <w:rPr>
                <w:szCs w:val="20"/>
                <w:vertAlign w:val="superscript"/>
              </w:rPr>
            </w:pPr>
            <w:r>
              <w:rPr>
                <w:szCs w:val="20"/>
                <w:vertAlign w:val="superscript"/>
              </w:rPr>
              <w:t>28</w:t>
            </w:r>
          </w:p>
          <w:p w14:paraId="5BD029AC" w14:textId="59450A56" w:rsidR="005355BF" w:rsidRPr="00177467" w:rsidRDefault="005355BF" w:rsidP="005355BF">
            <w:pPr>
              <w:pStyle w:val="TableText0"/>
              <w:widowControl w:val="0"/>
              <w:jc w:val="center"/>
              <w:rPr>
                <w:rFonts w:cs="Calibri"/>
                <w:color w:val="000000"/>
                <w:szCs w:val="20"/>
              </w:rPr>
            </w:pPr>
            <w:r w:rsidRPr="00177467">
              <w:rPr>
                <w:color w:val="000000"/>
                <w:szCs w:val="20"/>
              </w:rPr>
              <w:t>(-</w:t>
            </w:r>
            <w:r w:rsidR="00E901B5" w:rsidRPr="00E901B5">
              <w:rPr>
                <w:color w:val="000000"/>
                <w:szCs w:val="20"/>
                <w:highlight w:val="black"/>
              </w:rPr>
              <w:t>&amp;&amp;&amp;&amp;</w:t>
            </w:r>
            <w:r w:rsidRPr="00177467">
              <w:rPr>
                <w:color w:val="000000"/>
                <w:szCs w:val="20"/>
              </w:rPr>
              <w:t>%)</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2885E5DA" w14:textId="4DB7BBA6" w:rsidR="005355BF"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40603EA4" w14:textId="59A34524" w:rsidR="00BE7D39" w:rsidRPr="00BE7D39" w:rsidRDefault="00BE7D39" w:rsidP="005355BF">
            <w:pPr>
              <w:pStyle w:val="TableText0"/>
              <w:widowControl w:val="0"/>
              <w:jc w:val="center"/>
              <w:rPr>
                <w:szCs w:val="20"/>
                <w:vertAlign w:val="superscript"/>
              </w:rPr>
            </w:pPr>
            <w:r>
              <w:rPr>
                <w:szCs w:val="20"/>
                <w:vertAlign w:val="superscript"/>
              </w:rPr>
              <w:t>2</w:t>
            </w:r>
            <w:r w:rsidR="002E35DB">
              <w:rPr>
                <w:szCs w:val="20"/>
                <w:vertAlign w:val="superscript"/>
              </w:rPr>
              <w:t>7</w:t>
            </w:r>
          </w:p>
          <w:p w14:paraId="5BDB8300" w14:textId="43BEBF11" w:rsidR="005355BF" w:rsidRPr="00177467" w:rsidRDefault="005355BF" w:rsidP="005355BF">
            <w:pPr>
              <w:pStyle w:val="TableText0"/>
              <w:widowControl w:val="0"/>
              <w:jc w:val="center"/>
              <w:rPr>
                <w:rFonts w:cs="Calibri"/>
                <w:color w:val="000000"/>
                <w:szCs w:val="20"/>
              </w:rPr>
            </w:pPr>
            <w:r w:rsidRPr="00177467">
              <w:rPr>
                <w:color w:val="000000"/>
                <w:szCs w:val="20"/>
              </w:rPr>
              <w:t>(-</w:t>
            </w:r>
            <w:r w:rsidR="00E901B5" w:rsidRPr="00E901B5">
              <w:rPr>
                <w:color w:val="000000"/>
                <w:szCs w:val="20"/>
                <w:highlight w:val="black"/>
              </w:rPr>
              <w:t>&amp;&amp;&amp;&amp;</w:t>
            </w:r>
            <w:r w:rsidRPr="00177467">
              <w:rPr>
                <w:color w:val="000000"/>
                <w:szCs w:val="20"/>
              </w:rPr>
              <w:t>%)</w:t>
            </w:r>
          </w:p>
        </w:tc>
        <w:tc>
          <w:tcPr>
            <w:tcW w:w="592" w:type="pct"/>
            <w:tcBorders>
              <w:top w:val="single" w:sz="4" w:space="0" w:color="auto"/>
              <w:left w:val="single" w:sz="4" w:space="0" w:color="auto"/>
              <w:bottom w:val="single" w:sz="4" w:space="0" w:color="auto"/>
              <w:right w:val="single" w:sz="4" w:space="0" w:color="auto"/>
            </w:tcBorders>
            <w:tcMar>
              <w:left w:w="28" w:type="dxa"/>
              <w:right w:w="28" w:type="dxa"/>
            </w:tcMar>
          </w:tcPr>
          <w:p w14:paraId="79AC2267" w14:textId="3CDB5846" w:rsidR="005355BF"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44CCD7E9" w14:textId="65A2D35B" w:rsidR="00BE7D39" w:rsidRPr="00BE7D39" w:rsidRDefault="00BE7D39" w:rsidP="005355BF">
            <w:pPr>
              <w:pStyle w:val="TableText0"/>
              <w:widowControl w:val="0"/>
              <w:jc w:val="center"/>
              <w:rPr>
                <w:szCs w:val="20"/>
                <w:vertAlign w:val="superscript"/>
              </w:rPr>
            </w:pPr>
            <w:r>
              <w:rPr>
                <w:szCs w:val="20"/>
                <w:vertAlign w:val="superscript"/>
              </w:rPr>
              <w:t>2</w:t>
            </w:r>
            <w:r w:rsidR="002E35DB">
              <w:rPr>
                <w:szCs w:val="20"/>
                <w:vertAlign w:val="superscript"/>
              </w:rPr>
              <w:t>7</w:t>
            </w:r>
          </w:p>
          <w:p w14:paraId="0F3D76D6" w14:textId="48448BE7" w:rsidR="005355BF" w:rsidRPr="00177467" w:rsidRDefault="005355BF" w:rsidP="005355BF">
            <w:pPr>
              <w:pStyle w:val="TableText0"/>
              <w:widowControl w:val="0"/>
              <w:jc w:val="center"/>
              <w:rPr>
                <w:rFonts w:cs="Calibri"/>
                <w:color w:val="000000"/>
                <w:szCs w:val="20"/>
              </w:rPr>
            </w:pPr>
            <w:r w:rsidRPr="00177467">
              <w:rPr>
                <w:color w:val="000000"/>
                <w:szCs w:val="20"/>
              </w:rPr>
              <w:t>(-</w:t>
            </w:r>
            <w:r w:rsidR="00E901B5" w:rsidRPr="00E901B5">
              <w:rPr>
                <w:color w:val="000000"/>
                <w:szCs w:val="20"/>
                <w:highlight w:val="black"/>
              </w:rPr>
              <w:t>&amp;&amp;&amp;&amp;</w:t>
            </w:r>
            <w:r w:rsidRPr="00177467">
              <w:rPr>
                <w:color w:val="000000"/>
                <w:szCs w:val="20"/>
              </w:rPr>
              <w:t>%)</w:t>
            </w:r>
          </w:p>
        </w:tc>
        <w:tc>
          <w:tcPr>
            <w:tcW w:w="679" w:type="pct"/>
            <w:tcBorders>
              <w:top w:val="single" w:sz="4" w:space="0" w:color="auto"/>
              <w:left w:val="single" w:sz="4" w:space="0" w:color="auto"/>
              <w:bottom w:val="single" w:sz="4" w:space="0" w:color="auto"/>
              <w:right w:val="single" w:sz="4" w:space="0" w:color="auto"/>
            </w:tcBorders>
            <w:tcMar>
              <w:left w:w="28" w:type="dxa"/>
              <w:right w:w="28" w:type="dxa"/>
            </w:tcMar>
          </w:tcPr>
          <w:p w14:paraId="7AB111CC" w14:textId="16E6869B" w:rsidR="005355BF" w:rsidRDefault="005355BF" w:rsidP="005355BF">
            <w:pPr>
              <w:pStyle w:val="TableText0"/>
              <w:widowControl w:val="0"/>
              <w:jc w:val="center"/>
              <w:rPr>
                <w:szCs w:val="20"/>
              </w:rPr>
            </w:pPr>
            <w:r w:rsidRPr="00177467">
              <w:rPr>
                <w:szCs w:val="20"/>
              </w:rPr>
              <w:t>$</w:t>
            </w:r>
            <w:r w:rsidR="00E901B5" w:rsidRPr="00E901B5">
              <w:rPr>
                <w:szCs w:val="20"/>
                <w:highlight w:val="black"/>
              </w:rPr>
              <w:t>&amp;&amp;&amp;&amp;</w:t>
            </w:r>
          </w:p>
          <w:p w14:paraId="5F8897B0" w14:textId="05BE6F3B" w:rsidR="00621684" w:rsidRPr="00621684" w:rsidRDefault="00621684" w:rsidP="005355BF">
            <w:pPr>
              <w:pStyle w:val="TableText0"/>
              <w:widowControl w:val="0"/>
              <w:jc w:val="center"/>
              <w:rPr>
                <w:szCs w:val="20"/>
                <w:vertAlign w:val="superscript"/>
              </w:rPr>
            </w:pPr>
            <w:r>
              <w:rPr>
                <w:szCs w:val="20"/>
                <w:vertAlign w:val="superscript"/>
              </w:rPr>
              <w:t>24</w:t>
            </w:r>
          </w:p>
          <w:p w14:paraId="4404AF6E" w14:textId="72F15893" w:rsidR="005355BF" w:rsidRPr="00177467" w:rsidRDefault="005355BF" w:rsidP="005355BF">
            <w:pPr>
              <w:pStyle w:val="TableText0"/>
              <w:widowControl w:val="0"/>
              <w:jc w:val="center"/>
              <w:rPr>
                <w:rFonts w:cs="Calibri"/>
                <w:color w:val="000000"/>
                <w:szCs w:val="20"/>
              </w:rPr>
            </w:pPr>
            <w:r w:rsidRPr="00177467">
              <w:rPr>
                <w:color w:val="000000"/>
                <w:szCs w:val="20"/>
              </w:rPr>
              <w:t>(</w:t>
            </w:r>
            <w:r w:rsidRPr="0044664E">
              <w:rPr>
                <w:color w:val="000000"/>
                <w:szCs w:val="20"/>
              </w:rPr>
              <w:t>-</w:t>
            </w:r>
            <w:r w:rsidR="00E901B5" w:rsidRPr="00E901B5">
              <w:rPr>
                <w:color w:val="000000"/>
                <w:szCs w:val="20"/>
                <w:highlight w:val="black"/>
              </w:rPr>
              <w:t>&amp;&amp;&amp;&amp;</w:t>
            </w:r>
            <w:r w:rsidRPr="00177467">
              <w:rPr>
                <w:color w:val="000000"/>
                <w:szCs w:val="20"/>
              </w:rPr>
              <w:t>%)</w:t>
            </w:r>
          </w:p>
        </w:tc>
      </w:tr>
      <w:tr w:rsidR="006E29A6" w:rsidRPr="00177467" w14:paraId="261D9AEB" w14:textId="77777777" w:rsidTr="0044664E">
        <w:tc>
          <w:tcPr>
            <w:tcW w:w="705" w:type="pct"/>
            <w:tcBorders>
              <w:top w:val="single" w:sz="4" w:space="0" w:color="auto"/>
              <w:left w:val="single" w:sz="4" w:space="0" w:color="auto"/>
              <w:bottom w:val="single" w:sz="4" w:space="0" w:color="auto"/>
              <w:right w:val="single" w:sz="4" w:space="0" w:color="auto"/>
            </w:tcBorders>
            <w:tcMar>
              <w:left w:w="28" w:type="dxa"/>
              <w:right w:w="28" w:type="dxa"/>
            </w:tcMar>
          </w:tcPr>
          <w:p w14:paraId="352A6BC9" w14:textId="27DC661B" w:rsidR="006E29A6" w:rsidRPr="00177467" w:rsidRDefault="006E29A6" w:rsidP="006E29A6">
            <w:pPr>
              <w:pStyle w:val="TableText0"/>
              <w:widowControl w:val="0"/>
              <w:rPr>
                <w:szCs w:val="20"/>
              </w:rPr>
            </w:pPr>
            <w:r w:rsidRPr="00177467">
              <w:rPr>
                <w:szCs w:val="20"/>
              </w:rPr>
              <w:t>Pre-PBAC</w:t>
            </w:r>
          </w:p>
          <w:p w14:paraId="3F967805" w14:textId="14ECC53B" w:rsidR="006E29A6" w:rsidRPr="00177467" w:rsidRDefault="006E29A6" w:rsidP="006E29A6">
            <w:pPr>
              <w:pStyle w:val="TableText0"/>
              <w:widowControl w:val="0"/>
              <w:rPr>
                <w:szCs w:val="20"/>
              </w:rPr>
            </w:pPr>
            <w:r w:rsidRPr="00177467">
              <w:rPr>
                <w:szCs w:val="20"/>
              </w:rPr>
              <w:t>(Change vs resubmission, %)</w:t>
            </w:r>
          </w:p>
        </w:tc>
        <w:tc>
          <w:tcPr>
            <w:tcW w:w="580" w:type="pct"/>
            <w:tcBorders>
              <w:top w:val="single" w:sz="4" w:space="0" w:color="auto"/>
              <w:left w:val="single" w:sz="4" w:space="0" w:color="auto"/>
              <w:bottom w:val="single" w:sz="4" w:space="0" w:color="auto"/>
              <w:right w:val="single" w:sz="4" w:space="0" w:color="auto"/>
            </w:tcBorders>
            <w:tcMar>
              <w:left w:w="28" w:type="dxa"/>
              <w:right w:w="28" w:type="dxa"/>
            </w:tcMar>
          </w:tcPr>
          <w:p w14:paraId="4023C6CE" w14:textId="3FD389AE"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0919D260" w14:textId="4E8150F8" w:rsidR="00551235" w:rsidRPr="00551235" w:rsidRDefault="00551235" w:rsidP="006E29A6">
            <w:pPr>
              <w:pStyle w:val="TableText0"/>
              <w:widowControl w:val="0"/>
              <w:jc w:val="center"/>
              <w:rPr>
                <w:szCs w:val="20"/>
                <w:vertAlign w:val="superscript"/>
              </w:rPr>
            </w:pPr>
            <w:r>
              <w:rPr>
                <w:szCs w:val="20"/>
                <w:vertAlign w:val="superscript"/>
              </w:rPr>
              <w:t>31</w:t>
            </w:r>
          </w:p>
          <w:p w14:paraId="0A873CC0" w14:textId="3D3829F1" w:rsidR="006E29A6" w:rsidRPr="00177467" w:rsidRDefault="006E29A6" w:rsidP="006E29A6">
            <w:pPr>
              <w:pStyle w:val="TableText0"/>
              <w:widowControl w:val="0"/>
              <w:jc w:val="center"/>
              <w:rPr>
                <w:rFonts w:cs="Calibri"/>
                <w:color w:val="000000"/>
                <w:szCs w:val="20"/>
              </w:rPr>
            </w:pPr>
            <w:r w:rsidRPr="00177467">
              <w:rPr>
                <w:color w:val="000000"/>
                <w:szCs w:val="20"/>
              </w:rPr>
              <w:t>(-</w:t>
            </w:r>
            <w:r w:rsidR="00E901B5" w:rsidRPr="00E901B5">
              <w:rPr>
                <w:color w:val="000000"/>
                <w:szCs w:val="20"/>
                <w:highlight w:val="black"/>
              </w:rPr>
              <w:t>&amp;&amp;&amp;&amp;</w:t>
            </w:r>
            <w:r w:rsidRPr="00177467">
              <w:rPr>
                <w:color w:val="000000"/>
                <w:szCs w:val="20"/>
              </w:rPr>
              <w:t>%)</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60D0AAB5" w14:textId="5E2C22AA"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20CA630E" w14:textId="0045E382" w:rsidR="00BE7D39" w:rsidRPr="00BE7D39" w:rsidRDefault="00BE7D39" w:rsidP="006E29A6">
            <w:pPr>
              <w:pStyle w:val="TableText0"/>
              <w:widowControl w:val="0"/>
              <w:jc w:val="center"/>
              <w:rPr>
                <w:szCs w:val="20"/>
                <w:vertAlign w:val="superscript"/>
              </w:rPr>
            </w:pPr>
            <w:r>
              <w:rPr>
                <w:szCs w:val="20"/>
                <w:vertAlign w:val="superscript"/>
              </w:rPr>
              <w:t>2</w:t>
            </w:r>
            <w:r w:rsidR="00884DA0">
              <w:rPr>
                <w:szCs w:val="20"/>
                <w:vertAlign w:val="superscript"/>
              </w:rPr>
              <w:t>7</w:t>
            </w:r>
          </w:p>
          <w:p w14:paraId="01324F92" w14:textId="0D33ABF9" w:rsidR="006E29A6" w:rsidRPr="00177467" w:rsidRDefault="006E29A6" w:rsidP="006E29A6">
            <w:pPr>
              <w:pStyle w:val="TableText0"/>
              <w:widowControl w:val="0"/>
              <w:jc w:val="center"/>
              <w:rPr>
                <w:rFonts w:cs="Calibri"/>
                <w:color w:val="000000"/>
                <w:szCs w:val="20"/>
              </w:rPr>
            </w:pPr>
            <w:r w:rsidRPr="00177467">
              <w:rPr>
                <w:color w:val="000000"/>
                <w:szCs w:val="20"/>
              </w:rPr>
              <w:t>(-</w:t>
            </w:r>
            <w:r w:rsidR="00E901B5" w:rsidRPr="00E901B5">
              <w:rPr>
                <w:color w:val="000000"/>
                <w:szCs w:val="20"/>
                <w:highlight w:val="black"/>
              </w:rPr>
              <w:t>&amp;&amp;&amp;&amp;</w:t>
            </w:r>
            <w:r w:rsidRPr="00177467">
              <w:rPr>
                <w:color w:val="000000"/>
                <w:szCs w:val="20"/>
              </w:rPr>
              <w:t>%)</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1BD84D9A" w14:textId="7F5EEAD9"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12B5B57F" w14:textId="41AF701C" w:rsidR="00BE7D39" w:rsidRPr="00BE7D39" w:rsidRDefault="00BE7D39" w:rsidP="006E29A6">
            <w:pPr>
              <w:pStyle w:val="TableText0"/>
              <w:widowControl w:val="0"/>
              <w:jc w:val="center"/>
              <w:rPr>
                <w:szCs w:val="20"/>
                <w:vertAlign w:val="superscript"/>
              </w:rPr>
            </w:pPr>
            <w:r>
              <w:rPr>
                <w:szCs w:val="20"/>
                <w:vertAlign w:val="superscript"/>
              </w:rPr>
              <w:t>2</w:t>
            </w:r>
            <w:r w:rsidR="002E35DB">
              <w:rPr>
                <w:szCs w:val="20"/>
                <w:vertAlign w:val="superscript"/>
              </w:rPr>
              <w:t>7</w:t>
            </w:r>
          </w:p>
          <w:p w14:paraId="022341E6" w14:textId="661BDBE9" w:rsidR="006E29A6" w:rsidRPr="00177467" w:rsidRDefault="006E29A6" w:rsidP="006E29A6">
            <w:pPr>
              <w:pStyle w:val="TableText0"/>
              <w:widowControl w:val="0"/>
              <w:jc w:val="center"/>
              <w:rPr>
                <w:rFonts w:cs="Calibri"/>
                <w:color w:val="000000"/>
                <w:szCs w:val="20"/>
              </w:rPr>
            </w:pPr>
            <w:r w:rsidRPr="00177467">
              <w:rPr>
                <w:color w:val="000000"/>
                <w:szCs w:val="20"/>
              </w:rPr>
              <w:t>(-</w:t>
            </w:r>
            <w:r w:rsidR="00E901B5" w:rsidRPr="00E901B5">
              <w:rPr>
                <w:color w:val="000000"/>
                <w:szCs w:val="20"/>
                <w:highlight w:val="black"/>
              </w:rPr>
              <w:t>&amp;&amp;&amp;&amp;</w:t>
            </w:r>
            <w:r w:rsidRPr="00177467">
              <w:rPr>
                <w:color w:val="000000"/>
                <w:szCs w:val="20"/>
              </w:rPr>
              <w:t>%)</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4FB6757A" w14:textId="3533814E"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7D09AE16" w14:textId="6B913850" w:rsidR="00127526" w:rsidRPr="00127526" w:rsidRDefault="00127526" w:rsidP="006E29A6">
            <w:pPr>
              <w:pStyle w:val="TableText0"/>
              <w:widowControl w:val="0"/>
              <w:jc w:val="center"/>
              <w:rPr>
                <w:szCs w:val="20"/>
                <w:vertAlign w:val="superscript"/>
              </w:rPr>
            </w:pPr>
            <w:r>
              <w:rPr>
                <w:szCs w:val="20"/>
                <w:vertAlign w:val="superscript"/>
              </w:rPr>
              <w:t>28</w:t>
            </w:r>
          </w:p>
          <w:p w14:paraId="1DA3CE54" w14:textId="2049D07D" w:rsidR="006E29A6" w:rsidRPr="00177467" w:rsidRDefault="006E29A6" w:rsidP="006E29A6">
            <w:pPr>
              <w:pStyle w:val="TableText0"/>
              <w:widowControl w:val="0"/>
              <w:jc w:val="center"/>
              <w:rPr>
                <w:rFonts w:cs="Calibri"/>
                <w:color w:val="000000"/>
                <w:szCs w:val="20"/>
              </w:rPr>
            </w:pPr>
            <w:r w:rsidRPr="00177467">
              <w:rPr>
                <w:color w:val="000000"/>
                <w:szCs w:val="20"/>
              </w:rPr>
              <w:t>(-</w:t>
            </w:r>
            <w:r w:rsidR="00E901B5" w:rsidRPr="00E901B5">
              <w:rPr>
                <w:color w:val="000000"/>
                <w:szCs w:val="20"/>
                <w:highlight w:val="black"/>
              </w:rPr>
              <w:t>&amp;&amp;&amp;&amp;</w:t>
            </w:r>
            <w:r w:rsidRPr="00177467">
              <w:rPr>
                <w:color w:val="000000"/>
                <w:szCs w:val="20"/>
              </w:rPr>
              <w:t>%)</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24D80E85" w14:textId="2D2965D2"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2766E701" w14:textId="58684A74" w:rsidR="00127526" w:rsidRPr="00127526" w:rsidRDefault="00127526" w:rsidP="006E29A6">
            <w:pPr>
              <w:pStyle w:val="TableText0"/>
              <w:widowControl w:val="0"/>
              <w:jc w:val="center"/>
              <w:rPr>
                <w:szCs w:val="20"/>
                <w:vertAlign w:val="superscript"/>
              </w:rPr>
            </w:pPr>
            <w:r>
              <w:rPr>
                <w:szCs w:val="20"/>
                <w:vertAlign w:val="superscript"/>
              </w:rPr>
              <w:t>28</w:t>
            </w:r>
          </w:p>
          <w:p w14:paraId="302F2D37" w14:textId="6DAB2331" w:rsidR="006E29A6" w:rsidRPr="00177467" w:rsidRDefault="006E29A6" w:rsidP="006E29A6">
            <w:pPr>
              <w:pStyle w:val="TableText0"/>
              <w:widowControl w:val="0"/>
              <w:jc w:val="center"/>
              <w:rPr>
                <w:rFonts w:cs="Calibri"/>
                <w:color w:val="000000"/>
                <w:szCs w:val="20"/>
              </w:rPr>
            </w:pPr>
            <w:r w:rsidRPr="00177467">
              <w:rPr>
                <w:color w:val="000000"/>
                <w:szCs w:val="20"/>
              </w:rPr>
              <w:t>(-</w:t>
            </w:r>
            <w:r w:rsidR="00E901B5" w:rsidRPr="00E901B5">
              <w:rPr>
                <w:color w:val="000000"/>
                <w:szCs w:val="20"/>
                <w:highlight w:val="black"/>
              </w:rPr>
              <w:t>&amp;&amp;&amp;&amp;</w:t>
            </w:r>
            <w:r w:rsidRPr="00177467">
              <w:rPr>
                <w:color w:val="000000"/>
                <w:szCs w:val="20"/>
              </w:rPr>
              <w:t>%)</w:t>
            </w:r>
          </w:p>
        </w:tc>
        <w:tc>
          <w:tcPr>
            <w:tcW w:w="592" w:type="pct"/>
            <w:tcBorders>
              <w:top w:val="single" w:sz="4" w:space="0" w:color="auto"/>
              <w:left w:val="single" w:sz="4" w:space="0" w:color="auto"/>
              <w:bottom w:val="single" w:sz="4" w:space="0" w:color="auto"/>
              <w:right w:val="single" w:sz="4" w:space="0" w:color="auto"/>
            </w:tcBorders>
            <w:tcMar>
              <w:left w:w="28" w:type="dxa"/>
              <w:right w:w="28" w:type="dxa"/>
            </w:tcMar>
          </w:tcPr>
          <w:p w14:paraId="52F765BC" w14:textId="082965F1"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6CFE90B4" w14:textId="64702B9D" w:rsidR="00FB3A3D" w:rsidRPr="00FB3A3D" w:rsidRDefault="00FB3A3D" w:rsidP="006E29A6">
            <w:pPr>
              <w:pStyle w:val="TableText0"/>
              <w:widowControl w:val="0"/>
              <w:jc w:val="center"/>
              <w:rPr>
                <w:szCs w:val="20"/>
                <w:vertAlign w:val="superscript"/>
              </w:rPr>
            </w:pPr>
            <w:r>
              <w:rPr>
                <w:szCs w:val="20"/>
                <w:vertAlign w:val="superscript"/>
              </w:rPr>
              <w:t>2</w:t>
            </w:r>
            <w:r w:rsidR="002E35DB">
              <w:rPr>
                <w:szCs w:val="20"/>
                <w:vertAlign w:val="superscript"/>
              </w:rPr>
              <w:t>7</w:t>
            </w:r>
          </w:p>
          <w:p w14:paraId="1CE6671E" w14:textId="0D2640A0" w:rsidR="00BB6563" w:rsidRPr="00177467" w:rsidRDefault="00BB6563" w:rsidP="006E29A6">
            <w:pPr>
              <w:pStyle w:val="TableText0"/>
              <w:widowControl w:val="0"/>
              <w:jc w:val="center"/>
              <w:rPr>
                <w:rFonts w:cs="Calibri"/>
                <w:color w:val="000000"/>
                <w:szCs w:val="20"/>
              </w:rPr>
            </w:pPr>
            <w:r>
              <w:rPr>
                <w:color w:val="000000"/>
                <w:szCs w:val="20"/>
              </w:rPr>
              <w:t>(-</w:t>
            </w:r>
            <w:r w:rsidR="00E901B5" w:rsidRPr="00E901B5">
              <w:rPr>
                <w:color w:val="000000"/>
                <w:szCs w:val="20"/>
                <w:highlight w:val="black"/>
              </w:rPr>
              <w:t>&amp;&amp;&amp;&amp;</w:t>
            </w:r>
            <w:r>
              <w:rPr>
                <w:color w:val="000000"/>
                <w:szCs w:val="20"/>
              </w:rPr>
              <w:t>%)</w:t>
            </w:r>
          </w:p>
        </w:tc>
        <w:tc>
          <w:tcPr>
            <w:tcW w:w="679" w:type="pct"/>
            <w:tcBorders>
              <w:top w:val="single" w:sz="4" w:space="0" w:color="auto"/>
              <w:left w:val="single" w:sz="4" w:space="0" w:color="auto"/>
              <w:bottom w:val="single" w:sz="4" w:space="0" w:color="auto"/>
              <w:right w:val="single" w:sz="4" w:space="0" w:color="auto"/>
            </w:tcBorders>
            <w:tcMar>
              <w:left w:w="28" w:type="dxa"/>
              <w:right w:w="28" w:type="dxa"/>
            </w:tcMar>
          </w:tcPr>
          <w:p w14:paraId="3DDC175C" w14:textId="3941E08F"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69F74396" w14:textId="4B067396" w:rsidR="00621684" w:rsidRPr="00621684" w:rsidRDefault="00621684" w:rsidP="006E29A6">
            <w:pPr>
              <w:pStyle w:val="TableText0"/>
              <w:widowControl w:val="0"/>
              <w:jc w:val="center"/>
              <w:rPr>
                <w:szCs w:val="20"/>
                <w:vertAlign w:val="superscript"/>
              </w:rPr>
            </w:pPr>
            <w:r>
              <w:rPr>
                <w:szCs w:val="20"/>
                <w:vertAlign w:val="superscript"/>
              </w:rPr>
              <w:t>24</w:t>
            </w:r>
          </w:p>
          <w:p w14:paraId="4E0EBAB5" w14:textId="41F47C91" w:rsidR="000475B5" w:rsidRPr="00177467" w:rsidRDefault="000475B5" w:rsidP="006E29A6">
            <w:pPr>
              <w:pStyle w:val="TableText0"/>
              <w:widowControl w:val="0"/>
              <w:jc w:val="center"/>
              <w:rPr>
                <w:rFonts w:cs="Calibri"/>
                <w:color w:val="000000"/>
                <w:szCs w:val="20"/>
              </w:rPr>
            </w:pPr>
            <w:r>
              <w:rPr>
                <w:color w:val="000000"/>
                <w:szCs w:val="20"/>
              </w:rPr>
              <w:t>(-</w:t>
            </w:r>
            <w:r w:rsidR="00E901B5" w:rsidRPr="00E901B5">
              <w:rPr>
                <w:color w:val="000000"/>
                <w:szCs w:val="20"/>
                <w:highlight w:val="black"/>
              </w:rPr>
              <w:t>&amp;&amp;&amp;&amp;</w:t>
            </w:r>
            <w:r>
              <w:rPr>
                <w:color w:val="000000"/>
                <w:szCs w:val="20"/>
              </w:rPr>
              <w:t>%)</w:t>
            </w:r>
          </w:p>
        </w:tc>
      </w:tr>
      <w:tr w:rsidR="006E29A6" w:rsidRPr="00177467" w14:paraId="43D75B25" w14:textId="77777777" w:rsidTr="00CF1B29">
        <w:tc>
          <w:tcPr>
            <w:tcW w:w="5000" w:type="pct"/>
            <w:gridSpan w:val="8"/>
            <w:tcBorders>
              <w:top w:val="single" w:sz="4" w:space="0" w:color="auto"/>
              <w:left w:val="single" w:sz="4" w:space="0" w:color="auto"/>
              <w:bottom w:val="single" w:sz="4" w:space="0" w:color="auto"/>
              <w:right w:val="single" w:sz="4" w:space="0" w:color="auto"/>
            </w:tcBorders>
            <w:tcMar>
              <w:left w:w="28" w:type="dxa"/>
              <w:right w:w="28" w:type="dxa"/>
            </w:tcMar>
            <w:hideMark/>
          </w:tcPr>
          <w:p w14:paraId="21DA03FA" w14:textId="77777777" w:rsidR="006E29A6" w:rsidRPr="00177467" w:rsidRDefault="006E29A6" w:rsidP="006E29A6">
            <w:pPr>
              <w:pStyle w:val="TableText0"/>
              <w:widowControl w:val="0"/>
              <w:rPr>
                <w:b/>
                <w:szCs w:val="20"/>
              </w:rPr>
            </w:pPr>
            <w:r w:rsidRPr="00177467">
              <w:rPr>
                <w:b/>
                <w:szCs w:val="20"/>
              </w:rPr>
              <w:t xml:space="preserve">MBS costs </w:t>
            </w:r>
          </w:p>
        </w:tc>
      </w:tr>
      <w:tr w:rsidR="006E29A6" w:rsidRPr="00177467" w14:paraId="150BA0E6" w14:textId="77777777" w:rsidTr="0044664E">
        <w:tc>
          <w:tcPr>
            <w:tcW w:w="705"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hideMark/>
          </w:tcPr>
          <w:p w14:paraId="37D085AA" w14:textId="77777777" w:rsidR="006E29A6" w:rsidRPr="00177467" w:rsidRDefault="006E29A6" w:rsidP="006E29A6">
            <w:pPr>
              <w:pStyle w:val="TableText0"/>
              <w:widowControl w:val="0"/>
              <w:rPr>
                <w:szCs w:val="20"/>
              </w:rPr>
            </w:pPr>
            <w:r w:rsidRPr="00177467">
              <w:rPr>
                <w:szCs w:val="20"/>
              </w:rPr>
              <w:t>March 2025</w:t>
            </w:r>
          </w:p>
        </w:tc>
        <w:tc>
          <w:tcPr>
            <w:tcW w:w="580"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5C106BCF" w14:textId="653818FA" w:rsidR="004C1637"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55A4A1D3" w14:textId="7501AB2A" w:rsidR="006E29A6" w:rsidRPr="001F3FD6" w:rsidRDefault="001F3FD6" w:rsidP="006E29A6">
            <w:pPr>
              <w:pStyle w:val="TableText0"/>
              <w:widowControl w:val="0"/>
              <w:jc w:val="center"/>
              <w:rPr>
                <w:szCs w:val="20"/>
                <w:vertAlign w:val="superscript"/>
              </w:rPr>
            </w:pPr>
            <w:r>
              <w:rPr>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2483540F" w14:textId="41A80F31" w:rsidR="004C1637"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27E0F80A" w14:textId="0DB99B31" w:rsidR="006E29A6" w:rsidRPr="004C1637" w:rsidRDefault="004C1637" w:rsidP="006E29A6">
            <w:pPr>
              <w:pStyle w:val="TableText0"/>
              <w:widowControl w:val="0"/>
              <w:jc w:val="center"/>
              <w:rPr>
                <w:szCs w:val="20"/>
                <w:vertAlign w:val="superscript"/>
              </w:rPr>
            </w:pPr>
            <w:r>
              <w:rPr>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0D514889" w14:textId="42C7CDBD"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7C98700B" w14:textId="4A328380" w:rsidR="004C1637" w:rsidRPr="004C1637" w:rsidRDefault="004C1637" w:rsidP="006E29A6">
            <w:pPr>
              <w:pStyle w:val="TableText0"/>
              <w:widowControl w:val="0"/>
              <w:jc w:val="center"/>
              <w:rPr>
                <w:szCs w:val="20"/>
                <w:vertAlign w:val="superscript"/>
              </w:rPr>
            </w:pPr>
            <w:r>
              <w:rPr>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5DD5E766" w14:textId="7C4B74D9"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7F0F6315" w14:textId="57E276AA" w:rsidR="004C1637" w:rsidRPr="004C1637" w:rsidRDefault="004C1637" w:rsidP="006E29A6">
            <w:pPr>
              <w:pStyle w:val="TableText0"/>
              <w:widowControl w:val="0"/>
              <w:jc w:val="center"/>
              <w:rPr>
                <w:szCs w:val="20"/>
                <w:vertAlign w:val="superscript"/>
              </w:rPr>
            </w:pPr>
            <w:r>
              <w:rPr>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5FC0C127" w14:textId="11211382"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0C591E09" w14:textId="45C89946" w:rsidR="004C1637" w:rsidRPr="004C1637" w:rsidRDefault="004C1637" w:rsidP="006E29A6">
            <w:pPr>
              <w:pStyle w:val="TableText0"/>
              <w:widowControl w:val="0"/>
              <w:jc w:val="center"/>
              <w:rPr>
                <w:szCs w:val="20"/>
                <w:vertAlign w:val="superscript"/>
              </w:rPr>
            </w:pPr>
            <w:r>
              <w:rPr>
                <w:szCs w:val="20"/>
                <w:vertAlign w:val="superscript"/>
              </w:rPr>
              <w:t>32</w:t>
            </w:r>
          </w:p>
        </w:tc>
        <w:tc>
          <w:tcPr>
            <w:tcW w:w="592"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71A1FACE" w14:textId="4AB948E3"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51E1E70E" w14:textId="301CDAA4" w:rsidR="004C1637" w:rsidRPr="004C1637" w:rsidRDefault="004C1637" w:rsidP="006E29A6">
            <w:pPr>
              <w:pStyle w:val="TableText0"/>
              <w:widowControl w:val="0"/>
              <w:jc w:val="center"/>
              <w:rPr>
                <w:szCs w:val="20"/>
                <w:vertAlign w:val="superscript"/>
              </w:rPr>
            </w:pPr>
            <w:r>
              <w:rPr>
                <w:szCs w:val="20"/>
                <w:vertAlign w:val="superscript"/>
              </w:rPr>
              <w:t>32</w:t>
            </w:r>
          </w:p>
        </w:tc>
        <w:tc>
          <w:tcPr>
            <w:tcW w:w="679"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38B11B2D" w14:textId="1C617F45"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6269EF3B" w14:textId="6562FA75" w:rsidR="00551235" w:rsidRPr="00551235" w:rsidRDefault="00551235" w:rsidP="006E29A6">
            <w:pPr>
              <w:pStyle w:val="TableText0"/>
              <w:widowControl w:val="0"/>
              <w:jc w:val="center"/>
              <w:rPr>
                <w:szCs w:val="20"/>
                <w:vertAlign w:val="superscript"/>
              </w:rPr>
            </w:pPr>
            <w:r>
              <w:rPr>
                <w:szCs w:val="20"/>
                <w:vertAlign w:val="superscript"/>
              </w:rPr>
              <w:t>31</w:t>
            </w:r>
          </w:p>
        </w:tc>
      </w:tr>
      <w:tr w:rsidR="006E29A6" w:rsidRPr="00177467" w14:paraId="6D6D46D2" w14:textId="77777777" w:rsidTr="0044664E">
        <w:tc>
          <w:tcPr>
            <w:tcW w:w="70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A2851B2" w14:textId="77777777" w:rsidR="006E29A6" w:rsidRPr="00177467" w:rsidRDefault="006E29A6" w:rsidP="006E29A6">
            <w:pPr>
              <w:pStyle w:val="TableText0"/>
              <w:widowControl w:val="0"/>
              <w:rPr>
                <w:szCs w:val="20"/>
              </w:rPr>
            </w:pPr>
            <w:r w:rsidRPr="00177467">
              <w:rPr>
                <w:szCs w:val="20"/>
              </w:rPr>
              <w:t>Resubmission</w:t>
            </w:r>
          </w:p>
        </w:tc>
        <w:tc>
          <w:tcPr>
            <w:tcW w:w="580" w:type="pct"/>
            <w:tcBorders>
              <w:top w:val="single" w:sz="4" w:space="0" w:color="auto"/>
              <w:left w:val="single" w:sz="4" w:space="0" w:color="auto"/>
              <w:bottom w:val="single" w:sz="4" w:space="0" w:color="auto"/>
              <w:right w:val="single" w:sz="4" w:space="0" w:color="auto"/>
            </w:tcBorders>
            <w:tcMar>
              <w:left w:w="28" w:type="dxa"/>
              <w:right w:w="28" w:type="dxa"/>
            </w:tcMar>
          </w:tcPr>
          <w:p w14:paraId="05854FDD" w14:textId="661D5332"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77D31811" w14:textId="2C0B688B" w:rsidR="004C1637" w:rsidRPr="004C1637" w:rsidRDefault="004C1637"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2DA1A358" w14:textId="397A3C42"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784F2E7F" w14:textId="3B542381" w:rsidR="004C1637" w:rsidRPr="004C1637" w:rsidRDefault="004C1637"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542FA5FF" w14:textId="726F0EE0"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10B7B4C0" w14:textId="19C860E4" w:rsidR="004C1637" w:rsidRPr="004C1637" w:rsidRDefault="004C1637"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696215DB" w14:textId="2BDF78BD"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729DF1E7" w14:textId="15F72B49" w:rsidR="004C1637" w:rsidRPr="004C1637" w:rsidRDefault="004C1637"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2874FD7D" w14:textId="0B961515"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3056280D" w14:textId="71E65BEA" w:rsidR="004C1637" w:rsidRPr="004C1637" w:rsidRDefault="004C1637"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592" w:type="pct"/>
            <w:tcBorders>
              <w:top w:val="single" w:sz="4" w:space="0" w:color="auto"/>
              <w:left w:val="single" w:sz="4" w:space="0" w:color="auto"/>
              <w:bottom w:val="single" w:sz="4" w:space="0" w:color="auto"/>
              <w:right w:val="single" w:sz="4" w:space="0" w:color="auto"/>
            </w:tcBorders>
            <w:tcMar>
              <w:left w:w="28" w:type="dxa"/>
              <w:right w:w="28" w:type="dxa"/>
            </w:tcMar>
          </w:tcPr>
          <w:p w14:paraId="6A15750E" w14:textId="59E1E0AE"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744B3B62" w14:textId="6068104B" w:rsidR="004C1637" w:rsidRPr="004C1637" w:rsidRDefault="004C1637"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679" w:type="pct"/>
            <w:tcBorders>
              <w:top w:val="single" w:sz="4" w:space="0" w:color="auto"/>
              <w:left w:val="single" w:sz="4" w:space="0" w:color="auto"/>
              <w:bottom w:val="single" w:sz="4" w:space="0" w:color="auto"/>
              <w:right w:val="single" w:sz="4" w:space="0" w:color="auto"/>
            </w:tcBorders>
            <w:tcMar>
              <w:left w:w="28" w:type="dxa"/>
              <w:right w:w="28" w:type="dxa"/>
            </w:tcMar>
          </w:tcPr>
          <w:p w14:paraId="15F8045D" w14:textId="35AF0B29"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05321571" w14:textId="04C54F54" w:rsidR="00127526" w:rsidRPr="00127526" w:rsidRDefault="00127526"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28</w:t>
            </w:r>
          </w:p>
        </w:tc>
      </w:tr>
      <w:tr w:rsidR="000E6178" w:rsidRPr="00177467" w14:paraId="6ACFD87A" w14:textId="77777777" w:rsidTr="0044664E">
        <w:tc>
          <w:tcPr>
            <w:tcW w:w="705" w:type="pct"/>
            <w:tcBorders>
              <w:top w:val="single" w:sz="4" w:space="0" w:color="auto"/>
              <w:left w:val="single" w:sz="4" w:space="0" w:color="auto"/>
              <w:bottom w:val="single" w:sz="4" w:space="0" w:color="auto"/>
              <w:right w:val="single" w:sz="4" w:space="0" w:color="auto"/>
            </w:tcBorders>
            <w:tcMar>
              <w:left w:w="28" w:type="dxa"/>
              <w:right w:w="28" w:type="dxa"/>
            </w:tcMar>
          </w:tcPr>
          <w:p w14:paraId="65FB17A1" w14:textId="6D53A565" w:rsidR="000E6178" w:rsidRPr="00177467" w:rsidRDefault="000E6178" w:rsidP="000E6178">
            <w:pPr>
              <w:pStyle w:val="TableText0"/>
              <w:widowControl w:val="0"/>
              <w:rPr>
                <w:szCs w:val="20"/>
              </w:rPr>
            </w:pPr>
            <w:r>
              <w:rPr>
                <w:szCs w:val="20"/>
              </w:rPr>
              <w:t>Pre-PBAC</w:t>
            </w:r>
          </w:p>
        </w:tc>
        <w:tc>
          <w:tcPr>
            <w:tcW w:w="5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12CFCB" w14:textId="58691171" w:rsidR="000E6178" w:rsidRDefault="000E6178" w:rsidP="000E6178">
            <w:pPr>
              <w:pStyle w:val="TableText0"/>
              <w:widowControl w:val="0"/>
              <w:jc w:val="center"/>
              <w:rPr>
                <w:rFonts w:cs="Calibri"/>
                <w:bCs w:val="0"/>
                <w:color w:val="000000"/>
                <w:szCs w:val="20"/>
              </w:rPr>
            </w:pPr>
            <w:r w:rsidRPr="000E6178">
              <w:rPr>
                <w:rFonts w:cs="Calibri"/>
                <w:bCs w:val="0"/>
                <w:color w:val="000000"/>
                <w:szCs w:val="20"/>
              </w:rPr>
              <w:t>$</w:t>
            </w:r>
            <w:r w:rsidR="00E901B5" w:rsidRPr="00E901B5">
              <w:rPr>
                <w:rFonts w:cs="Calibri"/>
                <w:bCs w:val="0"/>
                <w:color w:val="000000"/>
                <w:szCs w:val="20"/>
                <w:highlight w:val="black"/>
              </w:rPr>
              <w:t>&amp;&amp;&amp;&amp;</w:t>
            </w:r>
          </w:p>
          <w:p w14:paraId="6CC66FD9" w14:textId="18073835" w:rsidR="004C1637" w:rsidRPr="004C1637" w:rsidRDefault="004C1637" w:rsidP="000E6178">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54F0D8" w14:textId="0FB2AFDA" w:rsidR="000E6178" w:rsidRDefault="000E6178" w:rsidP="000E6178">
            <w:pPr>
              <w:pStyle w:val="TableText0"/>
              <w:widowControl w:val="0"/>
              <w:jc w:val="center"/>
              <w:rPr>
                <w:rFonts w:cs="Calibri"/>
                <w:bCs w:val="0"/>
                <w:color w:val="000000"/>
                <w:szCs w:val="20"/>
              </w:rPr>
            </w:pPr>
            <w:r w:rsidRPr="000E6178">
              <w:rPr>
                <w:rFonts w:cs="Calibri"/>
                <w:bCs w:val="0"/>
                <w:color w:val="000000"/>
                <w:szCs w:val="20"/>
              </w:rPr>
              <w:t>$</w:t>
            </w:r>
            <w:r w:rsidR="00E901B5" w:rsidRPr="00E901B5">
              <w:rPr>
                <w:rFonts w:cs="Calibri"/>
                <w:bCs w:val="0"/>
                <w:color w:val="000000"/>
                <w:szCs w:val="20"/>
                <w:highlight w:val="black"/>
              </w:rPr>
              <w:t>&amp;&amp;&amp;&amp;</w:t>
            </w:r>
          </w:p>
          <w:p w14:paraId="13BDDB69" w14:textId="01A4911C" w:rsidR="004C1637" w:rsidRPr="004C1637" w:rsidRDefault="004C1637" w:rsidP="000E6178">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3EFDF9" w14:textId="0678C0A2" w:rsidR="000E6178" w:rsidRDefault="000E6178" w:rsidP="000E6178">
            <w:pPr>
              <w:pStyle w:val="TableText0"/>
              <w:widowControl w:val="0"/>
              <w:jc w:val="center"/>
              <w:rPr>
                <w:rFonts w:cs="Calibri"/>
                <w:bCs w:val="0"/>
                <w:color w:val="000000"/>
                <w:szCs w:val="20"/>
              </w:rPr>
            </w:pPr>
            <w:r w:rsidRPr="000E6178">
              <w:rPr>
                <w:rFonts w:cs="Calibri"/>
                <w:bCs w:val="0"/>
                <w:color w:val="000000"/>
                <w:szCs w:val="20"/>
              </w:rPr>
              <w:t>$</w:t>
            </w:r>
            <w:r w:rsidR="00E901B5" w:rsidRPr="00E901B5">
              <w:rPr>
                <w:rFonts w:cs="Calibri"/>
                <w:bCs w:val="0"/>
                <w:color w:val="000000"/>
                <w:szCs w:val="20"/>
                <w:highlight w:val="black"/>
              </w:rPr>
              <w:t>&amp;&amp;&amp;&amp;</w:t>
            </w:r>
          </w:p>
          <w:p w14:paraId="7596FD1E" w14:textId="128CEAEB" w:rsidR="004C1637" w:rsidRPr="004C1637" w:rsidRDefault="004C1637" w:rsidP="000E6178">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04F619" w14:textId="70834B0E" w:rsidR="000E6178" w:rsidRDefault="000E6178" w:rsidP="000E6178">
            <w:pPr>
              <w:pStyle w:val="TableText0"/>
              <w:widowControl w:val="0"/>
              <w:jc w:val="center"/>
              <w:rPr>
                <w:rFonts w:cs="Calibri"/>
                <w:bCs w:val="0"/>
                <w:color w:val="000000"/>
                <w:szCs w:val="20"/>
              </w:rPr>
            </w:pPr>
            <w:r w:rsidRPr="000E6178">
              <w:rPr>
                <w:rFonts w:cs="Calibri"/>
                <w:bCs w:val="0"/>
                <w:color w:val="000000"/>
                <w:szCs w:val="20"/>
              </w:rPr>
              <w:t>$</w:t>
            </w:r>
            <w:r w:rsidR="00E901B5" w:rsidRPr="00E901B5">
              <w:rPr>
                <w:rFonts w:cs="Calibri"/>
                <w:bCs w:val="0"/>
                <w:color w:val="000000"/>
                <w:szCs w:val="20"/>
                <w:highlight w:val="black"/>
              </w:rPr>
              <w:t>&amp;&amp;&amp;&amp;</w:t>
            </w:r>
          </w:p>
          <w:p w14:paraId="3C796E05" w14:textId="144E3065" w:rsidR="004C1637" w:rsidRPr="004C1637" w:rsidRDefault="004C1637" w:rsidP="000E6178">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9D264F" w14:textId="6469271D" w:rsidR="000E6178" w:rsidRDefault="000E6178" w:rsidP="000E6178">
            <w:pPr>
              <w:pStyle w:val="TableText0"/>
              <w:widowControl w:val="0"/>
              <w:jc w:val="center"/>
              <w:rPr>
                <w:rFonts w:cs="Calibri"/>
                <w:bCs w:val="0"/>
                <w:color w:val="000000"/>
                <w:szCs w:val="20"/>
              </w:rPr>
            </w:pPr>
            <w:r w:rsidRPr="000E6178">
              <w:rPr>
                <w:rFonts w:cs="Calibri"/>
                <w:bCs w:val="0"/>
                <w:color w:val="000000"/>
                <w:szCs w:val="20"/>
              </w:rPr>
              <w:t>$</w:t>
            </w:r>
            <w:r w:rsidR="00E901B5" w:rsidRPr="00E901B5">
              <w:rPr>
                <w:rFonts w:cs="Calibri"/>
                <w:bCs w:val="0"/>
                <w:color w:val="000000"/>
                <w:szCs w:val="20"/>
                <w:highlight w:val="black"/>
              </w:rPr>
              <w:t>&amp;&amp;&amp;&amp;</w:t>
            </w:r>
          </w:p>
          <w:p w14:paraId="197E950E" w14:textId="60C45944" w:rsidR="004C1637" w:rsidRPr="004C1637" w:rsidRDefault="004C1637" w:rsidP="000E6178">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5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C4C4EF" w14:textId="109C6C7B" w:rsidR="000E6178" w:rsidRDefault="000E6178" w:rsidP="000E6178">
            <w:pPr>
              <w:pStyle w:val="TableText0"/>
              <w:widowControl w:val="0"/>
              <w:jc w:val="center"/>
              <w:rPr>
                <w:rFonts w:cs="Calibri"/>
                <w:bCs w:val="0"/>
                <w:color w:val="000000"/>
                <w:szCs w:val="20"/>
              </w:rPr>
            </w:pPr>
            <w:r w:rsidRPr="000E6178">
              <w:rPr>
                <w:rFonts w:cs="Calibri"/>
                <w:bCs w:val="0"/>
                <w:color w:val="000000"/>
                <w:szCs w:val="20"/>
              </w:rPr>
              <w:t>$</w:t>
            </w:r>
            <w:r w:rsidR="00E901B5" w:rsidRPr="00E901B5">
              <w:rPr>
                <w:rFonts w:cs="Calibri"/>
                <w:bCs w:val="0"/>
                <w:color w:val="000000"/>
                <w:szCs w:val="20"/>
                <w:highlight w:val="black"/>
              </w:rPr>
              <w:t>&amp;&amp;&amp;&amp;</w:t>
            </w:r>
          </w:p>
          <w:p w14:paraId="2828E865" w14:textId="23965F0F" w:rsidR="004C1637" w:rsidRPr="004C1637" w:rsidRDefault="004C1637" w:rsidP="000E6178">
            <w:pPr>
              <w:pStyle w:val="TableText0"/>
              <w:widowControl w:val="0"/>
              <w:jc w:val="center"/>
              <w:rPr>
                <w:rFonts w:cs="Calibri"/>
                <w:bCs w:val="0"/>
                <w:color w:val="000000"/>
                <w:szCs w:val="20"/>
                <w:vertAlign w:val="superscript"/>
              </w:rPr>
            </w:pPr>
            <w:r>
              <w:rPr>
                <w:rFonts w:cs="Calibri"/>
                <w:bCs w:val="0"/>
                <w:color w:val="000000"/>
                <w:szCs w:val="20"/>
                <w:vertAlign w:val="superscript"/>
              </w:rPr>
              <w:t>32</w:t>
            </w:r>
          </w:p>
        </w:tc>
        <w:tc>
          <w:tcPr>
            <w:tcW w:w="6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CCFCD4" w14:textId="2DE1693E" w:rsidR="000E6178" w:rsidRDefault="00E4488D" w:rsidP="00E4488D">
            <w:pPr>
              <w:pStyle w:val="TableText0"/>
              <w:widowControl w:val="0"/>
              <w:jc w:val="center"/>
              <w:rPr>
                <w:rFonts w:cs="Calibri"/>
                <w:bCs w:val="0"/>
                <w:color w:val="000000"/>
                <w:szCs w:val="20"/>
              </w:rPr>
            </w:pPr>
            <w:r w:rsidRPr="00E4488D">
              <w:rPr>
                <w:rFonts w:cs="Calibri"/>
                <w:bCs w:val="0"/>
                <w:color w:val="000000"/>
                <w:szCs w:val="20"/>
              </w:rPr>
              <w:t>$</w:t>
            </w:r>
            <w:r w:rsidR="00E901B5" w:rsidRPr="00E901B5">
              <w:rPr>
                <w:rFonts w:cs="Calibri"/>
                <w:bCs w:val="0"/>
                <w:color w:val="000000"/>
                <w:szCs w:val="20"/>
                <w:highlight w:val="black"/>
              </w:rPr>
              <w:t>&amp;&amp;&amp;&amp;</w:t>
            </w:r>
          </w:p>
          <w:p w14:paraId="446827E8" w14:textId="17799E02" w:rsidR="00E334F3" w:rsidRPr="00E334F3" w:rsidRDefault="00E334F3" w:rsidP="00E4488D">
            <w:pPr>
              <w:pStyle w:val="TableText0"/>
              <w:widowControl w:val="0"/>
              <w:jc w:val="center"/>
              <w:rPr>
                <w:rFonts w:cs="Calibri"/>
                <w:bCs w:val="0"/>
                <w:color w:val="000000"/>
                <w:szCs w:val="20"/>
                <w:vertAlign w:val="superscript"/>
              </w:rPr>
            </w:pPr>
            <w:r>
              <w:rPr>
                <w:rFonts w:cs="Calibri"/>
                <w:bCs w:val="0"/>
                <w:color w:val="000000"/>
                <w:szCs w:val="20"/>
                <w:vertAlign w:val="superscript"/>
              </w:rPr>
              <w:t>27</w:t>
            </w:r>
          </w:p>
        </w:tc>
      </w:tr>
      <w:tr w:rsidR="006E29A6" w:rsidRPr="00177467" w14:paraId="644C7035" w14:textId="77777777" w:rsidTr="00CF1B29">
        <w:tc>
          <w:tcPr>
            <w:tcW w:w="5000" w:type="pct"/>
            <w:gridSpan w:val="8"/>
            <w:tcBorders>
              <w:top w:val="single" w:sz="4" w:space="0" w:color="auto"/>
              <w:left w:val="single" w:sz="4" w:space="0" w:color="auto"/>
              <w:bottom w:val="single" w:sz="4" w:space="0" w:color="auto"/>
              <w:right w:val="single" w:sz="4" w:space="0" w:color="auto"/>
            </w:tcBorders>
            <w:tcMar>
              <w:left w:w="28" w:type="dxa"/>
              <w:right w:w="28" w:type="dxa"/>
            </w:tcMar>
            <w:hideMark/>
          </w:tcPr>
          <w:p w14:paraId="1442DE07" w14:textId="77777777" w:rsidR="006E29A6" w:rsidRPr="00177467" w:rsidRDefault="006E29A6" w:rsidP="006E29A6">
            <w:pPr>
              <w:pStyle w:val="TableText0"/>
              <w:widowControl w:val="0"/>
              <w:rPr>
                <w:b/>
                <w:szCs w:val="20"/>
              </w:rPr>
            </w:pPr>
            <w:r w:rsidRPr="00177467">
              <w:rPr>
                <w:b/>
                <w:szCs w:val="20"/>
              </w:rPr>
              <w:t>Net cost to government</w:t>
            </w:r>
          </w:p>
        </w:tc>
      </w:tr>
      <w:tr w:rsidR="006E29A6" w:rsidRPr="00177467" w14:paraId="488A28C8" w14:textId="77777777" w:rsidTr="0044664E">
        <w:tc>
          <w:tcPr>
            <w:tcW w:w="705"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hideMark/>
          </w:tcPr>
          <w:p w14:paraId="63798DE6" w14:textId="77777777" w:rsidR="006E29A6" w:rsidRPr="00177467" w:rsidRDefault="006E29A6" w:rsidP="006E29A6">
            <w:pPr>
              <w:pStyle w:val="TableText0"/>
              <w:widowControl w:val="0"/>
              <w:rPr>
                <w:szCs w:val="20"/>
              </w:rPr>
            </w:pPr>
            <w:r w:rsidRPr="00177467">
              <w:rPr>
                <w:szCs w:val="20"/>
              </w:rPr>
              <w:t>March 2025</w:t>
            </w:r>
          </w:p>
        </w:tc>
        <w:tc>
          <w:tcPr>
            <w:tcW w:w="580"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63E22EE4" w14:textId="00356689"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494598EE" w14:textId="6FA5A4AB" w:rsidR="00310E4D" w:rsidRPr="00310E4D" w:rsidRDefault="00310E4D" w:rsidP="006E29A6">
            <w:pPr>
              <w:pStyle w:val="TableText0"/>
              <w:widowControl w:val="0"/>
              <w:jc w:val="center"/>
              <w:rPr>
                <w:szCs w:val="20"/>
                <w:vertAlign w:val="superscript"/>
              </w:rPr>
            </w:pPr>
            <w:r>
              <w:rPr>
                <w:szCs w:val="20"/>
                <w:vertAlign w:val="superscript"/>
              </w:rPr>
              <w:t>23</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67E10727" w14:textId="1303A023"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0E08BD47" w14:textId="1126247C" w:rsidR="00621684" w:rsidRPr="00621684" w:rsidRDefault="00621684" w:rsidP="006E29A6">
            <w:pPr>
              <w:pStyle w:val="TableText0"/>
              <w:widowControl w:val="0"/>
              <w:jc w:val="center"/>
              <w:rPr>
                <w:szCs w:val="20"/>
                <w:vertAlign w:val="superscript"/>
              </w:rPr>
            </w:pPr>
            <w:r>
              <w:rPr>
                <w:szCs w:val="20"/>
                <w:vertAlign w:val="superscript"/>
              </w:rPr>
              <w:t>24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0202BD48" w14:textId="1430427A"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005205F8" w14:textId="70576295" w:rsidR="00621684" w:rsidRPr="00621684" w:rsidRDefault="00621684" w:rsidP="006E29A6">
            <w:pPr>
              <w:pStyle w:val="TableText0"/>
              <w:widowControl w:val="0"/>
              <w:jc w:val="center"/>
              <w:rPr>
                <w:szCs w:val="20"/>
                <w:vertAlign w:val="superscript"/>
              </w:rPr>
            </w:pPr>
            <w:r>
              <w:rPr>
                <w:szCs w:val="20"/>
                <w:vertAlign w:val="superscript"/>
              </w:rPr>
              <w:t>24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7FBF3E1E" w14:textId="49E18709"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65BB9EE8" w14:textId="3F2E482A" w:rsidR="00621684" w:rsidRPr="00621684" w:rsidRDefault="00621684" w:rsidP="006E29A6">
            <w:pPr>
              <w:pStyle w:val="TableText0"/>
              <w:widowControl w:val="0"/>
              <w:jc w:val="center"/>
              <w:rPr>
                <w:szCs w:val="20"/>
                <w:vertAlign w:val="superscript"/>
              </w:rPr>
            </w:pPr>
            <w:r>
              <w:rPr>
                <w:szCs w:val="20"/>
                <w:vertAlign w:val="superscript"/>
              </w:rPr>
              <w:t>24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0A4C99E2" w14:textId="48277738"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69CC23BD" w14:textId="2CFD84FA" w:rsidR="00621684" w:rsidRPr="00621684" w:rsidRDefault="00621684" w:rsidP="006E29A6">
            <w:pPr>
              <w:pStyle w:val="TableText0"/>
              <w:widowControl w:val="0"/>
              <w:jc w:val="center"/>
              <w:rPr>
                <w:szCs w:val="20"/>
                <w:vertAlign w:val="superscript"/>
              </w:rPr>
            </w:pPr>
            <w:r w:rsidRPr="00621684">
              <w:rPr>
                <w:szCs w:val="20"/>
                <w:vertAlign w:val="superscript"/>
              </w:rPr>
              <w:t>24</w:t>
            </w:r>
          </w:p>
        </w:tc>
        <w:tc>
          <w:tcPr>
            <w:tcW w:w="592"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0F7CA66B" w14:textId="2ED92F17" w:rsidR="006E29A6" w:rsidRDefault="006E29A6" w:rsidP="006E29A6">
            <w:pPr>
              <w:pStyle w:val="TableText0"/>
              <w:widowControl w:val="0"/>
              <w:jc w:val="center"/>
              <w:rPr>
                <w:szCs w:val="20"/>
                <w:vertAlign w:val="superscript"/>
              </w:rPr>
            </w:pPr>
            <w:r w:rsidRPr="00177467">
              <w:rPr>
                <w:szCs w:val="20"/>
              </w:rPr>
              <w:t>$</w:t>
            </w:r>
            <w:r w:rsidR="00E901B5" w:rsidRPr="00E901B5">
              <w:rPr>
                <w:szCs w:val="20"/>
                <w:highlight w:val="black"/>
              </w:rPr>
              <w:t>&amp;&amp;&amp;&amp;</w:t>
            </w:r>
          </w:p>
          <w:p w14:paraId="578402BE" w14:textId="3D664AAA" w:rsidR="00621684" w:rsidRPr="00621684" w:rsidRDefault="00621684" w:rsidP="006E29A6">
            <w:pPr>
              <w:pStyle w:val="TableText0"/>
              <w:widowControl w:val="0"/>
              <w:jc w:val="center"/>
              <w:rPr>
                <w:szCs w:val="20"/>
                <w:vertAlign w:val="superscript"/>
              </w:rPr>
            </w:pPr>
            <w:r>
              <w:rPr>
                <w:szCs w:val="20"/>
                <w:vertAlign w:val="superscript"/>
              </w:rPr>
              <w:t>24</w:t>
            </w:r>
          </w:p>
        </w:tc>
        <w:tc>
          <w:tcPr>
            <w:tcW w:w="679" w:type="pct"/>
            <w:tcBorders>
              <w:top w:val="single" w:sz="4" w:space="0" w:color="auto"/>
              <w:left w:val="single" w:sz="4" w:space="0" w:color="auto"/>
              <w:bottom w:val="single" w:sz="4" w:space="0" w:color="auto"/>
              <w:right w:val="single" w:sz="4" w:space="0" w:color="auto"/>
            </w:tcBorders>
            <w:shd w:val="clear" w:color="auto" w:fill="B8CCE4" w:themeFill="accent1" w:themeFillTint="66"/>
            <w:tcMar>
              <w:left w:w="28" w:type="dxa"/>
              <w:right w:w="28" w:type="dxa"/>
            </w:tcMar>
          </w:tcPr>
          <w:p w14:paraId="592843E3" w14:textId="07E647DD" w:rsidR="006E29A6" w:rsidRDefault="006E29A6" w:rsidP="006E29A6">
            <w:pPr>
              <w:pStyle w:val="TableText0"/>
              <w:widowControl w:val="0"/>
              <w:jc w:val="center"/>
              <w:rPr>
                <w:szCs w:val="20"/>
              </w:rPr>
            </w:pPr>
            <w:r w:rsidRPr="00177467">
              <w:rPr>
                <w:szCs w:val="20"/>
              </w:rPr>
              <w:t>$</w:t>
            </w:r>
            <w:r w:rsidR="00E901B5" w:rsidRPr="00E901B5">
              <w:rPr>
                <w:szCs w:val="20"/>
                <w:highlight w:val="black"/>
              </w:rPr>
              <w:t>&amp;&amp;&amp;&amp;</w:t>
            </w:r>
          </w:p>
          <w:p w14:paraId="7E6A213D" w14:textId="3AC0A968" w:rsidR="00C815B2" w:rsidRPr="00C815B2" w:rsidRDefault="00C815B2" w:rsidP="006E29A6">
            <w:pPr>
              <w:pStyle w:val="TableText0"/>
              <w:widowControl w:val="0"/>
              <w:jc w:val="center"/>
              <w:rPr>
                <w:szCs w:val="20"/>
                <w:vertAlign w:val="superscript"/>
              </w:rPr>
            </w:pPr>
            <w:r>
              <w:rPr>
                <w:szCs w:val="20"/>
                <w:vertAlign w:val="superscript"/>
              </w:rPr>
              <w:t>26</w:t>
            </w:r>
          </w:p>
        </w:tc>
      </w:tr>
      <w:tr w:rsidR="006E29A6" w:rsidRPr="00177467" w14:paraId="4C02360E" w14:textId="77777777" w:rsidTr="0044664E">
        <w:tc>
          <w:tcPr>
            <w:tcW w:w="70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74B51CD" w14:textId="77777777" w:rsidR="006E29A6" w:rsidRPr="00177467" w:rsidRDefault="006E29A6" w:rsidP="006E29A6">
            <w:pPr>
              <w:pStyle w:val="TableText0"/>
              <w:widowControl w:val="0"/>
              <w:rPr>
                <w:szCs w:val="20"/>
              </w:rPr>
            </w:pPr>
            <w:r w:rsidRPr="00177467">
              <w:rPr>
                <w:szCs w:val="20"/>
              </w:rPr>
              <w:t>Resubmission</w:t>
            </w:r>
          </w:p>
        </w:tc>
        <w:tc>
          <w:tcPr>
            <w:tcW w:w="580" w:type="pct"/>
            <w:tcBorders>
              <w:top w:val="single" w:sz="4" w:space="0" w:color="auto"/>
              <w:left w:val="single" w:sz="4" w:space="0" w:color="auto"/>
              <w:bottom w:val="single" w:sz="4" w:space="0" w:color="auto"/>
              <w:right w:val="single" w:sz="4" w:space="0" w:color="auto"/>
            </w:tcBorders>
            <w:tcMar>
              <w:left w:w="28" w:type="dxa"/>
              <w:right w:w="28" w:type="dxa"/>
            </w:tcMar>
          </w:tcPr>
          <w:p w14:paraId="3297CFCF" w14:textId="773BB470"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1F8E1AD0" w14:textId="7308DB58" w:rsidR="00127526" w:rsidRPr="00127526" w:rsidRDefault="00127526"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28</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7092CB90" w14:textId="6001A6BA"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29A7626C" w14:textId="44455B27" w:rsidR="00127526" w:rsidRPr="00127526" w:rsidRDefault="00127526"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28</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703DAE61" w14:textId="7933E1EC"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1577A04E" w14:textId="3E67ACB1" w:rsidR="00034457" w:rsidRPr="00034457" w:rsidRDefault="00034457"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29</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7D68F463" w14:textId="7F43DCB0"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294D865C" w14:textId="75AF7C2B" w:rsidR="00DA4BE1" w:rsidRPr="00DA4BE1" w:rsidRDefault="00DA4BE1"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33</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tcPr>
          <w:p w14:paraId="0CEA6F6E" w14:textId="78E10394"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1E284FD7" w14:textId="00314526" w:rsidR="00DA4BE1" w:rsidRPr="00DA4BE1" w:rsidRDefault="00DA4BE1"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33</w:t>
            </w:r>
          </w:p>
        </w:tc>
        <w:tc>
          <w:tcPr>
            <w:tcW w:w="592" w:type="pct"/>
            <w:tcBorders>
              <w:top w:val="single" w:sz="4" w:space="0" w:color="auto"/>
              <w:left w:val="single" w:sz="4" w:space="0" w:color="auto"/>
              <w:bottom w:val="single" w:sz="4" w:space="0" w:color="auto"/>
              <w:right w:val="single" w:sz="4" w:space="0" w:color="auto"/>
            </w:tcBorders>
            <w:tcMar>
              <w:left w:w="28" w:type="dxa"/>
              <w:right w:w="28" w:type="dxa"/>
            </w:tcMar>
          </w:tcPr>
          <w:p w14:paraId="7A40B776" w14:textId="75BD4213"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0B8BAB79" w14:textId="7D76E09A" w:rsidR="00DA4BE1" w:rsidRPr="00DA4BE1" w:rsidRDefault="00DA4BE1"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34</w:t>
            </w:r>
          </w:p>
        </w:tc>
        <w:tc>
          <w:tcPr>
            <w:tcW w:w="679" w:type="pct"/>
            <w:tcBorders>
              <w:top w:val="single" w:sz="4" w:space="0" w:color="auto"/>
              <w:left w:val="single" w:sz="4" w:space="0" w:color="auto"/>
              <w:bottom w:val="single" w:sz="4" w:space="0" w:color="auto"/>
              <w:right w:val="single" w:sz="4" w:space="0" w:color="auto"/>
            </w:tcBorders>
            <w:tcMar>
              <w:left w:w="28" w:type="dxa"/>
              <w:right w:w="28" w:type="dxa"/>
            </w:tcMar>
          </w:tcPr>
          <w:p w14:paraId="58BEDCE6" w14:textId="328C8DDE" w:rsidR="006E29A6" w:rsidRDefault="006E29A6" w:rsidP="006E29A6">
            <w:pPr>
              <w:pStyle w:val="TableText0"/>
              <w:widowControl w:val="0"/>
              <w:jc w:val="center"/>
              <w:rPr>
                <w:rFonts w:cs="Calibri"/>
                <w:bCs w:val="0"/>
                <w:color w:val="000000"/>
                <w:szCs w:val="20"/>
              </w:rPr>
            </w:pPr>
            <w:r w:rsidRPr="00177467">
              <w:rPr>
                <w:rFonts w:cs="Calibri"/>
                <w:bCs w:val="0"/>
                <w:color w:val="000000"/>
                <w:szCs w:val="20"/>
              </w:rPr>
              <w:t>$</w:t>
            </w:r>
            <w:r w:rsidR="00E901B5" w:rsidRPr="00E901B5">
              <w:rPr>
                <w:rFonts w:cs="Calibri"/>
                <w:bCs w:val="0"/>
                <w:color w:val="000000"/>
                <w:szCs w:val="20"/>
                <w:highlight w:val="black"/>
              </w:rPr>
              <w:t>&amp;&amp;&amp;&amp;</w:t>
            </w:r>
          </w:p>
          <w:p w14:paraId="083DF58F" w14:textId="18D36239" w:rsidR="00C815B2" w:rsidRPr="00C815B2" w:rsidRDefault="00C815B2" w:rsidP="006E29A6">
            <w:pPr>
              <w:pStyle w:val="TableText0"/>
              <w:widowControl w:val="0"/>
              <w:jc w:val="center"/>
              <w:rPr>
                <w:rFonts w:cs="Calibri"/>
                <w:bCs w:val="0"/>
                <w:color w:val="000000"/>
                <w:szCs w:val="20"/>
                <w:vertAlign w:val="superscript"/>
              </w:rPr>
            </w:pPr>
            <w:r>
              <w:rPr>
                <w:rFonts w:cs="Calibri"/>
                <w:bCs w:val="0"/>
                <w:color w:val="000000"/>
                <w:szCs w:val="20"/>
                <w:vertAlign w:val="superscript"/>
              </w:rPr>
              <w:t>30</w:t>
            </w:r>
          </w:p>
        </w:tc>
      </w:tr>
      <w:tr w:rsidR="006D4F93" w:rsidRPr="00177467" w14:paraId="215E602B" w14:textId="77777777" w:rsidTr="0044664E">
        <w:tc>
          <w:tcPr>
            <w:tcW w:w="705" w:type="pct"/>
            <w:tcBorders>
              <w:top w:val="single" w:sz="4" w:space="0" w:color="auto"/>
              <w:left w:val="single" w:sz="4" w:space="0" w:color="auto"/>
              <w:bottom w:val="single" w:sz="4" w:space="0" w:color="auto"/>
              <w:right w:val="single" w:sz="4" w:space="0" w:color="auto"/>
            </w:tcBorders>
            <w:tcMar>
              <w:left w:w="28" w:type="dxa"/>
              <w:right w:w="28" w:type="dxa"/>
            </w:tcMar>
          </w:tcPr>
          <w:p w14:paraId="72E40386" w14:textId="546A8B4A" w:rsidR="006D4F93" w:rsidRPr="00177467" w:rsidRDefault="006D4F93" w:rsidP="006D4F93">
            <w:pPr>
              <w:pStyle w:val="TableText0"/>
              <w:widowControl w:val="0"/>
              <w:rPr>
                <w:szCs w:val="20"/>
              </w:rPr>
            </w:pPr>
            <w:r>
              <w:rPr>
                <w:szCs w:val="20"/>
              </w:rPr>
              <w:t>Pre-PBAC</w:t>
            </w:r>
          </w:p>
        </w:tc>
        <w:tc>
          <w:tcPr>
            <w:tcW w:w="58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ADDC0F" w14:textId="7A3E2E49" w:rsidR="006D4F93" w:rsidRDefault="006D4F93" w:rsidP="006D4F93">
            <w:pPr>
              <w:pStyle w:val="TableText0"/>
              <w:widowControl w:val="0"/>
              <w:jc w:val="center"/>
              <w:rPr>
                <w:rFonts w:cs="Calibri"/>
                <w:bCs w:val="0"/>
                <w:color w:val="000000"/>
                <w:szCs w:val="20"/>
              </w:rPr>
            </w:pPr>
            <w:r w:rsidRPr="00C724D9">
              <w:rPr>
                <w:rFonts w:cs="Calibri"/>
                <w:bCs w:val="0"/>
                <w:color w:val="000000"/>
                <w:szCs w:val="20"/>
              </w:rPr>
              <w:t>$</w:t>
            </w:r>
            <w:r w:rsidR="00E901B5" w:rsidRPr="00E901B5">
              <w:rPr>
                <w:rFonts w:cs="Calibri"/>
                <w:bCs w:val="0"/>
                <w:color w:val="000000"/>
                <w:szCs w:val="20"/>
                <w:highlight w:val="black"/>
              </w:rPr>
              <w:t>&amp;&amp;&amp;&amp;</w:t>
            </w:r>
          </w:p>
          <w:p w14:paraId="30680D9D" w14:textId="61A9F0FE" w:rsidR="00FB3A3D" w:rsidRPr="00FB3A3D" w:rsidRDefault="00FB3A3D" w:rsidP="006D4F93">
            <w:pPr>
              <w:pStyle w:val="TableText0"/>
              <w:widowControl w:val="0"/>
              <w:jc w:val="center"/>
              <w:rPr>
                <w:rFonts w:cs="Calibri"/>
                <w:bCs w:val="0"/>
                <w:color w:val="000000"/>
                <w:szCs w:val="20"/>
                <w:vertAlign w:val="superscript"/>
              </w:rPr>
            </w:pPr>
            <w:r>
              <w:rPr>
                <w:rFonts w:cs="Calibri"/>
                <w:bCs w:val="0"/>
                <w:color w:val="000000"/>
                <w:szCs w:val="20"/>
                <w:vertAlign w:val="superscript"/>
              </w:rPr>
              <w:t>2</w:t>
            </w:r>
            <w:r w:rsidR="002E35DB">
              <w:rPr>
                <w:rFonts w:cs="Calibri"/>
                <w:bCs w:val="0"/>
                <w:color w:val="000000"/>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2702EF" w14:textId="36178F62" w:rsidR="006D4F93" w:rsidRDefault="006D4F93" w:rsidP="006D4F93">
            <w:pPr>
              <w:pStyle w:val="TableText0"/>
              <w:widowControl w:val="0"/>
              <w:jc w:val="center"/>
              <w:rPr>
                <w:rFonts w:cs="Calibri"/>
                <w:bCs w:val="0"/>
                <w:color w:val="000000"/>
                <w:szCs w:val="20"/>
              </w:rPr>
            </w:pPr>
            <w:r w:rsidRPr="00C724D9">
              <w:rPr>
                <w:rFonts w:cs="Calibri"/>
                <w:bCs w:val="0"/>
                <w:color w:val="000000"/>
                <w:szCs w:val="20"/>
              </w:rPr>
              <w:t>$</w:t>
            </w:r>
            <w:r w:rsidR="00E901B5" w:rsidRPr="00E901B5">
              <w:rPr>
                <w:rFonts w:cs="Calibri"/>
                <w:bCs w:val="0"/>
                <w:color w:val="000000"/>
                <w:szCs w:val="20"/>
                <w:highlight w:val="black"/>
              </w:rPr>
              <w:t>&amp;&amp;&amp;&amp;</w:t>
            </w:r>
          </w:p>
          <w:p w14:paraId="22DF0319" w14:textId="782763E6" w:rsidR="00FB3A3D" w:rsidRPr="00FB3A3D" w:rsidRDefault="00FB3A3D" w:rsidP="006D4F93">
            <w:pPr>
              <w:pStyle w:val="TableText0"/>
              <w:widowControl w:val="0"/>
              <w:jc w:val="center"/>
              <w:rPr>
                <w:rFonts w:cs="Calibri"/>
                <w:bCs w:val="0"/>
                <w:color w:val="000000"/>
                <w:szCs w:val="20"/>
                <w:vertAlign w:val="superscript"/>
              </w:rPr>
            </w:pPr>
            <w:r>
              <w:rPr>
                <w:rFonts w:cs="Calibri"/>
                <w:bCs w:val="0"/>
                <w:color w:val="000000"/>
                <w:szCs w:val="20"/>
                <w:vertAlign w:val="superscript"/>
              </w:rPr>
              <w:t>2</w:t>
            </w:r>
            <w:r w:rsidR="002E35DB">
              <w:rPr>
                <w:rFonts w:cs="Calibri"/>
                <w:bCs w:val="0"/>
                <w:color w:val="000000"/>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0F0737" w14:textId="19CB9E1D" w:rsidR="006D4F93" w:rsidRDefault="006D4F93" w:rsidP="006D4F93">
            <w:pPr>
              <w:pStyle w:val="TableText0"/>
              <w:widowControl w:val="0"/>
              <w:jc w:val="center"/>
              <w:rPr>
                <w:rFonts w:cs="Calibri"/>
                <w:bCs w:val="0"/>
                <w:color w:val="000000"/>
                <w:szCs w:val="20"/>
                <w:vertAlign w:val="superscript"/>
              </w:rPr>
            </w:pPr>
            <w:r w:rsidRPr="00C724D9">
              <w:rPr>
                <w:rFonts w:cs="Calibri"/>
                <w:bCs w:val="0"/>
                <w:color w:val="000000"/>
                <w:szCs w:val="20"/>
              </w:rPr>
              <w:t>$</w:t>
            </w:r>
            <w:r w:rsidR="00E901B5" w:rsidRPr="00E901B5">
              <w:rPr>
                <w:rFonts w:cs="Calibri"/>
                <w:bCs w:val="0"/>
                <w:color w:val="000000"/>
                <w:szCs w:val="20"/>
                <w:highlight w:val="black"/>
              </w:rPr>
              <w:t>&amp;&amp;&amp;&amp;</w:t>
            </w:r>
          </w:p>
          <w:p w14:paraId="60869F5C" w14:textId="00343868" w:rsidR="00034457" w:rsidRPr="00034457" w:rsidRDefault="00034457" w:rsidP="006D4F93">
            <w:pPr>
              <w:pStyle w:val="TableText0"/>
              <w:widowControl w:val="0"/>
              <w:jc w:val="center"/>
              <w:rPr>
                <w:rFonts w:cs="Calibri"/>
                <w:bCs w:val="0"/>
                <w:color w:val="000000"/>
                <w:szCs w:val="20"/>
                <w:vertAlign w:val="superscript"/>
              </w:rPr>
            </w:pPr>
            <w:r>
              <w:rPr>
                <w:rFonts w:cs="Calibri"/>
                <w:bCs w:val="0"/>
                <w:color w:val="000000"/>
                <w:szCs w:val="20"/>
                <w:vertAlign w:val="superscript"/>
              </w:rPr>
              <w:t>28</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A5DDFB" w14:textId="6DAE58B8" w:rsidR="006D4F93" w:rsidRDefault="006D4F93" w:rsidP="006D4F93">
            <w:pPr>
              <w:pStyle w:val="TableText0"/>
              <w:widowControl w:val="0"/>
              <w:jc w:val="center"/>
              <w:rPr>
                <w:rFonts w:cs="Calibri"/>
                <w:bCs w:val="0"/>
                <w:color w:val="000000"/>
                <w:szCs w:val="20"/>
              </w:rPr>
            </w:pPr>
            <w:r w:rsidRPr="00C724D9">
              <w:rPr>
                <w:rFonts w:cs="Calibri"/>
                <w:bCs w:val="0"/>
                <w:color w:val="000000"/>
                <w:szCs w:val="20"/>
              </w:rPr>
              <w:t>$</w:t>
            </w:r>
            <w:r w:rsidR="00E901B5" w:rsidRPr="00E901B5">
              <w:rPr>
                <w:rFonts w:cs="Calibri"/>
                <w:bCs w:val="0"/>
                <w:color w:val="000000"/>
                <w:szCs w:val="20"/>
                <w:highlight w:val="black"/>
              </w:rPr>
              <w:t>&amp;&amp;&amp;&amp;</w:t>
            </w:r>
          </w:p>
          <w:p w14:paraId="279C7EFD" w14:textId="1E2D801F" w:rsidR="00034457" w:rsidRPr="00034457" w:rsidRDefault="00034457" w:rsidP="006D4F93">
            <w:pPr>
              <w:pStyle w:val="TableText0"/>
              <w:widowControl w:val="0"/>
              <w:jc w:val="center"/>
              <w:rPr>
                <w:rFonts w:cs="Calibri"/>
                <w:bCs w:val="0"/>
                <w:color w:val="000000"/>
                <w:szCs w:val="20"/>
                <w:vertAlign w:val="superscript"/>
              </w:rPr>
            </w:pPr>
            <w:r>
              <w:rPr>
                <w:rFonts w:cs="Calibri"/>
                <w:bCs w:val="0"/>
                <w:color w:val="000000"/>
                <w:szCs w:val="20"/>
                <w:vertAlign w:val="superscript"/>
              </w:rPr>
              <w:t>28</w:t>
            </w:r>
          </w:p>
        </w:tc>
        <w:tc>
          <w:tcPr>
            <w:tcW w:w="61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91776E" w14:textId="7737AE0B" w:rsidR="006D4F93" w:rsidRDefault="006D4F93" w:rsidP="006D4F93">
            <w:pPr>
              <w:pStyle w:val="TableText0"/>
              <w:widowControl w:val="0"/>
              <w:jc w:val="center"/>
              <w:rPr>
                <w:rFonts w:cs="Calibri"/>
                <w:bCs w:val="0"/>
                <w:color w:val="000000"/>
                <w:szCs w:val="20"/>
              </w:rPr>
            </w:pPr>
            <w:r w:rsidRPr="00C724D9">
              <w:rPr>
                <w:rFonts w:cs="Calibri"/>
                <w:bCs w:val="0"/>
                <w:color w:val="000000"/>
                <w:szCs w:val="20"/>
              </w:rPr>
              <w:t>$</w:t>
            </w:r>
            <w:r w:rsidR="00E901B5" w:rsidRPr="00E901B5">
              <w:rPr>
                <w:rFonts w:cs="Calibri"/>
                <w:bCs w:val="0"/>
                <w:color w:val="000000"/>
                <w:szCs w:val="20"/>
                <w:highlight w:val="black"/>
              </w:rPr>
              <w:t>&amp;&amp;&amp;&amp;</w:t>
            </w:r>
          </w:p>
          <w:p w14:paraId="39C07F56" w14:textId="3DE977F0" w:rsidR="00034457" w:rsidRPr="00034457" w:rsidRDefault="00034457" w:rsidP="006D4F93">
            <w:pPr>
              <w:pStyle w:val="TableText0"/>
              <w:widowControl w:val="0"/>
              <w:jc w:val="center"/>
              <w:rPr>
                <w:rFonts w:cs="Calibri"/>
                <w:bCs w:val="0"/>
                <w:color w:val="000000"/>
                <w:szCs w:val="20"/>
                <w:vertAlign w:val="superscript"/>
              </w:rPr>
            </w:pPr>
            <w:r>
              <w:rPr>
                <w:rFonts w:cs="Calibri"/>
                <w:bCs w:val="0"/>
                <w:color w:val="000000"/>
                <w:szCs w:val="20"/>
                <w:vertAlign w:val="superscript"/>
              </w:rPr>
              <w:t>28</w:t>
            </w:r>
          </w:p>
        </w:tc>
        <w:tc>
          <w:tcPr>
            <w:tcW w:w="5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5D8A60" w14:textId="22809623" w:rsidR="006D4F93" w:rsidRDefault="006D4F93" w:rsidP="006D4F93">
            <w:pPr>
              <w:pStyle w:val="TableText0"/>
              <w:widowControl w:val="0"/>
              <w:jc w:val="center"/>
              <w:rPr>
                <w:rFonts w:cs="Calibri"/>
                <w:bCs w:val="0"/>
                <w:color w:val="000000"/>
                <w:szCs w:val="20"/>
              </w:rPr>
            </w:pPr>
            <w:r w:rsidRPr="00C724D9">
              <w:rPr>
                <w:rFonts w:cs="Calibri"/>
                <w:bCs w:val="0"/>
                <w:color w:val="000000"/>
                <w:szCs w:val="20"/>
              </w:rPr>
              <w:t>$</w:t>
            </w:r>
            <w:r w:rsidR="00E901B5" w:rsidRPr="00E901B5">
              <w:rPr>
                <w:rFonts w:cs="Calibri"/>
                <w:bCs w:val="0"/>
                <w:color w:val="000000"/>
                <w:szCs w:val="20"/>
                <w:highlight w:val="black"/>
              </w:rPr>
              <w:t>&amp;&amp;&amp;&amp;</w:t>
            </w:r>
          </w:p>
          <w:p w14:paraId="28E1CE66" w14:textId="26C5A87D" w:rsidR="00034457" w:rsidRPr="00034457" w:rsidRDefault="00034457" w:rsidP="006D4F93">
            <w:pPr>
              <w:pStyle w:val="TableText0"/>
              <w:widowControl w:val="0"/>
              <w:jc w:val="center"/>
              <w:rPr>
                <w:rFonts w:cs="Calibri"/>
                <w:bCs w:val="0"/>
                <w:color w:val="000000"/>
                <w:szCs w:val="20"/>
                <w:vertAlign w:val="superscript"/>
              </w:rPr>
            </w:pPr>
            <w:r>
              <w:rPr>
                <w:rFonts w:cs="Calibri"/>
                <w:bCs w:val="0"/>
                <w:color w:val="000000"/>
                <w:szCs w:val="20"/>
                <w:vertAlign w:val="superscript"/>
              </w:rPr>
              <w:t>28</w:t>
            </w:r>
          </w:p>
        </w:tc>
        <w:tc>
          <w:tcPr>
            <w:tcW w:w="6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1D5C2F" w14:textId="0EBF455C" w:rsidR="006D4F93" w:rsidRDefault="00C724D9" w:rsidP="00C724D9">
            <w:pPr>
              <w:jc w:val="center"/>
              <w:rPr>
                <w:rFonts w:ascii="Arial Narrow" w:eastAsiaTheme="majorEastAsia" w:hAnsi="Arial Narrow" w:cs="Calibri"/>
                <w:color w:val="000000"/>
                <w:sz w:val="20"/>
                <w:szCs w:val="20"/>
              </w:rPr>
            </w:pPr>
            <w:r w:rsidRPr="00C724D9">
              <w:rPr>
                <w:rFonts w:ascii="Arial Narrow" w:eastAsiaTheme="majorEastAsia" w:hAnsi="Arial Narrow" w:cs="Calibri"/>
                <w:color w:val="000000"/>
                <w:sz w:val="20"/>
                <w:szCs w:val="20"/>
              </w:rPr>
              <w:t>$</w:t>
            </w:r>
            <w:r w:rsidR="00E901B5" w:rsidRPr="00E901B5">
              <w:rPr>
                <w:rFonts w:ascii="Arial Narrow" w:eastAsiaTheme="majorEastAsia" w:hAnsi="Arial Narrow" w:cs="Calibri"/>
                <w:color w:val="000000"/>
                <w:sz w:val="20"/>
                <w:szCs w:val="20"/>
                <w:highlight w:val="black"/>
              </w:rPr>
              <w:t>&amp;&amp;&amp;&amp;</w:t>
            </w:r>
          </w:p>
          <w:p w14:paraId="79B7F5D2" w14:textId="59836754" w:rsidR="00541237" w:rsidRPr="00541237" w:rsidRDefault="00541237" w:rsidP="00C724D9">
            <w:pPr>
              <w:jc w:val="center"/>
              <w:rPr>
                <w:rFonts w:ascii="Arial Narrow" w:eastAsiaTheme="majorEastAsia" w:hAnsi="Arial Narrow" w:cs="Calibri"/>
                <w:color w:val="000000"/>
                <w:sz w:val="20"/>
                <w:szCs w:val="20"/>
                <w:vertAlign w:val="superscript"/>
              </w:rPr>
            </w:pPr>
            <w:r>
              <w:rPr>
                <w:rFonts w:ascii="Arial Narrow" w:eastAsiaTheme="majorEastAsia" w:hAnsi="Arial Narrow" w:cs="Calibri"/>
                <w:color w:val="000000"/>
                <w:sz w:val="20"/>
                <w:szCs w:val="20"/>
                <w:vertAlign w:val="superscript"/>
              </w:rPr>
              <w:t>24</w:t>
            </w:r>
          </w:p>
        </w:tc>
      </w:tr>
    </w:tbl>
    <w:p w14:paraId="434F6CCF" w14:textId="25AEFCFF" w:rsidR="005F69BD" w:rsidRPr="00EB1825" w:rsidRDefault="005F69BD" w:rsidP="005F69BD">
      <w:pPr>
        <w:pStyle w:val="TableFigureFooter"/>
      </w:pPr>
      <w:r w:rsidRPr="00EB1825">
        <w:t>Source: Compiled during the evaluation and Table 4.2-4, p108, Table 4.2-6, p110, Table 4.2-8, p111, Table 4.2-11, p114, Table 4.5-3, p120, Table 4.5-4, p121</w:t>
      </w:r>
      <w:r w:rsidR="00281848">
        <w:t>, PSCR, and Pre-PBAC</w:t>
      </w:r>
      <w:r w:rsidRPr="00EB1825">
        <w:t xml:space="preserve">. </w:t>
      </w:r>
    </w:p>
    <w:p w14:paraId="590E24DA" w14:textId="77777777" w:rsidR="005F69BD" w:rsidRPr="00EB1825" w:rsidRDefault="005F69BD" w:rsidP="00F76323">
      <w:pPr>
        <w:pStyle w:val="TableFigureFooter"/>
        <w:jc w:val="both"/>
      </w:pPr>
      <w:r w:rsidRPr="00EB1825">
        <w:t xml:space="preserve">MBS=Medicare Benefits Schedule; MHT=Menopausal hormone therapy, M-S VMS=moderate to severe vasomotor symptoms; PBS=Pharmaceutical Benefits Scheme; RPBS=Repatriation Schedule of Pharmaceutical Benefits, VMS=vasomotor symptoms. </w:t>
      </w:r>
    </w:p>
    <w:p w14:paraId="2DCEE808" w14:textId="0B6D925C" w:rsidR="00C21CA6" w:rsidRDefault="006431E2" w:rsidP="00C6012F">
      <w:pPr>
        <w:pStyle w:val="TableFigureFooter"/>
      </w:pPr>
      <w:r>
        <w:rPr>
          <w:vertAlign w:val="superscript"/>
        </w:rPr>
        <w:t>a</w:t>
      </w:r>
      <w:r w:rsidRPr="006431E2">
        <w:t xml:space="preserve"> </w:t>
      </w:r>
      <w:r w:rsidR="00C6012F">
        <w:t>‘</w:t>
      </w:r>
      <w:r w:rsidRPr="006431E2">
        <w:t>unsuitable for MHT</w:t>
      </w:r>
      <w:r w:rsidR="00C6012F">
        <w:t xml:space="preserve">’ </w:t>
      </w:r>
      <w:r w:rsidR="00535FD5">
        <w:t>defined as</w:t>
      </w:r>
      <w:r w:rsidR="0082273E">
        <w:t>:</w:t>
      </w:r>
      <w:r w:rsidR="00535FD5">
        <w:t xml:space="preserve"> March 2025 = ; Resubmission = ; PSCR = ; </w:t>
      </w:r>
      <w:proofErr w:type="gramStart"/>
      <w:r w:rsidR="00535FD5">
        <w:t>Pre-PBAC</w:t>
      </w:r>
      <w:proofErr w:type="gramEnd"/>
      <w:r w:rsidR="00535FD5">
        <w:t xml:space="preserve"> = MHT contraindicated, MHT </w:t>
      </w:r>
      <w:r w:rsidR="007C0255">
        <w:t xml:space="preserve">stoppers due to side-effects or inefficacy after 3 months. </w:t>
      </w:r>
    </w:p>
    <w:p w14:paraId="0EA8AF5E" w14:textId="48B3479E" w:rsidR="005F69BD" w:rsidRPr="00EB1825" w:rsidRDefault="005F69BD" w:rsidP="005F69BD">
      <w:pPr>
        <w:pStyle w:val="TableFigureFooter"/>
      </w:pPr>
      <w:proofErr w:type="spellStart"/>
      <w:r w:rsidRPr="00EB1825">
        <w:rPr>
          <w:vertAlign w:val="superscript"/>
        </w:rPr>
        <w:t>a</w:t>
      </w:r>
      <w:proofErr w:type="spellEnd"/>
      <w:r w:rsidR="00074B4B" w:rsidRPr="00EB1825">
        <w:rPr>
          <w:vertAlign w:val="superscript"/>
        </w:rPr>
        <w:tab/>
      </w:r>
      <w:proofErr w:type="gramStart"/>
      <w:r w:rsidRPr="00EB1825">
        <w:t>The</w:t>
      </w:r>
      <w:proofErr w:type="gramEnd"/>
      <w:r w:rsidRPr="00EB1825">
        <w:t xml:space="preserve"> total includ</w:t>
      </w:r>
      <w:r w:rsidRPr="00E47584">
        <w:t xml:space="preserve">es </w:t>
      </w:r>
      <w:r w:rsidR="00E47584" w:rsidRPr="00E47584">
        <w:t>40,000 to &lt; 50,000</w:t>
      </w:r>
      <w:r w:rsidR="00E47584">
        <w:t xml:space="preserve"> </w:t>
      </w:r>
      <w:r w:rsidRPr="00E47584">
        <w:t>prevalent</w:t>
      </w:r>
      <w:r w:rsidR="00F1080A" w:rsidRPr="00E47584">
        <w:t xml:space="preserve"> </w:t>
      </w:r>
      <w:r w:rsidRPr="00E47584">
        <w:t>patients</w:t>
      </w:r>
      <w:r w:rsidR="00F1080A" w:rsidRPr="00E47584">
        <w:t xml:space="preserve"> </w:t>
      </w:r>
      <w:r w:rsidRPr="00E47584">
        <w:t>(excluding</w:t>
      </w:r>
      <w:r w:rsidR="00F1080A" w:rsidRPr="00E47584">
        <w:t xml:space="preserve"> </w:t>
      </w:r>
      <w:r w:rsidRPr="00E47584">
        <w:t>GF</w:t>
      </w:r>
      <w:r w:rsidR="00F1080A" w:rsidRPr="00E47584">
        <w:t xml:space="preserve"> </w:t>
      </w:r>
      <w:r w:rsidRPr="00E47584">
        <w:t>patients)</w:t>
      </w:r>
      <w:r w:rsidR="00F1080A" w:rsidRPr="00E47584">
        <w:t xml:space="preserve"> </w:t>
      </w:r>
      <w:r w:rsidRPr="00E47584">
        <w:t>and</w:t>
      </w:r>
      <w:r w:rsidR="00F1080A" w:rsidRPr="00E47584">
        <w:t xml:space="preserve"> </w:t>
      </w:r>
      <w:r w:rsidR="00C07166" w:rsidRPr="00C07166">
        <w:t>10,000 to &lt; 20,000</w:t>
      </w:r>
      <w:r w:rsidR="00F1080A" w:rsidRPr="00E47584">
        <w:t xml:space="preserve"> </w:t>
      </w:r>
      <w:r w:rsidRPr="00E47584">
        <w:t>GF</w:t>
      </w:r>
      <w:r w:rsidR="00F1080A" w:rsidRPr="00E47584">
        <w:t xml:space="preserve"> </w:t>
      </w:r>
      <w:r w:rsidRPr="00E47584">
        <w:t>patients.</w:t>
      </w:r>
    </w:p>
    <w:p w14:paraId="093AE284" w14:textId="77777777" w:rsidR="00FB5F33" w:rsidRDefault="00BF04CC" w:rsidP="00FB5F33">
      <w:pPr>
        <w:pStyle w:val="TableFigureFooter"/>
        <w:keepNext/>
        <w:rPr>
          <w:i/>
        </w:rPr>
      </w:pPr>
      <w:r w:rsidRPr="00EB1825">
        <w:rPr>
          <w:rStyle w:val="CommentReference"/>
          <w:b w:val="0"/>
          <w:bCs w:val="0"/>
          <w:szCs w:val="18"/>
          <w:shd w:val="clear" w:color="auto" w:fill="B8CCE4" w:themeFill="accent1" w:themeFillTint="66"/>
        </w:rPr>
        <w:t xml:space="preserve">Blue </w:t>
      </w:r>
      <w:r w:rsidRPr="00EB1825">
        <w:rPr>
          <w:rStyle w:val="CommentReference"/>
          <w:b w:val="0"/>
          <w:bCs w:val="0"/>
          <w:szCs w:val="18"/>
        </w:rPr>
        <w:t>shading indicates data previously seen by the PBAC</w:t>
      </w:r>
      <w:r w:rsidRPr="00EB1825">
        <w:t>.</w:t>
      </w:r>
    </w:p>
    <w:p w14:paraId="21A50ADB" w14:textId="39DA5D52" w:rsidR="00FB5F33" w:rsidRPr="00FB5F33" w:rsidRDefault="00FB5F33" w:rsidP="00FB5F33">
      <w:pPr>
        <w:pStyle w:val="TableFigureFooter"/>
        <w:keepNext/>
        <w:rPr>
          <w:i/>
        </w:rPr>
      </w:pPr>
      <w:r w:rsidRPr="00FB5F33">
        <w:rPr>
          <w:i/>
        </w:rPr>
        <w:t xml:space="preserve">The redacted values correspond to the following ranges: </w:t>
      </w:r>
    </w:p>
    <w:p w14:paraId="539E33C5" w14:textId="7956F7D6" w:rsidR="00FB5F33" w:rsidRPr="00FB5F33" w:rsidRDefault="00FB5F33" w:rsidP="00FB5F33">
      <w:pPr>
        <w:pStyle w:val="TableFigureFooter"/>
        <w:keepNext/>
        <w:rPr>
          <w:i/>
        </w:rPr>
      </w:pPr>
      <w:r w:rsidRPr="00FB5F33">
        <w:rPr>
          <w:i/>
          <w:vertAlign w:val="superscript"/>
        </w:rPr>
        <w:t>1</w:t>
      </w:r>
      <w:r w:rsidRPr="00FB5F33">
        <w:rPr>
          <w:i/>
        </w:rPr>
        <w:t xml:space="preserve"> </w:t>
      </w:r>
      <w:r w:rsidR="000F4B88" w:rsidRPr="000F4B88">
        <w:rPr>
          <w:i/>
        </w:rPr>
        <w:t>200,000 to &lt; 300,000</w:t>
      </w:r>
    </w:p>
    <w:p w14:paraId="7734FFF4" w14:textId="33DBD792" w:rsidR="00FB5F33" w:rsidRPr="00FB5F33" w:rsidRDefault="00FB5F33" w:rsidP="00FB5F33">
      <w:pPr>
        <w:pStyle w:val="TableFigureFooter"/>
        <w:keepNext/>
        <w:rPr>
          <w:i/>
        </w:rPr>
      </w:pPr>
      <w:r w:rsidRPr="00FB5F33">
        <w:rPr>
          <w:i/>
          <w:vertAlign w:val="superscript"/>
        </w:rPr>
        <w:t>2</w:t>
      </w:r>
      <w:r w:rsidRPr="00FB5F33">
        <w:rPr>
          <w:i/>
        </w:rPr>
        <w:t xml:space="preserve"> </w:t>
      </w:r>
      <w:bookmarkStart w:id="84" w:name="_Hlk219454381"/>
      <w:r w:rsidR="003133E1" w:rsidRPr="003133E1">
        <w:rPr>
          <w:i/>
        </w:rPr>
        <w:t>300,000 to &lt; 400,000</w:t>
      </w:r>
      <w:bookmarkEnd w:id="84"/>
    </w:p>
    <w:p w14:paraId="474C295A" w14:textId="3692D66D" w:rsidR="00FB5F33" w:rsidRPr="00FB5F33" w:rsidRDefault="00FB5F33" w:rsidP="00FB5F33">
      <w:pPr>
        <w:pStyle w:val="TableFigureFooter"/>
        <w:keepNext/>
        <w:rPr>
          <w:i/>
        </w:rPr>
      </w:pPr>
      <w:r w:rsidRPr="00FB5F33">
        <w:rPr>
          <w:i/>
          <w:vertAlign w:val="superscript"/>
        </w:rPr>
        <w:t>3</w:t>
      </w:r>
      <w:r w:rsidRPr="00FB5F33">
        <w:rPr>
          <w:i/>
        </w:rPr>
        <w:t xml:space="preserve"> </w:t>
      </w:r>
      <w:bookmarkStart w:id="85" w:name="_Hlk219455839"/>
      <w:r w:rsidR="003716A5" w:rsidRPr="003716A5">
        <w:rPr>
          <w:i/>
        </w:rPr>
        <w:t>1,000,000 to &lt; 2,000,000</w:t>
      </w:r>
      <w:bookmarkEnd w:id="85"/>
    </w:p>
    <w:p w14:paraId="4FDB4952" w14:textId="6645AE04" w:rsidR="00FB5F33" w:rsidRPr="00FB5F33" w:rsidRDefault="00FB5F33" w:rsidP="00FB5F33">
      <w:pPr>
        <w:pStyle w:val="TableFigureFooter"/>
        <w:keepNext/>
        <w:rPr>
          <w:i/>
        </w:rPr>
      </w:pPr>
      <w:r w:rsidRPr="00FB5F33">
        <w:rPr>
          <w:i/>
          <w:vertAlign w:val="superscript"/>
        </w:rPr>
        <w:t>4</w:t>
      </w:r>
      <w:r w:rsidRPr="00FB5F33">
        <w:rPr>
          <w:i/>
        </w:rPr>
        <w:t xml:space="preserve"> </w:t>
      </w:r>
      <w:r w:rsidR="00A7223A" w:rsidRPr="00A7223A">
        <w:rPr>
          <w:i/>
        </w:rPr>
        <w:t>100,000 to &lt; 200,000</w:t>
      </w:r>
    </w:p>
    <w:p w14:paraId="2A98B0A6" w14:textId="1A405CE3" w:rsidR="00FB5F33" w:rsidRPr="00FB5F33" w:rsidRDefault="00FB5F33" w:rsidP="00FB5F33">
      <w:pPr>
        <w:pStyle w:val="TableFigureFooter"/>
        <w:keepNext/>
        <w:rPr>
          <w:i/>
        </w:rPr>
      </w:pPr>
      <w:r w:rsidRPr="00FB5F33">
        <w:rPr>
          <w:i/>
          <w:vertAlign w:val="superscript"/>
        </w:rPr>
        <w:t>5</w:t>
      </w:r>
      <w:r w:rsidRPr="00FB5F33">
        <w:rPr>
          <w:i/>
        </w:rPr>
        <w:t xml:space="preserve"> </w:t>
      </w:r>
      <w:bookmarkStart w:id="86" w:name="_Hlk219455736"/>
      <w:r w:rsidR="00594AF8" w:rsidRPr="00594AF8">
        <w:rPr>
          <w:i/>
        </w:rPr>
        <w:t>900,000 to &lt; 1,000,000</w:t>
      </w:r>
      <w:bookmarkEnd w:id="86"/>
    </w:p>
    <w:p w14:paraId="3EBD8C53" w14:textId="5B1D67CD" w:rsidR="00FB5F33" w:rsidRPr="00FB5F33" w:rsidRDefault="00FB5F33" w:rsidP="00FB5F33">
      <w:pPr>
        <w:pStyle w:val="TableFigureFooter"/>
        <w:keepNext/>
        <w:rPr>
          <w:i/>
        </w:rPr>
      </w:pPr>
      <w:r w:rsidRPr="00FB5F33">
        <w:rPr>
          <w:i/>
          <w:vertAlign w:val="superscript"/>
        </w:rPr>
        <w:t>6</w:t>
      </w:r>
      <w:r w:rsidRPr="00FB5F33">
        <w:rPr>
          <w:i/>
        </w:rPr>
        <w:t xml:space="preserve"> </w:t>
      </w:r>
      <w:bookmarkStart w:id="87" w:name="_Hlk219455540"/>
      <w:r w:rsidR="0004646A" w:rsidRPr="0004646A">
        <w:rPr>
          <w:i/>
        </w:rPr>
        <w:t>90,000 to &lt; 100,000</w:t>
      </w:r>
      <w:bookmarkEnd w:id="87"/>
    </w:p>
    <w:p w14:paraId="61F38B98" w14:textId="3D67365F" w:rsidR="0004646A" w:rsidRPr="0004646A" w:rsidRDefault="0004646A" w:rsidP="0004646A">
      <w:pPr>
        <w:pStyle w:val="TableFigureFooter"/>
        <w:spacing w:after="0"/>
        <w:rPr>
          <w:i/>
        </w:rPr>
      </w:pPr>
      <w:r>
        <w:rPr>
          <w:i/>
          <w:vertAlign w:val="superscript"/>
        </w:rPr>
        <w:t>7</w:t>
      </w:r>
      <w:r w:rsidRPr="0004646A">
        <w:rPr>
          <w:i/>
        </w:rPr>
        <w:t xml:space="preserve"> </w:t>
      </w:r>
      <w:r w:rsidR="0016669B" w:rsidRPr="0016669B">
        <w:rPr>
          <w:i/>
        </w:rPr>
        <w:t>500,000 to &lt; 600,000</w:t>
      </w:r>
    </w:p>
    <w:p w14:paraId="573F4260" w14:textId="59D1F0C7" w:rsidR="0004646A" w:rsidRPr="0004646A" w:rsidRDefault="0016669B" w:rsidP="0004646A">
      <w:pPr>
        <w:pStyle w:val="TableFigureFooter"/>
        <w:spacing w:after="0"/>
        <w:rPr>
          <w:i/>
        </w:rPr>
      </w:pPr>
      <w:r>
        <w:rPr>
          <w:i/>
          <w:vertAlign w:val="superscript"/>
        </w:rPr>
        <w:t>8</w:t>
      </w:r>
      <w:r w:rsidR="0004646A" w:rsidRPr="0004646A">
        <w:rPr>
          <w:i/>
        </w:rPr>
        <w:t xml:space="preserve"> </w:t>
      </w:r>
      <w:r w:rsidR="00653C51" w:rsidRPr="00653C51">
        <w:rPr>
          <w:i/>
        </w:rPr>
        <w:t>70,000 to &lt; 80,000</w:t>
      </w:r>
    </w:p>
    <w:p w14:paraId="30E235E4" w14:textId="427E9AA0" w:rsidR="0004646A" w:rsidRPr="0004646A" w:rsidRDefault="00653C51" w:rsidP="0004646A">
      <w:pPr>
        <w:pStyle w:val="TableFigureFooter"/>
        <w:spacing w:after="0"/>
        <w:rPr>
          <w:i/>
        </w:rPr>
      </w:pPr>
      <w:r>
        <w:rPr>
          <w:i/>
          <w:vertAlign w:val="superscript"/>
        </w:rPr>
        <w:t>9</w:t>
      </w:r>
      <w:r w:rsidR="0004646A" w:rsidRPr="0004646A">
        <w:rPr>
          <w:i/>
        </w:rPr>
        <w:t xml:space="preserve"> </w:t>
      </w:r>
      <w:r w:rsidR="00834B3B" w:rsidRPr="00834B3B">
        <w:rPr>
          <w:i/>
        </w:rPr>
        <w:t>800,000 to &lt; 900,000</w:t>
      </w:r>
    </w:p>
    <w:p w14:paraId="6224A9BA" w14:textId="77777777" w:rsidR="004004E1" w:rsidRDefault="00834B3B" w:rsidP="0004646A">
      <w:pPr>
        <w:pStyle w:val="TableFigureFooter"/>
        <w:spacing w:after="0"/>
        <w:rPr>
          <w:i/>
        </w:rPr>
      </w:pPr>
      <w:r>
        <w:rPr>
          <w:i/>
          <w:vertAlign w:val="superscript"/>
        </w:rPr>
        <w:t>10</w:t>
      </w:r>
      <w:r w:rsidR="0004646A" w:rsidRPr="0004646A">
        <w:rPr>
          <w:i/>
        </w:rPr>
        <w:t xml:space="preserve"> </w:t>
      </w:r>
      <w:r w:rsidR="004004E1" w:rsidRPr="004004E1">
        <w:rPr>
          <w:i/>
        </w:rPr>
        <w:t>60,000 to &lt; 70,000</w:t>
      </w:r>
    </w:p>
    <w:p w14:paraId="625910C2" w14:textId="41FA45D0" w:rsidR="0004646A" w:rsidRPr="0004646A" w:rsidRDefault="004004E1" w:rsidP="0004646A">
      <w:pPr>
        <w:pStyle w:val="TableFigureFooter"/>
        <w:spacing w:after="0"/>
        <w:rPr>
          <w:i/>
        </w:rPr>
      </w:pPr>
      <w:r>
        <w:rPr>
          <w:i/>
          <w:vertAlign w:val="superscript"/>
        </w:rPr>
        <w:t>11</w:t>
      </w:r>
      <w:bookmarkStart w:id="88" w:name="_Hlk219455562"/>
      <w:bookmarkStart w:id="89" w:name="_Hlk219455348"/>
      <w:r w:rsidR="006E1535">
        <w:rPr>
          <w:i/>
          <w:vertAlign w:val="superscript"/>
        </w:rPr>
        <w:t xml:space="preserve"> </w:t>
      </w:r>
      <w:r w:rsidR="006E1535" w:rsidRPr="006E1535">
        <w:rPr>
          <w:i/>
        </w:rPr>
        <w:t>80,000 to &lt; 90,000</w:t>
      </w:r>
      <w:bookmarkEnd w:id="88"/>
      <w:bookmarkEnd w:id="89"/>
      <w:r>
        <w:rPr>
          <w:i/>
          <w:vertAlign w:val="superscript"/>
        </w:rPr>
        <w:t>12</w:t>
      </w:r>
      <w:r w:rsidR="0004646A" w:rsidRPr="0004646A">
        <w:rPr>
          <w:i/>
        </w:rPr>
        <w:t xml:space="preserve"> </w:t>
      </w:r>
      <w:bookmarkStart w:id="90" w:name="_Hlk219459678"/>
      <w:r w:rsidR="00936135" w:rsidRPr="00936135">
        <w:rPr>
          <w:i/>
        </w:rPr>
        <w:t>100,000 to &lt; 200,000</w:t>
      </w:r>
      <w:bookmarkEnd w:id="90"/>
    </w:p>
    <w:p w14:paraId="45A1201E" w14:textId="4C4B1599" w:rsidR="004004E1" w:rsidRPr="00462E21" w:rsidRDefault="004004E1" w:rsidP="0004646A">
      <w:pPr>
        <w:pStyle w:val="TableFigureFooter"/>
        <w:spacing w:after="0"/>
        <w:rPr>
          <w:i/>
        </w:rPr>
      </w:pPr>
      <w:r>
        <w:rPr>
          <w:i/>
          <w:vertAlign w:val="superscript"/>
        </w:rPr>
        <w:t>13</w:t>
      </w:r>
      <w:bookmarkStart w:id="91" w:name="_Hlk219455225"/>
      <w:r w:rsidR="00462E21">
        <w:rPr>
          <w:i/>
          <w:vertAlign w:val="superscript"/>
        </w:rPr>
        <w:t xml:space="preserve"> </w:t>
      </w:r>
      <w:r w:rsidR="00462E21" w:rsidRPr="00462E21">
        <w:rPr>
          <w:i/>
        </w:rPr>
        <w:t>20,000 to &lt; 30,000</w:t>
      </w:r>
      <w:bookmarkEnd w:id="91"/>
    </w:p>
    <w:p w14:paraId="727A8212" w14:textId="5B0E5437" w:rsidR="004004E1" w:rsidRPr="00FF4421" w:rsidRDefault="004004E1" w:rsidP="0004646A">
      <w:pPr>
        <w:pStyle w:val="TableFigureFooter"/>
        <w:spacing w:after="0"/>
        <w:rPr>
          <w:i/>
        </w:rPr>
      </w:pPr>
      <w:r>
        <w:rPr>
          <w:i/>
          <w:vertAlign w:val="superscript"/>
        </w:rPr>
        <w:t>14</w:t>
      </w:r>
      <w:r w:rsidR="00FF4421">
        <w:rPr>
          <w:i/>
        </w:rPr>
        <w:t xml:space="preserve"> </w:t>
      </w:r>
      <w:r w:rsidR="00FF4421" w:rsidRPr="00FF4421">
        <w:rPr>
          <w:i/>
        </w:rPr>
        <w:t>40,000 to &lt; 50,000</w:t>
      </w:r>
    </w:p>
    <w:p w14:paraId="085ADF10" w14:textId="7347108F" w:rsidR="004004E1" w:rsidRPr="008C5569" w:rsidRDefault="004004E1" w:rsidP="0004646A">
      <w:pPr>
        <w:pStyle w:val="TableFigureFooter"/>
        <w:spacing w:after="0"/>
        <w:rPr>
          <w:i/>
        </w:rPr>
      </w:pPr>
      <w:r>
        <w:rPr>
          <w:i/>
          <w:vertAlign w:val="superscript"/>
        </w:rPr>
        <w:t>15</w:t>
      </w:r>
      <w:r w:rsidR="008C5569">
        <w:rPr>
          <w:i/>
        </w:rPr>
        <w:t xml:space="preserve"> </w:t>
      </w:r>
      <w:bookmarkStart w:id="92" w:name="_Hlk219455594"/>
      <w:r w:rsidR="008C5569" w:rsidRPr="008C5569">
        <w:rPr>
          <w:i/>
        </w:rPr>
        <w:t>50,000 to &lt; 60,000</w:t>
      </w:r>
      <w:bookmarkEnd w:id="92"/>
    </w:p>
    <w:p w14:paraId="1A45E278" w14:textId="4D6A6135" w:rsidR="004004E1" w:rsidRPr="00906D6F" w:rsidRDefault="004004E1" w:rsidP="00906D6F">
      <w:pPr>
        <w:pStyle w:val="TableFigureFooter"/>
        <w:rPr>
          <w:i/>
        </w:rPr>
      </w:pPr>
      <w:r>
        <w:rPr>
          <w:i/>
          <w:vertAlign w:val="superscript"/>
        </w:rPr>
        <w:t>16</w:t>
      </w:r>
      <w:r w:rsidR="00906D6F">
        <w:rPr>
          <w:i/>
          <w:vertAlign w:val="superscript"/>
        </w:rPr>
        <w:t xml:space="preserve"> </w:t>
      </w:r>
      <w:r w:rsidR="00906D6F" w:rsidRPr="00906D6F">
        <w:rPr>
          <w:i/>
        </w:rPr>
        <w:t>300,000 to &lt; 400,000</w:t>
      </w:r>
    </w:p>
    <w:p w14:paraId="114EFDE9" w14:textId="1108E8F0" w:rsidR="004004E1" w:rsidRPr="00F8523D" w:rsidRDefault="004004E1" w:rsidP="00F8523D">
      <w:pPr>
        <w:pStyle w:val="TableFigureFooter"/>
        <w:rPr>
          <w:i/>
        </w:rPr>
      </w:pPr>
      <w:r>
        <w:rPr>
          <w:i/>
          <w:vertAlign w:val="superscript"/>
        </w:rPr>
        <w:t>17</w:t>
      </w:r>
      <w:r w:rsidR="00F8523D">
        <w:rPr>
          <w:i/>
        </w:rPr>
        <w:t xml:space="preserve"> </w:t>
      </w:r>
      <w:r w:rsidR="00F8523D" w:rsidRPr="00F8523D">
        <w:rPr>
          <w:i/>
        </w:rPr>
        <w:t>600,000 to &lt; 700,000</w:t>
      </w:r>
    </w:p>
    <w:p w14:paraId="0D8C7B42" w14:textId="00CD9CB4" w:rsidR="00906D6F" w:rsidRPr="006248CA" w:rsidRDefault="004004E1" w:rsidP="0004646A">
      <w:pPr>
        <w:pStyle w:val="TableFigureFooter"/>
        <w:spacing w:after="0"/>
        <w:rPr>
          <w:i/>
        </w:rPr>
      </w:pPr>
      <w:r>
        <w:rPr>
          <w:i/>
          <w:vertAlign w:val="superscript"/>
        </w:rPr>
        <w:t>18</w:t>
      </w:r>
      <w:r w:rsidR="006248CA">
        <w:rPr>
          <w:i/>
        </w:rPr>
        <w:t xml:space="preserve"> </w:t>
      </w:r>
      <w:bookmarkStart w:id="93" w:name="_Hlk219456291"/>
      <w:r w:rsidR="006248CA" w:rsidRPr="006248CA">
        <w:rPr>
          <w:i/>
        </w:rPr>
        <w:t>700,000 to &lt; 800,000</w:t>
      </w:r>
      <w:bookmarkEnd w:id="93"/>
    </w:p>
    <w:p w14:paraId="42380B12" w14:textId="138E9B29" w:rsidR="00906D6F" w:rsidRPr="0098004D" w:rsidRDefault="00906D6F" w:rsidP="0004646A">
      <w:pPr>
        <w:pStyle w:val="TableFigureFooter"/>
        <w:spacing w:after="0"/>
        <w:rPr>
          <w:i/>
        </w:rPr>
      </w:pPr>
      <w:r>
        <w:rPr>
          <w:i/>
          <w:vertAlign w:val="superscript"/>
        </w:rPr>
        <w:t>19</w:t>
      </w:r>
      <w:r w:rsidR="0098004D">
        <w:rPr>
          <w:i/>
        </w:rPr>
        <w:t xml:space="preserve"> </w:t>
      </w:r>
      <w:bookmarkStart w:id="94" w:name="_Hlk219455924"/>
      <w:r w:rsidR="0098004D" w:rsidRPr="0098004D">
        <w:rPr>
          <w:i/>
        </w:rPr>
        <w:t>7,000,000 to &lt; 8,000,000</w:t>
      </w:r>
      <w:bookmarkEnd w:id="94"/>
    </w:p>
    <w:p w14:paraId="27913F01" w14:textId="6BD0E299" w:rsidR="0098004D" w:rsidRPr="0047150E" w:rsidRDefault="00906D6F" w:rsidP="0004646A">
      <w:pPr>
        <w:pStyle w:val="TableFigureFooter"/>
        <w:spacing w:after="0"/>
        <w:rPr>
          <w:i/>
        </w:rPr>
      </w:pPr>
      <w:r>
        <w:rPr>
          <w:i/>
          <w:vertAlign w:val="superscript"/>
        </w:rPr>
        <w:t>20</w:t>
      </w:r>
      <w:bookmarkStart w:id="95" w:name="_Hlk219455971"/>
      <w:r w:rsidR="0047150E">
        <w:rPr>
          <w:i/>
          <w:vertAlign w:val="superscript"/>
        </w:rPr>
        <w:t xml:space="preserve"> </w:t>
      </w:r>
      <w:r w:rsidR="0047150E" w:rsidRPr="0047150E">
        <w:rPr>
          <w:i/>
        </w:rPr>
        <w:t>400,000 to &lt; 500,000</w:t>
      </w:r>
      <w:bookmarkEnd w:id="95"/>
    </w:p>
    <w:p w14:paraId="122D2FD1" w14:textId="146666B1" w:rsidR="0047150E" w:rsidRPr="0047150E" w:rsidRDefault="0098004D" w:rsidP="00EA50C1">
      <w:pPr>
        <w:pStyle w:val="TableFigureFooter"/>
        <w:rPr>
          <w:i/>
        </w:rPr>
      </w:pPr>
      <w:r>
        <w:rPr>
          <w:i/>
          <w:vertAlign w:val="superscript"/>
        </w:rPr>
        <w:t>21</w:t>
      </w:r>
      <w:r w:rsidR="0047150E">
        <w:rPr>
          <w:i/>
        </w:rPr>
        <w:t xml:space="preserve"> </w:t>
      </w:r>
      <w:bookmarkStart w:id="96" w:name="_Hlk219456333"/>
      <w:r w:rsidR="00EA50C1" w:rsidRPr="00EA50C1">
        <w:rPr>
          <w:i/>
        </w:rPr>
        <w:t>3,000,000 to &lt; 4,000,000</w:t>
      </w:r>
      <w:bookmarkEnd w:id="96"/>
    </w:p>
    <w:p w14:paraId="33677BAB" w14:textId="11DEAC74" w:rsidR="0047150E" w:rsidRPr="00062BF8" w:rsidRDefault="0047150E" w:rsidP="00062BF8">
      <w:pPr>
        <w:pStyle w:val="TableFigureFooter"/>
        <w:rPr>
          <w:i/>
        </w:rPr>
      </w:pPr>
      <w:r>
        <w:rPr>
          <w:i/>
          <w:vertAlign w:val="superscript"/>
        </w:rPr>
        <w:t>22</w:t>
      </w:r>
      <w:r w:rsidR="00062BF8">
        <w:rPr>
          <w:i/>
        </w:rPr>
        <w:t xml:space="preserve"> </w:t>
      </w:r>
      <w:r w:rsidR="00062BF8" w:rsidRPr="00062BF8">
        <w:rPr>
          <w:i/>
        </w:rPr>
        <w:t>2,000,000 to &lt; 3,000,000</w:t>
      </w:r>
    </w:p>
    <w:p w14:paraId="08DC9D09" w14:textId="065B1588" w:rsidR="0047150E" w:rsidRPr="00643851" w:rsidRDefault="0047150E" w:rsidP="0004646A">
      <w:pPr>
        <w:pStyle w:val="TableFigureFooter"/>
        <w:spacing w:after="0"/>
        <w:rPr>
          <w:i/>
        </w:rPr>
      </w:pPr>
      <w:r>
        <w:rPr>
          <w:i/>
          <w:vertAlign w:val="superscript"/>
        </w:rPr>
        <w:t>23</w:t>
      </w:r>
      <w:r w:rsidR="00643851">
        <w:rPr>
          <w:i/>
        </w:rPr>
        <w:t xml:space="preserve"> </w:t>
      </w:r>
      <w:r w:rsidR="00643851" w:rsidRPr="00643851">
        <w:rPr>
          <w:i/>
        </w:rPr>
        <w:t>$70 million to &lt; $80 million</w:t>
      </w:r>
    </w:p>
    <w:p w14:paraId="5FF7D63C" w14:textId="3334481D" w:rsidR="0047150E" w:rsidRPr="00586477" w:rsidRDefault="0047150E" w:rsidP="0004646A">
      <w:pPr>
        <w:pStyle w:val="TableFigureFooter"/>
        <w:spacing w:after="0"/>
        <w:rPr>
          <w:i/>
        </w:rPr>
      </w:pPr>
      <w:r>
        <w:rPr>
          <w:i/>
          <w:vertAlign w:val="superscript"/>
        </w:rPr>
        <w:t>24</w:t>
      </w:r>
      <w:r w:rsidR="00586477">
        <w:rPr>
          <w:i/>
        </w:rPr>
        <w:t xml:space="preserve"> </w:t>
      </w:r>
      <w:bookmarkStart w:id="97" w:name="_Hlk219456929"/>
      <w:r w:rsidR="00586477" w:rsidRPr="00586477">
        <w:rPr>
          <w:i/>
        </w:rPr>
        <w:t>$100 million to &lt; $200 million</w:t>
      </w:r>
      <w:bookmarkEnd w:id="97"/>
    </w:p>
    <w:p w14:paraId="19F6CF13" w14:textId="19312E79" w:rsidR="00586477" w:rsidRPr="006D47DD" w:rsidRDefault="0047150E" w:rsidP="006D47DD">
      <w:pPr>
        <w:pStyle w:val="TableFigureFooter"/>
        <w:rPr>
          <w:i/>
        </w:rPr>
      </w:pPr>
      <w:r>
        <w:rPr>
          <w:i/>
          <w:vertAlign w:val="superscript"/>
        </w:rPr>
        <w:t>25</w:t>
      </w:r>
      <w:r w:rsidR="006D47DD">
        <w:rPr>
          <w:i/>
        </w:rPr>
        <w:t xml:space="preserve"> </w:t>
      </w:r>
      <w:bookmarkStart w:id="98" w:name="_Hlk219456913"/>
      <w:r w:rsidR="006D47DD" w:rsidRPr="006D47DD">
        <w:rPr>
          <w:i/>
        </w:rPr>
        <w:t>$200 million to &lt; $300 million</w:t>
      </w:r>
      <w:bookmarkEnd w:id="98"/>
    </w:p>
    <w:p w14:paraId="0C8C5BF4" w14:textId="2B2C1AF3" w:rsidR="00586477" w:rsidRPr="008578FB" w:rsidRDefault="00586477" w:rsidP="0004646A">
      <w:pPr>
        <w:pStyle w:val="TableFigureFooter"/>
        <w:spacing w:after="0"/>
        <w:rPr>
          <w:i/>
        </w:rPr>
      </w:pPr>
      <w:r>
        <w:rPr>
          <w:i/>
          <w:vertAlign w:val="superscript"/>
        </w:rPr>
        <w:t>26</w:t>
      </w:r>
      <w:r w:rsidR="008578FB">
        <w:rPr>
          <w:i/>
        </w:rPr>
        <w:t xml:space="preserve"> </w:t>
      </w:r>
      <w:bookmarkStart w:id="99" w:name="_Hlk219456900"/>
      <w:r w:rsidR="008578FB" w:rsidRPr="008578FB">
        <w:rPr>
          <w:i/>
        </w:rPr>
        <w:t>$800 million to &lt; $900 million</w:t>
      </w:r>
      <w:bookmarkEnd w:id="99"/>
    </w:p>
    <w:p w14:paraId="52BF391E" w14:textId="05A8810E" w:rsidR="008578FB" w:rsidRPr="00354993" w:rsidRDefault="00586477" w:rsidP="0004646A">
      <w:pPr>
        <w:pStyle w:val="TableFigureFooter"/>
        <w:spacing w:after="0"/>
        <w:rPr>
          <w:i/>
        </w:rPr>
      </w:pPr>
      <w:r>
        <w:rPr>
          <w:i/>
          <w:vertAlign w:val="superscript"/>
        </w:rPr>
        <w:t>27</w:t>
      </w:r>
      <w:r w:rsidR="00354993">
        <w:rPr>
          <w:i/>
        </w:rPr>
        <w:t xml:space="preserve"> </w:t>
      </w:r>
      <w:r w:rsidR="00DD0466" w:rsidRPr="00DD0466">
        <w:rPr>
          <w:i/>
        </w:rPr>
        <w:t>$20 million to &lt; $30 million</w:t>
      </w:r>
    </w:p>
    <w:p w14:paraId="10C72BBC" w14:textId="05C52B1A" w:rsidR="008578FB" w:rsidRPr="000901F3" w:rsidRDefault="008578FB" w:rsidP="000901F3">
      <w:pPr>
        <w:pStyle w:val="TableFigureFooter"/>
        <w:rPr>
          <w:i/>
        </w:rPr>
      </w:pPr>
      <w:r>
        <w:rPr>
          <w:i/>
          <w:vertAlign w:val="superscript"/>
        </w:rPr>
        <w:t>28</w:t>
      </w:r>
      <w:r w:rsidR="000901F3">
        <w:rPr>
          <w:i/>
        </w:rPr>
        <w:t xml:space="preserve"> </w:t>
      </w:r>
      <w:bookmarkStart w:id="100" w:name="_Hlk219456945"/>
      <w:r w:rsidR="000901F3" w:rsidRPr="000901F3">
        <w:rPr>
          <w:i/>
        </w:rPr>
        <w:t>$30 million to &lt; $40 million</w:t>
      </w:r>
      <w:bookmarkEnd w:id="100"/>
    </w:p>
    <w:p w14:paraId="5CDC8DE2" w14:textId="1F3E6CD3" w:rsidR="008578FB" w:rsidRPr="00B4205F" w:rsidRDefault="008578FB" w:rsidP="00C815B2">
      <w:pPr>
        <w:pStyle w:val="TableFigureFooter"/>
        <w:rPr>
          <w:i/>
        </w:rPr>
      </w:pPr>
      <w:r>
        <w:rPr>
          <w:i/>
          <w:vertAlign w:val="superscript"/>
        </w:rPr>
        <w:t>29</w:t>
      </w:r>
      <w:r w:rsidR="00B4205F">
        <w:rPr>
          <w:i/>
        </w:rPr>
        <w:t xml:space="preserve"> </w:t>
      </w:r>
      <w:r w:rsidR="00B4205F" w:rsidRPr="00B4205F">
        <w:rPr>
          <w:i/>
        </w:rPr>
        <w:t>$40 million to &lt; $50 million</w:t>
      </w:r>
    </w:p>
    <w:p w14:paraId="1AE8F5B9" w14:textId="03BCB5FD" w:rsidR="008578FB" w:rsidRPr="00C815B2" w:rsidRDefault="008578FB" w:rsidP="00C815B2">
      <w:pPr>
        <w:pStyle w:val="TableFigureFooter"/>
        <w:rPr>
          <w:i/>
        </w:rPr>
      </w:pPr>
      <w:r>
        <w:rPr>
          <w:i/>
          <w:vertAlign w:val="superscript"/>
        </w:rPr>
        <w:t>30</w:t>
      </w:r>
      <w:r w:rsidR="00C815B2">
        <w:rPr>
          <w:i/>
        </w:rPr>
        <w:t xml:space="preserve"> </w:t>
      </w:r>
      <w:r w:rsidR="00C815B2" w:rsidRPr="00C815B2">
        <w:rPr>
          <w:i/>
        </w:rPr>
        <w:t>$200 million to &lt; $300 million</w:t>
      </w:r>
    </w:p>
    <w:p w14:paraId="41D8A9E4" w14:textId="25319314" w:rsidR="008578FB" w:rsidRPr="000A4FE2" w:rsidRDefault="008578FB" w:rsidP="000A4FE2">
      <w:pPr>
        <w:pStyle w:val="TableFigureFooter"/>
        <w:rPr>
          <w:i/>
        </w:rPr>
      </w:pPr>
      <w:r>
        <w:rPr>
          <w:i/>
          <w:vertAlign w:val="superscript"/>
        </w:rPr>
        <w:t>31</w:t>
      </w:r>
      <w:r w:rsidR="000A4FE2">
        <w:rPr>
          <w:i/>
        </w:rPr>
        <w:t xml:space="preserve"> </w:t>
      </w:r>
      <w:r w:rsidR="000A4FE2" w:rsidRPr="000A4FE2">
        <w:rPr>
          <w:i/>
        </w:rPr>
        <w:t>$10 million to &lt; $20 million</w:t>
      </w:r>
    </w:p>
    <w:p w14:paraId="5C6A855E" w14:textId="77777777" w:rsidR="00E334F3" w:rsidRPr="00E334F3" w:rsidRDefault="008578FB" w:rsidP="00E334F3">
      <w:pPr>
        <w:pStyle w:val="TableFigureFooter"/>
        <w:rPr>
          <w:i/>
        </w:rPr>
      </w:pPr>
      <w:r>
        <w:rPr>
          <w:i/>
          <w:vertAlign w:val="superscript"/>
        </w:rPr>
        <w:t>32</w:t>
      </w:r>
      <w:r w:rsidR="0004646A" w:rsidRPr="0004646A">
        <w:rPr>
          <w:i/>
        </w:rPr>
        <w:t xml:space="preserve"> </w:t>
      </w:r>
      <w:bookmarkStart w:id="101" w:name="_Hlk219363063"/>
      <w:bookmarkStart w:id="102" w:name="_Hlk219363230"/>
      <w:r w:rsidR="00E334F3" w:rsidRPr="00E334F3">
        <w:rPr>
          <w:i/>
        </w:rPr>
        <w:t>$0 to &lt; $10 million</w:t>
      </w:r>
      <w:bookmarkEnd w:id="101"/>
    </w:p>
    <w:bookmarkEnd w:id="102"/>
    <w:p w14:paraId="55670831" w14:textId="3EA74785" w:rsidR="00E334F3" w:rsidRPr="00C815B2" w:rsidRDefault="00E334F3" w:rsidP="00E334F3">
      <w:pPr>
        <w:pStyle w:val="TableFigureFooter"/>
        <w:rPr>
          <w:i/>
        </w:rPr>
      </w:pPr>
      <w:r>
        <w:rPr>
          <w:i/>
          <w:vertAlign w:val="superscript"/>
        </w:rPr>
        <w:t>33</w:t>
      </w:r>
      <w:r>
        <w:rPr>
          <w:i/>
        </w:rPr>
        <w:t xml:space="preserve"> </w:t>
      </w:r>
      <w:r w:rsidR="00DA4BE1" w:rsidRPr="00DA4BE1">
        <w:rPr>
          <w:i/>
        </w:rPr>
        <w:t>$50 million to &lt; $60 million</w:t>
      </w:r>
    </w:p>
    <w:p w14:paraId="0DE4D319" w14:textId="61FC50BB" w:rsidR="0004646A" w:rsidRPr="0004646A" w:rsidRDefault="00E334F3" w:rsidP="00BC0A69">
      <w:pPr>
        <w:pStyle w:val="TableFigureFooter"/>
        <w:rPr>
          <w:i/>
        </w:rPr>
      </w:pPr>
      <w:r>
        <w:rPr>
          <w:i/>
          <w:vertAlign w:val="superscript"/>
        </w:rPr>
        <w:t>3</w:t>
      </w:r>
      <w:r w:rsidR="00C54D1D">
        <w:rPr>
          <w:i/>
          <w:vertAlign w:val="superscript"/>
        </w:rPr>
        <w:t>4</w:t>
      </w:r>
      <w:r>
        <w:rPr>
          <w:i/>
        </w:rPr>
        <w:t xml:space="preserve"> </w:t>
      </w:r>
      <w:r w:rsidR="00C54D1D" w:rsidRPr="00C54D1D">
        <w:rPr>
          <w:i/>
        </w:rPr>
        <w:t>$60 million to &lt; $70 million</w:t>
      </w:r>
    </w:p>
    <w:p w14:paraId="5D6A76DC" w14:textId="08BD1297" w:rsidR="00BF04CC" w:rsidRPr="00EB1825" w:rsidRDefault="00BF04CC" w:rsidP="00BF04CC">
      <w:pPr>
        <w:pStyle w:val="TableFigureFooter"/>
        <w:keepNext/>
        <w:spacing w:after="0"/>
        <w:rPr>
          <w:bCs w:val="0"/>
        </w:rPr>
      </w:pPr>
    </w:p>
    <w:p w14:paraId="1AAAAC1F" w14:textId="77777777" w:rsidR="00BF04CC" w:rsidRPr="00EB1825" w:rsidRDefault="00BF04CC" w:rsidP="00BF04CC">
      <w:pPr>
        <w:pStyle w:val="FooterTableFigure"/>
      </w:pPr>
    </w:p>
    <w:p w14:paraId="785C5966" w14:textId="1502689E" w:rsidR="005F69BD" w:rsidRPr="00EB1825" w:rsidRDefault="005F69BD" w:rsidP="00766C07">
      <w:pPr>
        <w:pStyle w:val="3-BodyText"/>
        <w:numPr>
          <w:ilvl w:val="1"/>
          <w:numId w:val="1"/>
        </w:numPr>
        <w:ind w:left="720"/>
      </w:pPr>
      <w:r w:rsidRPr="00EB1825">
        <w:t xml:space="preserve">The total net cost to PBS/RPBS over the first six years of use decreased from </w:t>
      </w:r>
      <w:r w:rsidR="008E0C53" w:rsidRPr="008E0C53">
        <w:t>$800 million to &lt; $900 million</w:t>
      </w:r>
      <w:r w:rsidRPr="00EB1825">
        <w:t xml:space="preserve"> in the March 2025 submission to </w:t>
      </w:r>
      <w:r w:rsidR="0005779A" w:rsidRPr="0005779A">
        <w:t>$200 million to &lt; $300 million</w:t>
      </w:r>
      <w:r w:rsidRPr="00EB1825">
        <w:t xml:space="preserve"> in the resubmission</w:t>
      </w:r>
      <w:r w:rsidR="00444FD2">
        <w:t>. The total net cost to PBS/RPBS over the first 6 years of listing was reduced to</w:t>
      </w:r>
      <w:r w:rsidR="008211BF">
        <w:t xml:space="preserve"> </w:t>
      </w:r>
      <w:r w:rsidR="00A626DD" w:rsidRPr="00A626DD">
        <w:t>$100 million to &lt; $200 million</w:t>
      </w:r>
      <w:r w:rsidR="008211BF">
        <w:t xml:space="preserve"> </w:t>
      </w:r>
      <w:r w:rsidR="00444FD2">
        <w:t>in</w:t>
      </w:r>
      <w:r w:rsidR="001155DA">
        <w:t xml:space="preserve"> the pre-PBAC revis</w:t>
      </w:r>
      <w:r w:rsidR="00027AB7">
        <w:t>ed estimates, although the total costs for years 5 and 6 of the estimates were higher than in the PSCR estimates</w:t>
      </w:r>
      <w:r w:rsidRPr="00EB1825">
        <w:t xml:space="preserve">. </w:t>
      </w:r>
      <w:r w:rsidR="001155DA">
        <w:t xml:space="preserve">Revisions in the pre-PBAC </w:t>
      </w:r>
      <w:r w:rsidR="00E92B8D">
        <w:t xml:space="preserve">response </w:t>
      </w:r>
      <w:r w:rsidR="001155DA">
        <w:t xml:space="preserve">substantially reduced the </w:t>
      </w:r>
      <w:r w:rsidR="004A1638">
        <w:t xml:space="preserve">net costs to the MBS from </w:t>
      </w:r>
      <w:r w:rsidR="00352CF2" w:rsidRPr="00352CF2">
        <w:t>$30 million to &lt; $40 million</w:t>
      </w:r>
      <w:r w:rsidR="004A1638">
        <w:t xml:space="preserve"> to </w:t>
      </w:r>
      <w:r w:rsidR="00CD76BB" w:rsidRPr="00CD76BB">
        <w:t>$20 million to &lt; $30 million</w:t>
      </w:r>
      <w:r w:rsidR="004A1638">
        <w:t xml:space="preserve"> over the first six years o</w:t>
      </w:r>
      <w:r w:rsidR="001C7DE7">
        <w:t>f use.</w:t>
      </w:r>
    </w:p>
    <w:p w14:paraId="316C4EC7" w14:textId="7F11EC11" w:rsidR="00AC705F" w:rsidRPr="00EB1825" w:rsidRDefault="005F69BD" w:rsidP="00766C07">
      <w:pPr>
        <w:pStyle w:val="3-BodyText"/>
        <w:numPr>
          <w:ilvl w:val="1"/>
          <w:numId w:val="1"/>
        </w:numPr>
        <w:ind w:left="720"/>
      </w:pPr>
      <w:bookmarkStart w:id="103" w:name="_Ref211606943"/>
      <w:bookmarkStart w:id="104" w:name="_Ref213853448"/>
      <w:r w:rsidRPr="00EB1825">
        <w:t>The</w:t>
      </w:r>
      <w:r w:rsidR="00800ED8" w:rsidRPr="00EB1825">
        <w:t xml:space="preserve"> </w:t>
      </w:r>
      <w:r w:rsidRPr="00EB1825">
        <w:t xml:space="preserve">financial impact </w:t>
      </w:r>
      <w:r w:rsidR="00002247" w:rsidRPr="00EB1825">
        <w:t xml:space="preserve">remained </w:t>
      </w:r>
      <w:r w:rsidRPr="00EB1825">
        <w:t>uncertain for the following reasons:</w:t>
      </w:r>
      <w:bookmarkEnd w:id="103"/>
      <w:bookmarkEnd w:id="104"/>
    </w:p>
    <w:p w14:paraId="058485C1" w14:textId="2C5C05EC" w:rsidR="009954E8" w:rsidRPr="00EB1825" w:rsidRDefault="00D22323" w:rsidP="006B6F28">
      <w:pPr>
        <w:pStyle w:val="ListParagraph"/>
        <w:numPr>
          <w:ilvl w:val="0"/>
          <w:numId w:val="15"/>
        </w:numPr>
        <w:snapToGrid w:val="0"/>
        <w:ind w:left="1021" w:hanging="284"/>
      </w:pPr>
      <w:r>
        <w:rPr>
          <w:shd w:val="clear" w:color="auto" w:fill="FFFFFF" w:themeFill="background1"/>
        </w:rPr>
        <w:t>I</w:t>
      </w:r>
      <w:r w:rsidR="00C1348B">
        <w:t>n the</w:t>
      </w:r>
      <w:r w:rsidR="00CF50C2">
        <w:t xml:space="preserve"> </w:t>
      </w:r>
      <w:proofErr w:type="gramStart"/>
      <w:r w:rsidR="00CF50C2">
        <w:t>Pre-PBAC</w:t>
      </w:r>
      <w:proofErr w:type="gramEnd"/>
      <w:r w:rsidR="00CF50C2">
        <w:t xml:space="preserve"> response </w:t>
      </w:r>
      <w:r w:rsidR="00C1348B">
        <w:t xml:space="preserve">, the sponsor agreed to refine the eligible population to </w:t>
      </w:r>
      <w:r w:rsidR="002F3ED9">
        <w:t xml:space="preserve">those who are contraindicated to MHT, or who have discontinued due to </w:t>
      </w:r>
      <w:r w:rsidR="00A1701F">
        <w:t>side effects or lack of efficacy after 3 months</w:t>
      </w:r>
      <w:r w:rsidR="00350969">
        <w:t>.</w:t>
      </w:r>
      <w:r w:rsidR="004A2064">
        <w:t xml:space="preserve"> </w:t>
      </w:r>
      <w:r w:rsidR="00350969">
        <w:t>A</w:t>
      </w:r>
      <w:r w:rsidR="009D2E19" w:rsidRPr="00EB1825">
        <w:t xml:space="preserve"> global cross-sectional survey of postmenopausal women 40-65</w:t>
      </w:r>
      <w:r w:rsidR="009D2E19" w:rsidRPr="003F3F6A">
        <w:rPr>
          <w:rFonts w:ascii="Calibri" w:hAnsi="Calibri"/>
        </w:rPr>
        <w:t> </w:t>
      </w:r>
      <w:r w:rsidR="009D2E19" w:rsidRPr="00EB1825">
        <w:t>years experiencing M-S VMS in the last 12</w:t>
      </w:r>
      <w:r w:rsidR="009D2E19" w:rsidRPr="003F3F6A">
        <w:rPr>
          <w:rFonts w:ascii="Calibri" w:hAnsi="Calibri"/>
        </w:rPr>
        <w:t> </w:t>
      </w:r>
      <w:r w:rsidR="009D2E19" w:rsidRPr="00EB1825">
        <w:t>months found that only 8%-12% were contraindicated for MHT</w:t>
      </w:r>
      <w:r w:rsidR="00850FBF" w:rsidRPr="00EB1825">
        <w:t xml:space="preserve"> (i.e., who have been assessed by a physician and for whom MHT was deemed inappropriate due to certain conditions). Women categorised as MHT-stoppers were reported to range from 5%–11%</w:t>
      </w:r>
      <w:r w:rsidR="009D2E19" w:rsidRPr="00EB1825">
        <w:rPr>
          <w:rStyle w:val="FootnoteReference"/>
        </w:rPr>
        <w:footnoteReference w:id="13"/>
      </w:r>
      <w:r w:rsidR="009D2E19" w:rsidRPr="00EB1825">
        <w:t>.</w:t>
      </w:r>
      <w:r w:rsidR="0091113D" w:rsidRPr="00EB1825">
        <w:t xml:space="preserve"> </w:t>
      </w:r>
      <w:r w:rsidR="005106AB" w:rsidRPr="005106AB">
        <w:t>The ESC considered that the population truly unsuitable for MHT (i</w:t>
      </w:r>
      <w:r w:rsidR="00282482">
        <w:t>.</w:t>
      </w:r>
      <w:r w:rsidR="005106AB" w:rsidRPr="005106AB">
        <w:t>e</w:t>
      </w:r>
      <w:r w:rsidR="00282482">
        <w:t>.,</w:t>
      </w:r>
      <w:r w:rsidR="005106AB" w:rsidRPr="005106AB">
        <w:t xml:space="preserve"> contraindicated and/or experiencing severe AEs) applied in the estimates should be no more than 10-15%, consistent with the populations identified in Nappi (2021) as MHT unsuitable and MHT stoppers; and Todorova (2023) above, as MHT contraindicated and MHT stoppers.</w:t>
      </w:r>
      <w:r w:rsidR="006B6F28">
        <w:t xml:space="preserve"> The pre-PBAC response</w:t>
      </w:r>
      <w:r w:rsidR="00350969">
        <w:t xml:space="preserve"> reduced the proportion of eligible menopausal patients from 45% to 26.4%. The pre-PBAC response stated that this was based on </w:t>
      </w:r>
      <w:r w:rsidR="00350969" w:rsidRPr="003F3F6A">
        <w:rPr>
          <w:rFonts w:ascii="Calibri" w:hAnsi="Calibri"/>
        </w:rPr>
        <w:t>a mean estimate from DAYLIGHT, SKYLIGHT, Global Survey (2693-MA-3283), DSP Survey (2693-MA-3284) and CPRD Study [UK Gold]</w:t>
      </w:r>
      <w:r w:rsidR="00350969">
        <w:t>, however these calculations could not be verified.</w:t>
      </w:r>
    </w:p>
    <w:p w14:paraId="134E53D0" w14:textId="0EC1B870" w:rsidR="009D2E19" w:rsidRPr="002A3159" w:rsidRDefault="008E4B6C" w:rsidP="006B6F28">
      <w:pPr>
        <w:pStyle w:val="ListParagraph"/>
        <w:numPr>
          <w:ilvl w:val="0"/>
          <w:numId w:val="15"/>
        </w:numPr>
        <w:snapToGrid w:val="0"/>
        <w:ind w:left="1021" w:hanging="284"/>
      </w:pPr>
      <w:r>
        <w:t xml:space="preserve">The </w:t>
      </w:r>
      <w:r w:rsidR="00B45383">
        <w:t>evaluation</w:t>
      </w:r>
      <w:r>
        <w:t xml:space="preserve"> and the ESC considered the u</w:t>
      </w:r>
      <w:r w:rsidR="005F69BD" w:rsidRPr="00EB1825">
        <w:t xml:space="preserve">ptake rates </w:t>
      </w:r>
      <w:r w:rsidR="00074B4B" w:rsidRPr="00EB1825">
        <w:t xml:space="preserve">for </w:t>
      </w:r>
      <w:proofErr w:type="spellStart"/>
      <w:r w:rsidR="00074B4B" w:rsidRPr="00EB1825">
        <w:t>fezolinetant</w:t>
      </w:r>
      <w:proofErr w:type="spellEnd"/>
      <w:r w:rsidR="00074B4B" w:rsidRPr="00EB1825">
        <w:t xml:space="preserve"> in t</w:t>
      </w:r>
      <w:r w:rsidR="009D2E19" w:rsidRPr="00EB1825">
        <w:t xml:space="preserve">hose medically unsuitable for </w:t>
      </w:r>
      <w:r w:rsidR="00074B4B" w:rsidRPr="00EB1825">
        <w:t xml:space="preserve">MHT </w:t>
      </w:r>
      <w:r w:rsidR="005F69BD" w:rsidRPr="00EB1825">
        <w:t xml:space="preserve">may </w:t>
      </w:r>
      <w:r w:rsidR="00074B4B" w:rsidRPr="00EB1825">
        <w:t>be</w:t>
      </w:r>
      <w:r w:rsidR="005F69BD" w:rsidRPr="00EB1825">
        <w:t xml:space="preserve"> underestimated</w:t>
      </w:r>
      <w:r w:rsidR="00074B4B" w:rsidRPr="00EB1825">
        <w:t xml:space="preserve">. Although the </w:t>
      </w:r>
      <w:r w:rsidR="005F69BD" w:rsidRPr="00EB1825">
        <w:t xml:space="preserve">resubmission </w:t>
      </w:r>
      <w:r w:rsidR="005F69BD" w:rsidRPr="002A3159">
        <w:t xml:space="preserve">excluded MHT-averse patients and increased uptake by </w:t>
      </w:r>
      <w:r w:rsidR="00E901B5" w:rsidRPr="00E901B5">
        <w:rPr>
          <w:highlight w:val="black"/>
        </w:rPr>
        <w:t>&amp;&amp;&amp;&amp;</w:t>
      </w:r>
      <w:r w:rsidR="005F69BD" w:rsidRPr="002A3159">
        <w:t>%–</w:t>
      </w:r>
      <w:r w:rsidR="00E901B5" w:rsidRPr="00E901B5">
        <w:rPr>
          <w:highlight w:val="black"/>
        </w:rPr>
        <w:t>&amp;&amp;&amp;&amp;</w:t>
      </w:r>
      <w:r w:rsidR="005F69BD" w:rsidRPr="002A3159">
        <w:t>% during the first four years</w:t>
      </w:r>
      <w:r w:rsidR="00074B4B" w:rsidRPr="002A3159">
        <w:t xml:space="preserve">, </w:t>
      </w:r>
      <w:r w:rsidR="001E20A7" w:rsidRPr="002A3159">
        <w:t xml:space="preserve">the ESC considered that </w:t>
      </w:r>
      <w:r w:rsidR="00074B4B" w:rsidRPr="002A3159">
        <w:t xml:space="preserve">limited </w:t>
      </w:r>
      <w:r w:rsidR="009D2E19" w:rsidRPr="002A3159">
        <w:t xml:space="preserve">options in this population </w:t>
      </w:r>
      <w:r w:rsidR="00074B4B" w:rsidRPr="002A3159">
        <w:t xml:space="preserve">suggest potentially higher uptake. </w:t>
      </w:r>
      <w:r w:rsidR="000B4B59" w:rsidRPr="002A3159">
        <w:t xml:space="preserve">This was revised in the </w:t>
      </w:r>
      <w:r w:rsidR="00B45383" w:rsidRPr="002A3159">
        <w:t>p</w:t>
      </w:r>
      <w:r w:rsidR="000B4B59" w:rsidRPr="002A3159">
        <w:t>re-PBAC response</w:t>
      </w:r>
      <w:r w:rsidRPr="002A3159">
        <w:t>, with uptake rates increased substa</w:t>
      </w:r>
      <w:r w:rsidR="00395BC4" w:rsidRPr="002A3159">
        <w:t xml:space="preserve">ntially from years 2 onwards, up to </w:t>
      </w:r>
      <w:r w:rsidR="00E901B5" w:rsidRPr="00E901B5">
        <w:rPr>
          <w:highlight w:val="black"/>
        </w:rPr>
        <w:t>&amp;&amp;&amp;&amp;</w:t>
      </w:r>
      <w:r w:rsidR="00395BC4" w:rsidRPr="002A3159">
        <w:t>% in year 6</w:t>
      </w:r>
      <w:r w:rsidR="00F650C7" w:rsidRPr="002A3159">
        <w:t xml:space="preserve">. </w:t>
      </w:r>
    </w:p>
    <w:p w14:paraId="7B088188" w14:textId="0DCD263C" w:rsidR="00E46608" w:rsidRPr="00AD64EE" w:rsidRDefault="005F69BD" w:rsidP="00766C07">
      <w:pPr>
        <w:pStyle w:val="3-BodyText"/>
      </w:pPr>
      <w:bookmarkStart w:id="105" w:name="_Ref211424439"/>
      <w:r w:rsidRPr="00AD64EE">
        <w:t xml:space="preserve">Overall, </w:t>
      </w:r>
      <w:r w:rsidR="00800ED8" w:rsidRPr="00AD64EE">
        <w:t xml:space="preserve">the evaluation </w:t>
      </w:r>
      <w:r w:rsidR="00E74579" w:rsidRPr="00AD64EE">
        <w:t xml:space="preserve">and the ESC </w:t>
      </w:r>
      <w:r w:rsidR="00B974CC" w:rsidRPr="00AD64EE">
        <w:t>considered</w:t>
      </w:r>
      <w:r w:rsidR="00800ED8" w:rsidRPr="00AD64EE">
        <w:t xml:space="preserve"> that </w:t>
      </w:r>
      <w:r w:rsidRPr="00AD64EE">
        <w:t xml:space="preserve">the net costs associated with the PBS listing of </w:t>
      </w:r>
      <w:proofErr w:type="spellStart"/>
      <w:r w:rsidRPr="00AD64EE">
        <w:t>fezolinetant</w:t>
      </w:r>
      <w:proofErr w:type="spellEnd"/>
      <w:r w:rsidRPr="00AD64EE">
        <w:t xml:space="preserve"> were</w:t>
      </w:r>
      <w:r w:rsidR="00E74579" w:rsidRPr="00AD64EE">
        <w:t xml:space="preserve"> highly</w:t>
      </w:r>
      <w:r w:rsidRPr="00AD64EE">
        <w:t xml:space="preserve"> uncertain and likely </w:t>
      </w:r>
      <w:r w:rsidR="00074B4B" w:rsidRPr="00AD64EE">
        <w:t>over</w:t>
      </w:r>
      <w:r w:rsidRPr="00AD64EE">
        <w:t xml:space="preserve">estimated. </w:t>
      </w:r>
      <w:bookmarkEnd w:id="105"/>
    </w:p>
    <w:p w14:paraId="2238DEE9" w14:textId="3E6A228B" w:rsidR="00576972" w:rsidRPr="00EB1825" w:rsidRDefault="00576972" w:rsidP="00606FBA">
      <w:pPr>
        <w:pStyle w:val="4-SubsectionHeading"/>
      </w:pPr>
      <w:bookmarkStart w:id="106" w:name="_Toc22897648"/>
      <w:bookmarkStart w:id="107" w:name="_Toc208999812"/>
      <w:r w:rsidRPr="00EB1825">
        <w:t>Quality Use of Medicines</w:t>
      </w:r>
      <w:bookmarkEnd w:id="106"/>
      <w:bookmarkEnd w:id="107"/>
    </w:p>
    <w:p w14:paraId="38BD0AEF" w14:textId="59F924A8" w:rsidR="00576972" w:rsidRPr="00EB1825" w:rsidRDefault="005F69BD" w:rsidP="00766C07">
      <w:pPr>
        <w:pStyle w:val="3-BodyText"/>
      </w:pPr>
      <w:r w:rsidRPr="00EB1825">
        <w:t xml:space="preserve">The resubmission outlined activities to support the quality use of medicines, including (i) providing patients with accessible safety information via QR codes linked to up-to-date Consumer Medicines Information; (ii) offering prescribers clear liver function monitoring guidance in the revised Product Information and developing practical monitoring tools pending regulatory approval; and (iii) ongoing global safety data collection </w:t>
      </w:r>
      <w:r w:rsidR="00F66505">
        <w:t>(</w:t>
      </w:r>
      <w:r w:rsidRPr="00EB1825">
        <w:t>no Australia-specific post-marketing studies planned</w:t>
      </w:r>
      <w:r w:rsidR="00F66505">
        <w:t>)</w:t>
      </w:r>
      <w:r w:rsidRPr="00EB1825">
        <w:t xml:space="preserve">, while maintaining engagement with regulators to ensure effective risk management and support for </w:t>
      </w:r>
      <w:proofErr w:type="spellStart"/>
      <w:r w:rsidRPr="00EB1825">
        <w:t>fezolinetant</w:t>
      </w:r>
      <w:proofErr w:type="spellEnd"/>
      <w:r w:rsidRPr="00EB1825">
        <w:t xml:space="preserve"> safe use in Australia.</w:t>
      </w:r>
    </w:p>
    <w:p w14:paraId="6015A395" w14:textId="2EDB6A4E" w:rsidR="00576972" w:rsidRPr="00EB1825" w:rsidRDefault="00576972" w:rsidP="00606FBA">
      <w:pPr>
        <w:pStyle w:val="4-SubsectionHeading"/>
      </w:pPr>
      <w:bookmarkStart w:id="108" w:name="_Toc22897649"/>
      <w:bookmarkStart w:id="109" w:name="_Toc208999813"/>
      <w:r w:rsidRPr="00EB1825">
        <w:t>Financial Management – Risk Sharing Arrangements</w:t>
      </w:r>
      <w:bookmarkEnd w:id="108"/>
      <w:bookmarkEnd w:id="109"/>
    </w:p>
    <w:p w14:paraId="1C309975" w14:textId="6D640BBC" w:rsidR="005F69BD" w:rsidRPr="00EB1825" w:rsidRDefault="005F69BD" w:rsidP="00766C07">
      <w:pPr>
        <w:pStyle w:val="3-BodyText"/>
        <w:numPr>
          <w:ilvl w:val="1"/>
          <w:numId w:val="1"/>
        </w:numPr>
        <w:ind w:left="720"/>
      </w:pPr>
      <w:r w:rsidRPr="00EB1825">
        <w:t xml:space="preserve">The sponsor proposed a risk-sharing arrangement (RSA), based on a tiered subsidisation cap for </w:t>
      </w:r>
      <w:proofErr w:type="spellStart"/>
      <w:r w:rsidRPr="00EB1825">
        <w:t>fezolinetant</w:t>
      </w:r>
      <w:proofErr w:type="spellEnd"/>
      <w:r w:rsidRPr="00EB1825">
        <w:t xml:space="preserve">. The proposed RSA is outlined in </w:t>
      </w:r>
      <w:r w:rsidRPr="00EB1825">
        <w:fldChar w:fldCharType="begin"/>
      </w:r>
      <w:r w:rsidRPr="00EB1825">
        <w:instrText xml:space="preserve"> REF _Ref204856071 \h </w:instrText>
      </w:r>
      <w:r w:rsidRPr="00EB1825">
        <w:fldChar w:fldCharType="separate"/>
      </w:r>
      <w:r w:rsidR="00946DF5" w:rsidRPr="00EB1825">
        <w:t xml:space="preserve">Table </w:t>
      </w:r>
      <w:r w:rsidR="00946DF5">
        <w:rPr>
          <w:noProof/>
        </w:rPr>
        <w:t>21</w:t>
      </w:r>
      <w:r w:rsidRPr="00EB1825">
        <w:fldChar w:fldCharType="end"/>
      </w:r>
      <w:r w:rsidRPr="00EB1825">
        <w:t>.</w:t>
      </w:r>
    </w:p>
    <w:p w14:paraId="0F7BD04F" w14:textId="7D98B633" w:rsidR="005F69BD" w:rsidRPr="00EB1825" w:rsidRDefault="005F69BD" w:rsidP="001F7EB3">
      <w:pPr>
        <w:pStyle w:val="TableFigureHeading"/>
        <w:keepLines/>
      </w:pPr>
      <w:bookmarkStart w:id="110" w:name="_Ref204856071"/>
      <w:bookmarkStart w:id="111" w:name="_Hlk207635836"/>
      <w:r w:rsidRPr="00EB1825">
        <w:t xml:space="preserve">Table </w:t>
      </w:r>
      <w:r w:rsidR="005B6061">
        <w:fldChar w:fldCharType="begin"/>
      </w:r>
      <w:r w:rsidR="005B6061">
        <w:instrText xml:space="preserve"> SEQ Table \* ARABIC </w:instrText>
      </w:r>
      <w:r w:rsidR="005B6061">
        <w:fldChar w:fldCharType="separate"/>
      </w:r>
      <w:r w:rsidR="00946DF5">
        <w:rPr>
          <w:noProof/>
        </w:rPr>
        <w:t>21</w:t>
      </w:r>
      <w:r w:rsidR="005B6061">
        <w:rPr>
          <w:noProof/>
        </w:rPr>
        <w:fldChar w:fldCharType="end"/>
      </w:r>
      <w:bookmarkEnd w:id="110"/>
      <w:r w:rsidRPr="00EB1825">
        <w:t>:</w:t>
      </w:r>
      <w:r w:rsidRPr="00EB1825">
        <w:rPr>
          <w:rStyle w:val="CommentReference"/>
        </w:rPr>
        <w:t xml:space="preserve"> </w:t>
      </w:r>
      <w:r w:rsidRPr="00EB1825">
        <w:t xml:space="preserve">Proposed RSA for </w:t>
      </w:r>
      <w:proofErr w:type="spellStart"/>
      <w:r w:rsidRPr="00EB1825">
        <w:t>fezolinetant</w:t>
      </w:r>
      <w:proofErr w:type="spellEnd"/>
      <w:r w:rsidRPr="00EB1825">
        <w:t xml:space="preserve"> </w:t>
      </w:r>
      <w:r w:rsidR="006518D7">
        <w:t>(</w:t>
      </w:r>
      <w:r w:rsidRPr="00EB1825">
        <w:t>rebate payable on amount above cap</w:t>
      </w:r>
      <w:r w:rsidR="006518D7">
        <w:t>)</w:t>
      </w:r>
    </w:p>
    <w:tbl>
      <w:tblPr>
        <w:tblStyle w:val="TableGrid"/>
        <w:tblW w:w="5000" w:type="pct"/>
        <w:tblCellMar>
          <w:left w:w="28" w:type="dxa"/>
          <w:right w:w="28" w:type="dxa"/>
        </w:tblCellMar>
        <w:tblLook w:val="04A0" w:firstRow="1" w:lastRow="0" w:firstColumn="1" w:lastColumn="0" w:noHBand="0" w:noVBand="1"/>
        <w:tblCaption w:val="Table 21: Proposed RSA for fezolinetant (rebate payable on amount above cap)"/>
      </w:tblPr>
      <w:tblGrid>
        <w:gridCol w:w="3399"/>
        <w:gridCol w:w="1134"/>
        <w:gridCol w:w="1134"/>
        <w:gridCol w:w="1134"/>
        <w:gridCol w:w="1136"/>
        <w:gridCol w:w="1080"/>
      </w:tblGrid>
      <w:tr w:rsidR="00CF3947" w:rsidRPr="00EB1825" w14:paraId="5872CF1B" w14:textId="77777777" w:rsidTr="00CF3947">
        <w:trPr>
          <w:trHeight w:val="20"/>
        </w:trPr>
        <w:tc>
          <w:tcPr>
            <w:tcW w:w="1884" w:type="pct"/>
            <w:tcBorders>
              <w:top w:val="single" w:sz="4" w:space="0" w:color="auto"/>
              <w:left w:val="single" w:sz="4" w:space="0" w:color="auto"/>
              <w:bottom w:val="single" w:sz="4" w:space="0" w:color="auto"/>
              <w:right w:val="single" w:sz="4" w:space="0" w:color="auto"/>
            </w:tcBorders>
          </w:tcPr>
          <w:p w14:paraId="1BF32DCF" w14:textId="77777777" w:rsidR="005F69BD" w:rsidRPr="00EB1825" w:rsidRDefault="005F69BD" w:rsidP="001F7EB3">
            <w:pPr>
              <w:pStyle w:val="TableText0"/>
              <w:rPr>
                <w:b/>
                <w:bCs w:val="0"/>
              </w:rPr>
            </w:pPr>
            <w:r w:rsidRPr="00EB1825">
              <w:rPr>
                <w:b/>
                <w:bCs w:val="0"/>
              </w:rPr>
              <w:t>RSA criteria</w:t>
            </w:r>
          </w:p>
        </w:tc>
        <w:tc>
          <w:tcPr>
            <w:tcW w:w="629" w:type="pct"/>
            <w:tcBorders>
              <w:top w:val="single" w:sz="4" w:space="0" w:color="auto"/>
              <w:left w:val="single" w:sz="4" w:space="0" w:color="auto"/>
              <w:bottom w:val="single" w:sz="4" w:space="0" w:color="auto"/>
              <w:right w:val="single" w:sz="4" w:space="0" w:color="auto"/>
            </w:tcBorders>
            <w:hideMark/>
          </w:tcPr>
          <w:p w14:paraId="5B312023" w14:textId="77777777" w:rsidR="005F69BD" w:rsidRPr="00EB1825" w:rsidRDefault="005F69BD" w:rsidP="001F7EB3">
            <w:pPr>
              <w:pStyle w:val="TableText0"/>
              <w:jc w:val="center"/>
              <w:rPr>
                <w:b/>
                <w:bCs w:val="0"/>
              </w:rPr>
            </w:pPr>
            <w:r w:rsidRPr="00EB1825">
              <w:rPr>
                <w:b/>
                <w:bCs w:val="0"/>
              </w:rPr>
              <w:t>Deed Year 1</w:t>
            </w:r>
          </w:p>
        </w:tc>
        <w:tc>
          <w:tcPr>
            <w:tcW w:w="629" w:type="pct"/>
            <w:tcBorders>
              <w:top w:val="single" w:sz="4" w:space="0" w:color="auto"/>
              <w:left w:val="single" w:sz="4" w:space="0" w:color="auto"/>
              <w:bottom w:val="single" w:sz="4" w:space="0" w:color="auto"/>
              <w:right w:val="single" w:sz="4" w:space="0" w:color="auto"/>
            </w:tcBorders>
            <w:hideMark/>
          </w:tcPr>
          <w:p w14:paraId="06AAB290" w14:textId="77777777" w:rsidR="005F69BD" w:rsidRPr="00EB1825" w:rsidRDefault="005F69BD" w:rsidP="001F7EB3">
            <w:pPr>
              <w:pStyle w:val="TableText0"/>
              <w:jc w:val="center"/>
              <w:rPr>
                <w:b/>
                <w:bCs w:val="0"/>
              </w:rPr>
            </w:pPr>
            <w:r w:rsidRPr="00EB1825">
              <w:rPr>
                <w:b/>
                <w:bCs w:val="0"/>
              </w:rPr>
              <w:t>Deed Year 2</w:t>
            </w:r>
          </w:p>
        </w:tc>
        <w:tc>
          <w:tcPr>
            <w:tcW w:w="629" w:type="pct"/>
            <w:tcBorders>
              <w:top w:val="single" w:sz="4" w:space="0" w:color="auto"/>
              <w:left w:val="single" w:sz="4" w:space="0" w:color="auto"/>
              <w:bottom w:val="single" w:sz="4" w:space="0" w:color="auto"/>
              <w:right w:val="single" w:sz="4" w:space="0" w:color="auto"/>
            </w:tcBorders>
            <w:hideMark/>
          </w:tcPr>
          <w:p w14:paraId="5D90FB9A" w14:textId="77777777" w:rsidR="005F69BD" w:rsidRPr="00EB1825" w:rsidRDefault="005F69BD" w:rsidP="001F7EB3">
            <w:pPr>
              <w:pStyle w:val="TableText0"/>
              <w:jc w:val="center"/>
              <w:rPr>
                <w:b/>
                <w:bCs w:val="0"/>
              </w:rPr>
            </w:pPr>
            <w:r w:rsidRPr="00EB1825">
              <w:rPr>
                <w:b/>
                <w:bCs w:val="0"/>
              </w:rPr>
              <w:t>Deed Year 3</w:t>
            </w:r>
          </w:p>
        </w:tc>
        <w:tc>
          <w:tcPr>
            <w:tcW w:w="630" w:type="pct"/>
            <w:tcBorders>
              <w:top w:val="single" w:sz="4" w:space="0" w:color="auto"/>
              <w:left w:val="single" w:sz="4" w:space="0" w:color="auto"/>
              <w:bottom w:val="single" w:sz="4" w:space="0" w:color="auto"/>
              <w:right w:val="single" w:sz="4" w:space="0" w:color="auto"/>
            </w:tcBorders>
            <w:hideMark/>
          </w:tcPr>
          <w:p w14:paraId="1E11331E" w14:textId="77777777" w:rsidR="005F69BD" w:rsidRPr="00EB1825" w:rsidRDefault="005F69BD" w:rsidP="001F7EB3">
            <w:pPr>
              <w:pStyle w:val="TableText0"/>
              <w:jc w:val="center"/>
              <w:rPr>
                <w:b/>
                <w:bCs w:val="0"/>
              </w:rPr>
            </w:pPr>
            <w:r w:rsidRPr="00EB1825">
              <w:rPr>
                <w:b/>
                <w:bCs w:val="0"/>
              </w:rPr>
              <w:t>Deed Year 4</w:t>
            </w:r>
          </w:p>
        </w:tc>
        <w:tc>
          <w:tcPr>
            <w:tcW w:w="600" w:type="pct"/>
            <w:tcBorders>
              <w:top w:val="single" w:sz="4" w:space="0" w:color="auto"/>
              <w:left w:val="single" w:sz="4" w:space="0" w:color="auto"/>
              <w:bottom w:val="single" w:sz="4" w:space="0" w:color="auto"/>
              <w:right w:val="single" w:sz="4" w:space="0" w:color="auto"/>
            </w:tcBorders>
            <w:hideMark/>
          </w:tcPr>
          <w:p w14:paraId="14E2B628" w14:textId="77777777" w:rsidR="005F69BD" w:rsidRPr="00EB1825" w:rsidRDefault="005F69BD" w:rsidP="001F7EB3">
            <w:pPr>
              <w:pStyle w:val="TableText0"/>
              <w:jc w:val="center"/>
              <w:rPr>
                <w:b/>
                <w:bCs w:val="0"/>
              </w:rPr>
            </w:pPr>
            <w:r w:rsidRPr="00EB1825">
              <w:rPr>
                <w:b/>
                <w:bCs w:val="0"/>
              </w:rPr>
              <w:t>Deed Year 5</w:t>
            </w:r>
          </w:p>
        </w:tc>
      </w:tr>
      <w:tr w:rsidR="00CF3947" w:rsidRPr="00EB1825" w14:paraId="57CFC07E" w14:textId="77777777" w:rsidTr="00CF3947">
        <w:trPr>
          <w:trHeight w:val="20"/>
        </w:trPr>
        <w:tc>
          <w:tcPr>
            <w:tcW w:w="1884" w:type="pct"/>
            <w:tcBorders>
              <w:top w:val="single" w:sz="4" w:space="0" w:color="auto"/>
              <w:left w:val="single" w:sz="4" w:space="0" w:color="auto"/>
              <w:bottom w:val="single" w:sz="4" w:space="0" w:color="auto"/>
              <w:right w:val="single" w:sz="4" w:space="0" w:color="auto"/>
            </w:tcBorders>
            <w:vAlign w:val="center"/>
          </w:tcPr>
          <w:p w14:paraId="47802FF3" w14:textId="4175604B" w:rsidR="005F69BD" w:rsidRPr="00EB1825" w:rsidRDefault="005F69BD" w:rsidP="001F7EB3">
            <w:pPr>
              <w:pStyle w:val="TableText0"/>
            </w:pPr>
            <w:r w:rsidRPr="00EB1825">
              <w:t>Commonwealth PBS/RPBS expenditure between &gt;</w:t>
            </w:r>
            <w:r w:rsidR="00E901B5" w:rsidRPr="00E901B5">
              <w:rPr>
                <w:highlight w:val="black"/>
              </w:rPr>
              <w:t>&amp;&amp;&amp;&amp;</w:t>
            </w:r>
            <w:r w:rsidRPr="00EB1825">
              <w:t>% - ≤</w:t>
            </w:r>
            <w:r w:rsidR="00E901B5" w:rsidRPr="00E901B5">
              <w:rPr>
                <w:highlight w:val="black"/>
              </w:rPr>
              <w:t>&amp;&amp;&amp;&amp;</w:t>
            </w:r>
            <w:r w:rsidRPr="00EB1825">
              <w:t>% of agreed cap</w:t>
            </w:r>
          </w:p>
        </w:tc>
        <w:tc>
          <w:tcPr>
            <w:tcW w:w="629" w:type="pct"/>
            <w:tcBorders>
              <w:top w:val="single" w:sz="4" w:space="0" w:color="auto"/>
              <w:left w:val="single" w:sz="4" w:space="0" w:color="auto"/>
              <w:bottom w:val="single" w:sz="4" w:space="0" w:color="auto"/>
              <w:right w:val="single" w:sz="4" w:space="0" w:color="auto"/>
            </w:tcBorders>
            <w:vAlign w:val="center"/>
          </w:tcPr>
          <w:p w14:paraId="1BBC61C2" w14:textId="31A20B6B" w:rsidR="005F69BD" w:rsidRPr="00EB1825" w:rsidRDefault="00E901B5" w:rsidP="001F7EB3">
            <w:pPr>
              <w:pStyle w:val="TableText0"/>
            </w:pPr>
            <w:r w:rsidRPr="00E901B5">
              <w:rPr>
                <w:highlight w:val="black"/>
              </w:rPr>
              <w:t>&amp;&amp;&amp;&amp;</w:t>
            </w:r>
            <w:r w:rsidR="005F69BD" w:rsidRPr="00EB1825">
              <w:t>%</w:t>
            </w:r>
          </w:p>
        </w:tc>
        <w:tc>
          <w:tcPr>
            <w:tcW w:w="629" w:type="pct"/>
            <w:tcBorders>
              <w:top w:val="single" w:sz="4" w:space="0" w:color="auto"/>
              <w:left w:val="single" w:sz="4" w:space="0" w:color="auto"/>
              <w:bottom w:val="single" w:sz="4" w:space="0" w:color="auto"/>
              <w:right w:val="single" w:sz="4" w:space="0" w:color="auto"/>
            </w:tcBorders>
            <w:vAlign w:val="center"/>
          </w:tcPr>
          <w:p w14:paraId="24FF1935" w14:textId="0B0AD1A2" w:rsidR="005F69BD" w:rsidRPr="00EB1825" w:rsidRDefault="00E901B5" w:rsidP="001F7EB3">
            <w:pPr>
              <w:pStyle w:val="TableText0"/>
            </w:pPr>
            <w:r w:rsidRPr="00E901B5">
              <w:rPr>
                <w:highlight w:val="black"/>
              </w:rPr>
              <w:t>&amp;&amp;&amp;&amp;</w:t>
            </w:r>
            <w:r w:rsidR="005F69BD" w:rsidRPr="00EB1825">
              <w:t>%</w:t>
            </w:r>
          </w:p>
        </w:tc>
        <w:tc>
          <w:tcPr>
            <w:tcW w:w="629" w:type="pct"/>
            <w:tcBorders>
              <w:top w:val="single" w:sz="4" w:space="0" w:color="auto"/>
              <w:left w:val="single" w:sz="4" w:space="0" w:color="auto"/>
              <w:bottom w:val="single" w:sz="4" w:space="0" w:color="auto"/>
              <w:right w:val="single" w:sz="4" w:space="0" w:color="auto"/>
            </w:tcBorders>
            <w:vAlign w:val="center"/>
          </w:tcPr>
          <w:p w14:paraId="6976D5E7" w14:textId="0B1BF6F1" w:rsidR="005F69BD" w:rsidRPr="00EB1825" w:rsidRDefault="00E901B5" w:rsidP="001F7EB3">
            <w:pPr>
              <w:pStyle w:val="TableText0"/>
            </w:pPr>
            <w:r w:rsidRPr="00E901B5">
              <w:rPr>
                <w:highlight w:val="black"/>
              </w:rPr>
              <w:t>&amp;&amp;&amp;&amp;</w:t>
            </w:r>
            <w:r w:rsidR="005F69BD" w:rsidRPr="00EB1825">
              <w:t>%</w:t>
            </w:r>
          </w:p>
        </w:tc>
        <w:tc>
          <w:tcPr>
            <w:tcW w:w="630" w:type="pct"/>
            <w:tcBorders>
              <w:top w:val="single" w:sz="4" w:space="0" w:color="auto"/>
              <w:left w:val="single" w:sz="4" w:space="0" w:color="auto"/>
              <w:bottom w:val="single" w:sz="4" w:space="0" w:color="auto"/>
              <w:right w:val="single" w:sz="4" w:space="0" w:color="auto"/>
            </w:tcBorders>
            <w:vAlign w:val="center"/>
          </w:tcPr>
          <w:p w14:paraId="0EF8DBFB" w14:textId="22FA4A5D" w:rsidR="005F69BD" w:rsidRPr="00EB1825" w:rsidRDefault="00E901B5" w:rsidP="001F7EB3">
            <w:pPr>
              <w:pStyle w:val="TableText0"/>
            </w:pPr>
            <w:r w:rsidRPr="00E901B5">
              <w:rPr>
                <w:highlight w:val="black"/>
              </w:rPr>
              <w:t>&amp;&amp;&amp;&amp;</w:t>
            </w:r>
            <w:r w:rsidR="005F69BD" w:rsidRPr="00EB1825">
              <w:t>%</w:t>
            </w:r>
          </w:p>
        </w:tc>
        <w:tc>
          <w:tcPr>
            <w:tcW w:w="600" w:type="pct"/>
            <w:tcBorders>
              <w:top w:val="single" w:sz="4" w:space="0" w:color="auto"/>
              <w:left w:val="single" w:sz="4" w:space="0" w:color="auto"/>
              <w:bottom w:val="single" w:sz="4" w:space="0" w:color="auto"/>
              <w:right w:val="single" w:sz="4" w:space="0" w:color="auto"/>
            </w:tcBorders>
            <w:vAlign w:val="center"/>
          </w:tcPr>
          <w:p w14:paraId="7C1BF696" w14:textId="5ECE397B" w:rsidR="005F69BD" w:rsidRPr="00EB1825" w:rsidRDefault="00E901B5" w:rsidP="001F7EB3">
            <w:pPr>
              <w:pStyle w:val="TableText0"/>
            </w:pPr>
            <w:r w:rsidRPr="00E901B5">
              <w:rPr>
                <w:highlight w:val="black"/>
              </w:rPr>
              <w:t>&amp;&amp;&amp;&amp;</w:t>
            </w:r>
            <w:r w:rsidR="005F69BD" w:rsidRPr="00EB1825">
              <w:t>%</w:t>
            </w:r>
          </w:p>
        </w:tc>
      </w:tr>
      <w:tr w:rsidR="00CF3947" w:rsidRPr="00EB1825" w14:paraId="5814B3FE" w14:textId="77777777" w:rsidTr="00CF3947">
        <w:trPr>
          <w:trHeight w:val="20"/>
        </w:trPr>
        <w:tc>
          <w:tcPr>
            <w:tcW w:w="1884" w:type="pct"/>
            <w:tcBorders>
              <w:top w:val="single" w:sz="4" w:space="0" w:color="auto"/>
              <w:left w:val="single" w:sz="4" w:space="0" w:color="auto"/>
              <w:bottom w:val="single" w:sz="4" w:space="0" w:color="auto"/>
              <w:right w:val="single" w:sz="4" w:space="0" w:color="auto"/>
            </w:tcBorders>
            <w:vAlign w:val="center"/>
          </w:tcPr>
          <w:p w14:paraId="5818801B" w14:textId="6FA34F1B" w:rsidR="005F69BD" w:rsidRPr="00EB1825" w:rsidRDefault="005F69BD" w:rsidP="001F7EB3">
            <w:pPr>
              <w:pStyle w:val="TableText0"/>
            </w:pPr>
            <w:r w:rsidRPr="00EB1825">
              <w:t>Commonwealth PBS/RPBS expenditure between &gt;</w:t>
            </w:r>
            <w:r w:rsidR="00E901B5" w:rsidRPr="00E901B5">
              <w:rPr>
                <w:highlight w:val="black"/>
              </w:rPr>
              <w:t>&amp;&amp;&amp;&amp;</w:t>
            </w:r>
            <w:r w:rsidRPr="00EB1825">
              <w:t>% - ≤</w:t>
            </w:r>
            <w:r w:rsidR="00E901B5" w:rsidRPr="00E901B5">
              <w:rPr>
                <w:highlight w:val="black"/>
              </w:rPr>
              <w:t>&amp;&amp;&amp;&amp;</w:t>
            </w:r>
            <w:r w:rsidRPr="00EB1825">
              <w:t>% of agreed cap</w:t>
            </w:r>
          </w:p>
        </w:tc>
        <w:tc>
          <w:tcPr>
            <w:tcW w:w="629" w:type="pct"/>
            <w:tcBorders>
              <w:top w:val="single" w:sz="4" w:space="0" w:color="auto"/>
              <w:left w:val="single" w:sz="4" w:space="0" w:color="auto"/>
              <w:bottom w:val="single" w:sz="4" w:space="0" w:color="auto"/>
              <w:right w:val="single" w:sz="4" w:space="0" w:color="auto"/>
            </w:tcBorders>
            <w:vAlign w:val="center"/>
          </w:tcPr>
          <w:p w14:paraId="3EF77FF3" w14:textId="1E7F0B46" w:rsidR="005F69BD" w:rsidRPr="00EB1825" w:rsidRDefault="00E901B5" w:rsidP="001F7EB3">
            <w:pPr>
              <w:pStyle w:val="TableText0"/>
            </w:pPr>
            <w:r w:rsidRPr="00E901B5">
              <w:rPr>
                <w:highlight w:val="black"/>
              </w:rPr>
              <w:t>&amp;&amp;&amp;&amp;</w:t>
            </w:r>
            <w:r w:rsidR="005F69BD" w:rsidRPr="00EB1825">
              <w:t>%</w:t>
            </w:r>
          </w:p>
        </w:tc>
        <w:tc>
          <w:tcPr>
            <w:tcW w:w="629" w:type="pct"/>
            <w:tcBorders>
              <w:top w:val="single" w:sz="4" w:space="0" w:color="auto"/>
              <w:left w:val="single" w:sz="4" w:space="0" w:color="auto"/>
              <w:bottom w:val="single" w:sz="4" w:space="0" w:color="auto"/>
              <w:right w:val="single" w:sz="4" w:space="0" w:color="auto"/>
            </w:tcBorders>
            <w:vAlign w:val="center"/>
          </w:tcPr>
          <w:p w14:paraId="37F45595" w14:textId="5912E0FD" w:rsidR="005F69BD" w:rsidRPr="00EB1825" w:rsidRDefault="00E901B5" w:rsidP="001F7EB3">
            <w:pPr>
              <w:pStyle w:val="TableText0"/>
            </w:pPr>
            <w:r w:rsidRPr="00E901B5">
              <w:rPr>
                <w:highlight w:val="black"/>
              </w:rPr>
              <w:t>&amp;&amp;&amp;&amp;</w:t>
            </w:r>
            <w:r w:rsidR="005F69BD" w:rsidRPr="00EB1825">
              <w:t>%</w:t>
            </w:r>
          </w:p>
        </w:tc>
        <w:tc>
          <w:tcPr>
            <w:tcW w:w="629" w:type="pct"/>
            <w:tcBorders>
              <w:top w:val="single" w:sz="4" w:space="0" w:color="auto"/>
              <w:left w:val="single" w:sz="4" w:space="0" w:color="auto"/>
              <w:bottom w:val="single" w:sz="4" w:space="0" w:color="auto"/>
              <w:right w:val="single" w:sz="4" w:space="0" w:color="auto"/>
            </w:tcBorders>
            <w:vAlign w:val="center"/>
          </w:tcPr>
          <w:p w14:paraId="338419D5" w14:textId="095039CA" w:rsidR="005F69BD" w:rsidRPr="00EB1825" w:rsidRDefault="00E901B5" w:rsidP="001F7EB3">
            <w:pPr>
              <w:pStyle w:val="TableText0"/>
            </w:pPr>
            <w:r w:rsidRPr="00E901B5">
              <w:rPr>
                <w:highlight w:val="black"/>
              </w:rPr>
              <w:t>&amp;&amp;&amp;&amp;</w:t>
            </w:r>
            <w:r w:rsidR="005F69BD" w:rsidRPr="00EB1825">
              <w:t>%</w:t>
            </w:r>
          </w:p>
        </w:tc>
        <w:tc>
          <w:tcPr>
            <w:tcW w:w="630" w:type="pct"/>
            <w:tcBorders>
              <w:top w:val="single" w:sz="4" w:space="0" w:color="auto"/>
              <w:left w:val="single" w:sz="4" w:space="0" w:color="auto"/>
              <w:bottom w:val="single" w:sz="4" w:space="0" w:color="auto"/>
              <w:right w:val="single" w:sz="4" w:space="0" w:color="auto"/>
            </w:tcBorders>
            <w:vAlign w:val="center"/>
          </w:tcPr>
          <w:p w14:paraId="6DDFDF03" w14:textId="6D3570E0" w:rsidR="005F69BD" w:rsidRPr="00EB1825" w:rsidRDefault="00E901B5" w:rsidP="001F7EB3">
            <w:pPr>
              <w:pStyle w:val="TableText0"/>
            </w:pPr>
            <w:r w:rsidRPr="00E901B5">
              <w:rPr>
                <w:highlight w:val="black"/>
              </w:rPr>
              <w:t>&amp;&amp;&amp;&amp;</w:t>
            </w:r>
            <w:r w:rsidR="005F69BD" w:rsidRPr="00EB1825">
              <w:t>%</w:t>
            </w:r>
          </w:p>
        </w:tc>
        <w:tc>
          <w:tcPr>
            <w:tcW w:w="600" w:type="pct"/>
            <w:tcBorders>
              <w:top w:val="single" w:sz="4" w:space="0" w:color="auto"/>
              <w:left w:val="single" w:sz="4" w:space="0" w:color="auto"/>
              <w:bottom w:val="single" w:sz="4" w:space="0" w:color="auto"/>
              <w:right w:val="single" w:sz="4" w:space="0" w:color="auto"/>
            </w:tcBorders>
            <w:vAlign w:val="center"/>
          </w:tcPr>
          <w:p w14:paraId="407B5FBD" w14:textId="23086CD4" w:rsidR="005F69BD" w:rsidRPr="00EB1825" w:rsidRDefault="00E901B5" w:rsidP="001F7EB3">
            <w:pPr>
              <w:pStyle w:val="TableText0"/>
            </w:pPr>
            <w:r w:rsidRPr="00E901B5">
              <w:rPr>
                <w:highlight w:val="black"/>
              </w:rPr>
              <w:t>&amp;&amp;&amp;&amp;</w:t>
            </w:r>
            <w:r w:rsidR="005F69BD" w:rsidRPr="00EB1825">
              <w:t>%</w:t>
            </w:r>
          </w:p>
        </w:tc>
      </w:tr>
      <w:tr w:rsidR="00CF3947" w:rsidRPr="00EB1825" w14:paraId="4D779A4B" w14:textId="77777777" w:rsidTr="00CF3947">
        <w:trPr>
          <w:trHeight w:val="20"/>
        </w:trPr>
        <w:tc>
          <w:tcPr>
            <w:tcW w:w="1884" w:type="pct"/>
            <w:tcBorders>
              <w:top w:val="single" w:sz="4" w:space="0" w:color="auto"/>
              <w:left w:val="single" w:sz="4" w:space="0" w:color="auto"/>
              <w:bottom w:val="single" w:sz="4" w:space="0" w:color="auto"/>
              <w:right w:val="single" w:sz="4" w:space="0" w:color="auto"/>
            </w:tcBorders>
            <w:vAlign w:val="center"/>
          </w:tcPr>
          <w:p w14:paraId="2D4A0B6A" w14:textId="63DA1BA3" w:rsidR="005F69BD" w:rsidRPr="00EB1825" w:rsidRDefault="005F69BD" w:rsidP="001F7EB3">
            <w:pPr>
              <w:pStyle w:val="TableText0"/>
            </w:pPr>
            <w:r w:rsidRPr="00EB1825">
              <w:t>Commonwealth PBS/RPBS expenditure &gt;</w:t>
            </w:r>
            <w:r w:rsidR="00E901B5" w:rsidRPr="00E901B5">
              <w:rPr>
                <w:highlight w:val="black"/>
              </w:rPr>
              <w:t>&amp;&amp;&amp;&amp;</w:t>
            </w:r>
            <w:r w:rsidRPr="00EB1825">
              <w:t>% of agreed cap</w:t>
            </w:r>
          </w:p>
        </w:tc>
        <w:tc>
          <w:tcPr>
            <w:tcW w:w="629" w:type="pct"/>
            <w:tcBorders>
              <w:top w:val="single" w:sz="4" w:space="0" w:color="auto"/>
              <w:left w:val="single" w:sz="4" w:space="0" w:color="auto"/>
              <w:bottom w:val="single" w:sz="4" w:space="0" w:color="auto"/>
              <w:right w:val="single" w:sz="4" w:space="0" w:color="auto"/>
            </w:tcBorders>
            <w:vAlign w:val="center"/>
          </w:tcPr>
          <w:p w14:paraId="0CA4A9D1" w14:textId="16738DA9" w:rsidR="005F69BD" w:rsidRPr="00EB1825" w:rsidRDefault="00E901B5" w:rsidP="001F7EB3">
            <w:pPr>
              <w:pStyle w:val="TableText0"/>
            </w:pPr>
            <w:r w:rsidRPr="00E901B5">
              <w:rPr>
                <w:highlight w:val="black"/>
              </w:rPr>
              <w:t>&amp;&amp;&amp;&amp;</w:t>
            </w:r>
            <w:r w:rsidR="005F69BD" w:rsidRPr="00EB1825">
              <w:t>%</w:t>
            </w:r>
          </w:p>
        </w:tc>
        <w:tc>
          <w:tcPr>
            <w:tcW w:w="629" w:type="pct"/>
            <w:tcBorders>
              <w:top w:val="single" w:sz="4" w:space="0" w:color="auto"/>
              <w:left w:val="single" w:sz="4" w:space="0" w:color="auto"/>
              <w:bottom w:val="single" w:sz="4" w:space="0" w:color="auto"/>
              <w:right w:val="single" w:sz="4" w:space="0" w:color="auto"/>
            </w:tcBorders>
            <w:vAlign w:val="center"/>
          </w:tcPr>
          <w:p w14:paraId="24137545" w14:textId="3F1CC68A" w:rsidR="005F69BD" w:rsidRPr="007A6444" w:rsidRDefault="00E901B5" w:rsidP="001F7EB3">
            <w:pPr>
              <w:pStyle w:val="TableText0"/>
            </w:pPr>
            <w:r w:rsidRPr="00E901B5">
              <w:rPr>
                <w:highlight w:val="black"/>
              </w:rPr>
              <w:t>&amp;&amp;&amp;&amp;</w:t>
            </w:r>
            <w:r w:rsidR="005F69BD" w:rsidRPr="007A6444">
              <w:t>%</w:t>
            </w:r>
          </w:p>
        </w:tc>
        <w:tc>
          <w:tcPr>
            <w:tcW w:w="629" w:type="pct"/>
            <w:tcBorders>
              <w:top w:val="single" w:sz="4" w:space="0" w:color="auto"/>
              <w:left w:val="single" w:sz="4" w:space="0" w:color="auto"/>
              <w:bottom w:val="single" w:sz="4" w:space="0" w:color="auto"/>
              <w:right w:val="single" w:sz="4" w:space="0" w:color="auto"/>
            </w:tcBorders>
            <w:vAlign w:val="center"/>
          </w:tcPr>
          <w:p w14:paraId="19869057" w14:textId="745B1835" w:rsidR="005F69BD" w:rsidRPr="007A6444" w:rsidRDefault="00E901B5" w:rsidP="001F7EB3">
            <w:pPr>
              <w:pStyle w:val="TableText0"/>
            </w:pPr>
            <w:r w:rsidRPr="00E901B5">
              <w:rPr>
                <w:highlight w:val="black"/>
              </w:rPr>
              <w:t>&amp;&amp;&amp;&amp;</w:t>
            </w:r>
            <w:r w:rsidR="005F69BD" w:rsidRPr="007A6444">
              <w:t>%</w:t>
            </w:r>
          </w:p>
        </w:tc>
        <w:tc>
          <w:tcPr>
            <w:tcW w:w="630" w:type="pct"/>
            <w:tcBorders>
              <w:top w:val="single" w:sz="4" w:space="0" w:color="auto"/>
              <w:left w:val="single" w:sz="4" w:space="0" w:color="auto"/>
              <w:bottom w:val="single" w:sz="4" w:space="0" w:color="auto"/>
              <w:right w:val="single" w:sz="4" w:space="0" w:color="auto"/>
            </w:tcBorders>
            <w:vAlign w:val="center"/>
          </w:tcPr>
          <w:p w14:paraId="5A5C1CE4" w14:textId="0EDB0091" w:rsidR="005F69BD" w:rsidRPr="00EB1825" w:rsidRDefault="00E901B5" w:rsidP="001F7EB3">
            <w:pPr>
              <w:pStyle w:val="TableText0"/>
            </w:pPr>
            <w:r w:rsidRPr="00E901B5">
              <w:rPr>
                <w:highlight w:val="black"/>
              </w:rPr>
              <w:t>&amp;&amp;&amp;&amp;</w:t>
            </w:r>
            <w:r w:rsidR="005F69BD" w:rsidRPr="00EB1825">
              <w:t>%</w:t>
            </w:r>
          </w:p>
        </w:tc>
        <w:tc>
          <w:tcPr>
            <w:tcW w:w="600" w:type="pct"/>
            <w:tcBorders>
              <w:top w:val="single" w:sz="4" w:space="0" w:color="auto"/>
              <w:left w:val="single" w:sz="4" w:space="0" w:color="auto"/>
              <w:bottom w:val="single" w:sz="4" w:space="0" w:color="auto"/>
              <w:right w:val="single" w:sz="4" w:space="0" w:color="auto"/>
            </w:tcBorders>
            <w:vAlign w:val="center"/>
          </w:tcPr>
          <w:p w14:paraId="1ACD3504" w14:textId="6B9F428E" w:rsidR="005F69BD" w:rsidRPr="00EB1825" w:rsidRDefault="00E901B5" w:rsidP="001F7EB3">
            <w:pPr>
              <w:pStyle w:val="TableText0"/>
            </w:pPr>
            <w:r w:rsidRPr="00E901B5">
              <w:rPr>
                <w:highlight w:val="black"/>
              </w:rPr>
              <w:t>&amp;&amp;&amp;&amp;</w:t>
            </w:r>
            <w:r w:rsidR="005F69BD" w:rsidRPr="00EB1825">
              <w:t>%</w:t>
            </w:r>
          </w:p>
        </w:tc>
      </w:tr>
    </w:tbl>
    <w:p w14:paraId="0066FFCC" w14:textId="77777777" w:rsidR="005F69BD" w:rsidRPr="00EB1825" w:rsidRDefault="005F69BD" w:rsidP="001F7EB3">
      <w:pPr>
        <w:pStyle w:val="TableFigureFooter"/>
        <w:keepNext/>
      </w:pPr>
      <w:r w:rsidRPr="00EB1825">
        <w:t>Source: Table 4.6-3, p124 of the resubmission.</w:t>
      </w:r>
    </w:p>
    <w:p w14:paraId="0A6FF2B4" w14:textId="558E1D33" w:rsidR="005F69BD" w:rsidRPr="00EB1825" w:rsidRDefault="005F69BD" w:rsidP="005F69BD">
      <w:pPr>
        <w:pStyle w:val="TableFigureFooter"/>
      </w:pPr>
      <w:r w:rsidRPr="00EB1825">
        <w:t xml:space="preserve">PBS=Pharmaceutical Benefits Scheme; RPBS=Repatriation Pharmaceutical Benefits Scheme; RSA=Risk Share Agreement </w:t>
      </w:r>
    </w:p>
    <w:p w14:paraId="480301AC" w14:textId="77362DDE" w:rsidR="00124414" w:rsidRPr="00EB1825" w:rsidRDefault="00124414" w:rsidP="00766C07">
      <w:pPr>
        <w:pStyle w:val="3-BodyText"/>
      </w:pPr>
      <w:r w:rsidRPr="00EB1825">
        <w:t xml:space="preserve">The resubmission proposed a rebate of </w:t>
      </w:r>
      <w:r w:rsidR="00E901B5" w:rsidRPr="00E901B5">
        <w:rPr>
          <w:highlight w:val="black"/>
        </w:rPr>
        <w:t>&amp;&amp;&amp;&amp;</w:t>
      </w:r>
      <w:r w:rsidRPr="00EB1825">
        <w:t xml:space="preserve">% for expenditure between </w:t>
      </w:r>
      <w:r w:rsidR="00E901B5" w:rsidRPr="00E901B5">
        <w:rPr>
          <w:highlight w:val="black"/>
        </w:rPr>
        <w:t>&amp;&amp;&amp;&amp;</w:t>
      </w:r>
      <w:r w:rsidRPr="00EB1825">
        <w:t xml:space="preserve">% and </w:t>
      </w:r>
      <w:r w:rsidR="00E901B5" w:rsidRPr="00E901B5">
        <w:rPr>
          <w:highlight w:val="black"/>
        </w:rPr>
        <w:t>&amp;&amp;&amp;&amp;</w:t>
      </w:r>
      <w:r w:rsidRPr="00EB1825">
        <w:t xml:space="preserve">% of expected utilisation. </w:t>
      </w:r>
    </w:p>
    <w:p w14:paraId="51636C83" w14:textId="13C7EA77" w:rsidR="000A3FBF" w:rsidRPr="00EB1825" w:rsidRDefault="000A3FBF" w:rsidP="00766C07">
      <w:pPr>
        <w:pStyle w:val="3-BodyText"/>
      </w:pPr>
      <w:r w:rsidRPr="00EB1825">
        <w:t xml:space="preserve">The ESC considered that </w:t>
      </w:r>
      <w:r w:rsidR="003C34D4" w:rsidRPr="00EB1825">
        <w:t>the</w:t>
      </w:r>
      <w:r w:rsidR="0099159A" w:rsidRPr="00EB1825">
        <w:t xml:space="preserve"> </w:t>
      </w:r>
      <w:r w:rsidR="004913B0" w:rsidRPr="00EB1825">
        <w:t>proposed</w:t>
      </w:r>
      <w:r w:rsidR="003C34D4" w:rsidRPr="00EB1825">
        <w:t xml:space="preserve"> three-tiered RSA </w:t>
      </w:r>
      <w:r w:rsidR="00B850D8">
        <w:t>wa</w:t>
      </w:r>
      <w:r w:rsidR="001B1D9E" w:rsidRPr="00EB1825">
        <w:t xml:space="preserve">s overly complex, and that a </w:t>
      </w:r>
      <w:r w:rsidR="0099159A" w:rsidRPr="00EB1825">
        <w:t>single tier RSA with a hard cap may be more appropriate</w:t>
      </w:r>
      <w:r w:rsidR="009D3A51" w:rsidRPr="00EB1825">
        <w:t xml:space="preserve">. </w:t>
      </w:r>
      <w:r w:rsidR="00FB4D38" w:rsidRPr="00EB1825">
        <w:t xml:space="preserve">The ESC noted </w:t>
      </w:r>
      <w:r w:rsidR="00B974CC" w:rsidRPr="00EB1825">
        <w:t xml:space="preserve">that RSA caps would </w:t>
      </w:r>
      <w:r w:rsidR="00FB4D38" w:rsidRPr="00EB1825">
        <w:t xml:space="preserve">also </w:t>
      </w:r>
      <w:r w:rsidR="00B974CC" w:rsidRPr="00EB1825">
        <w:t>need to be reduced to reflect updates to financial estimates</w:t>
      </w:r>
      <w:r w:rsidR="0099159A" w:rsidRPr="00EB1825">
        <w:t xml:space="preserve">. </w:t>
      </w:r>
    </w:p>
    <w:p w14:paraId="00EFB2C7" w14:textId="072C7CB0" w:rsidR="00F13559" w:rsidRDefault="00F13559" w:rsidP="00766C07">
      <w:pPr>
        <w:pStyle w:val="3-BodyText"/>
        <w:spacing w:after="120"/>
        <w:rPr>
          <w:iCs/>
        </w:rPr>
      </w:pPr>
      <w:bookmarkStart w:id="112" w:name="_Ref213945346"/>
      <w:bookmarkStart w:id="113" w:name="_Toc208999815"/>
      <w:bookmarkEnd w:id="111"/>
      <w:r>
        <w:rPr>
          <w:iCs/>
        </w:rPr>
        <w:t>The</w:t>
      </w:r>
      <w:r w:rsidRPr="00F13559">
        <w:rPr>
          <w:iCs/>
        </w:rPr>
        <w:t xml:space="preserve"> pre-PBAC </w:t>
      </w:r>
      <w:r>
        <w:rPr>
          <w:iCs/>
        </w:rPr>
        <w:t>response proposed a revised, single-tier RSA</w:t>
      </w:r>
      <w:r w:rsidR="007C50D0">
        <w:rPr>
          <w:iCs/>
        </w:rPr>
        <w:t>, which requested that</w:t>
      </w:r>
      <w:r w:rsidRPr="00F13559">
        <w:rPr>
          <w:iCs/>
        </w:rPr>
        <w:t xml:space="preserve"> that the caps be set at </w:t>
      </w:r>
      <w:r w:rsidR="00E901B5" w:rsidRPr="00E901B5">
        <w:rPr>
          <w:iCs/>
          <w:highlight w:val="black"/>
        </w:rPr>
        <w:t>&amp;&amp;&amp;&amp;</w:t>
      </w:r>
      <w:r w:rsidRPr="00F13559">
        <w:rPr>
          <w:iCs/>
        </w:rPr>
        <w:t xml:space="preserve">% above the revised financial estimates to account for the uncertainty in epidemiology of </w:t>
      </w:r>
      <w:r w:rsidR="004414DE">
        <w:rPr>
          <w:iCs/>
        </w:rPr>
        <w:t>“</w:t>
      </w:r>
      <w:r w:rsidRPr="00F13559">
        <w:rPr>
          <w:iCs/>
        </w:rPr>
        <w:t>MHT contraindicat</w:t>
      </w:r>
      <w:r w:rsidR="004414DE">
        <w:rPr>
          <w:iCs/>
        </w:rPr>
        <w:t>ed’</w:t>
      </w:r>
      <w:r w:rsidRPr="00F13559">
        <w:rPr>
          <w:iCs/>
        </w:rPr>
        <w:t xml:space="preserve"> and </w:t>
      </w:r>
      <w:r w:rsidR="004414DE">
        <w:rPr>
          <w:iCs/>
        </w:rPr>
        <w:t>“</w:t>
      </w:r>
      <w:r w:rsidRPr="00F13559">
        <w:rPr>
          <w:iCs/>
        </w:rPr>
        <w:t xml:space="preserve">MHT </w:t>
      </w:r>
      <w:r w:rsidR="00B850D8">
        <w:rPr>
          <w:iCs/>
        </w:rPr>
        <w:t>s</w:t>
      </w:r>
      <w:r w:rsidRPr="00F13559">
        <w:rPr>
          <w:iCs/>
        </w:rPr>
        <w:t>toppers</w:t>
      </w:r>
      <w:r w:rsidR="004414DE">
        <w:rPr>
          <w:iCs/>
        </w:rPr>
        <w:t>”,</w:t>
      </w:r>
      <w:r w:rsidRPr="00F13559">
        <w:rPr>
          <w:iCs/>
        </w:rPr>
        <w:t xml:space="preserve"> and propose</w:t>
      </w:r>
      <w:r w:rsidR="00B850D8">
        <w:rPr>
          <w:iCs/>
        </w:rPr>
        <w:t>d</w:t>
      </w:r>
      <w:r w:rsidRPr="00F13559">
        <w:rPr>
          <w:iCs/>
        </w:rPr>
        <w:t xml:space="preserve"> a rebate of </w:t>
      </w:r>
      <w:r w:rsidR="00E901B5" w:rsidRPr="00E901B5">
        <w:rPr>
          <w:iCs/>
          <w:highlight w:val="black"/>
        </w:rPr>
        <w:t>&amp;&amp;&amp;&amp;</w:t>
      </w:r>
      <w:r w:rsidRPr="00F13559">
        <w:rPr>
          <w:iCs/>
        </w:rPr>
        <w:t>% on Commonwealth expenditure exceeding the agreed subsidisation cap in any one year</w:t>
      </w:r>
      <w:r w:rsidR="007C50D0">
        <w:rPr>
          <w:iCs/>
        </w:rPr>
        <w:t xml:space="preserve"> (</w:t>
      </w:r>
      <w:r w:rsidR="00047B24">
        <w:rPr>
          <w:iCs/>
        </w:rPr>
        <w:fldChar w:fldCharType="begin"/>
      </w:r>
      <w:r w:rsidR="00047B24">
        <w:rPr>
          <w:iCs/>
        </w:rPr>
        <w:instrText xml:space="preserve"> REF _Ref213945160 \h </w:instrText>
      </w:r>
      <w:r w:rsidR="00047B24">
        <w:rPr>
          <w:iCs/>
        </w:rPr>
      </w:r>
      <w:r w:rsidR="00047B24">
        <w:rPr>
          <w:iCs/>
        </w:rPr>
        <w:fldChar w:fldCharType="separate"/>
      </w:r>
      <w:r w:rsidR="00946DF5">
        <w:t xml:space="preserve">Table </w:t>
      </w:r>
      <w:r w:rsidR="00946DF5">
        <w:rPr>
          <w:noProof/>
        </w:rPr>
        <w:t>22</w:t>
      </w:r>
      <w:r w:rsidR="00047B24">
        <w:rPr>
          <w:iCs/>
        </w:rPr>
        <w:fldChar w:fldCharType="end"/>
      </w:r>
      <w:r w:rsidR="007C50D0">
        <w:rPr>
          <w:iCs/>
        </w:rPr>
        <w:t>).</w:t>
      </w:r>
      <w:bookmarkEnd w:id="112"/>
    </w:p>
    <w:p w14:paraId="574946DA" w14:textId="67059292" w:rsidR="009E0289" w:rsidRDefault="009E0289" w:rsidP="00047B24">
      <w:pPr>
        <w:pStyle w:val="Caption"/>
      </w:pPr>
      <w:bookmarkStart w:id="114" w:name="_Ref213945160"/>
      <w:r>
        <w:t xml:space="preserve">Table </w:t>
      </w:r>
      <w:r w:rsidR="005B6061">
        <w:fldChar w:fldCharType="begin"/>
      </w:r>
      <w:r w:rsidR="005B6061">
        <w:instrText xml:space="preserve"> SEQ Table \* ARABIC </w:instrText>
      </w:r>
      <w:r w:rsidR="005B6061">
        <w:fldChar w:fldCharType="separate"/>
      </w:r>
      <w:r w:rsidR="00946DF5">
        <w:rPr>
          <w:noProof/>
        </w:rPr>
        <w:t>22</w:t>
      </w:r>
      <w:r w:rsidR="005B6061">
        <w:rPr>
          <w:noProof/>
        </w:rPr>
        <w:fldChar w:fldCharType="end"/>
      </w:r>
      <w:bookmarkEnd w:id="114"/>
      <w:r w:rsidR="00A24C4C">
        <w:rPr>
          <w:noProof/>
        </w:rPr>
        <w:t>:</w:t>
      </w:r>
      <w:r>
        <w:t xml:space="preserve"> </w:t>
      </w:r>
      <w:r w:rsidRPr="005D4BF8">
        <w:t xml:space="preserve">Proposed RSA for </w:t>
      </w:r>
      <w:proofErr w:type="spellStart"/>
      <w:r w:rsidRPr="005D4BF8">
        <w:t>fezolinetant</w:t>
      </w:r>
      <w:proofErr w:type="spellEnd"/>
      <w:r w:rsidRPr="005D4BF8">
        <w:t xml:space="preserve"> in post-menopausal women with moderate to severe VMS who are unsuitable for MHT</w:t>
      </w:r>
    </w:p>
    <w:tbl>
      <w:tblPr>
        <w:tblStyle w:val="TableGrid"/>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2: Proposed RSA for fezolinetant in post-menopausal women with moderate to severe VMS who are unsuitable for MHT"/>
      </w:tblPr>
      <w:tblGrid>
        <w:gridCol w:w="2694"/>
        <w:gridCol w:w="1264"/>
        <w:gridCol w:w="1265"/>
        <w:gridCol w:w="1264"/>
        <w:gridCol w:w="1265"/>
        <w:gridCol w:w="1265"/>
      </w:tblGrid>
      <w:tr w:rsidR="00215649" w:rsidRPr="008214FC" w14:paraId="35369495" w14:textId="4A899A4D" w:rsidTr="00632E4C">
        <w:tc>
          <w:tcPr>
            <w:tcW w:w="2694" w:type="dxa"/>
          </w:tcPr>
          <w:p w14:paraId="43205601" w14:textId="2151CAC0" w:rsidR="00215649" w:rsidRPr="008214FC" w:rsidRDefault="00215649" w:rsidP="00047B24">
            <w:pPr>
              <w:pStyle w:val="Tabletext"/>
              <w:keepNext/>
              <w:keepLines/>
              <w:rPr>
                <w:b/>
                <w:bCs/>
                <w:iCs/>
              </w:rPr>
            </w:pPr>
            <w:r w:rsidRPr="008214FC">
              <w:rPr>
                <w:b/>
                <w:bCs/>
              </w:rPr>
              <w:t>RSA Criteria</w:t>
            </w:r>
          </w:p>
        </w:tc>
        <w:tc>
          <w:tcPr>
            <w:tcW w:w="1264" w:type="dxa"/>
          </w:tcPr>
          <w:p w14:paraId="4A902B78" w14:textId="59DBF7B2" w:rsidR="00215649" w:rsidRPr="008214FC" w:rsidRDefault="00215649" w:rsidP="00047B24">
            <w:pPr>
              <w:pStyle w:val="Tabletext"/>
              <w:keepNext/>
              <w:keepLines/>
              <w:rPr>
                <w:b/>
                <w:bCs/>
                <w:iCs/>
              </w:rPr>
            </w:pPr>
            <w:r w:rsidRPr="008214FC">
              <w:rPr>
                <w:b/>
                <w:bCs/>
              </w:rPr>
              <w:t>Deed Year 1</w:t>
            </w:r>
          </w:p>
        </w:tc>
        <w:tc>
          <w:tcPr>
            <w:tcW w:w="1265" w:type="dxa"/>
          </w:tcPr>
          <w:p w14:paraId="17E082E6" w14:textId="66BA6099" w:rsidR="00215649" w:rsidRPr="008214FC" w:rsidRDefault="00215649" w:rsidP="00047B24">
            <w:pPr>
              <w:pStyle w:val="Tabletext"/>
              <w:keepNext/>
              <w:keepLines/>
              <w:rPr>
                <w:b/>
                <w:bCs/>
                <w:iCs/>
              </w:rPr>
            </w:pPr>
            <w:r w:rsidRPr="008214FC">
              <w:rPr>
                <w:b/>
                <w:bCs/>
              </w:rPr>
              <w:t>Deed Year 2</w:t>
            </w:r>
          </w:p>
        </w:tc>
        <w:tc>
          <w:tcPr>
            <w:tcW w:w="1264" w:type="dxa"/>
          </w:tcPr>
          <w:p w14:paraId="1B0A5F0A" w14:textId="1718ADDE" w:rsidR="00215649" w:rsidRPr="008214FC" w:rsidRDefault="00215649" w:rsidP="00047B24">
            <w:pPr>
              <w:pStyle w:val="Tabletext"/>
              <w:keepNext/>
              <w:keepLines/>
              <w:rPr>
                <w:b/>
                <w:bCs/>
                <w:iCs/>
              </w:rPr>
            </w:pPr>
            <w:r w:rsidRPr="008214FC">
              <w:rPr>
                <w:b/>
                <w:bCs/>
              </w:rPr>
              <w:t>Deed Year 3</w:t>
            </w:r>
          </w:p>
        </w:tc>
        <w:tc>
          <w:tcPr>
            <w:tcW w:w="1265" w:type="dxa"/>
          </w:tcPr>
          <w:p w14:paraId="77ECBFEC" w14:textId="28D2E0C9" w:rsidR="00215649" w:rsidRPr="008214FC" w:rsidRDefault="00215649" w:rsidP="00047B24">
            <w:pPr>
              <w:pStyle w:val="Tabletext"/>
              <w:keepNext/>
              <w:keepLines/>
              <w:rPr>
                <w:b/>
                <w:bCs/>
                <w:iCs/>
              </w:rPr>
            </w:pPr>
            <w:r w:rsidRPr="008214FC">
              <w:rPr>
                <w:b/>
                <w:bCs/>
              </w:rPr>
              <w:t>Deed Year 4</w:t>
            </w:r>
          </w:p>
        </w:tc>
        <w:tc>
          <w:tcPr>
            <w:tcW w:w="1265" w:type="dxa"/>
          </w:tcPr>
          <w:p w14:paraId="508BB0E7" w14:textId="3D064F45" w:rsidR="00215649" w:rsidRPr="008214FC" w:rsidRDefault="00215649" w:rsidP="00047B24">
            <w:pPr>
              <w:pStyle w:val="Tabletext"/>
              <w:keepNext/>
              <w:keepLines/>
              <w:rPr>
                <w:b/>
                <w:bCs/>
                <w:iCs/>
              </w:rPr>
            </w:pPr>
            <w:r w:rsidRPr="008214FC">
              <w:rPr>
                <w:b/>
                <w:bCs/>
              </w:rPr>
              <w:t>Deed Year 5</w:t>
            </w:r>
          </w:p>
        </w:tc>
      </w:tr>
      <w:tr w:rsidR="00215649" w14:paraId="22BCA67B" w14:textId="6217F463" w:rsidTr="00632E4C">
        <w:tc>
          <w:tcPr>
            <w:tcW w:w="2694" w:type="dxa"/>
          </w:tcPr>
          <w:p w14:paraId="1718B55B" w14:textId="1D2D1A99" w:rsidR="00215649" w:rsidRDefault="00215649" w:rsidP="00047B24">
            <w:pPr>
              <w:pStyle w:val="Tabletext"/>
              <w:keepNext/>
              <w:keepLines/>
              <w:rPr>
                <w:iCs/>
              </w:rPr>
            </w:pPr>
            <w:r w:rsidRPr="00FA61B0">
              <w:t>Commonwealth Expenditure (</w:t>
            </w:r>
            <w:r w:rsidR="00E901B5" w:rsidRPr="00E901B5">
              <w:rPr>
                <w:highlight w:val="black"/>
              </w:rPr>
              <w:t>&amp;&amp;&amp;&amp;</w:t>
            </w:r>
            <w:r w:rsidRPr="00FA61B0">
              <w:t>% financial estimates)</w:t>
            </w:r>
          </w:p>
        </w:tc>
        <w:tc>
          <w:tcPr>
            <w:tcW w:w="1264" w:type="dxa"/>
          </w:tcPr>
          <w:p w14:paraId="29F2186F" w14:textId="5E1CDA1E" w:rsidR="00215649" w:rsidRDefault="00215649" w:rsidP="00047B24">
            <w:pPr>
              <w:pStyle w:val="Tabletext"/>
              <w:keepNext/>
              <w:keepLines/>
              <w:rPr>
                <w:iCs/>
              </w:rPr>
            </w:pPr>
            <w:r w:rsidRPr="00FA61B0">
              <w:t>$</w:t>
            </w:r>
            <w:r w:rsidR="00E901B5" w:rsidRPr="00E901B5">
              <w:rPr>
                <w:highlight w:val="black"/>
              </w:rPr>
              <w:t>&amp;&amp;&amp;&amp;</w:t>
            </w:r>
          </w:p>
        </w:tc>
        <w:tc>
          <w:tcPr>
            <w:tcW w:w="1265" w:type="dxa"/>
          </w:tcPr>
          <w:p w14:paraId="47A032E4" w14:textId="5B8101EF" w:rsidR="00215649" w:rsidRDefault="00215649" w:rsidP="00047B24">
            <w:pPr>
              <w:pStyle w:val="Tabletext"/>
              <w:keepNext/>
              <w:keepLines/>
              <w:rPr>
                <w:iCs/>
              </w:rPr>
            </w:pPr>
            <w:r w:rsidRPr="00FA61B0">
              <w:t>$</w:t>
            </w:r>
            <w:r w:rsidR="00E901B5" w:rsidRPr="00E901B5">
              <w:rPr>
                <w:highlight w:val="black"/>
              </w:rPr>
              <w:t>&amp;&amp;&amp;&amp;</w:t>
            </w:r>
          </w:p>
        </w:tc>
        <w:tc>
          <w:tcPr>
            <w:tcW w:w="1264" w:type="dxa"/>
          </w:tcPr>
          <w:p w14:paraId="67CD2320" w14:textId="0C054030" w:rsidR="00215649" w:rsidRDefault="00215649" w:rsidP="00047B24">
            <w:pPr>
              <w:pStyle w:val="Tabletext"/>
              <w:keepNext/>
              <w:keepLines/>
              <w:rPr>
                <w:iCs/>
              </w:rPr>
            </w:pPr>
            <w:r w:rsidRPr="00FA61B0">
              <w:t>$</w:t>
            </w:r>
            <w:r w:rsidR="00E901B5" w:rsidRPr="00E901B5">
              <w:rPr>
                <w:highlight w:val="black"/>
              </w:rPr>
              <w:t>&amp;&amp;&amp;&amp;</w:t>
            </w:r>
          </w:p>
        </w:tc>
        <w:tc>
          <w:tcPr>
            <w:tcW w:w="1265" w:type="dxa"/>
          </w:tcPr>
          <w:p w14:paraId="43C97BB6" w14:textId="7897D489" w:rsidR="00215649" w:rsidRDefault="00215649" w:rsidP="00047B24">
            <w:pPr>
              <w:pStyle w:val="Tabletext"/>
              <w:keepNext/>
              <w:keepLines/>
              <w:rPr>
                <w:iCs/>
              </w:rPr>
            </w:pPr>
            <w:r w:rsidRPr="00FA61B0">
              <w:t>$</w:t>
            </w:r>
            <w:r w:rsidR="00E901B5" w:rsidRPr="00E901B5">
              <w:rPr>
                <w:highlight w:val="black"/>
              </w:rPr>
              <w:t>&amp;&amp;&amp;&amp;</w:t>
            </w:r>
          </w:p>
        </w:tc>
        <w:tc>
          <w:tcPr>
            <w:tcW w:w="1265" w:type="dxa"/>
          </w:tcPr>
          <w:p w14:paraId="239BBCFA" w14:textId="610179C6" w:rsidR="00215649" w:rsidRDefault="00215649" w:rsidP="00047B24">
            <w:pPr>
              <w:pStyle w:val="Tabletext"/>
              <w:keepNext/>
              <w:keepLines/>
              <w:rPr>
                <w:iCs/>
              </w:rPr>
            </w:pPr>
            <w:r w:rsidRPr="00FA61B0">
              <w:t>$</w:t>
            </w:r>
            <w:r w:rsidR="00E901B5" w:rsidRPr="00E901B5">
              <w:rPr>
                <w:highlight w:val="black"/>
              </w:rPr>
              <w:t>&amp;&amp;&amp;&amp;</w:t>
            </w:r>
          </w:p>
        </w:tc>
      </w:tr>
    </w:tbl>
    <w:p w14:paraId="753120DC" w14:textId="7E0DADDF" w:rsidR="00631521" w:rsidRDefault="00104AB8" w:rsidP="00047B24">
      <w:pPr>
        <w:pStyle w:val="TableFooter"/>
        <w:keepNext/>
        <w:keepLines/>
      </w:pPr>
      <w:r>
        <w:t xml:space="preserve">Source: </w:t>
      </w:r>
      <w:r w:rsidR="00AC1B8C">
        <w:t xml:space="preserve">table 2, </w:t>
      </w:r>
      <w:r>
        <w:t xml:space="preserve">pre-PBAC response. </w:t>
      </w:r>
    </w:p>
    <w:p w14:paraId="0FAE2291" w14:textId="77777777" w:rsidR="00047B24" w:rsidRPr="00104AB8" w:rsidRDefault="00047B24" w:rsidP="00047B24">
      <w:pPr>
        <w:pStyle w:val="TableFooter"/>
        <w:keepNext/>
        <w:keepLines/>
      </w:pPr>
      <w:r>
        <w:rPr>
          <w:iCs/>
        </w:rPr>
        <w:t xml:space="preserve">RSA, risk sharing agreement, SC, subsidisation cap. </w:t>
      </w:r>
    </w:p>
    <w:p w14:paraId="1356ACFD" w14:textId="77777777" w:rsidR="004D1A26" w:rsidRPr="00EB1825" w:rsidRDefault="004D1A26" w:rsidP="00766C07">
      <w:pPr>
        <w:pStyle w:val="3-BodyText"/>
        <w:numPr>
          <w:ilvl w:val="0"/>
          <w:numId w:val="0"/>
        </w:numPr>
        <w:ind w:left="720" w:hanging="720"/>
        <w:rPr>
          <w:iCs/>
        </w:rPr>
      </w:pPr>
    </w:p>
    <w:p w14:paraId="6E545EA3" w14:textId="77777777" w:rsidR="00DF5B41" w:rsidRPr="00EB1825" w:rsidRDefault="00DF5B41" w:rsidP="00DF5B41">
      <w:pPr>
        <w:rPr>
          <w:rFonts w:asciiTheme="minorHAnsi" w:hAnsiTheme="minorHAnsi"/>
          <w:i/>
        </w:rPr>
      </w:pPr>
      <w:r w:rsidRPr="00EB1825">
        <w:rPr>
          <w:rFonts w:asciiTheme="minorHAnsi" w:hAnsiTheme="minorHAnsi"/>
          <w:i/>
        </w:rPr>
        <w:t>For more detail on PBAC’s view, see section 7 PBAC outcome.</w:t>
      </w:r>
    </w:p>
    <w:p w14:paraId="431379D6" w14:textId="77777777" w:rsidR="00631521" w:rsidRPr="00EB1825" w:rsidRDefault="00631521" w:rsidP="00766C07">
      <w:pPr>
        <w:pStyle w:val="3-BodyText"/>
        <w:numPr>
          <w:ilvl w:val="0"/>
          <w:numId w:val="0"/>
        </w:numPr>
        <w:ind w:left="720" w:hanging="720"/>
        <w:rPr>
          <w:iCs/>
        </w:rPr>
      </w:pPr>
    </w:p>
    <w:p w14:paraId="2B2DAA2B" w14:textId="77777777" w:rsidR="00935CB1" w:rsidRPr="00EB1825" w:rsidRDefault="00935CB1" w:rsidP="00935CB1">
      <w:pPr>
        <w:pStyle w:val="2-SectionHeading"/>
        <w:numPr>
          <w:ilvl w:val="0"/>
          <w:numId w:val="1"/>
        </w:numPr>
      </w:pPr>
      <w:bookmarkStart w:id="115" w:name="_Hlk76381249"/>
      <w:bookmarkStart w:id="116" w:name="_Hlk76377955"/>
      <w:r w:rsidRPr="00EB1825">
        <w:t>PBAC Outcome</w:t>
      </w:r>
    </w:p>
    <w:p w14:paraId="1144913B" w14:textId="768E0AE3" w:rsidR="00D06DD6" w:rsidRPr="004650A6" w:rsidRDefault="00935CB1" w:rsidP="00766C07">
      <w:pPr>
        <w:pStyle w:val="3-BodyText"/>
        <w:rPr>
          <w:snapToGrid w:val="0"/>
        </w:rPr>
      </w:pPr>
      <w:r w:rsidRPr="004650A6">
        <w:rPr>
          <w:snapToGrid w:val="0"/>
        </w:rPr>
        <w:t xml:space="preserve">The PBAC recommended the listing of </w:t>
      </w:r>
      <w:proofErr w:type="spellStart"/>
      <w:r w:rsidR="00194B47" w:rsidRPr="004650A6">
        <w:rPr>
          <w:snapToGrid w:val="0"/>
        </w:rPr>
        <w:t>fezolinetant</w:t>
      </w:r>
      <w:proofErr w:type="spellEnd"/>
      <w:r w:rsidR="00D06DD6" w:rsidRPr="004650A6">
        <w:rPr>
          <w:snapToGrid w:val="0"/>
        </w:rPr>
        <w:t xml:space="preserve">, for the treatment of moderate to severe menopause-related vasomotor symptoms (VMS). The PBAC considered that there is a clinical need for non-hormonal treatments in patients who cannot take </w:t>
      </w:r>
      <w:r w:rsidR="00A61694">
        <w:rPr>
          <w:snapToGrid w:val="0"/>
        </w:rPr>
        <w:t>m</w:t>
      </w:r>
      <w:r w:rsidR="00D06DD6" w:rsidRPr="004650A6">
        <w:rPr>
          <w:snapToGrid w:val="0"/>
        </w:rPr>
        <w:t xml:space="preserve">enopausal </w:t>
      </w:r>
      <w:r w:rsidR="00A61694">
        <w:rPr>
          <w:snapToGrid w:val="0"/>
        </w:rPr>
        <w:t>h</w:t>
      </w:r>
      <w:r w:rsidR="00D06DD6" w:rsidRPr="004650A6">
        <w:rPr>
          <w:snapToGrid w:val="0"/>
        </w:rPr>
        <w:t xml:space="preserve">ormone </w:t>
      </w:r>
      <w:r w:rsidR="00A61694">
        <w:rPr>
          <w:snapToGrid w:val="0"/>
        </w:rPr>
        <w:t>t</w:t>
      </w:r>
      <w:r w:rsidR="00D06DD6" w:rsidRPr="004650A6">
        <w:rPr>
          <w:snapToGrid w:val="0"/>
        </w:rPr>
        <w:t>herapy (MHT) (</w:t>
      </w:r>
      <w:r w:rsidR="00721A50" w:rsidRPr="004650A6">
        <w:rPr>
          <w:snapToGrid w:val="0"/>
        </w:rPr>
        <w:t>i.e.</w:t>
      </w:r>
      <w:r w:rsidR="00282482">
        <w:rPr>
          <w:snapToGrid w:val="0"/>
        </w:rPr>
        <w:t>,</w:t>
      </w:r>
      <w:r w:rsidR="00D06DD6" w:rsidRPr="004650A6">
        <w:rPr>
          <w:snapToGrid w:val="0"/>
        </w:rPr>
        <w:t xml:space="preserve"> are contraindicated, have experienced side-effects necessitating withdrawal, or have had an inadequate response). The PBAC considered that the revised proposed clinical place for </w:t>
      </w:r>
      <w:proofErr w:type="spellStart"/>
      <w:r w:rsidR="00D06DD6" w:rsidRPr="004650A6">
        <w:rPr>
          <w:snapToGrid w:val="0"/>
        </w:rPr>
        <w:t>fezolinetant</w:t>
      </w:r>
      <w:proofErr w:type="spellEnd"/>
      <w:r w:rsidR="00D06DD6" w:rsidRPr="004650A6">
        <w:rPr>
          <w:snapToGrid w:val="0"/>
        </w:rPr>
        <w:t xml:space="preserve"> </w:t>
      </w:r>
      <w:r w:rsidR="00492882">
        <w:rPr>
          <w:snapToGrid w:val="0"/>
        </w:rPr>
        <w:t>presented</w:t>
      </w:r>
      <w:r w:rsidR="00492882" w:rsidRPr="004650A6">
        <w:rPr>
          <w:snapToGrid w:val="0"/>
        </w:rPr>
        <w:t xml:space="preserve"> </w:t>
      </w:r>
      <w:r w:rsidR="00D06DD6" w:rsidRPr="004650A6">
        <w:rPr>
          <w:snapToGrid w:val="0"/>
        </w:rPr>
        <w:t xml:space="preserve">in the pre-PBAC response reflected a more well-defined population which addressed the Committee's previous concerns regarding the clinical place and comparator for </w:t>
      </w:r>
      <w:proofErr w:type="spellStart"/>
      <w:r w:rsidR="00D06DD6" w:rsidRPr="004650A6">
        <w:rPr>
          <w:snapToGrid w:val="0"/>
        </w:rPr>
        <w:t>fezolinetant</w:t>
      </w:r>
      <w:proofErr w:type="spellEnd"/>
      <w:r w:rsidR="00D06DD6" w:rsidRPr="004650A6">
        <w:rPr>
          <w:snapToGrid w:val="0"/>
        </w:rPr>
        <w:t xml:space="preserve">. </w:t>
      </w:r>
      <w:r w:rsidR="005B1804" w:rsidRPr="004650A6">
        <w:rPr>
          <w:snapToGrid w:val="0"/>
        </w:rPr>
        <w:t xml:space="preserve">The PBAC </w:t>
      </w:r>
      <w:r w:rsidR="0013314F">
        <w:rPr>
          <w:snapToGrid w:val="0"/>
        </w:rPr>
        <w:t>wa</w:t>
      </w:r>
      <w:r w:rsidR="005B1804" w:rsidRPr="004650A6">
        <w:rPr>
          <w:snapToGrid w:val="0"/>
        </w:rPr>
        <w:t xml:space="preserve">s satisfied that </w:t>
      </w:r>
      <w:proofErr w:type="spellStart"/>
      <w:r w:rsidR="005B1804" w:rsidRPr="004650A6">
        <w:rPr>
          <w:snapToGrid w:val="0"/>
        </w:rPr>
        <w:t>fezolinetant</w:t>
      </w:r>
      <w:proofErr w:type="spellEnd"/>
      <w:r w:rsidR="005B1804" w:rsidRPr="004650A6">
        <w:rPr>
          <w:snapToGrid w:val="0"/>
        </w:rPr>
        <w:t xml:space="preserve"> provides, for some patients, a significant improvement in efficacy over no treatment. </w:t>
      </w:r>
      <w:r w:rsidR="00D06DD6" w:rsidRPr="004650A6">
        <w:rPr>
          <w:snapToGrid w:val="0"/>
        </w:rPr>
        <w:t xml:space="preserve">The PBAC considered that uncertainty remained regarding the cost-effectiveness of </w:t>
      </w:r>
      <w:proofErr w:type="spellStart"/>
      <w:proofErr w:type="gramStart"/>
      <w:r w:rsidR="00D06DD6" w:rsidRPr="004650A6">
        <w:rPr>
          <w:snapToGrid w:val="0"/>
        </w:rPr>
        <w:t>fezolinetant</w:t>
      </w:r>
      <w:proofErr w:type="spellEnd"/>
      <w:r w:rsidR="0003387D">
        <w:rPr>
          <w:snapToGrid w:val="0"/>
        </w:rPr>
        <w:t xml:space="preserve">, </w:t>
      </w:r>
      <w:r w:rsidR="00130EAA">
        <w:rPr>
          <w:snapToGrid w:val="0"/>
        </w:rPr>
        <w:t>and</w:t>
      </w:r>
      <w:proofErr w:type="gramEnd"/>
      <w:r w:rsidR="00130EAA">
        <w:rPr>
          <w:snapToGrid w:val="0"/>
        </w:rPr>
        <w:t xml:space="preserve"> </w:t>
      </w:r>
      <w:r w:rsidR="00CB40D8">
        <w:rPr>
          <w:snapToGrid w:val="0"/>
        </w:rPr>
        <w:t xml:space="preserve">noted the </w:t>
      </w:r>
      <w:r w:rsidR="00130EAA">
        <w:rPr>
          <w:snapToGrid w:val="0"/>
        </w:rPr>
        <w:t xml:space="preserve">potential for use outside the </w:t>
      </w:r>
      <w:r w:rsidR="00D816E7">
        <w:rPr>
          <w:snapToGrid w:val="0"/>
        </w:rPr>
        <w:t>intended narrow patient population</w:t>
      </w:r>
      <w:r w:rsidR="00B517D7">
        <w:rPr>
          <w:snapToGrid w:val="0"/>
        </w:rPr>
        <w:t xml:space="preserve"> and concerns about liver toxicity</w:t>
      </w:r>
      <w:r w:rsidR="00D06DD6" w:rsidRPr="004650A6">
        <w:rPr>
          <w:snapToGrid w:val="0"/>
        </w:rPr>
        <w:t xml:space="preserve">. The PBAC </w:t>
      </w:r>
      <w:r w:rsidR="00355089">
        <w:rPr>
          <w:snapToGrid w:val="0"/>
        </w:rPr>
        <w:t>advised</w:t>
      </w:r>
      <w:r w:rsidR="00355089" w:rsidRPr="004650A6">
        <w:rPr>
          <w:snapToGrid w:val="0"/>
        </w:rPr>
        <w:t xml:space="preserve"> </w:t>
      </w:r>
      <w:r w:rsidR="00D06DD6" w:rsidRPr="004650A6">
        <w:rPr>
          <w:snapToGrid w:val="0"/>
        </w:rPr>
        <w:t>these issues</w:t>
      </w:r>
      <w:r w:rsidR="007230CD">
        <w:rPr>
          <w:snapToGrid w:val="0"/>
        </w:rPr>
        <w:t xml:space="preserve"> </w:t>
      </w:r>
      <w:r w:rsidR="00355089">
        <w:rPr>
          <w:snapToGrid w:val="0"/>
        </w:rPr>
        <w:t>could</w:t>
      </w:r>
      <w:r w:rsidR="00D06DD6" w:rsidRPr="004650A6">
        <w:rPr>
          <w:snapToGrid w:val="0"/>
        </w:rPr>
        <w:t xml:space="preserve"> be managed via a reduction in the price for </w:t>
      </w:r>
      <w:proofErr w:type="spellStart"/>
      <w:r w:rsidR="00D06DD6" w:rsidRPr="004650A6">
        <w:rPr>
          <w:snapToGrid w:val="0"/>
        </w:rPr>
        <w:t>fezolinetant</w:t>
      </w:r>
      <w:proofErr w:type="spellEnd"/>
      <w:r w:rsidR="00D06DD6" w:rsidRPr="004650A6">
        <w:rPr>
          <w:snapToGrid w:val="0"/>
        </w:rPr>
        <w:t>, in combination with a risk sharing arrangement</w:t>
      </w:r>
      <w:r w:rsidR="00CB40D8">
        <w:rPr>
          <w:snapToGrid w:val="0"/>
        </w:rPr>
        <w:t xml:space="preserve"> (RSA)</w:t>
      </w:r>
      <w:r w:rsidR="00B517D7">
        <w:rPr>
          <w:snapToGrid w:val="0"/>
        </w:rPr>
        <w:t xml:space="preserve"> and regular monitoring of liver function</w:t>
      </w:r>
      <w:r w:rsidR="00D06DD6" w:rsidRPr="004650A6">
        <w:rPr>
          <w:snapToGrid w:val="0"/>
        </w:rPr>
        <w:t>.</w:t>
      </w:r>
    </w:p>
    <w:p w14:paraId="1E2B9DDA" w14:textId="55E066E3" w:rsidR="005A2175" w:rsidRPr="004650A6" w:rsidRDefault="00F07E35" w:rsidP="00766C07">
      <w:pPr>
        <w:pStyle w:val="3-BodyText"/>
        <w:rPr>
          <w:snapToGrid w:val="0"/>
        </w:rPr>
      </w:pPr>
      <w:r w:rsidRPr="004650A6">
        <w:rPr>
          <w:snapToGrid w:val="0"/>
        </w:rPr>
        <w:t xml:space="preserve">The PBAC considered that for </w:t>
      </w:r>
      <w:r w:rsidR="007818E2" w:rsidRPr="004650A6">
        <w:rPr>
          <w:snapToGrid w:val="0"/>
        </w:rPr>
        <w:t xml:space="preserve">patients with a contraindication to MHT as defined by the </w:t>
      </w:r>
      <w:r w:rsidR="00EC3416">
        <w:rPr>
          <w:snapToGrid w:val="0"/>
        </w:rPr>
        <w:t>p</w:t>
      </w:r>
      <w:r w:rsidR="007818E2" w:rsidRPr="004650A6">
        <w:rPr>
          <w:snapToGrid w:val="0"/>
        </w:rPr>
        <w:t xml:space="preserve">re-PBAC revised </w:t>
      </w:r>
      <w:r w:rsidR="005F0B65" w:rsidRPr="004650A6">
        <w:rPr>
          <w:snapToGrid w:val="0"/>
        </w:rPr>
        <w:t xml:space="preserve">restriction, </w:t>
      </w:r>
      <w:r w:rsidR="009E279C" w:rsidRPr="004650A6">
        <w:rPr>
          <w:snapToGrid w:val="0"/>
        </w:rPr>
        <w:t xml:space="preserve">there are few </w:t>
      </w:r>
      <w:r w:rsidR="0026598F" w:rsidRPr="004650A6">
        <w:rPr>
          <w:snapToGrid w:val="0"/>
        </w:rPr>
        <w:t xml:space="preserve">treatment </w:t>
      </w:r>
      <w:r w:rsidR="009E279C" w:rsidRPr="004650A6">
        <w:rPr>
          <w:snapToGrid w:val="0"/>
        </w:rPr>
        <w:t>options that are accessible and PBS listed</w:t>
      </w:r>
      <w:r w:rsidR="0026598F" w:rsidRPr="004650A6">
        <w:rPr>
          <w:snapToGrid w:val="0"/>
        </w:rPr>
        <w:t xml:space="preserve">. </w:t>
      </w:r>
      <w:r w:rsidR="0016235A" w:rsidRPr="004650A6">
        <w:rPr>
          <w:snapToGrid w:val="0"/>
        </w:rPr>
        <w:t xml:space="preserve">The PBAC noted that </w:t>
      </w:r>
      <w:r w:rsidR="001068DE" w:rsidRPr="004650A6">
        <w:rPr>
          <w:snapToGrid w:val="0"/>
        </w:rPr>
        <w:t xml:space="preserve">comments from </w:t>
      </w:r>
      <w:r w:rsidR="0016235A" w:rsidRPr="004650A6">
        <w:rPr>
          <w:snapToGrid w:val="0"/>
        </w:rPr>
        <w:t xml:space="preserve">clinicians and individuals </w:t>
      </w:r>
      <w:r w:rsidR="002375FC" w:rsidRPr="004650A6">
        <w:rPr>
          <w:snapToGrid w:val="0"/>
        </w:rPr>
        <w:t xml:space="preserve">experiencing menopause-related VMS </w:t>
      </w:r>
      <w:r w:rsidR="001068DE" w:rsidRPr="004650A6">
        <w:rPr>
          <w:snapToGrid w:val="0"/>
        </w:rPr>
        <w:t xml:space="preserve">supported the need for alternative treatment options for those truly unable to take MHT. </w:t>
      </w:r>
      <w:r w:rsidR="00266E66">
        <w:rPr>
          <w:snapToGrid w:val="0"/>
        </w:rPr>
        <w:t xml:space="preserve">The PBAC </w:t>
      </w:r>
      <w:r w:rsidR="000D074A">
        <w:rPr>
          <w:snapToGrid w:val="0"/>
        </w:rPr>
        <w:t>acknowledged</w:t>
      </w:r>
      <w:r w:rsidR="00266E66">
        <w:rPr>
          <w:snapToGrid w:val="0"/>
        </w:rPr>
        <w:t xml:space="preserve"> comments from organisations that there is a</w:t>
      </w:r>
      <w:r w:rsidR="004348F5" w:rsidRPr="00A84D3D">
        <w:rPr>
          <w:snapToGrid w:val="0"/>
        </w:rPr>
        <w:t xml:space="preserve"> particular</w:t>
      </w:r>
      <w:r w:rsidR="00266E66">
        <w:rPr>
          <w:snapToGrid w:val="0"/>
        </w:rPr>
        <w:t xml:space="preserve"> need for subsidised non-hormonal</w:t>
      </w:r>
      <w:r w:rsidR="004348F5" w:rsidRPr="00A84D3D">
        <w:rPr>
          <w:snapToGrid w:val="0"/>
        </w:rPr>
        <w:t xml:space="preserve"> </w:t>
      </w:r>
      <w:r w:rsidR="00266E66">
        <w:rPr>
          <w:snapToGrid w:val="0"/>
        </w:rPr>
        <w:t xml:space="preserve">treatments </w:t>
      </w:r>
      <w:r w:rsidR="004348F5" w:rsidRPr="00A84D3D">
        <w:rPr>
          <w:snapToGrid w:val="0"/>
        </w:rPr>
        <w:t>for those in whom menopause has sudden onset (</w:t>
      </w:r>
      <w:r w:rsidR="00295C64">
        <w:rPr>
          <w:snapToGrid w:val="0"/>
        </w:rPr>
        <w:t>for example,</w:t>
      </w:r>
      <w:r w:rsidR="00295C64" w:rsidRPr="00A84D3D">
        <w:rPr>
          <w:snapToGrid w:val="0"/>
        </w:rPr>
        <w:t xml:space="preserve"> </w:t>
      </w:r>
      <w:r w:rsidR="004348F5" w:rsidRPr="00A84D3D">
        <w:rPr>
          <w:snapToGrid w:val="0"/>
        </w:rPr>
        <w:t>hormone-based cancer treatment</w:t>
      </w:r>
      <w:r w:rsidR="00DB48F1" w:rsidRPr="00A84D3D">
        <w:rPr>
          <w:snapToGrid w:val="0"/>
        </w:rPr>
        <w:t>)</w:t>
      </w:r>
      <w:r w:rsidR="004348F5" w:rsidRPr="00A84D3D">
        <w:rPr>
          <w:snapToGrid w:val="0"/>
        </w:rPr>
        <w:t>.</w:t>
      </w:r>
      <w:r w:rsidR="005A2175" w:rsidRPr="00A84D3D">
        <w:rPr>
          <w:snapToGrid w:val="0"/>
        </w:rPr>
        <w:t xml:space="preserve"> </w:t>
      </w:r>
    </w:p>
    <w:p w14:paraId="78A92F7C" w14:textId="42D094B9" w:rsidR="00F61E05" w:rsidRPr="004650A6" w:rsidRDefault="00EC1267" w:rsidP="00766C07">
      <w:pPr>
        <w:pStyle w:val="3-BodyText"/>
        <w:rPr>
          <w:snapToGrid w:val="0"/>
        </w:rPr>
      </w:pPr>
      <w:bookmarkStart w:id="117" w:name="_Ref213946032"/>
      <w:r w:rsidRPr="004650A6">
        <w:rPr>
          <w:snapToGrid w:val="0"/>
        </w:rPr>
        <w:t xml:space="preserve">The PBAC recalled that it previously considered </w:t>
      </w:r>
      <w:r w:rsidR="00645C08" w:rsidRPr="004650A6">
        <w:rPr>
          <w:snapToGrid w:val="0"/>
        </w:rPr>
        <w:t xml:space="preserve">that the clinical place </w:t>
      </w:r>
      <w:r w:rsidR="00BC0F18" w:rsidRPr="004650A6">
        <w:rPr>
          <w:snapToGrid w:val="0"/>
        </w:rPr>
        <w:t xml:space="preserve">proposed </w:t>
      </w:r>
      <w:r w:rsidR="00645C08" w:rsidRPr="004650A6">
        <w:rPr>
          <w:snapToGrid w:val="0"/>
        </w:rPr>
        <w:t xml:space="preserve">for </w:t>
      </w:r>
      <w:proofErr w:type="spellStart"/>
      <w:r w:rsidR="00645C08" w:rsidRPr="004650A6">
        <w:rPr>
          <w:snapToGrid w:val="0"/>
        </w:rPr>
        <w:t>fezolinetant</w:t>
      </w:r>
      <w:proofErr w:type="spellEnd"/>
      <w:r w:rsidR="00645C08" w:rsidRPr="004650A6">
        <w:rPr>
          <w:snapToGrid w:val="0"/>
        </w:rPr>
        <w:t xml:space="preserve"> would need to be more appropriately and tightly defined</w:t>
      </w:r>
      <w:r w:rsidR="002A0315" w:rsidRPr="004650A6">
        <w:rPr>
          <w:snapToGrid w:val="0"/>
        </w:rPr>
        <w:t xml:space="preserve"> (</w:t>
      </w:r>
      <w:r w:rsidR="000606E4" w:rsidRPr="004650A6">
        <w:rPr>
          <w:snapToGrid w:val="0"/>
        </w:rPr>
        <w:t xml:space="preserve">paragraph 7.2, </w:t>
      </w:r>
      <w:proofErr w:type="spellStart"/>
      <w:r w:rsidR="000606E4" w:rsidRPr="004650A6">
        <w:rPr>
          <w:snapToGrid w:val="0"/>
        </w:rPr>
        <w:t>fezolinetant</w:t>
      </w:r>
      <w:proofErr w:type="spellEnd"/>
      <w:r w:rsidR="000606E4" w:rsidRPr="004650A6">
        <w:rPr>
          <w:snapToGrid w:val="0"/>
        </w:rPr>
        <w:t xml:space="preserve"> PSD, </w:t>
      </w:r>
      <w:r w:rsidR="00DB0DF9" w:rsidRPr="004650A6">
        <w:rPr>
          <w:snapToGrid w:val="0"/>
        </w:rPr>
        <w:t xml:space="preserve">March </w:t>
      </w:r>
      <w:r w:rsidR="000606E4" w:rsidRPr="004650A6">
        <w:rPr>
          <w:snapToGrid w:val="0"/>
        </w:rPr>
        <w:t>202</w:t>
      </w:r>
      <w:r w:rsidR="00DB0DF9" w:rsidRPr="004650A6">
        <w:rPr>
          <w:snapToGrid w:val="0"/>
        </w:rPr>
        <w:t>5</w:t>
      </w:r>
      <w:r w:rsidR="000606E4" w:rsidRPr="004650A6">
        <w:rPr>
          <w:snapToGrid w:val="0"/>
        </w:rPr>
        <w:t xml:space="preserve"> PBAC Meeting</w:t>
      </w:r>
      <w:r w:rsidR="00DB0DF9" w:rsidRPr="004650A6">
        <w:rPr>
          <w:snapToGrid w:val="0"/>
        </w:rPr>
        <w:t>)</w:t>
      </w:r>
      <w:r w:rsidR="00645C08" w:rsidRPr="004650A6">
        <w:rPr>
          <w:snapToGrid w:val="0"/>
        </w:rPr>
        <w:t xml:space="preserve">. The PBAC </w:t>
      </w:r>
      <w:r w:rsidR="004E1F8A">
        <w:rPr>
          <w:snapToGrid w:val="0"/>
        </w:rPr>
        <w:t xml:space="preserve">agreed with the ESC that </w:t>
      </w:r>
      <w:r w:rsidR="00E87B12" w:rsidRPr="00E87B12">
        <w:rPr>
          <w:snapToGrid w:val="0"/>
        </w:rPr>
        <w:t xml:space="preserve">the inclusion of patients with “MHT caution” would still capture </w:t>
      </w:r>
      <w:proofErr w:type="gramStart"/>
      <w:r w:rsidR="00E87B12" w:rsidRPr="00E87B12">
        <w:rPr>
          <w:snapToGrid w:val="0"/>
        </w:rPr>
        <w:t>a large number of</w:t>
      </w:r>
      <w:proofErr w:type="gramEnd"/>
      <w:r w:rsidR="00E87B12" w:rsidRPr="00E87B12">
        <w:rPr>
          <w:snapToGrid w:val="0"/>
        </w:rPr>
        <w:t xml:space="preserve"> patients who could be appropriately treated with oral or transdermal MHT</w:t>
      </w:r>
      <w:r w:rsidR="00E87B12">
        <w:rPr>
          <w:snapToGrid w:val="0"/>
        </w:rPr>
        <w:t>. The</w:t>
      </w:r>
      <w:r w:rsidR="00736FA0" w:rsidRPr="004650A6">
        <w:rPr>
          <w:snapToGrid w:val="0"/>
        </w:rPr>
        <w:t xml:space="preserve"> PBAC considered the revised p</w:t>
      </w:r>
      <w:r w:rsidR="00E30F9A" w:rsidRPr="004650A6">
        <w:rPr>
          <w:snapToGrid w:val="0"/>
        </w:rPr>
        <w:t xml:space="preserve">opulation </w:t>
      </w:r>
      <w:r w:rsidR="00736FA0" w:rsidRPr="004650A6">
        <w:rPr>
          <w:snapToGrid w:val="0"/>
        </w:rPr>
        <w:t>proposed in the</w:t>
      </w:r>
      <w:r w:rsidR="00E30F9A" w:rsidRPr="004650A6">
        <w:rPr>
          <w:snapToGrid w:val="0"/>
        </w:rPr>
        <w:t xml:space="preserve"> pre-PBAC </w:t>
      </w:r>
      <w:r w:rsidR="00736FA0" w:rsidRPr="004650A6">
        <w:rPr>
          <w:snapToGrid w:val="0"/>
        </w:rPr>
        <w:t>response</w:t>
      </w:r>
      <w:r w:rsidR="0098444E" w:rsidRPr="004650A6">
        <w:rPr>
          <w:snapToGrid w:val="0"/>
        </w:rPr>
        <w:t>,</w:t>
      </w:r>
      <w:r w:rsidR="00736FA0" w:rsidRPr="004650A6">
        <w:rPr>
          <w:snapToGrid w:val="0"/>
        </w:rPr>
        <w:t xml:space="preserve"> </w:t>
      </w:r>
      <w:r w:rsidR="00077F86">
        <w:rPr>
          <w:snapToGrid w:val="0"/>
        </w:rPr>
        <w:t xml:space="preserve">which </w:t>
      </w:r>
      <w:r w:rsidR="003C1019" w:rsidRPr="004650A6">
        <w:rPr>
          <w:snapToGrid w:val="0"/>
        </w:rPr>
        <w:t>include</w:t>
      </w:r>
      <w:r w:rsidR="00077F86">
        <w:rPr>
          <w:snapToGrid w:val="0"/>
        </w:rPr>
        <w:t>d</w:t>
      </w:r>
      <w:r w:rsidR="003C1019" w:rsidRPr="004650A6">
        <w:rPr>
          <w:snapToGrid w:val="0"/>
        </w:rPr>
        <w:t xml:space="preserve"> only those contraindicated to MHT, or who discontinued MHT due to adverse effects or lack of efficacy</w:t>
      </w:r>
      <w:r w:rsidR="0098444E" w:rsidRPr="004650A6">
        <w:rPr>
          <w:snapToGrid w:val="0"/>
        </w:rPr>
        <w:t xml:space="preserve"> (</w:t>
      </w:r>
      <w:r w:rsidR="001D145B" w:rsidRPr="004650A6">
        <w:rPr>
          <w:snapToGrid w:val="0"/>
        </w:rPr>
        <w:t xml:space="preserve">paragraph </w:t>
      </w:r>
      <w:r w:rsidR="001100BE">
        <w:rPr>
          <w:snapToGrid w:val="0"/>
        </w:rPr>
        <w:fldChar w:fldCharType="begin"/>
      </w:r>
      <w:r w:rsidR="001100BE">
        <w:rPr>
          <w:snapToGrid w:val="0"/>
        </w:rPr>
        <w:instrText xml:space="preserve"> REF _Ref211423348 \r \h </w:instrText>
      </w:r>
      <w:r w:rsidR="001100BE">
        <w:rPr>
          <w:snapToGrid w:val="0"/>
        </w:rPr>
      </w:r>
      <w:r w:rsidR="001100BE">
        <w:rPr>
          <w:snapToGrid w:val="0"/>
        </w:rPr>
        <w:fldChar w:fldCharType="separate"/>
      </w:r>
      <w:r w:rsidR="00946DF5">
        <w:rPr>
          <w:snapToGrid w:val="0"/>
        </w:rPr>
        <w:t>3.4</w:t>
      </w:r>
      <w:r w:rsidR="001100BE">
        <w:rPr>
          <w:snapToGrid w:val="0"/>
        </w:rPr>
        <w:fldChar w:fldCharType="end"/>
      </w:r>
      <w:r w:rsidR="0098444E" w:rsidRPr="004650A6">
        <w:rPr>
          <w:snapToGrid w:val="0"/>
        </w:rPr>
        <w:t>) to be more appropriate</w:t>
      </w:r>
      <w:r w:rsidR="003C1019" w:rsidRPr="004650A6">
        <w:rPr>
          <w:snapToGrid w:val="0"/>
        </w:rPr>
        <w:t>.</w:t>
      </w:r>
      <w:bookmarkEnd w:id="117"/>
    </w:p>
    <w:p w14:paraId="053445B1" w14:textId="0BE64CA5" w:rsidR="00572CA4" w:rsidRPr="004650A6" w:rsidRDefault="00231389" w:rsidP="00766C07">
      <w:pPr>
        <w:pStyle w:val="3-BodyText"/>
        <w:rPr>
          <w:snapToGrid w:val="0"/>
        </w:rPr>
      </w:pPr>
      <w:bookmarkStart w:id="118" w:name="_Ref215486435"/>
      <w:r w:rsidRPr="004650A6">
        <w:rPr>
          <w:snapToGrid w:val="0"/>
        </w:rPr>
        <w:t>The PBAC recalled that it previously considered that the requested restriction would not limit first-line access to patients with medical reasons to avoid MHT</w:t>
      </w:r>
      <w:r w:rsidR="00E6098D" w:rsidRPr="004650A6">
        <w:rPr>
          <w:snapToGrid w:val="0"/>
        </w:rPr>
        <w:t xml:space="preserve"> (paragraph 7.4, </w:t>
      </w:r>
      <w:proofErr w:type="spellStart"/>
      <w:r w:rsidR="00E6098D" w:rsidRPr="004650A6">
        <w:rPr>
          <w:snapToGrid w:val="0"/>
        </w:rPr>
        <w:t>fezolinetant</w:t>
      </w:r>
      <w:proofErr w:type="spellEnd"/>
      <w:r w:rsidR="00E6098D" w:rsidRPr="004650A6">
        <w:rPr>
          <w:snapToGrid w:val="0"/>
        </w:rPr>
        <w:t xml:space="preserve"> PSD, March 2025 PBAC Meeting).</w:t>
      </w:r>
      <w:r w:rsidR="00216C69" w:rsidRPr="004650A6">
        <w:rPr>
          <w:snapToGrid w:val="0"/>
        </w:rPr>
        <w:t xml:space="preserve"> The</w:t>
      </w:r>
      <w:r w:rsidR="00782268" w:rsidRPr="004650A6">
        <w:rPr>
          <w:snapToGrid w:val="0"/>
        </w:rPr>
        <w:t xml:space="preserve"> PBAC considered that the</w:t>
      </w:r>
      <w:r w:rsidR="00216C69" w:rsidRPr="004650A6">
        <w:rPr>
          <w:snapToGrid w:val="0"/>
        </w:rPr>
        <w:t xml:space="preserve"> updated restriction provided in the resubmission addressed some of </w:t>
      </w:r>
      <w:r w:rsidR="00782268" w:rsidRPr="004650A6">
        <w:rPr>
          <w:snapToGrid w:val="0"/>
        </w:rPr>
        <w:t>its</w:t>
      </w:r>
      <w:r w:rsidR="00216C69" w:rsidRPr="004650A6">
        <w:rPr>
          <w:snapToGrid w:val="0"/>
        </w:rPr>
        <w:t xml:space="preserve"> </w:t>
      </w:r>
      <w:r w:rsidR="00F66F75" w:rsidRPr="004650A6">
        <w:rPr>
          <w:snapToGrid w:val="0"/>
        </w:rPr>
        <w:t>previous</w:t>
      </w:r>
      <w:r w:rsidR="00216C69" w:rsidRPr="004650A6">
        <w:rPr>
          <w:snapToGrid w:val="0"/>
        </w:rPr>
        <w:t xml:space="preserve"> concerns (</w:t>
      </w:r>
      <w:r w:rsidR="00782268" w:rsidRPr="004650A6">
        <w:rPr>
          <w:snapToGrid w:val="0"/>
        </w:rPr>
        <w:t xml:space="preserve">paragraphs </w:t>
      </w:r>
      <w:r w:rsidR="001100BE">
        <w:rPr>
          <w:snapToGrid w:val="0"/>
        </w:rPr>
        <w:fldChar w:fldCharType="begin"/>
      </w:r>
      <w:r w:rsidR="001100BE">
        <w:rPr>
          <w:snapToGrid w:val="0"/>
        </w:rPr>
        <w:instrText xml:space="preserve"> REF _Ref213946224 \r \h </w:instrText>
      </w:r>
      <w:r w:rsidR="001100BE">
        <w:rPr>
          <w:snapToGrid w:val="0"/>
        </w:rPr>
      </w:r>
      <w:r w:rsidR="001100BE">
        <w:rPr>
          <w:snapToGrid w:val="0"/>
        </w:rPr>
        <w:fldChar w:fldCharType="separate"/>
      </w:r>
      <w:r w:rsidR="00946DF5">
        <w:rPr>
          <w:snapToGrid w:val="0"/>
        </w:rPr>
        <w:t>3.3</w:t>
      </w:r>
      <w:r w:rsidR="001100BE">
        <w:rPr>
          <w:snapToGrid w:val="0"/>
        </w:rPr>
        <w:fldChar w:fldCharType="end"/>
      </w:r>
      <w:r w:rsidR="00CA1CFA">
        <w:rPr>
          <w:snapToGrid w:val="0"/>
        </w:rPr>
        <w:t>-</w:t>
      </w:r>
      <w:r w:rsidR="00CA1CFA">
        <w:rPr>
          <w:snapToGrid w:val="0"/>
        </w:rPr>
        <w:fldChar w:fldCharType="begin"/>
      </w:r>
      <w:r w:rsidR="00CA1CFA">
        <w:rPr>
          <w:snapToGrid w:val="0"/>
        </w:rPr>
        <w:instrText xml:space="preserve"> REF _Ref211423348 \r \h </w:instrText>
      </w:r>
      <w:r w:rsidR="00CA1CFA">
        <w:rPr>
          <w:snapToGrid w:val="0"/>
        </w:rPr>
      </w:r>
      <w:r w:rsidR="00CA1CFA">
        <w:rPr>
          <w:snapToGrid w:val="0"/>
        </w:rPr>
        <w:fldChar w:fldCharType="separate"/>
      </w:r>
      <w:r w:rsidR="00946DF5">
        <w:rPr>
          <w:snapToGrid w:val="0"/>
        </w:rPr>
        <w:t>3.4</w:t>
      </w:r>
      <w:r w:rsidR="00CA1CFA">
        <w:rPr>
          <w:snapToGrid w:val="0"/>
        </w:rPr>
        <w:fldChar w:fldCharType="end"/>
      </w:r>
      <w:r w:rsidR="00216C69" w:rsidRPr="004650A6">
        <w:rPr>
          <w:snapToGrid w:val="0"/>
        </w:rPr>
        <w:t>)</w:t>
      </w:r>
      <w:r w:rsidR="00EB3942" w:rsidRPr="004650A6">
        <w:rPr>
          <w:snapToGrid w:val="0"/>
        </w:rPr>
        <w:t xml:space="preserve">, </w:t>
      </w:r>
      <w:r w:rsidR="00DD09EC">
        <w:rPr>
          <w:snapToGrid w:val="0"/>
        </w:rPr>
        <w:t>and</w:t>
      </w:r>
      <w:r w:rsidR="00DD09EC" w:rsidRPr="004650A6">
        <w:rPr>
          <w:snapToGrid w:val="0"/>
        </w:rPr>
        <w:t xml:space="preserve"> </w:t>
      </w:r>
      <w:r w:rsidR="00EB3942" w:rsidRPr="004650A6">
        <w:rPr>
          <w:snapToGrid w:val="0"/>
        </w:rPr>
        <w:t>the majority of outstanding issues</w:t>
      </w:r>
      <w:r w:rsidR="00782268" w:rsidRPr="004650A6">
        <w:rPr>
          <w:snapToGrid w:val="0"/>
        </w:rPr>
        <w:t xml:space="preserve"> </w:t>
      </w:r>
      <w:r w:rsidR="0031311A">
        <w:rPr>
          <w:snapToGrid w:val="0"/>
        </w:rPr>
        <w:t xml:space="preserve">regarding the restrictions </w:t>
      </w:r>
      <w:r w:rsidR="00782268" w:rsidRPr="004650A6">
        <w:rPr>
          <w:snapToGrid w:val="0"/>
        </w:rPr>
        <w:t xml:space="preserve">were addressed in </w:t>
      </w:r>
      <w:r w:rsidR="0031311A">
        <w:rPr>
          <w:snapToGrid w:val="0"/>
        </w:rPr>
        <w:t xml:space="preserve">changes proposed in </w:t>
      </w:r>
      <w:r w:rsidR="00782268" w:rsidRPr="004650A6">
        <w:rPr>
          <w:snapToGrid w:val="0"/>
        </w:rPr>
        <w:t xml:space="preserve">the </w:t>
      </w:r>
      <w:r w:rsidR="0013535F" w:rsidRPr="004650A6">
        <w:rPr>
          <w:snapToGrid w:val="0"/>
        </w:rPr>
        <w:t xml:space="preserve">PSCR and </w:t>
      </w:r>
      <w:r w:rsidR="00782268" w:rsidRPr="004650A6">
        <w:rPr>
          <w:snapToGrid w:val="0"/>
        </w:rPr>
        <w:t xml:space="preserve">pre-PBAC response (paragraph </w:t>
      </w:r>
      <w:r w:rsidR="00CA1CFA">
        <w:rPr>
          <w:snapToGrid w:val="0"/>
        </w:rPr>
        <w:fldChar w:fldCharType="begin"/>
      </w:r>
      <w:r w:rsidR="00CA1CFA">
        <w:rPr>
          <w:snapToGrid w:val="0"/>
        </w:rPr>
        <w:instrText xml:space="preserve"> REF _Ref211423348 \r \h </w:instrText>
      </w:r>
      <w:r w:rsidR="00CA1CFA">
        <w:rPr>
          <w:snapToGrid w:val="0"/>
        </w:rPr>
      </w:r>
      <w:r w:rsidR="00CA1CFA">
        <w:rPr>
          <w:snapToGrid w:val="0"/>
        </w:rPr>
        <w:fldChar w:fldCharType="separate"/>
      </w:r>
      <w:r w:rsidR="00946DF5">
        <w:rPr>
          <w:snapToGrid w:val="0"/>
        </w:rPr>
        <w:t>3.4</w:t>
      </w:r>
      <w:r w:rsidR="00CA1CFA">
        <w:rPr>
          <w:snapToGrid w:val="0"/>
        </w:rPr>
        <w:fldChar w:fldCharType="end"/>
      </w:r>
      <w:r w:rsidR="00782268" w:rsidRPr="004650A6">
        <w:rPr>
          <w:snapToGrid w:val="0"/>
        </w:rPr>
        <w:t>)</w:t>
      </w:r>
      <w:r w:rsidR="00D87BDA" w:rsidRPr="004650A6">
        <w:rPr>
          <w:snapToGrid w:val="0"/>
        </w:rPr>
        <w:t xml:space="preserve">, </w:t>
      </w:r>
      <w:r w:rsidR="00B9501C">
        <w:rPr>
          <w:snapToGrid w:val="0"/>
        </w:rPr>
        <w:t>including</w:t>
      </w:r>
      <w:r w:rsidR="00D87BDA" w:rsidRPr="004650A6">
        <w:rPr>
          <w:snapToGrid w:val="0"/>
        </w:rPr>
        <w:t>:</w:t>
      </w:r>
      <w:bookmarkEnd w:id="118"/>
      <w:r w:rsidR="00782268" w:rsidRPr="004650A6">
        <w:rPr>
          <w:snapToGrid w:val="0"/>
        </w:rPr>
        <w:t xml:space="preserve"> </w:t>
      </w:r>
    </w:p>
    <w:p w14:paraId="7D81ED62" w14:textId="1A051370" w:rsidR="001168CB" w:rsidRDefault="001168CB" w:rsidP="001168CB">
      <w:pPr>
        <w:pStyle w:val="ListParagraph"/>
        <w:spacing w:after="60"/>
        <w:ind w:left="1021" w:hanging="284"/>
      </w:pPr>
      <w:r>
        <w:t xml:space="preserve">Changing authority level to Authority Required (Telephone/Online). </w:t>
      </w:r>
    </w:p>
    <w:p w14:paraId="495BF877" w14:textId="0DE0A0B5" w:rsidR="00752905" w:rsidRPr="004650A6" w:rsidRDefault="00782701" w:rsidP="00E74D0B">
      <w:pPr>
        <w:pStyle w:val="ListParagraph"/>
        <w:spacing w:after="60"/>
        <w:ind w:left="1021" w:hanging="284"/>
      </w:pPr>
      <w:r w:rsidRPr="004650A6">
        <w:t xml:space="preserve">Revised population, excluding MHT caution. </w:t>
      </w:r>
    </w:p>
    <w:p w14:paraId="06E8EF31" w14:textId="3F4783D6" w:rsidR="00D87BDA" w:rsidRPr="004650A6" w:rsidRDefault="005329E4" w:rsidP="00E74D0B">
      <w:pPr>
        <w:pStyle w:val="ListParagraph"/>
        <w:spacing w:after="60"/>
        <w:ind w:left="1021" w:hanging="284"/>
      </w:pPr>
      <w:r w:rsidRPr="004650A6">
        <w:t>Inclusion of a d</w:t>
      </w:r>
      <w:r w:rsidR="003E14B5" w:rsidRPr="004650A6">
        <w:t>efinition of MHT contraindicat</w:t>
      </w:r>
      <w:r w:rsidR="005C1E86">
        <w:t>ion</w:t>
      </w:r>
      <w:r w:rsidR="003E14B5" w:rsidRPr="004650A6">
        <w:t xml:space="preserve">. </w:t>
      </w:r>
    </w:p>
    <w:p w14:paraId="1D73FF4E" w14:textId="349A4538" w:rsidR="003E14B5" w:rsidRPr="004650A6" w:rsidRDefault="003F13AB" w:rsidP="00E74D0B">
      <w:pPr>
        <w:pStyle w:val="ListParagraph"/>
        <w:spacing w:after="60"/>
        <w:ind w:left="1021" w:hanging="284"/>
      </w:pPr>
      <w:r w:rsidRPr="004650A6">
        <w:t>Prescribing instruction</w:t>
      </w:r>
      <w:r w:rsidR="003E14B5" w:rsidRPr="004650A6">
        <w:t xml:space="preserve"> regarding </w:t>
      </w:r>
      <w:r w:rsidRPr="004650A6">
        <w:t xml:space="preserve">consideration of transdermal MHT prior to considering treatment with </w:t>
      </w:r>
      <w:proofErr w:type="spellStart"/>
      <w:r w:rsidR="00FF3D61" w:rsidRPr="004650A6">
        <w:t>fezolinetant</w:t>
      </w:r>
      <w:proofErr w:type="spellEnd"/>
      <w:r w:rsidR="00FF3D61" w:rsidRPr="004650A6">
        <w:t xml:space="preserve">. </w:t>
      </w:r>
    </w:p>
    <w:p w14:paraId="7800ACAA" w14:textId="27A92CC9" w:rsidR="00782701" w:rsidRPr="004650A6" w:rsidRDefault="00782701" w:rsidP="00E74D0B">
      <w:pPr>
        <w:pStyle w:val="ListParagraph"/>
        <w:spacing w:after="60"/>
        <w:ind w:left="1021" w:hanging="284"/>
      </w:pPr>
      <w:r w:rsidRPr="004650A6">
        <w:t xml:space="preserve">Caution regarding </w:t>
      </w:r>
      <w:r w:rsidR="00B72002" w:rsidRPr="004650A6">
        <w:t>LFT monitoring requirements</w:t>
      </w:r>
      <w:r w:rsidR="00D87BDA" w:rsidRPr="004650A6">
        <w:t>.</w:t>
      </w:r>
    </w:p>
    <w:p w14:paraId="5AD83C05" w14:textId="1B7E5362" w:rsidR="006420D8" w:rsidRPr="004650A6" w:rsidRDefault="00FF3D61" w:rsidP="00E77F0A">
      <w:pPr>
        <w:pStyle w:val="ListParagraph"/>
        <w:spacing w:after="60"/>
        <w:ind w:left="1021" w:hanging="284"/>
      </w:pPr>
      <w:r w:rsidRPr="004650A6">
        <w:t xml:space="preserve">Continuing treatment by nurse practitioners. </w:t>
      </w:r>
    </w:p>
    <w:p w14:paraId="627801D2" w14:textId="2226DC10" w:rsidR="000F1F33" w:rsidRPr="004650A6" w:rsidRDefault="00D87BDA" w:rsidP="00B9501C">
      <w:pPr>
        <w:widowControl w:val="0"/>
        <w:spacing w:after="120"/>
        <w:ind w:left="720"/>
        <w:rPr>
          <w:rFonts w:asciiTheme="minorHAnsi" w:hAnsiTheme="minorHAnsi"/>
          <w:snapToGrid w:val="0"/>
        </w:rPr>
      </w:pPr>
      <w:r w:rsidRPr="004650A6">
        <w:rPr>
          <w:rFonts w:asciiTheme="minorHAnsi" w:hAnsiTheme="minorHAnsi"/>
          <w:snapToGrid w:val="0"/>
        </w:rPr>
        <w:t xml:space="preserve">The PBAC considered </w:t>
      </w:r>
      <w:r w:rsidR="005329E4" w:rsidRPr="004650A6">
        <w:rPr>
          <w:rFonts w:asciiTheme="minorHAnsi" w:hAnsiTheme="minorHAnsi"/>
          <w:snapToGrid w:val="0"/>
        </w:rPr>
        <w:t xml:space="preserve">minor </w:t>
      </w:r>
      <w:r w:rsidR="00C80257">
        <w:rPr>
          <w:rFonts w:asciiTheme="minorHAnsi" w:hAnsiTheme="minorHAnsi"/>
          <w:snapToGrid w:val="0"/>
        </w:rPr>
        <w:t xml:space="preserve">additional </w:t>
      </w:r>
      <w:r w:rsidR="005329E4" w:rsidRPr="004650A6">
        <w:rPr>
          <w:rFonts w:asciiTheme="minorHAnsi" w:hAnsiTheme="minorHAnsi"/>
          <w:snapToGrid w:val="0"/>
        </w:rPr>
        <w:t>revisions to the definition of MHT contraindicated would be</w:t>
      </w:r>
      <w:r w:rsidRPr="004650A6">
        <w:rPr>
          <w:rFonts w:asciiTheme="minorHAnsi" w:hAnsiTheme="minorHAnsi"/>
          <w:snapToGrid w:val="0"/>
        </w:rPr>
        <w:t xml:space="preserve"> appropriate</w:t>
      </w:r>
      <w:r w:rsidR="005329E4" w:rsidRPr="004650A6">
        <w:rPr>
          <w:rFonts w:asciiTheme="minorHAnsi" w:hAnsiTheme="minorHAnsi"/>
          <w:snapToGrid w:val="0"/>
        </w:rPr>
        <w:t xml:space="preserve">, </w:t>
      </w:r>
      <w:r w:rsidR="00884F26" w:rsidRPr="004650A6">
        <w:rPr>
          <w:rFonts w:asciiTheme="minorHAnsi" w:hAnsiTheme="minorHAnsi"/>
          <w:snapToGrid w:val="0"/>
        </w:rPr>
        <w:t>i.e</w:t>
      </w:r>
      <w:r w:rsidR="00560E04">
        <w:rPr>
          <w:rFonts w:asciiTheme="minorHAnsi" w:hAnsiTheme="minorHAnsi"/>
          <w:snapToGrid w:val="0"/>
        </w:rPr>
        <w:t>.</w:t>
      </w:r>
      <w:r w:rsidR="000F1F33" w:rsidRPr="004650A6">
        <w:rPr>
          <w:rFonts w:asciiTheme="minorHAnsi" w:hAnsiTheme="minorHAnsi"/>
          <w:snapToGrid w:val="0"/>
        </w:rPr>
        <w:t>:</w:t>
      </w:r>
    </w:p>
    <w:p w14:paraId="3EEBFCF2" w14:textId="0337C578" w:rsidR="0084401F" w:rsidRPr="004650A6" w:rsidRDefault="000F1F33" w:rsidP="00E74D0B">
      <w:pPr>
        <w:pStyle w:val="ListParagraph"/>
        <w:spacing w:after="60"/>
        <w:ind w:left="1021" w:hanging="284"/>
      </w:pPr>
      <w:r w:rsidRPr="004650A6">
        <w:t>clarification regarding age</w:t>
      </w:r>
      <w:r w:rsidR="0084401F" w:rsidRPr="004650A6">
        <w:t xml:space="preserve"> &lt;60yrs</w:t>
      </w:r>
      <w:r w:rsidRPr="004650A6">
        <w:t xml:space="preserve"> requirement </w:t>
      </w:r>
      <w:r w:rsidR="0084401F" w:rsidRPr="004650A6">
        <w:t>pertains to</w:t>
      </w:r>
      <w:r w:rsidRPr="004650A6">
        <w:t xml:space="preserve"> </w:t>
      </w:r>
      <w:r w:rsidR="0084401F" w:rsidRPr="004650A6">
        <w:t>initiation</w:t>
      </w:r>
      <w:r w:rsidRPr="004650A6">
        <w:t xml:space="preserve"> of </w:t>
      </w:r>
      <w:r w:rsidR="0084401F" w:rsidRPr="004650A6">
        <w:t>treatment</w:t>
      </w:r>
      <w:r w:rsidR="00720E23" w:rsidRPr="004650A6">
        <w:t>.</w:t>
      </w:r>
      <w:r w:rsidR="0084401F" w:rsidRPr="004650A6">
        <w:t xml:space="preserve"> </w:t>
      </w:r>
    </w:p>
    <w:p w14:paraId="66FA5F5A" w14:textId="57731E77" w:rsidR="00927EA1" w:rsidRPr="004650A6" w:rsidRDefault="00720E23" w:rsidP="00E74D0B">
      <w:pPr>
        <w:pStyle w:val="ListParagraph"/>
        <w:spacing w:after="60"/>
        <w:ind w:left="1021" w:hanging="284"/>
      </w:pPr>
      <w:r w:rsidRPr="004650A6">
        <w:t>Addition of ‘current</w:t>
      </w:r>
      <w:r w:rsidR="00700CE6">
        <w:t xml:space="preserve"> or history of</w:t>
      </w:r>
      <w:r w:rsidRPr="004650A6">
        <w:t xml:space="preserve">’ breast cancer. </w:t>
      </w:r>
    </w:p>
    <w:p w14:paraId="3BFF9EA1" w14:textId="08BA1BFB" w:rsidR="00F101D2" w:rsidRDefault="003343E0" w:rsidP="00E74D0B">
      <w:pPr>
        <w:pStyle w:val="ListParagraph"/>
        <w:spacing w:after="60"/>
        <w:ind w:left="1021" w:hanging="284"/>
      </w:pPr>
      <w:r w:rsidRPr="004650A6">
        <w:t xml:space="preserve">Removal of </w:t>
      </w:r>
      <w:r w:rsidR="00F101D2" w:rsidRPr="004650A6">
        <w:t xml:space="preserve">category for significant liver disease, which is also a contraindication to </w:t>
      </w:r>
      <w:proofErr w:type="spellStart"/>
      <w:r w:rsidR="00F101D2" w:rsidRPr="004650A6">
        <w:t>fezolinetant</w:t>
      </w:r>
      <w:proofErr w:type="spellEnd"/>
      <w:r w:rsidR="00F101D2" w:rsidRPr="004650A6">
        <w:t xml:space="preserve">. </w:t>
      </w:r>
    </w:p>
    <w:p w14:paraId="2C324D23" w14:textId="48D0390A" w:rsidR="008A01E1" w:rsidRDefault="00061539" w:rsidP="00766C07">
      <w:pPr>
        <w:pStyle w:val="3-BodyText"/>
        <w:rPr>
          <w:snapToGrid w:val="0"/>
        </w:rPr>
      </w:pPr>
      <w:r>
        <w:rPr>
          <w:snapToGrid w:val="0"/>
        </w:rPr>
        <w:t xml:space="preserve">The PBAC </w:t>
      </w:r>
      <w:r w:rsidR="00E74BAD">
        <w:rPr>
          <w:snapToGrid w:val="0"/>
        </w:rPr>
        <w:t xml:space="preserve">noted the sponsor’s proposed caution specifying that </w:t>
      </w:r>
      <w:proofErr w:type="spellStart"/>
      <w:r w:rsidR="00E74BAD">
        <w:t>f</w:t>
      </w:r>
      <w:r w:rsidR="00E74BAD" w:rsidRPr="00EB1825">
        <w:t>ezolinetant</w:t>
      </w:r>
      <w:proofErr w:type="spellEnd"/>
      <w:r w:rsidR="00E74BAD" w:rsidRPr="00EB1825">
        <w:t xml:space="preserve"> is intended for use in post</w:t>
      </w:r>
      <w:r w:rsidR="000F42CF">
        <w:t>-</w:t>
      </w:r>
      <w:r w:rsidR="00E74BAD" w:rsidRPr="00EB1825">
        <w:t xml:space="preserve">menopausal </w:t>
      </w:r>
      <w:proofErr w:type="gramStart"/>
      <w:r w:rsidR="000F42CF">
        <w:t>patients</w:t>
      </w:r>
      <w:r w:rsidR="00D34797">
        <w:t>,</w:t>
      </w:r>
      <w:r w:rsidR="00E74BAD">
        <w:t xml:space="preserve"> but</w:t>
      </w:r>
      <w:proofErr w:type="gramEnd"/>
      <w:r w:rsidR="00E74BAD">
        <w:rPr>
          <w:snapToGrid w:val="0"/>
        </w:rPr>
        <w:t xml:space="preserve"> </w:t>
      </w:r>
      <w:r>
        <w:rPr>
          <w:snapToGrid w:val="0"/>
        </w:rPr>
        <w:t xml:space="preserve">considered </w:t>
      </w:r>
      <w:r w:rsidR="00CA5BC4">
        <w:rPr>
          <w:snapToGrid w:val="0"/>
        </w:rPr>
        <w:t>that</w:t>
      </w:r>
      <w:r w:rsidR="00AB71BB">
        <w:rPr>
          <w:snapToGrid w:val="0"/>
        </w:rPr>
        <w:t xml:space="preserve"> this addition was unnecessary</w:t>
      </w:r>
      <w:r w:rsidR="00DE0117">
        <w:rPr>
          <w:snapToGrid w:val="0"/>
        </w:rPr>
        <w:t xml:space="preserve">. The PBAC considered </w:t>
      </w:r>
      <w:r w:rsidR="00AB71BB">
        <w:rPr>
          <w:snapToGrid w:val="0"/>
        </w:rPr>
        <w:t>that</w:t>
      </w:r>
      <w:r w:rsidR="00CA5BC4">
        <w:rPr>
          <w:snapToGrid w:val="0"/>
        </w:rPr>
        <w:t xml:space="preserve"> it would </w:t>
      </w:r>
      <w:r w:rsidR="00A345BE">
        <w:rPr>
          <w:snapToGrid w:val="0"/>
        </w:rPr>
        <w:t xml:space="preserve">be </w:t>
      </w:r>
      <w:r w:rsidR="00CA5BC4">
        <w:rPr>
          <w:snapToGrid w:val="0"/>
        </w:rPr>
        <w:t xml:space="preserve">reasonable for the restrictions to remain silent regarding </w:t>
      </w:r>
      <w:r w:rsidR="005924B6">
        <w:rPr>
          <w:snapToGrid w:val="0"/>
        </w:rPr>
        <w:t xml:space="preserve">treatment in peri-menopausal </w:t>
      </w:r>
      <w:r w:rsidR="000F42CF">
        <w:rPr>
          <w:snapToGrid w:val="0"/>
        </w:rPr>
        <w:t>patients</w:t>
      </w:r>
      <w:r w:rsidR="00DE0117">
        <w:rPr>
          <w:snapToGrid w:val="0"/>
        </w:rPr>
        <w:t>, noting that the indication is menopause-related VMS</w:t>
      </w:r>
      <w:r w:rsidR="00CF2596">
        <w:rPr>
          <w:snapToGrid w:val="0"/>
        </w:rPr>
        <w:t xml:space="preserve">, consistent with </w:t>
      </w:r>
      <w:r w:rsidR="0061257C">
        <w:rPr>
          <w:snapToGrid w:val="0"/>
        </w:rPr>
        <w:t>the TGA indication</w:t>
      </w:r>
      <w:r w:rsidR="00CF2596">
        <w:rPr>
          <w:snapToGrid w:val="0"/>
        </w:rPr>
        <w:t xml:space="preserve"> in the PI</w:t>
      </w:r>
      <w:r w:rsidR="000F42CF">
        <w:rPr>
          <w:snapToGrid w:val="0"/>
        </w:rPr>
        <w:t xml:space="preserve">. </w:t>
      </w:r>
    </w:p>
    <w:p w14:paraId="227A0F9B" w14:textId="170AC878" w:rsidR="009E3707" w:rsidRPr="009E3707" w:rsidRDefault="009E3707" w:rsidP="00766C07">
      <w:pPr>
        <w:pStyle w:val="3-BodyText"/>
        <w:rPr>
          <w:snapToGrid w:val="0"/>
        </w:rPr>
      </w:pPr>
      <w:r>
        <w:t xml:space="preserve">The PBAC noted that input from clinicians provided as a written statement indicated they were supportive of inclusion of a definition of moderate-severe VMS in the restrictions. The PBAC considered that it would be reasonable to include a </w:t>
      </w:r>
      <w:r w:rsidR="00704D87">
        <w:t xml:space="preserve">definition of moderate to severe VMS in line with the </w:t>
      </w:r>
      <w:r w:rsidR="00A42D02">
        <w:t xml:space="preserve">trial inclusion criteria (see paragraph </w:t>
      </w:r>
      <w:r w:rsidR="00853102">
        <w:fldChar w:fldCharType="begin"/>
      </w:r>
      <w:r w:rsidR="00853102">
        <w:instrText xml:space="preserve"> REF _Ref211423348 \r \h </w:instrText>
      </w:r>
      <w:r w:rsidR="00853102">
        <w:fldChar w:fldCharType="separate"/>
      </w:r>
      <w:r w:rsidR="00946DF5">
        <w:t>3.4</w:t>
      </w:r>
      <w:r w:rsidR="00853102">
        <w:fldChar w:fldCharType="end"/>
      </w:r>
      <w:r w:rsidR="00853102">
        <w:t>)</w:t>
      </w:r>
      <w:r w:rsidR="00704D87">
        <w:t xml:space="preserve">, and for the restrictions to </w:t>
      </w:r>
      <w:r w:rsidR="00A358C2">
        <w:t xml:space="preserve">specify </w:t>
      </w:r>
      <w:r w:rsidR="003E2087">
        <w:t>the</w:t>
      </w:r>
      <w:r w:rsidR="00DD74DC">
        <w:t xml:space="preserve"> minimum </w:t>
      </w:r>
      <w:r w:rsidR="004C3476" w:rsidRPr="00022976">
        <w:rPr>
          <w:snapToGrid w:val="0"/>
        </w:rPr>
        <w:t xml:space="preserve">of 7 moderate-to-severe hot flushes </w:t>
      </w:r>
      <w:r w:rsidR="00396F26">
        <w:t xml:space="preserve">(VMS episodes) </w:t>
      </w:r>
      <w:r w:rsidR="004C3476" w:rsidRPr="00022976">
        <w:rPr>
          <w:snapToGrid w:val="0"/>
        </w:rPr>
        <w:t>per day</w:t>
      </w:r>
      <w:r w:rsidR="004C3476">
        <w:t xml:space="preserve"> </w:t>
      </w:r>
      <w:r w:rsidR="00F82F47">
        <w:t xml:space="preserve">(average) </w:t>
      </w:r>
      <w:r w:rsidR="00DD74DC">
        <w:t>as per the clin</w:t>
      </w:r>
      <w:r w:rsidR="002A0CFE">
        <w:t xml:space="preserve">ical trials, </w:t>
      </w:r>
      <w:r w:rsidR="00396F26">
        <w:t xml:space="preserve">and </w:t>
      </w:r>
      <w:r w:rsidR="002A0CFE">
        <w:t>as suggested in the clinician statement.</w:t>
      </w:r>
    </w:p>
    <w:p w14:paraId="4F1380C2" w14:textId="3CE0B1C6" w:rsidR="00C53271" w:rsidRPr="004650A6" w:rsidRDefault="00FE4749" w:rsidP="00766C07">
      <w:pPr>
        <w:pStyle w:val="3-BodyText"/>
        <w:rPr>
          <w:snapToGrid w:val="0"/>
        </w:rPr>
      </w:pPr>
      <w:r>
        <w:rPr>
          <w:snapToGrid w:val="0"/>
        </w:rPr>
        <w:t>The PBAC noted that</w:t>
      </w:r>
      <w:r w:rsidR="00BF2F81">
        <w:rPr>
          <w:snapToGrid w:val="0"/>
        </w:rPr>
        <w:t xml:space="preserve"> the</w:t>
      </w:r>
      <w:r>
        <w:rPr>
          <w:snapToGrid w:val="0"/>
        </w:rPr>
        <w:t xml:space="preserve"> </w:t>
      </w:r>
      <w:r w:rsidR="00B248A4">
        <w:rPr>
          <w:snapToGrid w:val="0"/>
        </w:rPr>
        <w:t>revised restrictions were intended to exclude patients who could be treated with MHT</w:t>
      </w:r>
      <w:r w:rsidR="00BF2F81">
        <w:rPr>
          <w:snapToGrid w:val="0"/>
        </w:rPr>
        <w:t>, in which case MHT would not be a relevant comparato</w:t>
      </w:r>
      <w:r w:rsidR="00436044">
        <w:rPr>
          <w:snapToGrid w:val="0"/>
        </w:rPr>
        <w:t xml:space="preserve">r. </w:t>
      </w:r>
      <w:r w:rsidR="00C53271" w:rsidRPr="004650A6">
        <w:rPr>
          <w:snapToGrid w:val="0"/>
        </w:rPr>
        <w:t>The PBAC recalled that it previously considered that the nomination of ‘no treatment’ as the main comparator was not appropriate for requested PBS patients who are contraindicated to MHT, or who have discontinued MHT due to adverse effects (AEs)</w:t>
      </w:r>
      <w:r w:rsidR="00F31C31">
        <w:rPr>
          <w:snapToGrid w:val="0"/>
        </w:rPr>
        <w:t xml:space="preserve"> (paragraph 7.6</w:t>
      </w:r>
      <w:r w:rsidR="00835AB5">
        <w:rPr>
          <w:snapToGrid w:val="0"/>
        </w:rPr>
        <w:t xml:space="preserve">, </w:t>
      </w:r>
      <w:proofErr w:type="spellStart"/>
      <w:r w:rsidR="00835AB5">
        <w:rPr>
          <w:snapToGrid w:val="0"/>
        </w:rPr>
        <w:t>fezolinetant</w:t>
      </w:r>
      <w:proofErr w:type="spellEnd"/>
      <w:r w:rsidR="00835AB5">
        <w:rPr>
          <w:snapToGrid w:val="0"/>
        </w:rPr>
        <w:t xml:space="preserve"> PSD, March 2025 PBAC meeting)</w:t>
      </w:r>
      <w:r w:rsidR="00C53271" w:rsidRPr="004650A6">
        <w:rPr>
          <w:snapToGrid w:val="0"/>
        </w:rPr>
        <w:t>. The PBAC noted that the comparator was unchanged in the resubmission</w:t>
      </w:r>
      <w:r w:rsidR="00181AB2">
        <w:rPr>
          <w:snapToGrid w:val="0"/>
        </w:rPr>
        <w:t xml:space="preserve"> </w:t>
      </w:r>
      <w:r w:rsidR="0053206F">
        <w:rPr>
          <w:snapToGrid w:val="0"/>
        </w:rPr>
        <w:t>supported by</w:t>
      </w:r>
      <w:r w:rsidR="005E0C76">
        <w:rPr>
          <w:snapToGrid w:val="0"/>
        </w:rPr>
        <w:t xml:space="preserve"> </w:t>
      </w:r>
      <w:r w:rsidR="00181AB2">
        <w:rPr>
          <w:snapToGrid w:val="0"/>
        </w:rPr>
        <w:t xml:space="preserve">a consensus statement that </w:t>
      </w:r>
      <w:r w:rsidR="00A067B0">
        <w:rPr>
          <w:snapToGrid w:val="0"/>
        </w:rPr>
        <w:t xml:space="preserve">existing non-hormonal treatments are infrequently prescribed and are not routine care. </w:t>
      </w:r>
      <w:r w:rsidR="00BF4F95">
        <w:rPr>
          <w:snapToGrid w:val="0"/>
        </w:rPr>
        <w:t>However</w:t>
      </w:r>
      <w:r w:rsidR="00FA5E19">
        <w:rPr>
          <w:snapToGrid w:val="0"/>
        </w:rPr>
        <w:t>,</w:t>
      </w:r>
      <w:r w:rsidR="00BF4F95">
        <w:rPr>
          <w:snapToGrid w:val="0"/>
        </w:rPr>
        <w:t xml:space="preserve"> t</w:t>
      </w:r>
      <w:r w:rsidR="00A067B0">
        <w:rPr>
          <w:snapToGrid w:val="0"/>
        </w:rPr>
        <w:t xml:space="preserve">he PBAC also noted that </w:t>
      </w:r>
      <w:r w:rsidR="00654F31">
        <w:rPr>
          <w:snapToGrid w:val="0"/>
        </w:rPr>
        <w:t xml:space="preserve">real-world prescribing data </w:t>
      </w:r>
      <w:r w:rsidR="005842B0" w:rsidRPr="004F3EF0">
        <w:t xml:space="preserve">commissioned by the sponsor using primary care electronic records </w:t>
      </w:r>
      <w:r w:rsidR="005842B0">
        <w:t>in</w:t>
      </w:r>
      <w:r w:rsidR="005842B0" w:rsidRPr="004F3EF0">
        <w:t xml:space="preserve"> women aged 45-65 years with diagnosis/symptoms related to VMS</w:t>
      </w:r>
      <w:r w:rsidR="005842B0">
        <w:t xml:space="preserve"> </w:t>
      </w:r>
      <w:r w:rsidR="00654F31">
        <w:rPr>
          <w:snapToGrid w:val="0"/>
        </w:rPr>
        <w:t xml:space="preserve">suggested that </w:t>
      </w:r>
      <w:r w:rsidR="00573A4A">
        <w:rPr>
          <w:snapToGrid w:val="0"/>
        </w:rPr>
        <w:t>21-28% of patients received non-hormonal treatments</w:t>
      </w:r>
      <w:r w:rsidR="00497148">
        <w:rPr>
          <w:snapToGrid w:val="0"/>
        </w:rPr>
        <w:t>.</w:t>
      </w:r>
      <w:r w:rsidR="00BF4F95">
        <w:rPr>
          <w:snapToGrid w:val="0"/>
        </w:rPr>
        <w:t xml:space="preserve"> </w:t>
      </w:r>
      <w:r w:rsidR="00CA55C4">
        <w:rPr>
          <w:snapToGrid w:val="0"/>
        </w:rPr>
        <w:t xml:space="preserve">The PBAC noted that there are very limited data to inform any analysis of comparative efficacy and safety between </w:t>
      </w:r>
      <w:proofErr w:type="spellStart"/>
      <w:r w:rsidR="00CA55C4">
        <w:rPr>
          <w:snapToGrid w:val="0"/>
        </w:rPr>
        <w:t>fezolinetant</w:t>
      </w:r>
      <w:proofErr w:type="spellEnd"/>
      <w:r w:rsidR="00CA55C4">
        <w:rPr>
          <w:snapToGrid w:val="0"/>
        </w:rPr>
        <w:t xml:space="preserve"> and </w:t>
      </w:r>
      <w:r w:rsidR="00050D93">
        <w:rPr>
          <w:snapToGrid w:val="0"/>
        </w:rPr>
        <w:t xml:space="preserve">other non-hormonal treatments for VMS. </w:t>
      </w:r>
      <w:r w:rsidR="00F44982">
        <w:rPr>
          <w:snapToGrid w:val="0"/>
        </w:rPr>
        <w:t xml:space="preserve">However, </w:t>
      </w:r>
      <w:proofErr w:type="gramStart"/>
      <w:r w:rsidR="00F44982">
        <w:rPr>
          <w:snapToGrid w:val="0"/>
        </w:rPr>
        <w:t>overall</w:t>
      </w:r>
      <w:proofErr w:type="gramEnd"/>
      <w:r w:rsidR="00F44982">
        <w:rPr>
          <w:snapToGrid w:val="0"/>
        </w:rPr>
        <w:t xml:space="preserve"> the </w:t>
      </w:r>
      <w:r w:rsidR="00050D93">
        <w:rPr>
          <w:snapToGrid w:val="0"/>
        </w:rPr>
        <w:t>PBAC</w:t>
      </w:r>
      <w:r w:rsidR="00874EFB">
        <w:rPr>
          <w:snapToGrid w:val="0"/>
        </w:rPr>
        <w:t xml:space="preserve"> </w:t>
      </w:r>
      <w:r w:rsidR="00C53271" w:rsidRPr="004650A6">
        <w:rPr>
          <w:snapToGrid w:val="0"/>
        </w:rPr>
        <w:t xml:space="preserve">considered that ‘no treatment’ was </w:t>
      </w:r>
      <w:r w:rsidR="00050D93">
        <w:rPr>
          <w:snapToGrid w:val="0"/>
        </w:rPr>
        <w:t xml:space="preserve">the </w:t>
      </w:r>
      <w:r w:rsidR="00C53271" w:rsidRPr="004650A6">
        <w:rPr>
          <w:snapToGrid w:val="0"/>
        </w:rPr>
        <w:t>appropriate</w:t>
      </w:r>
      <w:r w:rsidR="00F44982">
        <w:rPr>
          <w:snapToGrid w:val="0"/>
        </w:rPr>
        <w:t xml:space="preserve"> main</w:t>
      </w:r>
      <w:r w:rsidR="00C53271" w:rsidRPr="004650A6">
        <w:rPr>
          <w:snapToGrid w:val="0"/>
        </w:rPr>
        <w:t xml:space="preserve"> </w:t>
      </w:r>
      <w:r w:rsidR="00050D93">
        <w:rPr>
          <w:snapToGrid w:val="0"/>
        </w:rPr>
        <w:t xml:space="preserve">comparator for </w:t>
      </w:r>
      <w:r w:rsidR="00C53271" w:rsidRPr="004650A6">
        <w:rPr>
          <w:snapToGrid w:val="0"/>
        </w:rPr>
        <w:t xml:space="preserve">patients truly unsuitable for </w:t>
      </w:r>
      <w:r w:rsidR="00881EAC">
        <w:rPr>
          <w:snapToGrid w:val="0"/>
        </w:rPr>
        <w:t xml:space="preserve">MHT. </w:t>
      </w:r>
    </w:p>
    <w:p w14:paraId="5C8B9C71" w14:textId="4E1C2453" w:rsidR="00B057F4" w:rsidRPr="00C549C0" w:rsidRDefault="00DC450E" w:rsidP="00766C07">
      <w:pPr>
        <w:pStyle w:val="3-BodyText"/>
        <w:rPr>
          <w:lang w:val="en-GB"/>
        </w:rPr>
      </w:pPr>
      <w:r w:rsidRPr="00C549C0">
        <w:rPr>
          <w:snapToGrid w:val="0"/>
        </w:rPr>
        <w:t xml:space="preserve">The PBAC recalled that it previously considered </w:t>
      </w:r>
      <w:r w:rsidR="003D42E7" w:rsidRPr="00C549C0">
        <w:rPr>
          <w:snapToGrid w:val="0"/>
        </w:rPr>
        <w:t xml:space="preserve">that the claim of superior effectiveness </w:t>
      </w:r>
      <w:r w:rsidR="003D42E7" w:rsidRPr="00C549C0">
        <w:rPr>
          <w:lang w:val="en-GB"/>
        </w:rPr>
        <w:t xml:space="preserve">over no treatment was likely supported by the evidence, however the clinical significance </w:t>
      </w:r>
      <w:r w:rsidR="00726977" w:rsidRPr="00C549C0">
        <w:rPr>
          <w:lang w:val="en-GB"/>
        </w:rPr>
        <w:t>was</w:t>
      </w:r>
      <w:r w:rsidR="003D42E7" w:rsidRPr="00C549C0">
        <w:rPr>
          <w:lang w:val="en-GB"/>
        </w:rPr>
        <w:t xml:space="preserve"> uncertain (paragraphs 7.8, </w:t>
      </w:r>
      <w:proofErr w:type="spellStart"/>
      <w:r w:rsidR="003D42E7" w:rsidRPr="00C549C0">
        <w:rPr>
          <w:lang w:val="en-GB"/>
        </w:rPr>
        <w:t>fezolinetant</w:t>
      </w:r>
      <w:proofErr w:type="spellEnd"/>
      <w:r w:rsidR="003D42E7" w:rsidRPr="00C549C0">
        <w:rPr>
          <w:lang w:val="en-GB"/>
        </w:rPr>
        <w:t xml:space="preserve"> PSD, March 2025 PBAC Meeting).</w:t>
      </w:r>
      <w:r w:rsidR="001C03F6" w:rsidRPr="00C549C0">
        <w:rPr>
          <w:lang w:val="en-GB"/>
        </w:rPr>
        <w:t xml:space="preserve"> The PBAC noted that n</w:t>
      </w:r>
      <w:r w:rsidR="0029275A" w:rsidRPr="00C549C0">
        <w:rPr>
          <w:lang w:val="en-GB"/>
        </w:rPr>
        <w:t xml:space="preserve">o </w:t>
      </w:r>
      <w:r w:rsidR="00E137ED" w:rsidRPr="00C549C0">
        <w:rPr>
          <w:lang w:val="en-GB"/>
        </w:rPr>
        <w:t xml:space="preserve">new </w:t>
      </w:r>
      <w:r w:rsidR="0029275A" w:rsidRPr="00C549C0">
        <w:rPr>
          <w:lang w:val="en-GB"/>
        </w:rPr>
        <w:t>evidence</w:t>
      </w:r>
      <w:r w:rsidR="00E137ED" w:rsidRPr="00C549C0">
        <w:rPr>
          <w:lang w:val="en-GB"/>
        </w:rPr>
        <w:t xml:space="preserve"> was</w:t>
      </w:r>
      <w:r w:rsidR="0029275A" w:rsidRPr="00C549C0">
        <w:rPr>
          <w:lang w:val="en-GB"/>
        </w:rPr>
        <w:t xml:space="preserve"> presented</w:t>
      </w:r>
      <w:r w:rsidR="00C114B3" w:rsidRPr="00C549C0">
        <w:rPr>
          <w:lang w:val="en-GB"/>
        </w:rPr>
        <w:t xml:space="preserve"> with the resubmission, but that </w:t>
      </w:r>
      <w:r w:rsidR="00F41328" w:rsidRPr="00C549C0">
        <w:rPr>
          <w:lang w:val="en-GB"/>
        </w:rPr>
        <w:t>a</w:t>
      </w:r>
      <w:r w:rsidR="00C114B3" w:rsidRPr="00C549C0">
        <w:rPr>
          <w:lang w:val="en-GB"/>
        </w:rPr>
        <w:t xml:space="preserve">dditional </w:t>
      </w:r>
      <w:r w:rsidR="00F41328" w:rsidRPr="00C549C0">
        <w:rPr>
          <w:i/>
          <w:iCs/>
          <w:lang w:val="en-GB"/>
        </w:rPr>
        <w:t>post hoc</w:t>
      </w:r>
      <w:r w:rsidR="00F41328" w:rsidRPr="00C549C0">
        <w:rPr>
          <w:lang w:val="en-GB"/>
        </w:rPr>
        <w:t xml:space="preserve"> subgroup analys</w:t>
      </w:r>
      <w:r w:rsidR="00F86453" w:rsidRPr="00C549C0">
        <w:rPr>
          <w:lang w:val="en-GB"/>
        </w:rPr>
        <w:t>e</w:t>
      </w:r>
      <w:r w:rsidR="00F41328" w:rsidRPr="00C549C0">
        <w:rPr>
          <w:lang w:val="en-GB"/>
        </w:rPr>
        <w:t>s</w:t>
      </w:r>
      <w:r w:rsidR="002C4A9A" w:rsidRPr="00C549C0">
        <w:rPr>
          <w:lang w:val="en-GB"/>
        </w:rPr>
        <w:t xml:space="preserve"> for the DAY</w:t>
      </w:r>
      <w:r w:rsidR="002E3D8C" w:rsidRPr="00C549C0">
        <w:rPr>
          <w:lang w:val="en-GB"/>
        </w:rPr>
        <w:t>LIGHT and SKYLIGHT trials</w:t>
      </w:r>
      <w:r w:rsidR="00F41328" w:rsidRPr="00C549C0">
        <w:rPr>
          <w:lang w:val="en-GB"/>
        </w:rPr>
        <w:t xml:space="preserve"> excluding </w:t>
      </w:r>
      <w:r w:rsidR="009E42C6" w:rsidRPr="00C549C0">
        <w:rPr>
          <w:lang w:val="en-GB"/>
        </w:rPr>
        <w:t>“</w:t>
      </w:r>
      <w:r w:rsidR="00F41328" w:rsidRPr="00C549C0">
        <w:rPr>
          <w:lang w:val="en-GB"/>
        </w:rPr>
        <w:t>MHT averse</w:t>
      </w:r>
      <w:r w:rsidR="009E42C6" w:rsidRPr="00C549C0">
        <w:rPr>
          <w:lang w:val="en-GB"/>
        </w:rPr>
        <w:t xml:space="preserve">” </w:t>
      </w:r>
      <w:r w:rsidR="00D36592" w:rsidRPr="00C549C0">
        <w:rPr>
          <w:lang w:val="en-GB"/>
        </w:rPr>
        <w:t>patients (</w:t>
      </w:r>
      <w:r w:rsidR="00C25534" w:rsidRPr="00C549C0">
        <w:rPr>
          <w:lang w:val="en-GB"/>
        </w:rPr>
        <w:t>those who had made an informed choice not to use hormone therapy after discussion with a clinician)</w:t>
      </w:r>
      <w:r w:rsidR="009E42C6" w:rsidRPr="00C549C0">
        <w:rPr>
          <w:lang w:val="en-GB"/>
        </w:rPr>
        <w:t xml:space="preserve"> </w:t>
      </w:r>
      <w:r w:rsidR="00F86453" w:rsidRPr="00C549C0">
        <w:rPr>
          <w:lang w:val="en-GB"/>
        </w:rPr>
        <w:t xml:space="preserve">were </w:t>
      </w:r>
      <w:r w:rsidR="002251E9" w:rsidRPr="00C549C0">
        <w:rPr>
          <w:lang w:val="en-GB"/>
        </w:rPr>
        <w:t>provided</w:t>
      </w:r>
      <w:r w:rsidR="000A0A02" w:rsidRPr="00C549C0">
        <w:rPr>
          <w:lang w:val="en-GB"/>
        </w:rPr>
        <w:t>. T</w:t>
      </w:r>
      <w:r w:rsidR="009E42C6" w:rsidRPr="00C549C0">
        <w:rPr>
          <w:lang w:val="en-GB"/>
        </w:rPr>
        <w:t xml:space="preserve">he PBAC considered </w:t>
      </w:r>
      <w:r w:rsidR="000A0A02" w:rsidRPr="00C549C0">
        <w:rPr>
          <w:lang w:val="en-GB"/>
        </w:rPr>
        <w:t xml:space="preserve">this </w:t>
      </w:r>
      <w:r w:rsidR="002C2607" w:rsidRPr="00C549C0">
        <w:rPr>
          <w:lang w:val="en-GB"/>
        </w:rPr>
        <w:t xml:space="preserve">subgroup </w:t>
      </w:r>
      <w:r w:rsidR="009E42C6" w:rsidRPr="00C549C0">
        <w:rPr>
          <w:lang w:val="en-GB"/>
        </w:rPr>
        <w:t xml:space="preserve">to be </w:t>
      </w:r>
      <w:r w:rsidR="0029275A" w:rsidRPr="00C549C0">
        <w:rPr>
          <w:lang w:val="en-GB"/>
        </w:rPr>
        <w:t xml:space="preserve">more reflective of requested </w:t>
      </w:r>
      <w:r w:rsidR="00862E4E" w:rsidRPr="00C549C0">
        <w:rPr>
          <w:lang w:val="en-GB"/>
        </w:rPr>
        <w:t>population</w:t>
      </w:r>
      <w:r w:rsidR="00210DA7" w:rsidRPr="00C549C0">
        <w:rPr>
          <w:lang w:val="en-GB"/>
        </w:rPr>
        <w:t xml:space="preserve"> and noted </w:t>
      </w:r>
      <w:r w:rsidR="00A3758F" w:rsidRPr="00C549C0">
        <w:rPr>
          <w:lang w:val="en-GB"/>
        </w:rPr>
        <w:t>that</w:t>
      </w:r>
      <w:r w:rsidR="002C2607" w:rsidRPr="00C549C0">
        <w:rPr>
          <w:lang w:val="en-GB"/>
        </w:rPr>
        <w:t xml:space="preserve"> </w:t>
      </w:r>
      <w:r w:rsidR="007D4FFB" w:rsidRPr="00C549C0">
        <w:rPr>
          <w:lang w:val="en-GB"/>
        </w:rPr>
        <w:t xml:space="preserve">the </w:t>
      </w:r>
      <w:r w:rsidR="00DE692F" w:rsidRPr="00C549C0">
        <w:rPr>
          <w:lang w:val="en-GB"/>
        </w:rPr>
        <w:t xml:space="preserve">observed </w:t>
      </w:r>
      <w:r w:rsidR="002C2607" w:rsidRPr="00C549C0">
        <w:rPr>
          <w:lang w:val="en-GB"/>
        </w:rPr>
        <w:t xml:space="preserve">efficacy was </w:t>
      </w:r>
      <w:proofErr w:type="gramStart"/>
      <w:r w:rsidR="002C2607" w:rsidRPr="00C549C0">
        <w:rPr>
          <w:lang w:val="en-GB"/>
        </w:rPr>
        <w:t>similar to</w:t>
      </w:r>
      <w:proofErr w:type="gramEnd"/>
      <w:r w:rsidR="002C2607" w:rsidRPr="00C549C0">
        <w:rPr>
          <w:lang w:val="en-GB"/>
        </w:rPr>
        <w:t xml:space="preserve"> </w:t>
      </w:r>
      <w:r w:rsidR="007D4FFB" w:rsidRPr="00C549C0">
        <w:rPr>
          <w:lang w:val="en-GB"/>
        </w:rPr>
        <w:t xml:space="preserve">that for </w:t>
      </w:r>
      <w:r w:rsidR="002C2607" w:rsidRPr="00C549C0">
        <w:rPr>
          <w:lang w:val="en-GB"/>
        </w:rPr>
        <w:t>the overall trial population</w:t>
      </w:r>
      <w:r w:rsidR="00432BAA">
        <w:rPr>
          <w:lang w:val="en-GB"/>
        </w:rPr>
        <w:t>s</w:t>
      </w:r>
      <w:r w:rsidR="0029275A" w:rsidRPr="00C549C0">
        <w:rPr>
          <w:lang w:val="en-GB"/>
        </w:rPr>
        <w:t xml:space="preserve">. </w:t>
      </w:r>
      <w:r w:rsidR="004B0832" w:rsidRPr="00C549C0">
        <w:rPr>
          <w:lang w:val="en-GB"/>
        </w:rPr>
        <w:t xml:space="preserve">The PBAC noted that the resubmission’s economic model continued to use the </w:t>
      </w:r>
      <w:r w:rsidR="00B3583E" w:rsidRPr="00C549C0">
        <w:rPr>
          <w:lang w:val="en-GB"/>
        </w:rPr>
        <w:t>trial ITT</w:t>
      </w:r>
      <w:r w:rsidR="004B0832" w:rsidRPr="00C549C0">
        <w:rPr>
          <w:lang w:val="en-GB"/>
        </w:rPr>
        <w:t xml:space="preserve"> populatio</w:t>
      </w:r>
      <w:r w:rsidR="00853DEE" w:rsidRPr="00C549C0">
        <w:rPr>
          <w:lang w:val="en-GB"/>
        </w:rPr>
        <w:t>n</w:t>
      </w:r>
      <w:r w:rsidR="00B3583E" w:rsidRPr="00C549C0">
        <w:rPr>
          <w:lang w:val="en-GB"/>
        </w:rPr>
        <w:t>s</w:t>
      </w:r>
      <w:r w:rsidR="0073780A" w:rsidRPr="00C549C0">
        <w:rPr>
          <w:lang w:val="en-GB"/>
        </w:rPr>
        <w:t xml:space="preserve">, which </w:t>
      </w:r>
      <w:r w:rsidR="009060A2" w:rsidRPr="00C549C0">
        <w:rPr>
          <w:lang w:val="en-GB"/>
        </w:rPr>
        <w:t>it</w:t>
      </w:r>
      <w:r w:rsidR="005A46BC" w:rsidRPr="00C549C0">
        <w:rPr>
          <w:lang w:val="en-GB"/>
        </w:rPr>
        <w:t xml:space="preserve"> considered was reasonable given</w:t>
      </w:r>
      <w:r w:rsidR="0073780A" w:rsidRPr="00C549C0">
        <w:rPr>
          <w:lang w:val="en-GB"/>
        </w:rPr>
        <w:t xml:space="preserve"> </w:t>
      </w:r>
      <w:r w:rsidR="005A46BC" w:rsidRPr="00C549C0">
        <w:rPr>
          <w:lang w:val="en-GB"/>
        </w:rPr>
        <w:t>the</w:t>
      </w:r>
      <w:r w:rsidR="0073780A" w:rsidRPr="00C549C0">
        <w:rPr>
          <w:lang w:val="en-GB"/>
        </w:rPr>
        <w:t xml:space="preserve"> comparable results in the </w:t>
      </w:r>
      <w:r w:rsidR="0073780A" w:rsidRPr="00C549C0">
        <w:rPr>
          <w:i/>
          <w:iCs/>
          <w:lang w:val="en-GB"/>
        </w:rPr>
        <w:t>post hoc</w:t>
      </w:r>
      <w:r w:rsidR="0073780A" w:rsidRPr="00C549C0">
        <w:rPr>
          <w:lang w:val="en-GB"/>
        </w:rPr>
        <w:t xml:space="preserve"> analys</w:t>
      </w:r>
      <w:r w:rsidR="00432BAA">
        <w:rPr>
          <w:lang w:val="en-GB"/>
        </w:rPr>
        <w:t>e</w:t>
      </w:r>
      <w:r w:rsidR="0073780A" w:rsidRPr="00C549C0">
        <w:rPr>
          <w:lang w:val="en-GB"/>
        </w:rPr>
        <w:t xml:space="preserve">s. </w:t>
      </w:r>
      <w:r w:rsidR="0086644D" w:rsidRPr="00C549C0">
        <w:rPr>
          <w:lang w:val="en-GB"/>
        </w:rPr>
        <w:t xml:space="preserve">Although the point estimates for </w:t>
      </w:r>
      <w:r w:rsidR="00B057F4" w:rsidRPr="00C549C0">
        <w:rPr>
          <w:lang w:val="en-GB"/>
        </w:rPr>
        <w:t xml:space="preserve">the </w:t>
      </w:r>
      <w:r w:rsidR="00CF505E" w:rsidRPr="00C549C0">
        <w:rPr>
          <w:lang w:val="en-GB"/>
        </w:rPr>
        <w:t xml:space="preserve">reduction </w:t>
      </w:r>
      <w:r w:rsidR="00B057F4" w:rsidRPr="00C549C0">
        <w:rPr>
          <w:lang w:val="en-GB"/>
        </w:rPr>
        <w:t>in VMS frequency in DAYLIGHT</w:t>
      </w:r>
      <w:r w:rsidR="00D047D0">
        <w:rPr>
          <w:lang w:val="en-GB"/>
        </w:rPr>
        <w:t xml:space="preserve"> </w:t>
      </w:r>
      <w:r w:rsidR="00D047D0" w:rsidRPr="00C549C0">
        <w:rPr>
          <w:lang w:val="en-GB"/>
        </w:rPr>
        <w:t>at Week 12/24</w:t>
      </w:r>
      <w:r w:rsidR="00B057F4" w:rsidRPr="00C549C0">
        <w:rPr>
          <w:lang w:val="en-GB"/>
        </w:rPr>
        <w:t xml:space="preserve"> (1.87 to 1.96) did not </w:t>
      </w:r>
      <w:r w:rsidR="004D7F16" w:rsidRPr="00C549C0">
        <w:rPr>
          <w:lang w:val="en-GB"/>
        </w:rPr>
        <w:t xml:space="preserve">exceed </w:t>
      </w:r>
      <w:r w:rsidR="00B057F4" w:rsidRPr="00C549C0">
        <w:rPr>
          <w:lang w:val="en-GB"/>
        </w:rPr>
        <w:t xml:space="preserve">the </w:t>
      </w:r>
      <w:r w:rsidR="0061097C" w:rsidRPr="00C549C0">
        <w:rPr>
          <w:lang w:val="en-GB"/>
        </w:rPr>
        <w:t xml:space="preserve">nominated </w:t>
      </w:r>
      <w:r w:rsidR="005E4CC7" w:rsidRPr="00554C89">
        <w:t xml:space="preserve">minimally </w:t>
      </w:r>
      <w:r w:rsidR="00927CC8">
        <w:rPr>
          <w:lang w:val="en-GB"/>
        </w:rPr>
        <w:t>clinically important difference (</w:t>
      </w:r>
      <w:r w:rsidR="00B057F4" w:rsidRPr="00C549C0">
        <w:rPr>
          <w:lang w:val="en-GB"/>
        </w:rPr>
        <w:t>MCID</w:t>
      </w:r>
      <w:r w:rsidR="00927CC8">
        <w:rPr>
          <w:lang w:val="en-GB"/>
        </w:rPr>
        <w:t xml:space="preserve">; </w:t>
      </w:r>
      <w:r w:rsidR="00B057F4" w:rsidRPr="00C549C0">
        <w:rPr>
          <w:lang w:val="en-GB"/>
        </w:rPr>
        <w:t>≥2 hot flushes/day)</w:t>
      </w:r>
      <w:r w:rsidR="00041619" w:rsidRPr="00C549C0">
        <w:rPr>
          <w:lang w:val="en-GB"/>
        </w:rPr>
        <w:t>,</w:t>
      </w:r>
      <w:r w:rsidR="00B057F4" w:rsidRPr="00C549C0">
        <w:rPr>
          <w:lang w:val="en-GB"/>
        </w:rPr>
        <w:t xml:space="preserve"> </w:t>
      </w:r>
      <w:r w:rsidR="00CE3FB9" w:rsidRPr="00C549C0">
        <w:rPr>
          <w:lang w:val="en-GB"/>
        </w:rPr>
        <w:t xml:space="preserve">the </w:t>
      </w:r>
      <w:r w:rsidR="00CF505E" w:rsidRPr="00C549C0">
        <w:rPr>
          <w:lang w:val="en-GB"/>
        </w:rPr>
        <w:t>reduction</w:t>
      </w:r>
      <w:r w:rsidR="00CE3FB9" w:rsidRPr="00C549C0">
        <w:rPr>
          <w:lang w:val="en-GB"/>
        </w:rPr>
        <w:t xml:space="preserve"> did exceed </w:t>
      </w:r>
      <w:r w:rsidR="0027637D">
        <w:rPr>
          <w:lang w:val="en-GB"/>
        </w:rPr>
        <w:t>this</w:t>
      </w:r>
      <w:r w:rsidR="00CE3FB9" w:rsidRPr="00C549C0">
        <w:rPr>
          <w:lang w:val="en-GB"/>
        </w:rPr>
        <w:t xml:space="preserve"> </w:t>
      </w:r>
      <w:r w:rsidR="006B6DB3" w:rsidRPr="00C549C0">
        <w:rPr>
          <w:lang w:val="en-GB"/>
        </w:rPr>
        <w:t xml:space="preserve">MCID in the </w:t>
      </w:r>
      <w:r w:rsidR="00B057F4" w:rsidRPr="00C549C0">
        <w:rPr>
          <w:lang w:val="en-GB"/>
        </w:rPr>
        <w:t xml:space="preserve">SKYLIGHT </w:t>
      </w:r>
      <w:r w:rsidR="006B6DB3" w:rsidRPr="00C549C0">
        <w:rPr>
          <w:lang w:val="en-GB"/>
        </w:rPr>
        <w:t xml:space="preserve">trials </w:t>
      </w:r>
      <w:r w:rsidR="00B057F4" w:rsidRPr="00C549C0">
        <w:rPr>
          <w:lang w:val="en-GB"/>
        </w:rPr>
        <w:t>(2.5</w:t>
      </w:r>
      <w:r w:rsidR="002F3FE1">
        <w:rPr>
          <w:lang w:val="en-GB"/>
        </w:rPr>
        <w:t>1</w:t>
      </w:r>
      <w:r w:rsidR="00B057F4" w:rsidRPr="00C549C0">
        <w:rPr>
          <w:lang w:val="en-GB"/>
        </w:rPr>
        <w:t xml:space="preserve"> to 2.75</w:t>
      </w:r>
      <w:r w:rsidR="008D6425">
        <w:rPr>
          <w:lang w:val="en-GB"/>
        </w:rPr>
        <w:t>, pooled results</w:t>
      </w:r>
      <w:r w:rsidR="00B057F4" w:rsidRPr="00C549C0">
        <w:rPr>
          <w:lang w:val="en-GB"/>
        </w:rPr>
        <w:t>)</w:t>
      </w:r>
      <w:r w:rsidR="00041619" w:rsidRPr="00C549C0">
        <w:rPr>
          <w:lang w:val="en-GB"/>
        </w:rPr>
        <w:t xml:space="preserve">. </w:t>
      </w:r>
      <w:r w:rsidR="002E3083" w:rsidRPr="00C549C0">
        <w:rPr>
          <w:lang w:val="en-GB"/>
        </w:rPr>
        <w:t xml:space="preserve">The PBAC noted the </w:t>
      </w:r>
      <w:r w:rsidR="00EE60FC">
        <w:rPr>
          <w:lang w:val="en-GB"/>
        </w:rPr>
        <w:t xml:space="preserve">submission and </w:t>
      </w:r>
      <w:r w:rsidR="002E3083" w:rsidRPr="00C549C0">
        <w:rPr>
          <w:lang w:val="en-GB"/>
        </w:rPr>
        <w:t>pre</w:t>
      </w:r>
      <w:r w:rsidR="005354CA">
        <w:rPr>
          <w:lang w:val="en-GB"/>
        </w:rPr>
        <w:t>-</w:t>
      </w:r>
      <w:r w:rsidR="002E3083" w:rsidRPr="00C549C0">
        <w:rPr>
          <w:lang w:val="en-GB"/>
        </w:rPr>
        <w:t>PBAC response presented pooled results for the DAYLIGHT and SKYLIGHT trials</w:t>
      </w:r>
      <w:r w:rsidR="00EE60FC">
        <w:rPr>
          <w:lang w:val="en-GB"/>
        </w:rPr>
        <w:t xml:space="preserve"> in MHT unsuitable patients</w:t>
      </w:r>
      <w:r w:rsidR="00BE4A3A">
        <w:rPr>
          <w:lang w:val="en-GB"/>
        </w:rPr>
        <w:t>, and</w:t>
      </w:r>
      <w:r w:rsidR="002B75F1" w:rsidRPr="00C549C0">
        <w:rPr>
          <w:lang w:val="en-GB"/>
        </w:rPr>
        <w:t xml:space="preserve"> </w:t>
      </w:r>
      <w:r w:rsidR="00BE4A3A">
        <w:rPr>
          <w:lang w:val="en-GB"/>
        </w:rPr>
        <w:t>a</w:t>
      </w:r>
      <w:r w:rsidR="002B75F1" w:rsidRPr="00C549C0">
        <w:rPr>
          <w:lang w:val="en-GB"/>
        </w:rPr>
        <w:t xml:space="preserve"> 50% reduction in </w:t>
      </w:r>
      <w:r w:rsidR="002A00FC" w:rsidRPr="00C549C0">
        <w:rPr>
          <w:lang w:val="en-GB"/>
        </w:rPr>
        <w:t>VMS frequency was observed in</w:t>
      </w:r>
      <w:r w:rsidR="00BF2FC9" w:rsidRPr="00C549C0">
        <w:rPr>
          <w:lang w:val="en-GB"/>
        </w:rPr>
        <w:t xml:space="preserve"> </w:t>
      </w:r>
      <w:r w:rsidR="00E077F4" w:rsidRPr="00C549C0">
        <w:rPr>
          <w:lang w:val="en-GB"/>
        </w:rPr>
        <w:t xml:space="preserve">64% of patients treated with </w:t>
      </w:r>
      <w:proofErr w:type="spellStart"/>
      <w:r w:rsidR="00E077F4" w:rsidRPr="00C549C0">
        <w:rPr>
          <w:lang w:val="en-GB"/>
        </w:rPr>
        <w:t>fezolin</w:t>
      </w:r>
      <w:r w:rsidR="00F0103C" w:rsidRPr="00C549C0">
        <w:rPr>
          <w:lang w:val="en-GB"/>
        </w:rPr>
        <w:t>etant</w:t>
      </w:r>
      <w:proofErr w:type="spellEnd"/>
      <w:r w:rsidR="00F0103C" w:rsidRPr="00C549C0">
        <w:rPr>
          <w:lang w:val="en-GB"/>
        </w:rPr>
        <w:t xml:space="preserve"> </w:t>
      </w:r>
      <w:r w:rsidR="002A00FC" w:rsidRPr="00C549C0">
        <w:rPr>
          <w:lang w:val="en-GB"/>
        </w:rPr>
        <w:t>versus 41%</w:t>
      </w:r>
      <w:r w:rsidR="00173AA0" w:rsidRPr="00C549C0">
        <w:rPr>
          <w:lang w:val="en-GB"/>
        </w:rPr>
        <w:t xml:space="preserve"> of patients treated with placebo, a 75% reduction in </w:t>
      </w:r>
      <w:r w:rsidR="007139C9" w:rsidRPr="00C549C0">
        <w:rPr>
          <w:lang w:val="en-GB"/>
        </w:rPr>
        <w:t xml:space="preserve">44% versus 23% and a 100% reduction in </w:t>
      </w:r>
      <w:r w:rsidR="009034A4" w:rsidRPr="00C549C0">
        <w:rPr>
          <w:lang w:val="en-GB"/>
        </w:rPr>
        <w:t xml:space="preserve">17% versus 7%. </w:t>
      </w:r>
      <w:r w:rsidR="00C549C0" w:rsidRPr="00C549C0">
        <w:rPr>
          <w:lang w:val="en-GB"/>
        </w:rPr>
        <w:t xml:space="preserve">Further, </w:t>
      </w:r>
      <w:r w:rsidR="00C549C0">
        <w:rPr>
          <w:lang w:val="en-GB"/>
        </w:rPr>
        <w:t>t</w:t>
      </w:r>
      <w:r w:rsidR="00604A7A" w:rsidRPr="00C549C0">
        <w:rPr>
          <w:lang w:val="en-GB"/>
        </w:rPr>
        <w:t>he</w:t>
      </w:r>
      <w:r w:rsidR="00A43141" w:rsidRPr="00C549C0">
        <w:rPr>
          <w:lang w:val="en-GB"/>
        </w:rPr>
        <w:t xml:space="preserve"> PBAC considered the </w:t>
      </w:r>
      <w:r w:rsidR="00C15D1B" w:rsidRPr="00C549C0">
        <w:rPr>
          <w:lang w:val="en-GB"/>
        </w:rPr>
        <w:t xml:space="preserve">reduction in mean severity </w:t>
      </w:r>
      <w:r w:rsidR="00F95CE3" w:rsidRPr="00C549C0">
        <w:rPr>
          <w:lang w:val="en-GB"/>
        </w:rPr>
        <w:t xml:space="preserve">of VMS symptoms </w:t>
      </w:r>
      <w:r w:rsidR="00C549C0">
        <w:rPr>
          <w:lang w:val="en-GB"/>
        </w:rPr>
        <w:t>was</w:t>
      </w:r>
      <w:r w:rsidR="00A843BE" w:rsidRPr="00C549C0">
        <w:rPr>
          <w:lang w:val="en-GB"/>
        </w:rPr>
        <w:t xml:space="preserve"> </w:t>
      </w:r>
      <w:r w:rsidR="00A43141" w:rsidRPr="00C549C0">
        <w:rPr>
          <w:lang w:val="en-GB"/>
        </w:rPr>
        <w:t xml:space="preserve">clinically significant </w:t>
      </w:r>
      <w:r w:rsidR="007E70F0" w:rsidRPr="00C549C0">
        <w:rPr>
          <w:lang w:val="en-GB"/>
        </w:rPr>
        <w:t>with point estimate</w:t>
      </w:r>
      <w:r w:rsidR="00C549C0">
        <w:rPr>
          <w:lang w:val="en-GB"/>
        </w:rPr>
        <w:t>s</w:t>
      </w:r>
      <w:r w:rsidR="007E70F0" w:rsidRPr="00C549C0">
        <w:rPr>
          <w:lang w:val="en-GB"/>
        </w:rPr>
        <w:t xml:space="preserve"> of 0.3</w:t>
      </w:r>
      <w:r w:rsidR="00372590" w:rsidRPr="00C549C0">
        <w:rPr>
          <w:lang w:val="en-GB"/>
        </w:rPr>
        <w:t>0-0.44 in DAYLIGHT and 0.2</w:t>
      </w:r>
      <w:r w:rsidR="001A7BF5">
        <w:rPr>
          <w:lang w:val="en-GB"/>
        </w:rPr>
        <w:t>4</w:t>
      </w:r>
      <w:r w:rsidR="00372590" w:rsidRPr="00C549C0">
        <w:rPr>
          <w:lang w:val="en-GB"/>
        </w:rPr>
        <w:t xml:space="preserve">-0.31 in </w:t>
      </w:r>
      <w:r w:rsidR="00B10A86" w:rsidRPr="00C549C0">
        <w:rPr>
          <w:lang w:val="en-GB"/>
        </w:rPr>
        <w:t xml:space="preserve">SKYLIGHT versus a </w:t>
      </w:r>
      <w:r w:rsidR="00971754">
        <w:rPr>
          <w:lang w:val="en-GB"/>
        </w:rPr>
        <w:t xml:space="preserve">likely </w:t>
      </w:r>
      <w:r w:rsidR="00F8215E" w:rsidRPr="00C549C0">
        <w:rPr>
          <w:lang w:val="en-GB"/>
        </w:rPr>
        <w:t xml:space="preserve">MCID of 0.225. </w:t>
      </w:r>
      <w:r w:rsidR="00971754">
        <w:rPr>
          <w:lang w:val="en-GB"/>
        </w:rPr>
        <w:t>Overall, t</w:t>
      </w:r>
      <w:r w:rsidR="00E962D4" w:rsidRPr="00C549C0">
        <w:rPr>
          <w:lang w:val="en-GB"/>
        </w:rPr>
        <w:t xml:space="preserve">he PBAC </w:t>
      </w:r>
      <w:r w:rsidR="00971754">
        <w:rPr>
          <w:lang w:val="en-GB"/>
        </w:rPr>
        <w:t>considered that</w:t>
      </w:r>
      <w:r w:rsidR="00E962D4" w:rsidRPr="00C549C0">
        <w:rPr>
          <w:lang w:val="en-GB"/>
        </w:rPr>
        <w:t xml:space="preserve"> </w:t>
      </w:r>
      <w:r w:rsidR="00075207" w:rsidRPr="00C549C0">
        <w:rPr>
          <w:lang w:val="en-GB"/>
        </w:rPr>
        <w:t>the claim of superior effectiveness over no treatment was supported by the evidence</w:t>
      </w:r>
      <w:r w:rsidR="00102E78" w:rsidRPr="00C549C0">
        <w:rPr>
          <w:lang w:val="en-GB"/>
        </w:rPr>
        <w:t xml:space="preserve">. </w:t>
      </w:r>
      <w:r w:rsidR="000D434D" w:rsidRPr="00C549C0">
        <w:rPr>
          <w:lang w:val="en-GB"/>
        </w:rPr>
        <w:t xml:space="preserve"> </w:t>
      </w:r>
    </w:p>
    <w:p w14:paraId="2B958B14" w14:textId="0C9E979D" w:rsidR="001F1774" w:rsidRPr="004650A6" w:rsidRDefault="00F56300" w:rsidP="00766C07">
      <w:pPr>
        <w:pStyle w:val="3-BodyText"/>
        <w:rPr>
          <w:rFonts w:eastAsia="Times New Roman" w:cs="Arial"/>
          <w:snapToGrid w:val="0"/>
          <w:szCs w:val="24"/>
        </w:rPr>
      </w:pPr>
      <w:r w:rsidRPr="004650A6">
        <w:rPr>
          <w:rFonts w:eastAsia="Times New Roman" w:cs="Arial"/>
          <w:snapToGrid w:val="0"/>
          <w:szCs w:val="24"/>
        </w:rPr>
        <w:t xml:space="preserve">The PBAC </w:t>
      </w:r>
      <w:r w:rsidR="00DC450E" w:rsidRPr="004650A6">
        <w:rPr>
          <w:rFonts w:eastAsia="Times New Roman" w:cs="Arial"/>
          <w:snapToGrid w:val="0"/>
          <w:szCs w:val="24"/>
        </w:rPr>
        <w:t xml:space="preserve">recalled that it </w:t>
      </w:r>
      <w:r w:rsidR="00C75F7E" w:rsidRPr="004650A6">
        <w:rPr>
          <w:rFonts w:eastAsia="Times New Roman" w:cs="Arial"/>
          <w:snapToGrid w:val="0"/>
          <w:szCs w:val="24"/>
        </w:rPr>
        <w:t xml:space="preserve">previously </w:t>
      </w:r>
      <w:r w:rsidRPr="004650A6">
        <w:rPr>
          <w:rFonts w:eastAsia="Times New Roman" w:cs="Arial"/>
          <w:snapToGrid w:val="0"/>
          <w:szCs w:val="24"/>
        </w:rPr>
        <w:t xml:space="preserve">considered the safety of </w:t>
      </w:r>
      <w:proofErr w:type="spellStart"/>
      <w:r w:rsidRPr="004650A6">
        <w:rPr>
          <w:rFonts w:eastAsia="Times New Roman" w:cs="Arial"/>
          <w:snapToGrid w:val="0"/>
          <w:szCs w:val="24"/>
        </w:rPr>
        <w:t>fezolinetant</w:t>
      </w:r>
      <w:proofErr w:type="spellEnd"/>
      <w:r w:rsidRPr="004650A6">
        <w:rPr>
          <w:rFonts w:eastAsia="Times New Roman" w:cs="Arial"/>
          <w:snapToGrid w:val="0"/>
          <w:szCs w:val="24"/>
        </w:rPr>
        <w:t xml:space="preserve"> </w:t>
      </w:r>
      <w:r w:rsidR="00E81C87" w:rsidRPr="004650A6">
        <w:rPr>
          <w:rFonts w:eastAsia="Times New Roman" w:cs="Arial"/>
          <w:snapToGrid w:val="0"/>
          <w:szCs w:val="24"/>
        </w:rPr>
        <w:t>to be</w:t>
      </w:r>
      <w:r w:rsidRPr="004650A6">
        <w:rPr>
          <w:rFonts w:eastAsia="Times New Roman" w:cs="Arial"/>
          <w:snapToGrid w:val="0"/>
          <w:szCs w:val="24"/>
        </w:rPr>
        <w:t xml:space="preserve"> inferior compared to placebo</w:t>
      </w:r>
      <w:r w:rsidR="001F1774" w:rsidRPr="004650A6">
        <w:rPr>
          <w:rFonts w:eastAsia="Times New Roman" w:cs="Arial"/>
          <w:snapToGrid w:val="0"/>
          <w:szCs w:val="24"/>
        </w:rPr>
        <w:t>, particularly</w:t>
      </w:r>
      <w:r w:rsidR="006D1EC3" w:rsidRPr="004650A6">
        <w:rPr>
          <w:rFonts w:eastAsia="Times New Roman" w:cs="Arial"/>
          <w:snapToGrid w:val="0"/>
          <w:szCs w:val="24"/>
        </w:rPr>
        <w:t xml:space="preserve"> given the risks of hepatotoxicity associated with </w:t>
      </w:r>
      <w:proofErr w:type="spellStart"/>
      <w:r w:rsidR="006D1EC3" w:rsidRPr="004650A6">
        <w:rPr>
          <w:rFonts w:eastAsia="Times New Roman" w:cs="Arial"/>
          <w:snapToGrid w:val="0"/>
          <w:szCs w:val="24"/>
        </w:rPr>
        <w:t>fezolinetant</w:t>
      </w:r>
      <w:proofErr w:type="spellEnd"/>
      <w:r w:rsidR="006D1EC3" w:rsidRPr="004650A6">
        <w:rPr>
          <w:rFonts w:eastAsia="Times New Roman" w:cs="Arial"/>
          <w:snapToGrid w:val="0"/>
          <w:szCs w:val="24"/>
        </w:rPr>
        <w:t xml:space="preserve"> and lack of long-term data (</w:t>
      </w:r>
      <w:r w:rsidR="00C162F2" w:rsidRPr="004650A6">
        <w:rPr>
          <w:rFonts w:eastAsia="Times New Roman" w:cs="Arial"/>
          <w:snapToGrid w:val="0"/>
          <w:szCs w:val="24"/>
        </w:rPr>
        <w:t>paragraphs</w:t>
      </w:r>
      <w:r w:rsidR="00BE75CB" w:rsidRPr="004650A6">
        <w:rPr>
          <w:rFonts w:eastAsia="Times New Roman" w:cs="Arial"/>
          <w:snapToGrid w:val="0"/>
          <w:szCs w:val="24"/>
        </w:rPr>
        <w:t xml:space="preserve"> 6.38 and 7.9</w:t>
      </w:r>
      <w:r w:rsidR="00C162F2" w:rsidRPr="004650A6">
        <w:rPr>
          <w:rFonts w:eastAsia="Times New Roman" w:cs="Arial"/>
          <w:snapToGrid w:val="0"/>
          <w:szCs w:val="24"/>
        </w:rPr>
        <w:t xml:space="preserve">, </w:t>
      </w:r>
      <w:proofErr w:type="spellStart"/>
      <w:r w:rsidR="00C162F2" w:rsidRPr="004650A6">
        <w:rPr>
          <w:rFonts w:eastAsia="Times New Roman" w:cs="Arial"/>
          <w:snapToGrid w:val="0"/>
          <w:szCs w:val="24"/>
        </w:rPr>
        <w:t>fezolinetant</w:t>
      </w:r>
      <w:proofErr w:type="spellEnd"/>
      <w:r w:rsidR="00C162F2" w:rsidRPr="004650A6">
        <w:rPr>
          <w:rFonts w:eastAsia="Times New Roman" w:cs="Arial"/>
          <w:snapToGrid w:val="0"/>
          <w:szCs w:val="24"/>
        </w:rPr>
        <w:t xml:space="preserve"> PSD, March 2025 PBAC Meeting</w:t>
      </w:r>
      <w:r w:rsidR="006D1EC3" w:rsidRPr="004650A6">
        <w:rPr>
          <w:rFonts w:eastAsia="Times New Roman" w:cs="Arial"/>
          <w:snapToGrid w:val="0"/>
          <w:szCs w:val="24"/>
        </w:rPr>
        <w:t>)</w:t>
      </w:r>
      <w:r w:rsidRPr="004650A6">
        <w:rPr>
          <w:rFonts w:eastAsia="Times New Roman" w:cs="Arial"/>
          <w:snapToGrid w:val="0"/>
          <w:szCs w:val="24"/>
        </w:rPr>
        <w:t xml:space="preserve">. </w:t>
      </w:r>
      <w:r w:rsidR="003423C2" w:rsidRPr="004650A6">
        <w:rPr>
          <w:rFonts w:eastAsia="Times New Roman" w:cs="Arial"/>
          <w:snapToGrid w:val="0"/>
          <w:szCs w:val="24"/>
        </w:rPr>
        <w:t xml:space="preserve">The PBAC noted that </w:t>
      </w:r>
      <w:r w:rsidR="005F1904" w:rsidRPr="004650A6">
        <w:rPr>
          <w:rFonts w:eastAsia="Times New Roman" w:cs="Arial"/>
          <w:snapToGrid w:val="0"/>
          <w:szCs w:val="24"/>
        </w:rPr>
        <w:t xml:space="preserve">the </w:t>
      </w:r>
      <w:proofErr w:type="spellStart"/>
      <w:r w:rsidR="00E81C87" w:rsidRPr="004650A6">
        <w:rPr>
          <w:rFonts w:eastAsia="Times New Roman" w:cs="Arial"/>
          <w:snapToGrid w:val="0"/>
          <w:szCs w:val="24"/>
        </w:rPr>
        <w:t>fezolinetant</w:t>
      </w:r>
      <w:proofErr w:type="spellEnd"/>
      <w:r w:rsidR="00E81C87" w:rsidRPr="004650A6">
        <w:rPr>
          <w:rFonts w:eastAsia="Times New Roman" w:cs="Arial"/>
          <w:snapToGrid w:val="0"/>
          <w:szCs w:val="24"/>
        </w:rPr>
        <w:t xml:space="preserve"> </w:t>
      </w:r>
      <w:r w:rsidR="005F1904" w:rsidRPr="004650A6">
        <w:rPr>
          <w:rFonts w:eastAsia="Times New Roman" w:cs="Arial"/>
          <w:snapToGrid w:val="0"/>
          <w:szCs w:val="24"/>
        </w:rPr>
        <w:t xml:space="preserve">product information (PI) has been revised </w:t>
      </w:r>
      <w:r w:rsidR="002D2CC3" w:rsidRPr="004650A6">
        <w:rPr>
          <w:rFonts w:eastAsia="Times New Roman" w:cs="Arial"/>
          <w:snapToGrid w:val="0"/>
          <w:szCs w:val="24"/>
        </w:rPr>
        <w:t>to include clear</w:t>
      </w:r>
      <w:r w:rsidR="00477751" w:rsidRPr="004650A6">
        <w:rPr>
          <w:rFonts w:eastAsia="Times New Roman" w:cs="Arial"/>
          <w:snapToGrid w:val="0"/>
          <w:szCs w:val="24"/>
        </w:rPr>
        <w:t xml:space="preserve"> </w:t>
      </w:r>
      <w:r w:rsidR="000E614D">
        <w:rPr>
          <w:rFonts w:eastAsia="Times New Roman" w:cs="Arial"/>
          <w:snapToGrid w:val="0"/>
          <w:szCs w:val="24"/>
        </w:rPr>
        <w:t xml:space="preserve">requirements for </w:t>
      </w:r>
      <w:r w:rsidR="00477751" w:rsidRPr="004650A6">
        <w:rPr>
          <w:rFonts w:eastAsia="Times New Roman" w:cs="Arial"/>
          <w:snapToGrid w:val="0"/>
          <w:szCs w:val="24"/>
        </w:rPr>
        <w:t xml:space="preserve">liver function monitoring </w:t>
      </w:r>
      <w:r w:rsidR="002D2CC3" w:rsidRPr="004650A6">
        <w:rPr>
          <w:rFonts w:eastAsia="Times New Roman" w:cs="Arial"/>
          <w:snapToGrid w:val="0"/>
          <w:szCs w:val="24"/>
        </w:rPr>
        <w:t xml:space="preserve">however, the PBAC </w:t>
      </w:r>
      <w:r w:rsidR="00CF179C" w:rsidRPr="004650A6">
        <w:rPr>
          <w:rFonts w:eastAsia="Times New Roman" w:cs="Arial"/>
          <w:snapToGrid w:val="0"/>
          <w:szCs w:val="24"/>
        </w:rPr>
        <w:t xml:space="preserve">maintained its view that the safety of </w:t>
      </w:r>
      <w:proofErr w:type="spellStart"/>
      <w:r w:rsidR="00CF179C" w:rsidRPr="004650A6">
        <w:rPr>
          <w:rFonts w:eastAsia="Times New Roman" w:cs="Arial"/>
          <w:snapToGrid w:val="0"/>
          <w:szCs w:val="24"/>
        </w:rPr>
        <w:t>fezolinetant</w:t>
      </w:r>
      <w:proofErr w:type="spellEnd"/>
      <w:r w:rsidR="00CF179C" w:rsidRPr="004650A6">
        <w:rPr>
          <w:rFonts w:eastAsia="Times New Roman" w:cs="Arial"/>
          <w:snapToGrid w:val="0"/>
          <w:szCs w:val="24"/>
        </w:rPr>
        <w:t xml:space="preserve"> is inferior to placebo. </w:t>
      </w:r>
    </w:p>
    <w:p w14:paraId="2662E31B" w14:textId="60EB675A" w:rsidR="00C46060" w:rsidRPr="00C46060" w:rsidRDefault="001D799F" w:rsidP="00766C07">
      <w:pPr>
        <w:pStyle w:val="3-BodyText"/>
      </w:pPr>
      <w:bookmarkStart w:id="119" w:name="_Ref214880733"/>
      <w:bookmarkStart w:id="120" w:name="_Ref213943828"/>
      <w:r w:rsidRPr="004650A6">
        <w:rPr>
          <w:rFonts w:ascii="Calibri" w:eastAsia="Times New Roman" w:hAnsi="Calibri" w:cs="Arial"/>
          <w:snapToGrid w:val="0"/>
          <w:szCs w:val="24"/>
        </w:rPr>
        <w:t xml:space="preserve">Compared to the March 2025 submission, the cost-utility analysis in the resubmission was largely unchanged. </w:t>
      </w:r>
      <w:r w:rsidR="00024C1E" w:rsidRPr="004650A6">
        <w:rPr>
          <w:rFonts w:ascii="Calibri" w:eastAsia="Times New Roman" w:hAnsi="Calibri" w:cs="Arial"/>
          <w:snapToGrid w:val="0"/>
          <w:szCs w:val="24"/>
        </w:rPr>
        <w:t>Key changes to the resubmission’s model in</w:t>
      </w:r>
      <w:r w:rsidR="003E4C3E" w:rsidRPr="004650A6">
        <w:rPr>
          <w:rFonts w:ascii="Calibri" w:eastAsia="Times New Roman" w:hAnsi="Calibri" w:cs="Arial"/>
          <w:snapToGrid w:val="0"/>
          <w:szCs w:val="24"/>
        </w:rPr>
        <w:t>clude</w:t>
      </w:r>
      <w:r w:rsidR="00A3100C">
        <w:rPr>
          <w:rFonts w:ascii="Calibri" w:eastAsia="Times New Roman" w:hAnsi="Calibri" w:cs="Arial"/>
          <w:snapToGrid w:val="0"/>
          <w:szCs w:val="24"/>
        </w:rPr>
        <w:t>d</w:t>
      </w:r>
      <w:r w:rsidR="003E4C3E" w:rsidRPr="004650A6">
        <w:rPr>
          <w:rFonts w:ascii="Calibri" w:eastAsia="Times New Roman" w:hAnsi="Calibri" w:cs="Arial"/>
          <w:snapToGrid w:val="0"/>
          <w:szCs w:val="24"/>
        </w:rPr>
        <w:t xml:space="preserve"> a price reduction</w:t>
      </w:r>
      <w:r w:rsidR="002B4F7F">
        <w:rPr>
          <w:rFonts w:ascii="Calibri" w:eastAsia="Times New Roman" w:hAnsi="Calibri" w:cs="Arial"/>
          <w:snapToGrid w:val="0"/>
          <w:szCs w:val="24"/>
        </w:rPr>
        <w:t xml:space="preserve"> for </w:t>
      </w:r>
      <w:proofErr w:type="spellStart"/>
      <w:r w:rsidR="002B4F7F">
        <w:rPr>
          <w:rFonts w:ascii="Calibri" w:eastAsia="Times New Roman" w:hAnsi="Calibri" w:cs="Arial"/>
          <w:snapToGrid w:val="0"/>
          <w:szCs w:val="24"/>
        </w:rPr>
        <w:t>fez</w:t>
      </w:r>
      <w:r w:rsidR="004E5A84">
        <w:rPr>
          <w:rFonts w:ascii="Calibri" w:eastAsia="Times New Roman" w:hAnsi="Calibri" w:cs="Arial"/>
          <w:snapToGrid w:val="0"/>
          <w:szCs w:val="24"/>
        </w:rPr>
        <w:t>olinetant</w:t>
      </w:r>
      <w:proofErr w:type="spellEnd"/>
      <w:r w:rsidR="00F56185" w:rsidRPr="004650A6">
        <w:rPr>
          <w:rFonts w:ascii="Calibri" w:eastAsia="Times New Roman" w:hAnsi="Calibri" w:cs="Arial"/>
          <w:snapToGrid w:val="0"/>
          <w:szCs w:val="24"/>
        </w:rPr>
        <w:t xml:space="preserve"> (</w:t>
      </w:r>
      <w:r w:rsidR="00E560E1" w:rsidRPr="004650A6">
        <w:rPr>
          <w:rFonts w:ascii="Calibri" w:eastAsia="Times New Roman" w:hAnsi="Calibri" w:cs="Arial"/>
          <w:snapToGrid w:val="0"/>
          <w:szCs w:val="24"/>
        </w:rPr>
        <w:t>DPMQ $</w:t>
      </w:r>
      <w:r w:rsidR="00E901B5" w:rsidRPr="00E901B5">
        <w:rPr>
          <w:rFonts w:ascii="Calibri" w:eastAsia="Times New Roman" w:hAnsi="Calibri" w:cs="Arial"/>
          <w:snapToGrid w:val="0"/>
          <w:szCs w:val="24"/>
          <w:highlight w:val="black"/>
        </w:rPr>
        <w:t>&amp;&amp;&amp;&amp;</w:t>
      </w:r>
      <w:r w:rsidR="00131DE1" w:rsidRPr="004650A6">
        <w:rPr>
          <w:rFonts w:ascii="Calibri" w:eastAsia="Times New Roman" w:hAnsi="Calibri" w:cs="Arial"/>
          <w:snapToGrid w:val="0"/>
          <w:szCs w:val="24"/>
        </w:rPr>
        <w:t xml:space="preserve"> to </w:t>
      </w:r>
      <w:r w:rsidR="00E560E1" w:rsidRPr="004650A6">
        <w:rPr>
          <w:rFonts w:ascii="Calibri" w:eastAsia="Times New Roman" w:hAnsi="Calibri" w:cs="Arial"/>
          <w:snapToGrid w:val="0"/>
          <w:szCs w:val="24"/>
        </w:rPr>
        <w:t>$</w:t>
      </w:r>
      <w:r w:rsidR="00E901B5" w:rsidRPr="00E901B5">
        <w:rPr>
          <w:rFonts w:ascii="Calibri" w:eastAsia="Times New Roman" w:hAnsi="Calibri" w:cs="Arial"/>
          <w:snapToGrid w:val="0"/>
          <w:szCs w:val="24"/>
          <w:highlight w:val="black"/>
        </w:rPr>
        <w:t>&amp;&amp;&amp;&amp;</w:t>
      </w:r>
      <w:r w:rsidR="00F56185" w:rsidRPr="004650A6">
        <w:rPr>
          <w:rFonts w:ascii="Calibri" w:eastAsia="Times New Roman" w:hAnsi="Calibri" w:cs="Arial"/>
          <w:snapToGrid w:val="0"/>
          <w:szCs w:val="24"/>
        </w:rPr>
        <w:t>)</w:t>
      </w:r>
      <w:r w:rsidR="003E4C3E" w:rsidRPr="004650A6">
        <w:rPr>
          <w:rFonts w:ascii="Calibri" w:eastAsia="Times New Roman" w:hAnsi="Calibri" w:cs="Arial"/>
          <w:snapToGrid w:val="0"/>
          <w:szCs w:val="24"/>
        </w:rPr>
        <w:t xml:space="preserve">, </w:t>
      </w:r>
      <w:r w:rsidR="00BD6DC5" w:rsidRPr="004650A6">
        <w:rPr>
          <w:rFonts w:ascii="Calibri" w:eastAsia="Times New Roman" w:hAnsi="Calibri" w:cs="Arial"/>
          <w:snapToGrid w:val="0"/>
          <w:szCs w:val="24"/>
        </w:rPr>
        <w:t xml:space="preserve">change in </w:t>
      </w:r>
      <w:r w:rsidR="002B4F7F">
        <w:rPr>
          <w:rFonts w:ascii="Calibri" w:eastAsia="Times New Roman" w:hAnsi="Calibri" w:cs="Arial"/>
          <w:snapToGrid w:val="0"/>
          <w:szCs w:val="24"/>
        </w:rPr>
        <w:t xml:space="preserve">the </w:t>
      </w:r>
      <w:r w:rsidR="00BD6DC5" w:rsidRPr="004650A6">
        <w:rPr>
          <w:rFonts w:ascii="Calibri" w:eastAsia="Times New Roman" w:hAnsi="Calibri" w:cs="Arial"/>
          <w:snapToGrid w:val="0"/>
          <w:szCs w:val="24"/>
        </w:rPr>
        <w:t xml:space="preserve">compliance rate </w:t>
      </w:r>
      <w:r w:rsidR="004E5A84">
        <w:rPr>
          <w:rFonts w:ascii="Calibri" w:eastAsia="Times New Roman" w:hAnsi="Calibri" w:cs="Arial"/>
          <w:snapToGrid w:val="0"/>
          <w:szCs w:val="24"/>
        </w:rPr>
        <w:t xml:space="preserve">for </w:t>
      </w:r>
      <w:proofErr w:type="spellStart"/>
      <w:r w:rsidR="004E5A84">
        <w:rPr>
          <w:rFonts w:ascii="Calibri" w:eastAsia="Times New Roman" w:hAnsi="Calibri" w:cs="Arial"/>
          <w:snapToGrid w:val="0"/>
          <w:szCs w:val="24"/>
        </w:rPr>
        <w:t>fezolinetant</w:t>
      </w:r>
      <w:proofErr w:type="spellEnd"/>
      <w:r w:rsidR="004E5A84" w:rsidRPr="004650A6">
        <w:rPr>
          <w:rFonts w:ascii="Calibri" w:eastAsia="Times New Roman" w:hAnsi="Calibri" w:cs="Arial"/>
          <w:snapToGrid w:val="0"/>
          <w:szCs w:val="24"/>
        </w:rPr>
        <w:t xml:space="preserve"> </w:t>
      </w:r>
      <w:r w:rsidR="00E560E1" w:rsidRPr="004650A6">
        <w:rPr>
          <w:rFonts w:ascii="Calibri" w:eastAsia="Times New Roman" w:hAnsi="Calibri" w:cs="Arial"/>
          <w:snapToGrid w:val="0"/>
          <w:szCs w:val="24"/>
        </w:rPr>
        <w:t>(</w:t>
      </w:r>
      <w:r w:rsidR="00BD6DC5" w:rsidRPr="004650A6">
        <w:rPr>
          <w:rFonts w:ascii="Calibri" w:eastAsia="Times New Roman" w:hAnsi="Calibri" w:cs="Arial"/>
          <w:snapToGrid w:val="0"/>
          <w:szCs w:val="24"/>
        </w:rPr>
        <w:t>from 100% to 77%</w:t>
      </w:r>
      <w:r w:rsidR="00E560E1" w:rsidRPr="004650A6">
        <w:rPr>
          <w:rFonts w:ascii="Calibri" w:eastAsia="Times New Roman" w:hAnsi="Calibri" w:cs="Arial"/>
          <w:snapToGrid w:val="0"/>
          <w:szCs w:val="24"/>
        </w:rPr>
        <w:t>)</w:t>
      </w:r>
      <w:r w:rsidR="00BD6DC5" w:rsidRPr="004650A6">
        <w:rPr>
          <w:rFonts w:ascii="Calibri" w:eastAsia="Times New Roman" w:hAnsi="Calibri" w:cs="Arial"/>
          <w:snapToGrid w:val="0"/>
          <w:szCs w:val="24"/>
        </w:rPr>
        <w:t xml:space="preserve">, </w:t>
      </w:r>
      <w:r w:rsidR="0074671D" w:rsidRPr="004650A6">
        <w:rPr>
          <w:rFonts w:ascii="Calibri" w:eastAsia="Times New Roman" w:hAnsi="Calibri" w:cs="Arial"/>
          <w:snapToGrid w:val="0"/>
          <w:szCs w:val="24"/>
        </w:rPr>
        <w:t>and inclusion of</w:t>
      </w:r>
      <w:r w:rsidR="003E4C3E" w:rsidRPr="004650A6">
        <w:rPr>
          <w:rFonts w:ascii="Calibri" w:eastAsia="Times New Roman" w:hAnsi="Calibri" w:cs="Arial"/>
          <w:snapToGrid w:val="0"/>
          <w:szCs w:val="24"/>
        </w:rPr>
        <w:t xml:space="preserve"> </w:t>
      </w:r>
      <w:r w:rsidR="0074671D" w:rsidRPr="004650A6">
        <w:rPr>
          <w:rFonts w:ascii="Calibri" w:eastAsia="Times New Roman" w:hAnsi="Calibri" w:cs="Arial"/>
          <w:snapToGrid w:val="0"/>
          <w:szCs w:val="24"/>
        </w:rPr>
        <w:t xml:space="preserve">LFT </w:t>
      </w:r>
      <w:r w:rsidR="00806011">
        <w:rPr>
          <w:rFonts w:ascii="Calibri" w:eastAsia="Times New Roman" w:hAnsi="Calibri" w:cs="Arial"/>
          <w:snapToGrid w:val="0"/>
          <w:szCs w:val="24"/>
        </w:rPr>
        <w:t>monitoring</w:t>
      </w:r>
      <w:r w:rsidR="00806011" w:rsidRPr="004650A6">
        <w:rPr>
          <w:rFonts w:ascii="Calibri" w:eastAsia="Times New Roman" w:hAnsi="Calibri" w:cs="Arial"/>
          <w:snapToGrid w:val="0"/>
          <w:szCs w:val="24"/>
        </w:rPr>
        <w:t xml:space="preserve"> </w:t>
      </w:r>
      <w:r w:rsidR="0074671D" w:rsidRPr="004650A6">
        <w:rPr>
          <w:rFonts w:ascii="Calibri" w:eastAsia="Times New Roman" w:hAnsi="Calibri" w:cs="Arial"/>
          <w:snapToGrid w:val="0"/>
          <w:szCs w:val="24"/>
        </w:rPr>
        <w:t xml:space="preserve">costs </w:t>
      </w:r>
      <w:r w:rsidR="003E4C3E" w:rsidRPr="004650A6">
        <w:rPr>
          <w:rFonts w:ascii="Calibri" w:eastAsia="Times New Roman" w:hAnsi="Calibri" w:cs="Arial"/>
          <w:snapToGrid w:val="0"/>
          <w:szCs w:val="24"/>
        </w:rPr>
        <w:t xml:space="preserve">(see </w:t>
      </w:r>
      <w:r w:rsidR="003E4C3E" w:rsidRPr="004650A6">
        <w:rPr>
          <w:rFonts w:ascii="Calibri" w:eastAsia="Times New Roman" w:hAnsi="Calibri" w:cs="Arial"/>
          <w:snapToGrid w:val="0"/>
          <w:szCs w:val="24"/>
        </w:rPr>
        <w:fldChar w:fldCharType="begin"/>
      </w:r>
      <w:r w:rsidR="003E4C3E" w:rsidRPr="004650A6">
        <w:rPr>
          <w:rFonts w:ascii="Calibri" w:eastAsia="Times New Roman" w:hAnsi="Calibri" w:cs="Arial"/>
          <w:snapToGrid w:val="0"/>
          <w:szCs w:val="24"/>
        </w:rPr>
        <w:instrText xml:space="preserve"> REF _Ref203640783 \h </w:instrText>
      </w:r>
      <w:r w:rsidR="004650A6">
        <w:rPr>
          <w:rFonts w:ascii="Calibri" w:eastAsia="Times New Roman" w:hAnsi="Calibri" w:cs="Arial"/>
          <w:snapToGrid w:val="0"/>
          <w:szCs w:val="24"/>
        </w:rPr>
        <w:instrText xml:space="preserve"> \* MERGEFORMAT </w:instrText>
      </w:r>
      <w:r w:rsidR="003E4C3E" w:rsidRPr="004650A6">
        <w:rPr>
          <w:rFonts w:ascii="Calibri" w:eastAsia="Times New Roman" w:hAnsi="Calibri" w:cs="Arial"/>
          <w:snapToGrid w:val="0"/>
          <w:szCs w:val="24"/>
        </w:rPr>
      </w:r>
      <w:r w:rsidR="003E4C3E" w:rsidRPr="004650A6">
        <w:rPr>
          <w:rFonts w:ascii="Calibri" w:eastAsia="Times New Roman" w:hAnsi="Calibri" w:cs="Arial"/>
          <w:snapToGrid w:val="0"/>
          <w:szCs w:val="24"/>
        </w:rPr>
        <w:fldChar w:fldCharType="separate"/>
      </w:r>
      <w:r w:rsidR="00946DF5" w:rsidRPr="00EB1825">
        <w:t xml:space="preserve">Table </w:t>
      </w:r>
      <w:r w:rsidR="00946DF5">
        <w:rPr>
          <w:noProof/>
        </w:rPr>
        <w:t>8</w:t>
      </w:r>
      <w:r w:rsidR="003E4C3E" w:rsidRPr="004650A6">
        <w:rPr>
          <w:rFonts w:ascii="Calibri" w:eastAsia="Times New Roman" w:hAnsi="Calibri" w:cs="Arial"/>
          <w:snapToGrid w:val="0"/>
          <w:szCs w:val="24"/>
        </w:rPr>
        <w:fldChar w:fldCharType="end"/>
      </w:r>
      <w:r w:rsidR="003E4C3E" w:rsidRPr="004650A6">
        <w:rPr>
          <w:rFonts w:ascii="Calibri" w:eastAsia="Times New Roman" w:hAnsi="Calibri" w:cs="Arial"/>
          <w:snapToGrid w:val="0"/>
          <w:szCs w:val="24"/>
        </w:rPr>
        <w:t>)</w:t>
      </w:r>
      <w:r w:rsidR="00211154" w:rsidRPr="004650A6">
        <w:rPr>
          <w:rFonts w:ascii="Calibri" w:eastAsia="Times New Roman" w:hAnsi="Calibri" w:cs="Arial"/>
          <w:snapToGrid w:val="0"/>
          <w:szCs w:val="24"/>
        </w:rPr>
        <w:t xml:space="preserve">, resulting in </w:t>
      </w:r>
      <w:r w:rsidR="001A1335">
        <w:rPr>
          <w:rFonts w:ascii="Calibri" w:eastAsia="Times New Roman" w:hAnsi="Calibri" w:cs="Arial"/>
          <w:snapToGrid w:val="0"/>
          <w:szCs w:val="24"/>
        </w:rPr>
        <w:t>an</w:t>
      </w:r>
      <w:r w:rsidR="00211154" w:rsidRPr="004650A6">
        <w:rPr>
          <w:rFonts w:ascii="Calibri" w:eastAsia="Times New Roman" w:hAnsi="Calibri" w:cs="Arial"/>
          <w:snapToGrid w:val="0"/>
          <w:szCs w:val="24"/>
        </w:rPr>
        <w:t xml:space="preserve"> ICER</w:t>
      </w:r>
      <w:r w:rsidR="00737558" w:rsidRPr="004650A6">
        <w:rPr>
          <w:rFonts w:ascii="Calibri" w:eastAsia="Times New Roman" w:hAnsi="Calibri" w:cs="Arial"/>
          <w:snapToGrid w:val="0"/>
          <w:szCs w:val="24"/>
        </w:rPr>
        <w:t xml:space="preserve"> </w:t>
      </w:r>
      <w:r w:rsidR="001A1335">
        <w:rPr>
          <w:rFonts w:ascii="Calibri" w:eastAsia="Times New Roman" w:hAnsi="Calibri" w:cs="Arial"/>
          <w:snapToGrid w:val="0"/>
          <w:szCs w:val="24"/>
        </w:rPr>
        <w:t xml:space="preserve">of </w:t>
      </w:r>
      <w:r w:rsidR="00CC0D8A" w:rsidRPr="00CC0D8A">
        <w:rPr>
          <w:rFonts w:ascii="Calibri" w:eastAsia="Times New Roman" w:hAnsi="Calibri" w:cs="Arial"/>
          <w:snapToGrid w:val="0"/>
          <w:szCs w:val="24"/>
        </w:rPr>
        <w:t>$25,000 to &lt; $35,000</w:t>
      </w:r>
      <w:r w:rsidR="00211154" w:rsidRPr="004650A6">
        <w:rPr>
          <w:rFonts w:ascii="Calibri" w:eastAsia="Times New Roman" w:hAnsi="Calibri" w:cs="Arial"/>
          <w:snapToGrid w:val="0"/>
          <w:szCs w:val="24"/>
        </w:rPr>
        <w:t xml:space="preserve"> </w:t>
      </w:r>
      <w:r w:rsidR="00737558" w:rsidRPr="004650A6">
        <w:rPr>
          <w:rFonts w:ascii="Calibri" w:eastAsia="Times New Roman" w:hAnsi="Calibri" w:cs="Arial"/>
          <w:snapToGrid w:val="0"/>
          <w:szCs w:val="24"/>
        </w:rPr>
        <w:t xml:space="preserve">per QALY. </w:t>
      </w:r>
      <w:r w:rsidR="00015AD2" w:rsidRPr="004650A6">
        <w:t>The PBAC</w:t>
      </w:r>
      <w:r w:rsidR="00187177" w:rsidRPr="004650A6">
        <w:t xml:space="preserve"> considered that its </w:t>
      </w:r>
      <w:r w:rsidR="00015AD2" w:rsidRPr="004650A6">
        <w:t>previous</w:t>
      </w:r>
      <w:r w:rsidR="00187177" w:rsidRPr="004650A6">
        <w:t xml:space="preserve"> concern regarding the </w:t>
      </w:r>
      <w:r w:rsidR="00AE6AE1" w:rsidRPr="004650A6">
        <w:t>exclusion</w:t>
      </w:r>
      <w:r w:rsidR="00F334FB">
        <w:t xml:space="preserve"> of</w:t>
      </w:r>
      <w:r w:rsidR="00AE6AE1" w:rsidRPr="004650A6">
        <w:t xml:space="preserve"> costs </w:t>
      </w:r>
      <w:r w:rsidR="00204521">
        <w:t>associated with</w:t>
      </w:r>
      <w:r w:rsidR="00204521" w:rsidRPr="004650A6">
        <w:t xml:space="preserve"> </w:t>
      </w:r>
      <w:r w:rsidR="00AE6AE1" w:rsidRPr="004650A6">
        <w:t>LFT monitoring and significant AEs</w:t>
      </w:r>
      <w:r w:rsidR="00AE6AE1" w:rsidRPr="004650A6">
        <w:rPr>
          <w:rFonts w:eastAsia="Times New Roman" w:cs="Arial"/>
          <w:snapToGrid w:val="0"/>
          <w:szCs w:val="24"/>
        </w:rPr>
        <w:t xml:space="preserve"> were </w:t>
      </w:r>
      <w:r w:rsidR="00E7466C">
        <w:rPr>
          <w:rFonts w:eastAsia="Times New Roman" w:cs="Arial"/>
          <w:snapToGrid w:val="0"/>
          <w:szCs w:val="24"/>
        </w:rPr>
        <w:t xml:space="preserve">partially </w:t>
      </w:r>
      <w:r w:rsidR="00AE6AE1" w:rsidRPr="004650A6">
        <w:rPr>
          <w:rFonts w:eastAsia="Times New Roman" w:cs="Arial"/>
          <w:snapToGrid w:val="0"/>
          <w:szCs w:val="24"/>
        </w:rPr>
        <w:t>addressed in the resubmission</w:t>
      </w:r>
      <w:r w:rsidR="003A0D72" w:rsidRPr="004650A6">
        <w:rPr>
          <w:rFonts w:eastAsia="Times New Roman" w:cs="Arial"/>
          <w:snapToGrid w:val="0"/>
          <w:szCs w:val="24"/>
        </w:rPr>
        <w:t xml:space="preserve">, but noted </w:t>
      </w:r>
      <w:r w:rsidR="00A212F4" w:rsidRPr="004650A6">
        <w:rPr>
          <w:rFonts w:eastAsia="Times New Roman" w:cs="Arial"/>
          <w:snapToGrid w:val="0"/>
          <w:szCs w:val="24"/>
        </w:rPr>
        <w:t>LFT</w:t>
      </w:r>
      <w:r w:rsidR="00BF1668">
        <w:rPr>
          <w:rFonts w:eastAsia="Times New Roman" w:cs="Arial"/>
          <w:snapToGrid w:val="0"/>
          <w:szCs w:val="24"/>
        </w:rPr>
        <w:t xml:space="preserve"> cost</w:t>
      </w:r>
      <w:r w:rsidR="00A212F4" w:rsidRPr="004650A6">
        <w:rPr>
          <w:rFonts w:eastAsia="Times New Roman" w:cs="Arial"/>
          <w:snapToGrid w:val="0"/>
          <w:szCs w:val="24"/>
        </w:rPr>
        <w:t>s from the second year onwards were inappropria</w:t>
      </w:r>
      <w:r w:rsidR="00183C97">
        <w:rPr>
          <w:rFonts w:eastAsia="Times New Roman" w:cs="Arial"/>
          <w:snapToGrid w:val="0"/>
          <w:szCs w:val="24"/>
        </w:rPr>
        <w:t>tely</w:t>
      </w:r>
      <w:r w:rsidR="00A212F4" w:rsidRPr="004650A6">
        <w:rPr>
          <w:rFonts w:eastAsia="Times New Roman" w:cs="Arial"/>
          <w:snapToGrid w:val="0"/>
          <w:szCs w:val="24"/>
        </w:rPr>
        <w:t xml:space="preserve"> not included</w:t>
      </w:r>
      <w:r w:rsidR="003E5D09" w:rsidRPr="004650A6">
        <w:rPr>
          <w:rFonts w:eastAsia="Times New Roman" w:cs="Arial"/>
          <w:snapToGrid w:val="0"/>
          <w:szCs w:val="24"/>
        </w:rPr>
        <w:t xml:space="preserve"> (</w:t>
      </w:r>
      <w:r w:rsidR="003E5D09" w:rsidRPr="004650A6">
        <w:rPr>
          <w:rFonts w:eastAsia="Times New Roman" w:cs="Arial"/>
          <w:snapToGrid w:val="0"/>
          <w:szCs w:val="24"/>
        </w:rPr>
        <w:fldChar w:fldCharType="begin"/>
      </w:r>
      <w:r w:rsidR="003E5D09" w:rsidRPr="004650A6">
        <w:rPr>
          <w:rFonts w:eastAsia="Times New Roman" w:cs="Arial"/>
          <w:snapToGrid w:val="0"/>
          <w:szCs w:val="24"/>
        </w:rPr>
        <w:instrText xml:space="preserve"> REF _Ref203640783 \h </w:instrText>
      </w:r>
      <w:r w:rsidR="004650A6">
        <w:rPr>
          <w:rFonts w:eastAsia="Times New Roman" w:cs="Arial"/>
          <w:snapToGrid w:val="0"/>
          <w:szCs w:val="24"/>
        </w:rPr>
        <w:instrText xml:space="preserve"> \* MERGEFORMAT </w:instrText>
      </w:r>
      <w:r w:rsidR="003E5D09" w:rsidRPr="004650A6">
        <w:rPr>
          <w:rFonts w:eastAsia="Times New Roman" w:cs="Arial"/>
          <w:snapToGrid w:val="0"/>
          <w:szCs w:val="24"/>
        </w:rPr>
      </w:r>
      <w:r w:rsidR="003E5D09" w:rsidRPr="004650A6">
        <w:rPr>
          <w:rFonts w:eastAsia="Times New Roman" w:cs="Arial"/>
          <w:snapToGrid w:val="0"/>
          <w:szCs w:val="24"/>
        </w:rPr>
        <w:fldChar w:fldCharType="separate"/>
      </w:r>
      <w:r w:rsidR="00946DF5" w:rsidRPr="00EB1825">
        <w:t xml:space="preserve">Table </w:t>
      </w:r>
      <w:r w:rsidR="00946DF5">
        <w:t>8</w:t>
      </w:r>
      <w:r w:rsidR="003E5D09" w:rsidRPr="004650A6">
        <w:rPr>
          <w:rFonts w:eastAsia="Times New Roman" w:cs="Arial"/>
          <w:snapToGrid w:val="0"/>
          <w:szCs w:val="24"/>
        </w:rPr>
        <w:fldChar w:fldCharType="end"/>
      </w:r>
      <w:r w:rsidR="003E5D09" w:rsidRPr="004650A6">
        <w:rPr>
          <w:rFonts w:eastAsia="Times New Roman" w:cs="Arial"/>
          <w:snapToGrid w:val="0"/>
          <w:szCs w:val="24"/>
        </w:rPr>
        <w:t>)</w:t>
      </w:r>
      <w:r w:rsidR="00CC255E">
        <w:rPr>
          <w:rFonts w:eastAsia="Times New Roman" w:cs="Arial"/>
          <w:snapToGrid w:val="0"/>
          <w:szCs w:val="24"/>
        </w:rPr>
        <w:t>.</w:t>
      </w:r>
      <w:r w:rsidR="003E5D09" w:rsidRPr="004650A6">
        <w:rPr>
          <w:rFonts w:eastAsia="Times New Roman" w:cs="Arial"/>
          <w:snapToGrid w:val="0"/>
          <w:szCs w:val="24"/>
        </w:rPr>
        <w:t xml:space="preserve"> </w:t>
      </w:r>
      <w:r w:rsidR="00CC255E">
        <w:rPr>
          <w:rFonts w:eastAsia="Times New Roman" w:cs="Arial"/>
          <w:snapToGrid w:val="0"/>
          <w:szCs w:val="24"/>
        </w:rPr>
        <w:t>The PBAC</w:t>
      </w:r>
      <w:r w:rsidR="003E5D09" w:rsidRPr="004650A6">
        <w:rPr>
          <w:rFonts w:eastAsia="Times New Roman" w:cs="Arial"/>
          <w:snapToGrid w:val="0"/>
          <w:szCs w:val="24"/>
        </w:rPr>
        <w:t xml:space="preserve"> considered an annual test from year 2 onwards</w:t>
      </w:r>
      <w:r w:rsidR="002D2C77">
        <w:rPr>
          <w:rFonts w:eastAsia="Times New Roman" w:cs="Arial"/>
          <w:snapToGrid w:val="0"/>
          <w:szCs w:val="24"/>
        </w:rPr>
        <w:t>, consistent with the PI recommendation for ongoing monitoring</w:t>
      </w:r>
      <w:r w:rsidR="00123AE3">
        <w:rPr>
          <w:rFonts w:eastAsia="Times New Roman" w:cs="Arial"/>
          <w:snapToGrid w:val="0"/>
          <w:szCs w:val="24"/>
        </w:rPr>
        <w:t>,</w:t>
      </w:r>
      <w:r w:rsidR="00336B56">
        <w:rPr>
          <w:rFonts w:eastAsia="Times New Roman" w:cs="Arial"/>
          <w:snapToGrid w:val="0"/>
          <w:szCs w:val="24"/>
        </w:rPr>
        <w:t xml:space="preserve"> should be included</w:t>
      </w:r>
      <w:r w:rsidR="00AE6AE1" w:rsidRPr="004650A6">
        <w:rPr>
          <w:rFonts w:eastAsia="Times New Roman" w:cs="Arial"/>
          <w:snapToGrid w:val="0"/>
          <w:szCs w:val="24"/>
        </w:rPr>
        <w:t xml:space="preserve">. </w:t>
      </w:r>
      <w:r w:rsidR="003122D7" w:rsidRPr="004650A6">
        <w:rPr>
          <w:rFonts w:eastAsia="Times New Roman" w:cs="Arial"/>
          <w:snapToGrid w:val="0"/>
          <w:szCs w:val="24"/>
        </w:rPr>
        <w:t xml:space="preserve">The PBAC agreed with the ESC and pre-PBAC response that the use of a 77.9% compliance rate derived from real world data </w:t>
      </w:r>
      <w:r w:rsidR="001579CB">
        <w:rPr>
          <w:rFonts w:eastAsia="Times New Roman" w:cs="Arial"/>
          <w:snapToGrid w:val="0"/>
          <w:szCs w:val="24"/>
        </w:rPr>
        <w:t>was</w:t>
      </w:r>
      <w:r w:rsidR="003122D7" w:rsidRPr="004650A6">
        <w:rPr>
          <w:rFonts w:eastAsia="Times New Roman" w:cs="Arial"/>
          <w:snapToGrid w:val="0"/>
          <w:szCs w:val="24"/>
        </w:rPr>
        <w:t xml:space="preserve"> reasonable (paragraphs </w:t>
      </w:r>
      <w:r w:rsidR="003122D7" w:rsidRPr="004650A6">
        <w:rPr>
          <w:rFonts w:eastAsia="Times New Roman" w:cs="Arial"/>
          <w:snapToGrid w:val="0"/>
          <w:szCs w:val="24"/>
        </w:rPr>
        <w:fldChar w:fldCharType="begin"/>
      </w:r>
      <w:r w:rsidR="003122D7" w:rsidRPr="004650A6">
        <w:rPr>
          <w:rFonts w:eastAsia="Times New Roman" w:cs="Arial"/>
          <w:snapToGrid w:val="0"/>
          <w:szCs w:val="24"/>
        </w:rPr>
        <w:instrText xml:space="preserve"> REF _Ref213929990 \r \h </w:instrText>
      </w:r>
      <w:r w:rsidR="004650A6">
        <w:rPr>
          <w:rFonts w:eastAsia="Times New Roman" w:cs="Arial"/>
          <w:snapToGrid w:val="0"/>
          <w:szCs w:val="24"/>
        </w:rPr>
        <w:instrText xml:space="preserve"> \* MERGEFORMAT </w:instrText>
      </w:r>
      <w:r w:rsidR="003122D7" w:rsidRPr="004650A6">
        <w:rPr>
          <w:rFonts w:eastAsia="Times New Roman" w:cs="Arial"/>
          <w:snapToGrid w:val="0"/>
          <w:szCs w:val="24"/>
        </w:rPr>
      </w:r>
      <w:r w:rsidR="003122D7" w:rsidRPr="004650A6">
        <w:rPr>
          <w:rFonts w:eastAsia="Times New Roman" w:cs="Arial"/>
          <w:snapToGrid w:val="0"/>
          <w:szCs w:val="24"/>
        </w:rPr>
        <w:fldChar w:fldCharType="separate"/>
      </w:r>
      <w:r w:rsidR="00946DF5">
        <w:rPr>
          <w:rFonts w:eastAsia="Times New Roman" w:cs="Arial"/>
          <w:snapToGrid w:val="0"/>
          <w:szCs w:val="24"/>
        </w:rPr>
        <w:t>6.46</w:t>
      </w:r>
      <w:r w:rsidR="003122D7" w:rsidRPr="004650A6">
        <w:rPr>
          <w:rFonts w:eastAsia="Times New Roman" w:cs="Arial"/>
          <w:snapToGrid w:val="0"/>
          <w:szCs w:val="24"/>
        </w:rPr>
        <w:fldChar w:fldCharType="end"/>
      </w:r>
      <w:r w:rsidR="003122D7" w:rsidRPr="004650A6">
        <w:rPr>
          <w:rFonts w:eastAsia="Times New Roman" w:cs="Arial"/>
          <w:snapToGrid w:val="0"/>
          <w:szCs w:val="24"/>
        </w:rPr>
        <w:t xml:space="preserve">). </w:t>
      </w:r>
      <w:r w:rsidR="00131DE1" w:rsidRPr="004650A6">
        <w:rPr>
          <w:rFonts w:eastAsia="Times New Roman" w:cs="Arial"/>
          <w:snapToGrid w:val="0"/>
          <w:szCs w:val="24"/>
        </w:rPr>
        <w:t xml:space="preserve">However, the PBAC </w:t>
      </w:r>
      <w:r w:rsidR="00BD79D4" w:rsidRPr="004650A6">
        <w:rPr>
          <w:rFonts w:eastAsia="Times New Roman" w:cs="Arial"/>
          <w:snapToGrid w:val="0"/>
          <w:szCs w:val="24"/>
        </w:rPr>
        <w:t>agreed with the ESC</w:t>
      </w:r>
      <w:r w:rsidR="00FE2111" w:rsidRPr="004650A6">
        <w:rPr>
          <w:rFonts w:eastAsia="Times New Roman" w:cs="Arial"/>
          <w:snapToGrid w:val="0"/>
          <w:szCs w:val="24"/>
        </w:rPr>
        <w:t xml:space="preserve"> that </w:t>
      </w:r>
      <w:r w:rsidR="00E05A6B">
        <w:rPr>
          <w:rFonts w:eastAsia="Times New Roman" w:cs="Arial"/>
          <w:snapToGrid w:val="0"/>
          <w:szCs w:val="24"/>
        </w:rPr>
        <w:t xml:space="preserve">additional changes to the model </w:t>
      </w:r>
      <w:r w:rsidR="00E7010E">
        <w:rPr>
          <w:rFonts w:eastAsia="Times New Roman" w:cs="Arial"/>
          <w:snapToGrid w:val="0"/>
          <w:szCs w:val="24"/>
        </w:rPr>
        <w:t>would provide a more reliable estimate of cost</w:t>
      </w:r>
      <w:r w:rsidR="00D33D08">
        <w:rPr>
          <w:rFonts w:eastAsia="Times New Roman" w:cs="Arial"/>
          <w:snapToGrid w:val="0"/>
          <w:szCs w:val="24"/>
        </w:rPr>
        <w:t>-</w:t>
      </w:r>
      <w:r w:rsidR="00E7010E">
        <w:rPr>
          <w:rFonts w:eastAsia="Times New Roman" w:cs="Arial"/>
          <w:snapToGrid w:val="0"/>
          <w:szCs w:val="24"/>
        </w:rPr>
        <w:t>effectiveness, specifically</w:t>
      </w:r>
      <w:r w:rsidR="003E5188">
        <w:rPr>
          <w:rFonts w:eastAsia="Times New Roman" w:cs="Arial"/>
          <w:snapToGrid w:val="0"/>
          <w:szCs w:val="24"/>
        </w:rPr>
        <w:t xml:space="preserve"> </w:t>
      </w:r>
      <w:r w:rsidR="00C46060">
        <w:rPr>
          <w:rFonts w:eastAsia="Times New Roman" w:cs="Arial"/>
          <w:snapToGrid w:val="0"/>
          <w:szCs w:val="24"/>
        </w:rPr>
        <w:t>that:</w:t>
      </w:r>
      <w:bookmarkEnd w:id="119"/>
    </w:p>
    <w:p w14:paraId="50FCD19B" w14:textId="5EE3020A" w:rsidR="00C46060" w:rsidRDefault="00A56CA3" w:rsidP="00C46060">
      <w:pPr>
        <w:pStyle w:val="ListParagraph"/>
      </w:pPr>
      <w:r w:rsidRPr="004650A6">
        <w:t xml:space="preserve">a </w:t>
      </w:r>
      <w:proofErr w:type="gramStart"/>
      <w:r w:rsidRPr="004650A6">
        <w:t>5</w:t>
      </w:r>
      <w:r w:rsidR="0051413D" w:rsidRPr="004650A6">
        <w:t xml:space="preserve"> year</w:t>
      </w:r>
      <w:proofErr w:type="gramEnd"/>
      <w:r w:rsidR="0051413D" w:rsidRPr="004650A6">
        <w:t xml:space="preserve"> </w:t>
      </w:r>
      <w:r w:rsidR="00B35ECA" w:rsidRPr="004650A6">
        <w:t>time horizon</w:t>
      </w:r>
      <w:r w:rsidR="00F17FDA" w:rsidRPr="004650A6">
        <w:t xml:space="preserve"> </w:t>
      </w:r>
      <w:r w:rsidR="00902639" w:rsidRPr="004650A6">
        <w:t xml:space="preserve">would be more appropriate given </w:t>
      </w:r>
      <w:r w:rsidR="009B3476" w:rsidRPr="004650A6">
        <w:t xml:space="preserve">the </w:t>
      </w:r>
      <w:r w:rsidR="00902639" w:rsidRPr="004650A6">
        <w:t>short (52 week) duration</w:t>
      </w:r>
      <w:r w:rsidR="00B94002" w:rsidRPr="004650A6">
        <w:rPr>
          <w:rFonts w:ascii="Calibri" w:hAnsi="Calibri"/>
        </w:rPr>
        <w:t xml:space="preserve"> </w:t>
      </w:r>
      <w:r w:rsidR="00E05A6B">
        <w:rPr>
          <w:rFonts w:ascii="Calibri" w:hAnsi="Calibri"/>
        </w:rPr>
        <w:t xml:space="preserve">of the trial </w:t>
      </w:r>
      <w:r w:rsidR="002672EB" w:rsidRPr="004650A6">
        <w:t>and</w:t>
      </w:r>
      <w:r w:rsidR="00B94002" w:rsidRPr="004650A6">
        <w:t xml:space="preserve"> likely </w:t>
      </w:r>
      <w:r w:rsidR="002672EB" w:rsidRPr="004650A6">
        <w:t xml:space="preserve">background </w:t>
      </w:r>
      <w:r w:rsidR="00B94002" w:rsidRPr="004650A6">
        <w:t>decline in symptoms</w:t>
      </w:r>
      <w:r w:rsidR="008355F6" w:rsidRPr="004650A6">
        <w:t>,</w:t>
      </w:r>
    </w:p>
    <w:p w14:paraId="438B33F2" w14:textId="15A3A607" w:rsidR="00C46060" w:rsidRDefault="00DB3B8B" w:rsidP="00C46060">
      <w:pPr>
        <w:pStyle w:val="ListParagraph"/>
      </w:pPr>
      <w:r w:rsidRPr="004650A6">
        <w:t>the</w:t>
      </w:r>
      <w:r w:rsidR="008355F6" w:rsidRPr="004650A6">
        <w:t xml:space="preserve"> </w:t>
      </w:r>
      <w:proofErr w:type="spellStart"/>
      <w:r w:rsidRPr="004650A6">
        <w:t>fezolinetant</w:t>
      </w:r>
      <w:proofErr w:type="spellEnd"/>
      <w:r w:rsidRPr="004650A6">
        <w:t xml:space="preserve"> discontinuation rate </w:t>
      </w:r>
      <w:r w:rsidR="00E7306D">
        <w:t>beyond week 24</w:t>
      </w:r>
      <w:r w:rsidRPr="004650A6">
        <w:t xml:space="preserve"> </w:t>
      </w:r>
      <w:r w:rsidR="00C46060">
        <w:t xml:space="preserve">should be </w:t>
      </w:r>
      <w:r w:rsidRPr="004650A6">
        <w:t xml:space="preserve">the </w:t>
      </w:r>
      <w:r w:rsidR="008F14B8">
        <w:t>same as for w</w:t>
      </w:r>
      <w:r w:rsidRPr="004650A6">
        <w:t>eek</w:t>
      </w:r>
      <w:r w:rsidR="008F14B8">
        <w:t>s</w:t>
      </w:r>
      <w:r w:rsidRPr="004650A6">
        <w:t xml:space="preserve"> 0-24 </w:t>
      </w:r>
      <w:r w:rsidR="005A2821">
        <w:t xml:space="preserve">(2.4% </w:t>
      </w:r>
      <w:r w:rsidRPr="004650A6">
        <w:t xml:space="preserve">from DAYLIGHT) </w:t>
      </w:r>
      <w:r w:rsidR="001E274F">
        <w:t xml:space="preserve">to maintain consistency with the </w:t>
      </w:r>
      <w:r w:rsidR="00833976">
        <w:t xml:space="preserve">assumed </w:t>
      </w:r>
      <w:r w:rsidR="001E274F">
        <w:t xml:space="preserve">discontinuation rate for the no treatment arm </w:t>
      </w:r>
      <w:r w:rsidR="00E44C54" w:rsidRPr="004650A6">
        <w:t>(paragraphs</w:t>
      </w:r>
      <w:r w:rsidR="00916D33" w:rsidRPr="004650A6">
        <w:t xml:space="preserve"> </w:t>
      </w:r>
      <w:r w:rsidR="00916D33" w:rsidRPr="004650A6">
        <w:fldChar w:fldCharType="begin"/>
      </w:r>
      <w:r w:rsidR="00916D33" w:rsidRPr="004650A6">
        <w:instrText xml:space="preserve"> REF _Ref213938876 \r \h </w:instrText>
      </w:r>
      <w:r w:rsidR="004650A6">
        <w:instrText xml:space="preserve"> \* MERGEFORMAT </w:instrText>
      </w:r>
      <w:r w:rsidR="00916D33" w:rsidRPr="004650A6">
        <w:fldChar w:fldCharType="separate"/>
      </w:r>
      <w:r w:rsidR="00946DF5">
        <w:t>6.43</w:t>
      </w:r>
      <w:r w:rsidR="00916D33" w:rsidRPr="004650A6">
        <w:fldChar w:fldCharType="end"/>
      </w:r>
      <w:r w:rsidR="003C67D4" w:rsidRPr="004650A6">
        <w:t xml:space="preserve"> - </w:t>
      </w:r>
      <w:r w:rsidR="003C67D4" w:rsidRPr="004650A6">
        <w:fldChar w:fldCharType="begin"/>
      </w:r>
      <w:r w:rsidR="003C67D4" w:rsidRPr="004650A6">
        <w:instrText xml:space="preserve"> REF _Ref213938885 \r \h </w:instrText>
      </w:r>
      <w:r w:rsidR="004650A6">
        <w:instrText xml:space="preserve"> \* MERGEFORMAT </w:instrText>
      </w:r>
      <w:r w:rsidR="003C67D4" w:rsidRPr="004650A6">
        <w:fldChar w:fldCharType="separate"/>
      </w:r>
      <w:r w:rsidR="00946DF5">
        <w:t>6.45</w:t>
      </w:r>
      <w:r w:rsidR="003C67D4" w:rsidRPr="004650A6">
        <w:fldChar w:fldCharType="end"/>
      </w:r>
      <w:r w:rsidRPr="004650A6">
        <w:t>)</w:t>
      </w:r>
      <w:r w:rsidR="00833976">
        <w:t>.</w:t>
      </w:r>
      <w:r w:rsidRPr="004650A6">
        <w:t xml:space="preserve"> </w:t>
      </w:r>
    </w:p>
    <w:p w14:paraId="189D122F" w14:textId="214196E1" w:rsidR="00C71407" w:rsidRPr="004650A6" w:rsidRDefault="00833976" w:rsidP="00833976">
      <w:pPr>
        <w:ind w:left="720"/>
      </w:pPr>
      <w:r>
        <w:rPr>
          <w:snapToGrid w:val="0"/>
        </w:rPr>
        <w:t xml:space="preserve">The PBAC noted that these changes </w:t>
      </w:r>
      <w:r w:rsidR="00DB3B8B" w:rsidRPr="004650A6">
        <w:rPr>
          <w:snapToGrid w:val="0"/>
        </w:rPr>
        <w:t>resulted in a</w:t>
      </w:r>
      <w:r w:rsidR="001D4628">
        <w:rPr>
          <w:snapToGrid w:val="0"/>
        </w:rPr>
        <w:t>n</w:t>
      </w:r>
      <w:r w:rsidR="00DB3B8B" w:rsidRPr="004650A6">
        <w:rPr>
          <w:snapToGrid w:val="0"/>
        </w:rPr>
        <w:t xml:space="preserve"> increase in the ICER</w:t>
      </w:r>
      <w:r w:rsidR="001D4628">
        <w:rPr>
          <w:snapToGrid w:val="0"/>
        </w:rPr>
        <w:t xml:space="preserve"> from </w:t>
      </w:r>
      <w:r w:rsidR="00CC0D8A" w:rsidRPr="00CC0D8A">
        <w:rPr>
          <w:snapToGrid w:val="0"/>
        </w:rPr>
        <w:t>$25,000 to &lt; $35,000</w:t>
      </w:r>
      <w:r w:rsidR="00DB3B8B" w:rsidRPr="004650A6">
        <w:rPr>
          <w:snapToGrid w:val="0"/>
        </w:rPr>
        <w:t xml:space="preserve"> to </w:t>
      </w:r>
      <w:r w:rsidR="00CC0D8A" w:rsidRPr="00CC0D8A">
        <w:rPr>
          <w:snapToGrid w:val="0"/>
        </w:rPr>
        <w:t>$25,000 to &lt; $35,000</w:t>
      </w:r>
      <w:r w:rsidR="00DB3B8B" w:rsidRPr="004650A6">
        <w:rPr>
          <w:snapToGrid w:val="0"/>
        </w:rPr>
        <w:t xml:space="preserve"> per QALY gained (paragraph</w:t>
      </w:r>
      <w:r w:rsidR="001D4628">
        <w:rPr>
          <w:snapToGrid w:val="0"/>
        </w:rPr>
        <w:t xml:space="preserve"> </w:t>
      </w:r>
      <w:r w:rsidR="001D4628">
        <w:rPr>
          <w:snapToGrid w:val="0"/>
        </w:rPr>
        <w:fldChar w:fldCharType="begin"/>
      </w:r>
      <w:r w:rsidR="001D4628">
        <w:rPr>
          <w:snapToGrid w:val="0"/>
        </w:rPr>
        <w:instrText xml:space="preserve"> REF _Ref214616285 \r \h </w:instrText>
      </w:r>
      <w:r w:rsidR="001D4628">
        <w:rPr>
          <w:snapToGrid w:val="0"/>
        </w:rPr>
      </w:r>
      <w:r w:rsidR="001D4628">
        <w:rPr>
          <w:snapToGrid w:val="0"/>
        </w:rPr>
        <w:fldChar w:fldCharType="separate"/>
      </w:r>
      <w:r w:rsidR="00946DF5">
        <w:rPr>
          <w:snapToGrid w:val="0"/>
        </w:rPr>
        <w:t>6.56</w:t>
      </w:r>
      <w:r w:rsidR="001D4628">
        <w:rPr>
          <w:snapToGrid w:val="0"/>
        </w:rPr>
        <w:fldChar w:fldCharType="end"/>
      </w:r>
      <w:r w:rsidR="003C67D4" w:rsidRPr="004650A6">
        <w:rPr>
          <w:snapToGrid w:val="0"/>
        </w:rPr>
        <w:t>)</w:t>
      </w:r>
      <w:r w:rsidR="00622F24" w:rsidRPr="004650A6">
        <w:rPr>
          <w:snapToGrid w:val="0"/>
        </w:rPr>
        <w:t>.</w:t>
      </w:r>
      <w:r w:rsidR="00DB3B8B" w:rsidRPr="004650A6">
        <w:rPr>
          <w:snapToGrid w:val="0"/>
        </w:rPr>
        <w:t xml:space="preserve"> </w:t>
      </w:r>
      <w:r w:rsidR="00B05073" w:rsidRPr="004650A6">
        <w:rPr>
          <w:snapToGrid w:val="0"/>
        </w:rPr>
        <w:t xml:space="preserve">The PBAC recalled that it previously considered that an ICER in the range of </w:t>
      </w:r>
      <w:r w:rsidR="00505E6E" w:rsidRPr="00505E6E">
        <w:rPr>
          <w:snapToGrid w:val="0"/>
        </w:rPr>
        <w:t>$15,000 to &lt; $25,000</w:t>
      </w:r>
      <w:r w:rsidR="00B05073" w:rsidRPr="004650A6">
        <w:rPr>
          <w:snapToGrid w:val="0"/>
        </w:rPr>
        <w:t xml:space="preserve"> to </w:t>
      </w:r>
      <w:r w:rsidR="000B2CB9" w:rsidRPr="000B2CB9">
        <w:rPr>
          <w:snapToGrid w:val="0"/>
        </w:rPr>
        <w:t>$25,000 to &lt; $35,000</w:t>
      </w:r>
      <w:r w:rsidR="00B05073" w:rsidRPr="004650A6">
        <w:rPr>
          <w:snapToGrid w:val="0"/>
        </w:rPr>
        <w:t xml:space="preserve"> per QALY would be acceptable</w:t>
      </w:r>
      <w:r w:rsidR="00087469" w:rsidRPr="004650A6">
        <w:rPr>
          <w:snapToGrid w:val="0"/>
        </w:rPr>
        <w:t xml:space="preserve"> </w:t>
      </w:r>
      <w:r w:rsidR="00087469" w:rsidRPr="004650A6">
        <w:t>(</w:t>
      </w:r>
      <w:r w:rsidR="00087469" w:rsidRPr="004650A6">
        <w:rPr>
          <w:snapToGrid w:val="0"/>
        </w:rPr>
        <w:t xml:space="preserve">paragraph 7.11, </w:t>
      </w:r>
      <w:proofErr w:type="spellStart"/>
      <w:r w:rsidR="00087469" w:rsidRPr="004650A6">
        <w:rPr>
          <w:snapToGrid w:val="0"/>
        </w:rPr>
        <w:t>fezolinetant</w:t>
      </w:r>
      <w:proofErr w:type="spellEnd"/>
      <w:r w:rsidR="00087469" w:rsidRPr="004650A6">
        <w:rPr>
          <w:snapToGrid w:val="0"/>
        </w:rPr>
        <w:t xml:space="preserve"> PSD, March 2025 PBAC Meeting</w:t>
      </w:r>
      <w:proofErr w:type="gramStart"/>
      <w:r w:rsidR="00087469" w:rsidRPr="004650A6">
        <w:rPr>
          <w:snapToGrid w:val="0"/>
        </w:rPr>
        <w:t>)</w:t>
      </w:r>
      <w:r w:rsidR="00B05073" w:rsidRPr="004650A6">
        <w:rPr>
          <w:snapToGrid w:val="0"/>
        </w:rPr>
        <w:t xml:space="preserve">, </w:t>
      </w:r>
      <w:r w:rsidR="0012342B" w:rsidRPr="004650A6">
        <w:rPr>
          <w:snapToGrid w:val="0"/>
        </w:rPr>
        <w:t>and</w:t>
      </w:r>
      <w:proofErr w:type="gramEnd"/>
      <w:r w:rsidR="00041097" w:rsidRPr="004650A6">
        <w:rPr>
          <w:snapToGrid w:val="0"/>
        </w:rPr>
        <w:t xml:space="preserve"> </w:t>
      </w:r>
      <w:r w:rsidR="0011561B">
        <w:rPr>
          <w:snapToGrid w:val="0"/>
        </w:rPr>
        <w:t>noted</w:t>
      </w:r>
      <w:r w:rsidR="0011561B" w:rsidRPr="004650A6">
        <w:rPr>
          <w:snapToGrid w:val="0"/>
        </w:rPr>
        <w:t xml:space="preserve"> </w:t>
      </w:r>
      <w:r w:rsidR="0012342B" w:rsidRPr="004650A6">
        <w:rPr>
          <w:snapToGrid w:val="0"/>
        </w:rPr>
        <w:t xml:space="preserve">that a price reduction </w:t>
      </w:r>
      <w:r w:rsidR="00041097" w:rsidRPr="004650A6">
        <w:rPr>
          <w:snapToGrid w:val="0"/>
        </w:rPr>
        <w:t>would be required to achieve a</w:t>
      </w:r>
      <w:r w:rsidR="002067B4" w:rsidRPr="004650A6">
        <w:rPr>
          <w:snapToGrid w:val="0"/>
        </w:rPr>
        <w:t>n acceptabl</w:t>
      </w:r>
      <w:r w:rsidR="0094747B">
        <w:rPr>
          <w:snapToGrid w:val="0"/>
        </w:rPr>
        <w:t>e</w:t>
      </w:r>
      <w:r w:rsidR="00041097" w:rsidRPr="004650A6">
        <w:rPr>
          <w:snapToGrid w:val="0"/>
        </w:rPr>
        <w:t xml:space="preserve"> </w:t>
      </w:r>
      <w:r w:rsidR="002067B4" w:rsidRPr="004650A6">
        <w:rPr>
          <w:snapToGrid w:val="0"/>
        </w:rPr>
        <w:t xml:space="preserve">ICER with the </w:t>
      </w:r>
      <w:r w:rsidR="003A0D72" w:rsidRPr="004650A6">
        <w:rPr>
          <w:snapToGrid w:val="0"/>
        </w:rPr>
        <w:t>revised inputs</w:t>
      </w:r>
      <w:r w:rsidR="00041097" w:rsidRPr="004650A6">
        <w:rPr>
          <w:snapToGrid w:val="0"/>
        </w:rPr>
        <w:t>.</w:t>
      </w:r>
      <w:bookmarkEnd w:id="120"/>
      <w:r w:rsidR="00041097" w:rsidRPr="004650A6">
        <w:rPr>
          <w:snapToGrid w:val="0"/>
        </w:rPr>
        <w:t xml:space="preserve"> </w:t>
      </w:r>
      <w:r w:rsidR="00D85A11" w:rsidRPr="00D85A11">
        <w:rPr>
          <w:snapToGrid w:val="0"/>
        </w:rPr>
        <w:t xml:space="preserve">The PBAC noted that the price required for an ICER of </w:t>
      </w:r>
      <w:r w:rsidR="00505E6E" w:rsidRPr="00505E6E">
        <w:rPr>
          <w:snapToGrid w:val="0"/>
        </w:rPr>
        <w:t>$15,000 to &lt; $25,000</w:t>
      </w:r>
      <w:r w:rsidR="00D85A11" w:rsidRPr="00D85A11">
        <w:rPr>
          <w:snapToGrid w:val="0"/>
        </w:rPr>
        <w:t xml:space="preserve"> per QALY gained was consistent with the cost of MHT, which provided additional confidence that </w:t>
      </w:r>
      <w:proofErr w:type="spellStart"/>
      <w:r w:rsidR="00D85A11" w:rsidRPr="00D85A11">
        <w:rPr>
          <w:snapToGrid w:val="0"/>
        </w:rPr>
        <w:t>fezolinetant</w:t>
      </w:r>
      <w:proofErr w:type="spellEnd"/>
      <w:r w:rsidR="00D85A11" w:rsidRPr="00D85A11">
        <w:rPr>
          <w:snapToGrid w:val="0"/>
        </w:rPr>
        <w:t xml:space="preserve"> would remain acceptably cost-effective where there was </w:t>
      </w:r>
      <w:r w:rsidR="006546FB">
        <w:rPr>
          <w:snapToGrid w:val="0"/>
        </w:rPr>
        <w:t>use</w:t>
      </w:r>
      <w:r w:rsidR="00D85A11" w:rsidRPr="00D85A11">
        <w:rPr>
          <w:snapToGrid w:val="0"/>
        </w:rPr>
        <w:t xml:space="preserve"> outside the intended population.</w:t>
      </w:r>
    </w:p>
    <w:p w14:paraId="2D713760" w14:textId="4100C557" w:rsidR="001B1000" w:rsidRDefault="00D656A8" w:rsidP="00766C07">
      <w:pPr>
        <w:pStyle w:val="3-BodyText"/>
      </w:pPr>
      <w:r w:rsidRPr="004650A6">
        <w:t>The PBAC</w:t>
      </w:r>
      <w:r w:rsidR="00BB4391" w:rsidRPr="004650A6">
        <w:t xml:space="preserve"> recalled that it previously </w:t>
      </w:r>
      <w:r w:rsidRPr="004650A6">
        <w:t xml:space="preserve">considered the financial estimates </w:t>
      </w:r>
      <w:r w:rsidR="00BB4391" w:rsidRPr="004650A6">
        <w:t>provided in the March 2025 submission (</w:t>
      </w:r>
      <w:r w:rsidR="00273495" w:rsidRPr="00273495">
        <w:t>$800 million to &lt; $900 million</w:t>
      </w:r>
      <w:r w:rsidR="002F5F94">
        <w:t xml:space="preserve"> </w:t>
      </w:r>
      <w:r w:rsidRPr="004650A6">
        <w:t>over 6 years</w:t>
      </w:r>
      <w:r w:rsidR="00BB4391" w:rsidRPr="004650A6">
        <w:t>)</w:t>
      </w:r>
      <w:r w:rsidRPr="004650A6">
        <w:t xml:space="preserve"> to be uncertain, unacceptably high, and likely substantially overestimated for the requested population</w:t>
      </w:r>
      <w:r w:rsidR="00BB4391" w:rsidRPr="004650A6">
        <w:t xml:space="preserve"> (paragraph 7.13, </w:t>
      </w:r>
      <w:proofErr w:type="spellStart"/>
      <w:r w:rsidR="00BB4391" w:rsidRPr="004650A6">
        <w:t>fezolinetant</w:t>
      </w:r>
      <w:proofErr w:type="spellEnd"/>
      <w:r w:rsidR="00BB4391" w:rsidRPr="004650A6">
        <w:t xml:space="preserve"> PSD, March 2025 PBAC Meeting). </w:t>
      </w:r>
      <w:r w:rsidR="008C0D6C" w:rsidRPr="004650A6">
        <w:t>The resubmission</w:t>
      </w:r>
      <w:r w:rsidR="0032148E" w:rsidRPr="004650A6">
        <w:t>’s</w:t>
      </w:r>
      <w:r w:rsidR="008C0D6C" w:rsidRPr="004650A6">
        <w:t xml:space="preserve"> updated financial estimates </w:t>
      </w:r>
      <w:r w:rsidR="00CD7116" w:rsidRPr="004650A6">
        <w:t xml:space="preserve">were based on the same epidemiological approach, but </w:t>
      </w:r>
      <w:r w:rsidR="008629F4" w:rsidRPr="004650A6">
        <w:t>included</w:t>
      </w:r>
      <w:r w:rsidR="00A16A91" w:rsidRPr="004650A6">
        <w:t xml:space="preserve"> </w:t>
      </w:r>
      <w:r w:rsidR="00B77C89" w:rsidRPr="004650A6">
        <w:t xml:space="preserve">adjusted inputs (as per paragraph </w:t>
      </w:r>
      <w:r w:rsidR="007B326A" w:rsidRPr="004650A6">
        <w:fldChar w:fldCharType="begin"/>
      </w:r>
      <w:r w:rsidR="007B326A" w:rsidRPr="004650A6">
        <w:instrText xml:space="preserve"> REF _Ref213943077 \r \h </w:instrText>
      </w:r>
      <w:r w:rsidR="00A3758F" w:rsidRPr="004650A6">
        <w:instrText xml:space="preserve"> \* MERGEFORMAT </w:instrText>
      </w:r>
      <w:r w:rsidR="007B326A" w:rsidRPr="004650A6">
        <w:fldChar w:fldCharType="separate"/>
      </w:r>
      <w:r w:rsidR="00946DF5">
        <w:t>6.58</w:t>
      </w:r>
      <w:r w:rsidR="007B326A" w:rsidRPr="004650A6">
        <w:fldChar w:fldCharType="end"/>
      </w:r>
      <w:r w:rsidR="007B326A" w:rsidRPr="004650A6">
        <w:t xml:space="preserve"> and </w:t>
      </w:r>
      <w:r w:rsidR="007B326A" w:rsidRPr="004650A6">
        <w:fldChar w:fldCharType="begin"/>
      </w:r>
      <w:r w:rsidR="007B326A" w:rsidRPr="004650A6">
        <w:instrText xml:space="preserve"> REF _Ref184049924 \h </w:instrText>
      </w:r>
      <w:r w:rsidR="00A3758F" w:rsidRPr="004650A6">
        <w:instrText xml:space="preserve"> \* MERGEFORMAT </w:instrText>
      </w:r>
      <w:r w:rsidR="007B326A" w:rsidRPr="004650A6">
        <w:fldChar w:fldCharType="separate"/>
      </w:r>
      <w:r w:rsidR="00946DF5" w:rsidRPr="00EB1825">
        <w:t xml:space="preserve">Table </w:t>
      </w:r>
      <w:r w:rsidR="00946DF5">
        <w:rPr>
          <w:noProof/>
        </w:rPr>
        <w:t>19</w:t>
      </w:r>
      <w:r w:rsidR="007B326A" w:rsidRPr="004650A6">
        <w:fldChar w:fldCharType="end"/>
      </w:r>
      <w:r w:rsidR="00B77C89" w:rsidRPr="004650A6">
        <w:t>)</w:t>
      </w:r>
      <w:r w:rsidR="007B326A" w:rsidRPr="004650A6">
        <w:t xml:space="preserve">, which </w:t>
      </w:r>
      <w:r w:rsidR="00E43F67">
        <w:t>resulted in</w:t>
      </w:r>
      <w:r w:rsidR="00E43F67" w:rsidRPr="004650A6">
        <w:t xml:space="preserve"> </w:t>
      </w:r>
      <w:r w:rsidR="00A7337F" w:rsidRPr="004650A6">
        <w:t xml:space="preserve">an approximate 70% reduction in net cost to the PBS/RPBS primarily due to: the inclusion of </w:t>
      </w:r>
      <w:r w:rsidR="00BE0CBD">
        <w:t xml:space="preserve">an assumption that only 60% of </w:t>
      </w:r>
      <w:r w:rsidR="00BE0CBD" w:rsidRPr="004650A6">
        <w:t>MHT-unsuitable patient</w:t>
      </w:r>
      <w:r w:rsidR="00BE0CBD">
        <w:t>s</w:t>
      </w:r>
      <w:r w:rsidR="00BE0CBD" w:rsidRPr="004650A6">
        <w:t xml:space="preserve"> </w:t>
      </w:r>
      <w:r w:rsidR="00BE0CBD">
        <w:t xml:space="preserve">would </w:t>
      </w:r>
      <w:r w:rsidR="00A7337F" w:rsidRPr="004650A6">
        <w:t xml:space="preserve">seek </w:t>
      </w:r>
      <w:r w:rsidR="00BE0CBD">
        <w:t>treatment</w:t>
      </w:r>
      <w:r w:rsidR="00156282" w:rsidRPr="004650A6">
        <w:t xml:space="preserve">; </w:t>
      </w:r>
      <w:r w:rsidR="00A7337F" w:rsidRPr="004650A6">
        <w:t>separation of discontinuation rate from compliance rate</w:t>
      </w:r>
      <w:r w:rsidR="00156282" w:rsidRPr="004650A6">
        <w:t xml:space="preserve">; </w:t>
      </w:r>
      <w:r w:rsidR="00A7337F" w:rsidRPr="004650A6">
        <w:t xml:space="preserve">and reduction in the proposed effective price. </w:t>
      </w:r>
    </w:p>
    <w:p w14:paraId="3CD196F0" w14:textId="75AB4273" w:rsidR="001A18D7" w:rsidRPr="00937514" w:rsidRDefault="00B54E17" w:rsidP="00766C07">
      <w:pPr>
        <w:pStyle w:val="3-BodyText"/>
      </w:pPr>
      <w:bookmarkStart w:id="121" w:name="_Ref214956064"/>
      <w:bookmarkStart w:id="122" w:name="_Ref214880476"/>
      <w:r w:rsidRPr="004650A6">
        <w:t xml:space="preserve">The PBAC agreed with the ESC that the </w:t>
      </w:r>
      <w:r w:rsidR="006B5CEE" w:rsidRPr="004650A6">
        <w:t>estimated 75% of post-menopausal women with</w:t>
      </w:r>
      <w:r w:rsidR="00B71C62" w:rsidRPr="004650A6">
        <w:t xml:space="preserve"> moderate to severe</w:t>
      </w:r>
      <w:r w:rsidR="006B5CEE" w:rsidRPr="004650A6">
        <w:t xml:space="preserve"> VMS </w:t>
      </w:r>
      <w:r w:rsidR="003E3E71">
        <w:t>(</w:t>
      </w:r>
      <w:r w:rsidR="00EF76EB">
        <w:t xml:space="preserve">45% excluding those not seeking treatment) </w:t>
      </w:r>
      <w:r w:rsidR="006B5CEE" w:rsidRPr="004650A6">
        <w:t xml:space="preserve">remained implausibly high. </w:t>
      </w:r>
      <w:r w:rsidR="006B1018" w:rsidRPr="004650A6">
        <w:t xml:space="preserve">The PBAC considered that this was partially addressed in the pre-PBAC response alongside </w:t>
      </w:r>
      <w:r w:rsidR="003C36EA" w:rsidRPr="004650A6">
        <w:t>tightening of the restriction</w:t>
      </w:r>
      <w:r w:rsidR="00FE6796" w:rsidRPr="004650A6">
        <w:t xml:space="preserve"> </w:t>
      </w:r>
      <w:r w:rsidR="002E40B2">
        <w:t xml:space="preserve">to </w:t>
      </w:r>
      <w:r w:rsidR="00FE6796" w:rsidRPr="004650A6">
        <w:t>exclud</w:t>
      </w:r>
      <w:r w:rsidR="002E40B2">
        <w:t>e the</w:t>
      </w:r>
      <w:r w:rsidR="00FE6796" w:rsidRPr="004650A6">
        <w:t xml:space="preserve"> MHT caution group</w:t>
      </w:r>
      <w:r w:rsidR="003C36EA" w:rsidRPr="004650A6">
        <w:t xml:space="preserve"> (</w:t>
      </w:r>
      <w:r w:rsidR="00FE6796" w:rsidRPr="004650A6">
        <w:t>paragraph</w:t>
      </w:r>
      <w:r w:rsidR="00400910" w:rsidRPr="004650A6">
        <w:t xml:space="preserve">s </w:t>
      </w:r>
      <w:r w:rsidR="00FF70CF">
        <w:fldChar w:fldCharType="begin"/>
      </w:r>
      <w:r w:rsidR="00FF70CF">
        <w:instrText xml:space="preserve"> REF _Ref213946032 \r \h </w:instrText>
      </w:r>
      <w:r w:rsidR="00FF70CF">
        <w:fldChar w:fldCharType="separate"/>
      </w:r>
      <w:r w:rsidR="00946DF5">
        <w:t>7.3</w:t>
      </w:r>
      <w:r w:rsidR="00FF70CF">
        <w:fldChar w:fldCharType="end"/>
      </w:r>
      <w:r w:rsidR="00FF676B">
        <w:t xml:space="preserve"> </w:t>
      </w:r>
      <w:r w:rsidR="00843C93" w:rsidRPr="004650A6">
        <w:t>and</w:t>
      </w:r>
      <w:r w:rsidR="00FF70CF">
        <w:t xml:space="preserve"> </w:t>
      </w:r>
      <w:r w:rsidR="00FF676B">
        <w:fldChar w:fldCharType="begin"/>
      </w:r>
      <w:r w:rsidR="00FF676B">
        <w:instrText xml:space="preserve"> REF _Ref215486435 \r \h </w:instrText>
      </w:r>
      <w:r w:rsidR="00FF676B">
        <w:fldChar w:fldCharType="separate"/>
      </w:r>
      <w:r w:rsidR="00946DF5">
        <w:t>7.4</w:t>
      </w:r>
      <w:r w:rsidR="00FF676B">
        <w:fldChar w:fldCharType="end"/>
      </w:r>
      <w:r w:rsidR="003C36EA" w:rsidRPr="004650A6">
        <w:t xml:space="preserve">), but considered that the updated estimate </w:t>
      </w:r>
      <w:r w:rsidR="00B71C62" w:rsidRPr="004650A6">
        <w:t>of</w:t>
      </w:r>
      <w:r w:rsidR="006B5CEE" w:rsidRPr="004650A6">
        <w:t xml:space="preserve"> </w:t>
      </w:r>
      <w:r w:rsidR="00B71C62" w:rsidRPr="00937514">
        <w:rPr>
          <w:snapToGrid w:val="0"/>
        </w:rPr>
        <w:t xml:space="preserve">26.4% remained </w:t>
      </w:r>
      <w:r w:rsidR="00752F74" w:rsidRPr="00937514">
        <w:rPr>
          <w:snapToGrid w:val="0"/>
        </w:rPr>
        <w:t>overestimated</w:t>
      </w:r>
      <w:r w:rsidR="00A61366" w:rsidRPr="00937514">
        <w:rPr>
          <w:snapToGrid w:val="0"/>
        </w:rPr>
        <w:t xml:space="preserve"> and likely included some patients who </w:t>
      </w:r>
      <w:r w:rsidR="00C26806" w:rsidRPr="00937514">
        <w:rPr>
          <w:snapToGrid w:val="0"/>
        </w:rPr>
        <w:t>would be suitable for MHT</w:t>
      </w:r>
      <w:r w:rsidR="00CF036C" w:rsidRPr="00937514">
        <w:rPr>
          <w:snapToGrid w:val="0"/>
        </w:rPr>
        <w:t>. The PBAC considered</w:t>
      </w:r>
      <w:r w:rsidR="00752F74" w:rsidRPr="00937514">
        <w:rPr>
          <w:snapToGrid w:val="0"/>
        </w:rPr>
        <w:t xml:space="preserve"> </w:t>
      </w:r>
      <w:r w:rsidR="00A6762D" w:rsidRPr="00937514">
        <w:rPr>
          <w:snapToGrid w:val="0"/>
        </w:rPr>
        <w:t xml:space="preserve">that </w:t>
      </w:r>
      <w:r w:rsidR="00FD2036" w:rsidRPr="00937514">
        <w:rPr>
          <w:snapToGrid w:val="0"/>
        </w:rPr>
        <w:t xml:space="preserve">an estimate of 10-15% would be more </w:t>
      </w:r>
      <w:r w:rsidR="002A4525" w:rsidRPr="00937514">
        <w:rPr>
          <w:snapToGrid w:val="0"/>
        </w:rPr>
        <w:t>reasonable</w:t>
      </w:r>
      <w:r w:rsidR="00C26806" w:rsidRPr="00937514">
        <w:rPr>
          <w:snapToGrid w:val="0"/>
        </w:rPr>
        <w:t xml:space="preserve"> for the </w:t>
      </w:r>
      <w:r w:rsidR="009946A5" w:rsidRPr="00937514">
        <w:rPr>
          <w:snapToGrid w:val="0"/>
        </w:rPr>
        <w:t>revised intended population</w:t>
      </w:r>
      <w:r w:rsidR="00B810CE" w:rsidRPr="00937514">
        <w:rPr>
          <w:snapToGrid w:val="0"/>
        </w:rPr>
        <w:t xml:space="preserve"> who cannot be treated with MHT</w:t>
      </w:r>
      <w:r w:rsidR="003F18CE" w:rsidRPr="00937514">
        <w:rPr>
          <w:snapToGrid w:val="0"/>
        </w:rPr>
        <w:t xml:space="preserve">, especially in the </w:t>
      </w:r>
      <w:r w:rsidR="00937514" w:rsidRPr="00937514">
        <w:rPr>
          <w:snapToGrid w:val="0"/>
        </w:rPr>
        <w:t xml:space="preserve">context of </w:t>
      </w:r>
      <w:r w:rsidR="000F24AF" w:rsidRPr="00937514">
        <w:t xml:space="preserve">the high uptake rates applied in the </w:t>
      </w:r>
      <w:r w:rsidR="00F5670E" w:rsidRPr="00937514">
        <w:t>pre-PBAC revisions</w:t>
      </w:r>
      <w:r w:rsidR="008976FC" w:rsidRPr="00937514">
        <w:t>.</w:t>
      </w:r>
      <w:bookmarkEnd w:id="121"/>
      <w:r w:rsidR="008976FC" w:rsidRPr="00937514">
        <w:t xml:space="preserve"> </w:t>
      </w:r>
      <w:bookmarkEnd w:id="122"/>
    </w:p>
    <w:p w14:paraId="791F1FAE" w14:textId="0AE57F66" w:rsidR="00A7337F" w:rsidRPr="004650A6" w:rsidRDefault="00EA2580" w:rsidP="00766C07">
      <w:pPr>
        <w:pStyle w:val="3-BodyText"/>
      </w:pPr>
      <w:r>
        <w:t xml:space="preserve">The PBAC noted that the additional cost to the MBS for LFTs was not insubstantial and considered that </w:t>
      </w:r>
      <w:r w:rsidR="00E6460E">
        <w:t>the financial estimate</w:t>
      </w:r>
      <w:r w:rsidR="0020106C">
        <w:t>s</w:t>
      </w:r>
      <w:r w:rsidR="00CD0109">
        <w:t xml:space="preserve"> </w:t>
      </w:r>
      <w:r w:rsidR="00E6460E">
        <w:t xml:space="preserve">should include 6 </w:t>
      </w:r>
      <w:r w:rsidR="00856BC7">
        <w:t xml:space="preserve">LFTs </w:t>
      </w:r>
      <w:r w:rsidR="00CF6C54">
        <w:t xml:space="preserve">per patient </w:t>
      </w:r>
      <w:r w:rsidR="00856BC7">
        <w:t>in the first year of treatment and one LFT</w:t>
      </w:r>
      <w:r w:rsidR="00255642">
        <w:t xml:space="preserve"> </w:t>
      </w:r>
      <w:r w:rsidR="00CF6C54">
        <w:t xml:space="preserve">per patient </w:t>
      </w:r>
      <w:r w:rsidR="00255642">
        <w:t>for the following years</w:t>
      </w:r>
      <w:r w:rsidR="00856BC7">
        <w:t xml:space="preserve">, consistent with the updated PI guidance </w:t>
      </w:r>
      <w:r w:rsidR="00982BCD">
        <w:t>regarding</w:t>
      </w:r>
      <w:r w:rsidR="00216943">
        <w:t xml:space="preserve"> liver function monitoring</w:t>
      </w:r>
      <w:r w:rsidR="00856BC7">
        <w:t xml:space="preserve">. </w:t>
      </w:r>
    </w:p>
    <w:p w14:paraId="6D80329B" w14:textId="093FB659" w:rsidR="004D1E81" w:rsidRPr="00A714C2" w:rsidRDefault="00214447" w:rsidP="00F51DCA">
      <w:pPr>
        <w:pStyle w:val="3-BodyText"/>
      </w:pPr>
      <w:r w:rsidRPr="004C7206">
        <w:t>The PBAC recalled that it previously considered that a</w:t>
      </w:r>
      <w:r w:rsidR="008F14A4" w:rsidRPr="004C7206">
        <w:t>n</w:t>
      </w:r>
      <w:r w:rsidRPr="004C7206">
        <w:t xml:space="preserve"> RSA is likely to be essential to manage risks of usage outside the revised PBS restriction, usage </w:t>
      </w:r>
      <w:r w:rsidR="00BC4E5B">
        <w:t xml:space="preserve">(duration on treatment) </w:t>
      </w:r>
      <w:r w:rsidRPr="004C7206">
        <w:t>beyond expectations, and uncertainty around the percentage of Australian</w:t>
      </w:r>
      <w:r w:rsidR="00DE1C25">
        <w:t>s</w:t>
      </w:r>
      <w:r w:rsidRPr="004C7206">
        <w:t xml:space="preserve"> eligible for treatment. </w:t>
      </w:r>
      <w:r w:rsidR="005D4EAE" w:rsidRPr="004C7206">
        <w:t xml:space="preserve">The PBAC </w:t>
      </w:r>
      <w:r w:rsidR="00C54841" w:rsidRPr="004C7206">
        <w:t xml:space="preserve">noted the pre-PBAC </w:t>
      </w:r>
      <w:r w:rsidR="00ED55EA">
        <w:t xml:space="preserve">response </w:t>
      </w:r>
      <w:r w:rsidR="00C54841" w:rsidRPr="004C7206">
        <w:t>proposed a</w:t>
      </w:r>
      <w:r w:rsidR="008F14A4" w:rsidRPr="004C7206">
        <w:t>n</w:t>
      </w:r>
      <w:r w:rsidR="00C54841" w:rsidRPr="004C7206">
        <w:t xml:space="preserve"> RSA with financial caps </w:t>
      </w:r>
      <w:r w:rsidR="00126EBE" w:rsidRPr="004C7206">
        <w:t xml:space="preserve">based on </w:t>
      </w:r>
      <w:r w:rsidR="00E901B5" w:rsidRPr="00E901B5">
        <w:rPr>
          <w:highlight w:val="black"/>
        </w:rPr>
        <w:t>&amp;&amp;&amp;&amp;</w:t>
      </w:r>
      <w:r w:rsidR="00126EBE" w:rsidRPr="004C7206">
        <w:t xml:space="preserve">% of estimated use and a rebate of </w:t>
      </w:r>
      <w:r w:rsidR="00E901B5" w:rsidRPr="00E901B5">
        <w:rPr>
          <w:highlight w:val="black"/>
        </w:rPr>
        <w:t>&amp;&amp;&amp;&amp;</w:t>
      </w:r>
      <w:r w:rsidR="00BF2F2C" w:rsidRPr="004C7206">
        <w:t>% for use exceed</w:t>
      </w:r>
      <w:r w:rsidR="00413880" w:rsidRPr="004C7206">
        <w:t>ing</w:t>
      </w:r>
      <w:r w:rsidR="00BF2F2C" w:rsidRPr="004C7206">
        <w:t xml:space="preserve"> the caps. The PBAC considered </w:t>
      </w:r>
      <w:r w:rsidR="0005706A" w:rsidRPr="004C7206">
        <w:t xml:space="preserve">that this did not adequately </w:t>
      </w:r>
      <w:r w:rsidR="000D470D" w:rsidRPr="004C7206">
        <w:t xml:space="preserve">mitigate for the </w:t>
      </w:r>
      <w:r w:rsidR="008A70F9">
        <w:t xml:space="preserve">uncertainty in the estimate of the population and duration of treatment as well as </w:t>
      </w:r>
      <w:r w:rsidR="000D470D" w:rsidRPr="004C7206">
        <w:t>concern of use outside restriction</w:t>
      </w:r>
      <w:r w:rsidR="000945FC" w:rsidRPr="004C7206">
        <w:t xml:space="preserve">. </w:t>
      </w:r>
      <w:r w:rsidR="00946CEB">
        <w:t xml:space="preserve">The PBAC considered </w:t>
      </w:r>
      <w:r w:rsidR="00223D8C">
        <w:t xml:space="preserve">the </w:t>
      </w:r>
      <w:r w:rsidR="00E076CD">
        <w:t>financial caps</w:t>
      </w:r>
      <w:r w:rsidR="00223D8C">
        <w:t xml:space="preserve"> </w:t>
      </w:r>
      <w:r w:rsidR="00A16C14">
        <w:t xml:space="preserve">for an RSA </w:t>
      </w:r>
      <w:r w:rsidR="00F0302F">
        <w:t>could</w:t>
      </w:r>
      <w:r w:rsidR="00223D8C">
        <w:t xml:space="preserve"> be</w:t>
      </w:r>
      <w:r w:rsidR="00946CEB">
        <w:t xml:space="preserve"> based on the estimated use in the pre</w:t>
      </w:r>
      <w:r w:rsidR="00EA6B62">
        <w:t>-</w:t>
      </w:r>
      <w:r w:rsidR="00946CEB">
        <w:t xml:space="preserve">PBAC </w:t>
      </w:r>
      <w:r w:rsidR="009A67AC">
        <w:t xml:space="preserve">response </w:t>
      </w:r>
      <w:r w:rsidR="003C73BC">
        <w:t xml:space="preserve">(with up to 26.4% </w:t>
      </w:r>
      <w:r w:rsidR="00EA78C3">
        <w:t>not treated with MHT</w:t>
      </w:r>
      <w:r w:rsidR="003C73BC">
        <w:t>)</w:t>
      </w:r>
      <w:r w:rsidR="00B65EE5">
        <w:t xml:space="preserve"> </w:t>
      </w:r>
      <w:r w:rsidR="00F0302F">
        <w:t>provided the</w:t>
      </w:r>
      <w:r w:rsidR="00B65EE5">
        <w:t xml:space="preserve"> </w:t>
      </w:r>
      <w:proofErr w:type="spellStart"/>
      <w:r w:rsidR="00BE7E73">
        <w:t>fezolin</w:t>
      </w:r>
      <w:r w:rsidR="00290134">
        <w:t>e</w:t>
      </w:r>
      <w:r w:rsidR="0061131B">
        <w:t>tant</w:t>
      </w:r>
      <w:proofErr w:type="spellEnd"/>
      <w:r w:rsidR="0061131B">
        <w:t xml:space="preserve"> price </w:t>
      </w:r>
      <w:r w:rsidR="00F0302F">
        <w:t xml:space="preserve">was </w:t>
      </w:r>
      <w:r w:rsidR="0061131B">
        <w:t>consistent with</w:t>
      </w:r>
      <w:r w:rsidR="009A5320">
        <w:t xml:space="preserve"> a </w:t>
      </w:r>
      <w:r w:rsidR="00505E6E" w:rsidRPr="00505E6E">
        <w:t>$15,000 to &lt; $25,000</w:t>
      </w:r>
      <w:r w:rsidR="00D32436">
        <w:t xml:space="preserve"> per QALY gained ICER</w:t>
      </w:r>
      <w:r w:rsidR="00FE2EC4">
        <w:t xml:space="preserve"> (see paragraph </w:t>
      </w:r>
      <w:r w:rsidR="009C1631">
        <w:fldChar w:fldCharType="begin"/>
      </w:r>
      <w:r w:rsidR="009C1631">
        <w:instrText xml:space="preserve"> REF _Ref214880733 \r \h </w:instrText>
      </w:r>
      <w:r w:rsidR="009C1631">
        <w:fldChar w:fldCharType="separate"/>
      </w:r>
      <w:r w:rsidR="00946DF5">
        <w:t>7.10</w:t>
      </w:r>
      <w:r w:rsidR="009C1631">
        <w:fldChar w:fldCharType="end"/>
      </w:r>
      <w:r w:rsidR="009C1631" w:rsidRPr="00B73910">
        <w:t>)</w:t>
      </w:r>
      <w:r w:rsidR="00C4652C" w:rsidRPr="00B73910">
        <w:t xml:space="preserve">. </w:t>
      </w:r>
      <w:r w:rsidR="00132F3B" w:rsidRPr="00B73910">
        <w:t xml:space="preserve">The </w:t>
      </w:r>
      <w:r w:rsidR="00945F57" w:rsidRPr="00B73910">
        <w:t xml:space="preserve">PBAC </w:t>
      </w:r>
      <w:r w:rsidR="00132F3B" w:rsidRPr="00B73910">
        <w:t xml:space="preserve">advised </w:t>
      </w:r>
      <w:r w:rsidR="0019682F" w:rsidRPr="00B73910">
        <w:t xml:space="preserve">a </w:t>
      </w:r>
      <w:r w:rsidR="00E561F8" w:rsidRPr="00B73910">
        <w:t xml:space="preserve">price for </w:t>
      </w:r>
      <w:proofErr w:type="spellStart"/>
      <w:r w:rsidR="00E561F8" w:rsidRPr="00B73910">
        <w:t>fezolin</w:t>
      </w:r>
      <w:r w:rsidR="00B42729" w:rsidRPr="00B73910">
        <w:t>et</w:t>
      </w:r>
      <w:r w:rsidR="00E561F8" w:rsidRPr="00B73910">
        <w:t>ant</w:t>
      </w:r>
      <w:proofErr w:type="spellEnd"/>
      <w:r w:rsidR="00B42729" w:rsidRPr="00B73910">
        <w:t xml:space="preserve"> </w:t>
      </w:r>
      <w:r w:rsidR="001076C6" w:rsidRPr="00B73910">
        <w:t xml:space="preserve">consistent with an ICER </w:t>
      </w:r>
      <w:r w:rsidR="00571454" w:rsidRPr="00B73910">
        <w:t>of</w:t>
      </w:r>
      <w:r w:rsidR="002755C1" w:rsidRPr="00B73910">
        <w:t xml:space="preserve"> </w:t>
      </w:r>
      <w:r w:rsidR="00D7173F" w:rsidRPr="00D7173F">
        <w:t>$25,000 to &lt; $35,000</w:t>
      </w:r>
      <w:r w:rsidR="00950C53" w:rsidRPr="00B73910">
        <w:t xml:space="preserve"> per QALY gained</w:t>
      </w:r>
      <w:r w:rsidR="008E2306" w:rsidRPr="00B73910">
        <w:t xml:space="preserve"> </w:t>
      </w:r>
      <w:r w:rsidR="007C7671" w:rsidRPr="00B73910">
        <w:t>would only</w:t>
      </w:r>
      <w:r w:rsidR="008E2306" w:rsidRPr="00B73910">
        <w:t xml:space="preserve"> be</w:t>
      </w:r>
      <w:r w:rsidR="007C7671" w:rsidRPr="00B73910">
        <w:t xml:space="preserve"> appropriate if</w:t>
      </w:r>
      <w:r w:rsidR="008E2306" w:rsidRPr="00B73910">
        <w:t xml:space="preserve"> </w:t>
      </w:r>
      <w:r w:rsidR="0075043D" w:rsidRPr="00B73910">
        <w:t xml:space="preserve">combined with a reduction in the </w:t>
      </w:r>
      <w:r w:rsidR="0073370D" w:rsidRPr="00B73910">
        <w:t xml:space="preserve">proportion </w:t>
      </w:r>
      <w:r w:rsidR="00075739" w:rsidRPr="00B73910">
        <w:t xml:space="preserve">not treated with MHT </w:t>
      </w:r>
      <w:r w:rsidR="009F1CED" w:rsidRPr="00B73910">
        <w:t xml:space="preserve">that </w:t>
      </w:r>
      <w:r w:rsidR="007735DF" w:rsidRPr="00B73910">
        <w:t xml:space="preserve">was more </w:t>
      </w:r>
      <w:r w:rsidR="009A67AC" w:rsidRPr="00B73910">
        <w:t>in line</w:t>
      </w:r>
      <w:r w:rsidR="007735DF" w:rsidRPr="00B73910">
        <w:t xml:space="preserve"> with</w:t>
      </w:r>
      <w:r w:rsidR="00E324F9" w:rsidRPr="00B73910">
        <w:t xml:space="preserve"> the 10-15% estimate as per paragraph </w:t>
      </w:r>
      <w:r w:rsidR="00680A96" w:rsidRPr="00B73910">
        <w:fldChar w:fldCharType="begin"/>
      </w:r>
      <w:r w:rsidR="00680A96" w:rsidRPr="00B73910">
        <w:instrText xml:space="preserve"> REF _Ref214956064 \r \h </w:instrText>
      </w:r>
      <w:r w:rsidR="000F7EAE" w:rsidRPr="00B73910">
        <w:instrText xml:space="preserve"> \* MERGEFORMAT </w:instrText>
      </w:r>
      <w:r w:rsidR="00680A96" w:rsidRPr="00B73910">
        <w:fldChar w:fldCharType="separate"/>
      </w:r>
      <w:r w:rsidR="00946DF5">
        <w:t>7.12</w:t>
      </w:r>
      <w:r w:rsidR="00680A96" w:rsidRPr="00B73910">
        <w:fldChar w:fldCharType="end"/>
      </w:r>
      <w:r w:rsidR="00E324F9" w:rsidRPr="00B73910">
        <w:t>.</w:t>
      </w:r>
      <w:r w:rsidR="00571454" w:rsidRPr="00B73910">
        <w:t xml:space="preserve"> However</w:t>
      </w:r>
      <w:r w:rsidR="00571454">
        <w:t xml:space="preserve"> given the uncertainty in the estimate, the PBAC considered that the most reliably cost</w:t>
      </w:r>
      <w:r w:rsidR="00D33D08">
        <w:t>-</w:t>
      </w:r>
      <w:r w:rsidR="00571454">
        <w:t xml:space="preserve">effective position was using a price consistent with an ICER of </w:t>
      </w:r>
      <w:r w:rsidR="00065EAD" w:rsidRPr="00065EAD">
        <w:t>$15,000 to &lt; $25,000</w:t>
      </w:r>
      <w:r w:rsidR="00571454">
        <w:t xml:space="preserve"> per QALY. </w:t>
      </w:r>
      <w:r w:rsidR="00DE400A" w:rsidRPr="00DE400A">
        <w:t xml:space="preserve"> </w:t>
      </w:r>
      <w:r w:rsidR="00571454" w:rsidRPr="00833B10">
        <w:t xml:space="preserve">The PBAC considered that </w:t>
      </w:r>
      <w:r w:rsidR="00571454">
        <w:t>the</w:t>
      </w:r>
      <w:r w:rsidR="00571454" w:rsidRPr="00833B10">
        <w:t xml:space="preserve"> rebate for use exceeding the caps </w:t>
      </w:r>
      <w:r w:rsidR="00571454">
        <w:t xml:space="preserve">should be close to </w:t>
      </w:r>
      <w:r w:rsidR="00E901B5" w:rsidRPr="00E901B5">
        <w:rPr>
          <w:highlight w:val="black"/>
        </w:rPr>
        <w:t>&amp;&amp;&amp;&amp;</w:t>
      </w:r>
      <w:r w:rsidR="00571454">
        <w:t>%</w:t>
      </w:r>
      <w:r w:rsidR="00571454" w:rsidRPr="00833B10">
        <w:t xml:space="preserve">. </w:t>
      </w:r>
      <w:r w:rsidR="00DE400A" w:rsidRPr="00833B10">
        <w:t>The PBAC considered that</w:t>
      </w:r>
      <w:r w:rsidR="00DE400A" w:rsidRPr="00A714C2">
        <w:t xml:space="preserve"> an RSA with these conditions would address remaining uncertainty regarding the total number of patients likely to </w:t>
      </w:r>
      <w:r w:rsidR="00726A2B">
        <w:t xml:space="preserve">be </w:t>
      </w:r>
      <w:r w:rsidR="00DE400A" w:rsidRPr="00A714C2">
        <w:t xml:space="preserve">treated with </w:t>
      </w:r>
      <w:proofErr w:type="spellStart"/>
      <w:r w:rsidR="00DE400A" w:rsidRPr="00A714C2">
        <w:t>fezolinetant</w:t>
      </w:r>
      <w:proofErr w:type="spellEnd"/>
      <w:r w:rsidR="00DE400A" w:rsidRPr="00A714C2">
        <w:t xml:space="preserve"> and the potential for use outside the intended population.</w:t>
      </w:r>
    </w:p>
    <w:p w14:paraId="2F1FE542" w14:textId="2A63F8F1" w:rsidR="00935CB1" w:rsidRPr="006200F2" w:rsidRDefault="00935CB1" w:rsidP="00766C07">
      <w:pPr>
        <w:pStyle w:val="3-BodyText"/>
        <w:rPr>
          <w:snapToGrid w:val="0"/>
        </w:rPr>
      </w:pPr>
      <w:r w:rsidRPr="006200F2">
        <w:rPr>
          <w:snapToGrid w:val="0"/>
        </w:rPr>
        <w:t xml:space="preserve">The PBAC recommended that </w:t>
      </w:r>
      <w:proofErr w:type="spellStart"/>
      <w:r w:rsidR="00AA3680" w:rsidRPr="006200F2">
        <w:rPr>
          <w:snapToGrid w:val="0"/>
        </w:rPr>
        <w:t>fezolinetant</w:t>
      </w:r>
      <w:proofErr w:type="spellEnd"/>
      <w:r w:rsidRPr="006200F2" w:rsidDel="00146C86">
        <w:rPr>
          <w:snapToGrid w:val="0"/>
        </w:rPr>
        <w:t xml:space="preserve"> </w:t>
      </w:r>
      <w:r w:rsidRPr="006200F2">
        <w:rPr>
          <w:snapToGrid w:val="0"/>
        </w:rPr>
        <w:t xml:space="preserve">should </w:t>
      </w:r>
      <w:r w:rsidR="00F60ED9" w:rsidRPr="006200F2">
        <w:rPr>
          <w:snapToGrid w:val="0"/>
        </w:rPr>
        <w:t xml:space="preserve">not </w:t>
      </w:r>
      <w:r w:rsidRPr="006200F2">
        <w:rPr>
          <w:snapToGrid w:val="0"/>
        </w:rPr>
        <w:t xml:space="preserve">be treated as interchangeable on an individual patient basis with </w:t>
      </w:r>
      <w:r w:rsidR="00507980" w:rsidRPr="006200F2">
        <w:rPr>
          <w:snapToGrid w:val="0"/>
        </w:rPr>
        <w:t>any other drugs</w:t>
      </w:r>
      <w:r w:rsidRPr="006200F2">
        <w:rPr>
          <w:snapToGrid w:val="0"/>
        </w:rPr>
        <w:t xml:space="preserve">. </w:t>
      </w:r>
    </w:p>
    <w:p w14:paraId="13A7784B" w14:textId="4AF4EFD2" w:rsidR="00935CB1" w:rsidRDefault="00935CB1" w:rsidP="00766C07">
      <w:pPr>
        <w:pStyle w:val="3-BodyText"/>
        <w:rPr>
          <w:snapToGrid w:val="0"/>
        </w:rPr>
      </w:pPr>
      <w:r w:rsidRPr="003D08B6">
        <w:rPr>
          <w:snapToGrid w:val="0"/>
        </w:rPr>
        <w:t xml:space="preserve">The PBAC advised that </w:t>
      </w:r>
      <w:proofErr w:type="spellStart"/>
      <w:r w:rsidR="00591059" w:rsidRPr="003D08B6">
        <w:rPr>
          <w:snapToGrid w:val="0"/>
        </w:rPr>
        <w:t>fezolinetant</w:t>
      </w:r>
      <w:proofErr w:type="spellEnd"/>
      <w:r w:rsidRPr="003D08B6">
        <w:rPr>
          <w:snapToGrid w:val="0"/>
        </w:rPr>
        <w:t xml:space="preserve"> is suitable for prescribing</w:t>
      </w:r>
      <w:r w:rsidR="00311EC5" w:rsidRPr="003D08B6">
        <w:rPr>
          <w:snapToGrid w:val="0"/>
        </w:rPr>
        <w:t xml:space="preserve"> by</w:t>
      </w:r>
      <w:r w:rsidRPr="003D08B6">
        <w:rPr>
          <w:snapToGrid w:val="0"/>
        </w:rPr>
        <w:t xml:space="preserve"> </w:t>
      </w:r>
      <w:r w:rsidR="00311EC5" w:rsidRPr="003D08B6">
        <w:rPr>
          <w:snapToGrid w:val="0"/>
        </w:rPr>
        <w:t xml:space="preserve">medical practitioners only </w:t>
      </w:r>
      <w:r w:rsidR="00F539E2" w:rsidRPr="003D08B6">
        <w:rPr>
          <w:snapToGrid w:val="0"/>
        </w:rPr>
        <w:t xml:space="preserve">as initial treatment, </w:t>
      </w:r>
      <w:r w:rsidRPr="003D08B6">
        <w:rPr>
          <w:snapToGrid w:val="0"/>
        </w:rPr>
        <w:t xml:space="preserve">and </w:t>
      </w:r>
      <w:r w:rsidR="00593279" w:rsidRPr="003D08B6">
        <w:rPr>
          <w:snapToGrid w:val="0"/>
        </w:rPr>
        <w:t xml:space="preserve">by </w:t>
      </w:r>
      <w:r w:rsidR="00611B65" w:rsidRPr="003D08B6">
        <w:rPr>
          <w:snapToGrid w:val="0"/>
        </w:rPr>
        <w:t xml:space="preserve">medical practitioners and </w:t>
      </w:r>
      <w:r w:rsidR="00591059" w:rsidRPr="003D08B6">
        <w:rPr>
          <w:snapToGrid w:val="0"/>
        </w:rPr>
        <w:t xml:space="preserve">nurse </w:t>
      </w:r>
      <w:r w:rsidR="00593279" w:rsidRPr="003D08B6">
        <w:rPr>
          <w:snapToGrid w:val="0"/>
        </w:rPr>
        <w:t>practitioners</w:t>
      </w:r>
      <w:r w:rsidRPr="003D08B6">
        <w:rPr>
          <w:snapToGrid w:val="0"/>
        </w:rPr>
        <w:t xml:space="preserve"> </w:t>
      </w:r>
      <w:r w:rsidR="00611B65" w:rsidRPr="003D08B6">
        <w:rPr>
          <w:snapToGrid w:val="0"/>
        </w:rPr>
        <w:t>as continuing treatment.</w:t>
      </w:r>
      <w:r w:rsidRPr="003D08B6">
        <w:rPr>
          <w:snapToGrid w:val="0"/>
        </w:rPr>
        <w:t xml:space="preserve"> </w:t>
      </w:r>
    </w:p>
    <w:p w14:paraId="217D76E0" w14:textId="76E7B8B2" w:rsidR="005477C3" w:rsidRPr="003D08B6" w:rsidRDefault="005477C3" w:rsidP="00766C07">
      <w:pPr>
        <w:pStyle w:val="3-BodyText"/>
        <w:rPr>
          <w:snapToGrid w:val="0"/>
        </w:rPr>
      </w:pPr>
      <w:r>
        <w:rPr>
          <w:snapToGrid w:val="0"/>
        </w:rPr>
        <w:t xml:space="preserve">The PBAC advised that </w:t>
      </w:r>
      <w:r w:rsidR="00E66FE4">
        <w:rPr>
          <w:snapToGrid w:val="0"/>
        </w:rPr>
        <w:t xml:space="preserve">the early supply rule should be applied to </w:t>
      </w:r>
      <w:proofErr w:type="spellStart"/>
      <w:r w:rsidR="00E66FE4" w:rsidRPr="004650A6">
        <w:rPr>
          <w:snapToGrid w:val="0"/>
        </w:rPr>
        <w:t>fezolinetant</w:t>
      </w:r>
      <w:proofErr w:type="spellEnd"/>
      <w:r w:rsidR="00E66FE4">
        <w:rPr>
          <w:snapToGrid w:val="0"/>
        </w:rPr>
        <w:t>.</w:t>
      </w:r>
    </w:p>
    <w:p w14:paraId="7C1EB8BC" w14:textId="51192C4A" w:rsidR="00935CB1" w:rsidRPr="00B12C8C" w:rsidRDefault="00935CB1" w:rsidP="00766C07">
      <w:pPr>
        <w:pStyle w:val="3-BodyText"/>
        <w:rPr>
          <w:snapToGrid w:val="0"/>
        </w:rPr>
      </w:pPr>
      <w:r w:rsidRPr="00B12C8C">
        <w:rPr>
          <w:snapToGrid w:val="0"/>
        </w:rPr>
        <w:t xml:space="preserve">The PBAC found that the criteria prescribed by the </w:t>
      </w:r>
      <w:r w:rsidRPr="00F33702">
        <w:rPr>
          <w:i/>
          <w:snapToGrid w:val="0"/>
        </w:rPr>
        <w:t>National Health (Pharmaceuticals and Vaccines – Cost Recovery) Regulations 2022</w:t>
      </w:r>
      <w:r w:rsidRPr="00B12C8C">
        <w:rPr>
          <w:snapToGrid w:val="0"/>
        </w:rPr>
        <w:t xml:space="preserve"> for Pricing Pathway A were not met. </w:t>
      </w:r>
      <w:proofErr w:type="gramStart"/>
      <w:r w:rsidRPr="00B12C8C">
        <w:rPr>
          <w:snapToGrid w:val="0"/>
        </w:rPr>
        <w:t>Specifically</w:t>
      </w:r>
      <w:proofErr w:type="gramEnd"/>
      <w:r w:rsidRPr="00B12C8C">
        <w:rPr>
          <w:snapToGrid w:val="0"/>
        </w:rPr>
        <w:t xml:space="preserve"> the PBAC found that in the circumstances of its recommendation for </w:t>
      </w:r>
      <w:proofErr w:type="spellStart"/>
      <w:r w:rsidR="007906BF" w:rsidRPr="00B12C8C">
        <w:rPr>
          <w:snapToGrid w:val="0"/>
        </w:rPr>
        <w:t>fezolinetant</w:t>
      </w:r>
      <w:proofErr w:type="spellEnd"/>
      <w:r w:rsidRPr="00B12C8C">
        <w:rPr>
          <w:snapToGrid w:val="0"/>
        </w:rPr>
        <w:t>:</w:t>
      </w:r>
      <w:r w:rsidR="00AD2EB0" w:rsidRPr="00B12C8C">
        <w:rPr>
          <w:snapToGrid w:val="0"/>
        </w:rPr>
        <w:t xml:space="preserve"> </w:t>
      </w:r>
    </w:p>
    <w:p w14:paraId="41A1ECAC" w14:textId="3591C83D" w:rsidR="00935CB1" w:rsidRPr="00B12C8C" w:rsidRDefault="00935CB1" w:rsidP="00755D60">
      <w:pPr>
        <w:pStyle w:val="ListParagraph"/>
        <w:ind w:left="1077" w:hanging="357"/>
      </w:pPr>
      <w:r w:rsidRPr="00B12C8C">
        <w:t>The treatment is not expected to provide a substantial and clinically relevant improvement in efficacy</w:t>
      </w:r>
      <w:r w:rsidR="001A3A8F">
        <w:t xml:space="preserve">, </w:t>
      </w:r>
      <w:r w:rsidR="0098623A">
        <w:t>al</w:t>
      </w:r>
      <w:r w:rsidR="001A3A8F">
        <w:t>though</w:t>
      </w:r>
      <w:r w:rsidR="001A3A8F" w:rsidRPr="001A3A8F">
        <w:rPr>
          <w:rFonts w:ascii="Calibri" w:hAnsi="Calibri"/>
        </w:rPr>
        <w:t xml:space="preserve"> </w:t>
      </w:r>
      <w:r w:rsidR="001A3A8F" w:rsidRPr="001A3A8F">
        <w:t>reductions in the frequency and severity of VMS</w:t>
      </w:r>
      <w:r w:rsidR="001A3A8F">
        <w:t xml:space="preserve"> are expected, </w:t>
      </w:r>
      <w:r w:rsidR="00254CF3">
        <w:t>the magnitude of benefit</w:t>
      </w:r>
      <w:r w:rsidR="0098623A" w:rsidRPr="00EB1825">
        <w:t xml:space="preserve"> is somewhat </w:t>
      </w:r>
      <w:proofErr w:type="gramStart"/>
      <w:r w:rsidR="0098623A" w:rsidRPr="00EB1825">
        <w:t>uncertain</w:t>
      </w:r>
      <w:r w:rsidRPr="00B12C8C">
        <w:t>;</w:t>
      </w:r>
      <w:proofErr w:type="gramEnd"/>
      <w:r w:rsidRPr="00B12C8C">
        <w:t xml:space="preserve"> </w:t>
      </w:r>
    </w:p>
    <w:p w14:paraId="7C015D5E" w14:textId="20E51DFC" w:rsidR="00935CB1" w:rsidRPr="00EB1825" w:rsidRDefault="00935CB1" w:rsidP="00755D60">
      <w:pPr>
        <w:pStyle w:val="ListParagraph"/>
        <w:ind w:left="1077" w:hanging="357"/>
        <w:rPr>
          <w:rFonts w:cstheme="minorHAnsi"/>
        </w:rPr>
      </w:pPr>
      <w:r w:rsidRPr="00B12C8C">
        <w:t>The treatment is not expected to address a high and urgent unmet clinical need</w:t>
      </w:r>
      <w:r w:rsidR="00604ADA">
        <w:t xml:space="preserve"> as there are other non-PBS and off-label treatments </w:t>
      </w:r>
      <w:proofErr w:type="gramStart"/>
      <w:r w:rsidR="00604ADA">
        <w:t>available</w:t>
      </w:r>
      <w:r w:rsidR="00A82867">
        <w:t>;</w:t>
      </w:r>
      <w:proofErr w:type="gramEnd"/>
      <w:r w:rsidR="00AD2EB0">
        <w:rPr>
          <w:rFonts w:cstheme="minorHAnsi"/>
        </w:rPr>
        <w:t xml:space="preserve"> </w:t>
      </w:r>
    </w:p>
    <w:p w14:paraId="0F07BE00" w14:textId="4BFDA9C0" w:rsidR="00935CB1" w:rsidRPr="00604ADA" w:rsidRDefault="00935CB1" w:rsidP="00755D60">
      <w:pPr>
        <w:pStyle w:val="ListParagraph"/>
        <w:ind w:left="1077" w:hanging="357"/>
      </w:pPr>
      <w:r w:rsidRPr="00EB1825">
        <w:t>It was not necessary to make a finding in relation to whether it would be in the public interest for the subsequent pricing application to be progressed under Pricing Pathway A because one or more of the preceding tests had failed</w:t>
      </w:r>
      <w:r w:rsidR="00604ADA">
        <w:t>.</w:t>
      </w:r>
    </w:p>
    <w:p w14:paraId="3710B761" w14:textId="27F5B8A7" w:rsidR="007906BF" w:rsidRPr="00EB1825" w:rsidRDefault="00935CB1" w:rsidP="00766C07">
      <w:pPr>
        <w:pStyle w:val="3-BodyText"/>
        <w:rPr>
          <w:snapToGrid w:val="0"/>
        </w:rPr>
      </w:pPr>
      <w:r w:rsidRPr="00EB1825">
        <w:rPr>
          <w:snapToGrid w:val="0"/>
        </w:rPr>
        <w:t>The PBAC noted that this submission is not eligible for an Independent Review</w:t>
      </w:r>
      <w:r w:rsidR="00B12C8C">
        <w:rPr>
          <w:snapToGrid w:val="0"/>
        </w:rPr>
        <w:t>,</w:t>
      </w:r>
      <w:r w:rsidR="007906BF" w:rsidRPr="00EB1825">
        <w:rPr>
          <w:snapToGrid w:val="0"/>
        </w:rPr>
        <w:t xml:space="preserve"> as it received a positive recommendation</w:t>
      </w:r>
      <w:r w:rsidRPr="00EB1825">
        <w:rPr>
          <w:snapToGrid w:val="0"/>
        </w:rPr>
        <w:t xml:space="preserve">. </w:t>
      </w:r>
    </w:p>
    <w:p w14:paraId="78B65259" w14:textId="77777777" w:rsidR="003D0D2C" w:rsidRPr="003D0D2C" w:rsidRDefault="003D0D2C" w:rsidP="00935CB1">
      <w:pPr>
        <w:widowControl w:val="0"/>
        <w:contextualSpacing/>
        <w:rPr>
          <w:rFonts w:asciiTheme="minorHAnsi" w:hAnsiTheme="minorHAnsi"/>
          <w:bCs/>
          <w:snapToGrid w:val="0"/>
        </w:rPr>
      </w:pPr>
    </w:p>
    <w:p w14:paraId="15B11CAE" w14:textId="77777777" w:rsidR="00935CB1" w:rsidRPr="00EB1825" w:rsidRDefault="00935CB1" w:rsidP="00935CB1">
      <w:pPr>
        <w:spacing w:before="240"/>
        <w:rPr>
          <w:rFonts w:asciiTheme="minorHAnsi" w:hAnsiTheme="minorHAnsi"/>
          <w:b/>
          <w:bCs/>
          <w:snapToGrid w:val="0"/>
        </w:rPr>
      </w:pPr>
      <w:r w:rsidRPr="00EB1825">
        <w:rPr>
          <w:rFonts w:asciiTheme="minorHAnsi" w:hAnsiTheme="minorHAnsi"/>
          <w:b/>
          <w:bCs/>
          <w:snapToGrid w:val="0"/>
        </w:rPr>
        <w:t>Outcome:</w:t>
      </w:r>
    </w:p>
    <w:p w14:paraId="46A60F4F" w14:textId="604E1332" w:rsidR="000B7F8D" w:rsidRDefault="00935CB1" w:rsidP="00935CB1">
      <w:pPr>
        <w:rPr>
          <w:rFonts w:asciiTheme="minorHAnsi" w:hAnsiTheme="minorHAnsi"/>
          <w:bCs/>
          <w:snapToGrid w:val="0"/>
        </w:rPr>
      </w:pPr>
      <w:r w:rsidRPr="00EB1825">
        <w:rPr>
          <w:rFonts w:asciiTheme="minorHAnsi" w:hAnsiTheme="minorHAnsi"/>
          <w:bCs/>
          <w:snapToGrid w:val="0"/>
        </w:rPr>
        <w:t>Recommended</w:t>
      </w:r>
    </w:p>
    <w:p w14:paraId="2E435303" w14:textId="77777777" w:rsidR="000B7F8D" w:rsidRDefault="000B7F8D">
      <w:pPr>
        <w:jc w:val="left"/>
        <w:rPr>
          <w:rFonts w:asciiTheme="minorHAnsi" w:hAnsiTheme="minorHAnsi"/>
          <w:bCs/>
          <w:snapToGrid w:val="0"/>
        </w:rPr>
      </w:pPr>
      <w:r>
        <w:rPr>
          <w:rFonts w:asciiTheme="minorHAnsi" w:hAnsiTheme="minorHAnsi"/>
          <w:bCs/>
          <w:snapToGrid w:val="0"/>
        </w:rPr>
        <w:br w:type="page"/>
      </w:r>
    </w:p>
    <w:bookmarkEnd w:id="115"/>
    <w:p w14:paraId="3894CFFE" w14:textId="77777777" w:rsidR="00935CB1" w:rsidRPr="00EB1825" w:rsidRDefault="00935CB1" w:rsidP="000B7F8D">
      <w:pPr>
        <w:pStyle w:val="2-SectionHeading"/>
        <w:keepNext w:val="0"/>
        <w:numPr>
          <w:ilvl w:val="0"/>
          <w:numId w:val="1"/>
        </w:numPr>
      </w:pPr>
      <w:r w:rsidRPr="00EB1825">
        <w:t>Recommended listing</w:t>
      </w:r>
    </w:p>
    <w:p w14:paraId="4329F369" w14:textId="77777777" w:rsidR="00935CB1" w:rsidRPr="00C61D08" w:rsidRDefault="00935CB1" w:rsidP="000B7F8D">
      <w:pPr>
        <w:pStyle w:val="3-BodyText"/>
        <w:rPr>
          <w:b/>
          <w:snapToGrid w:val="0"/>
        </w:rPr>
      </w:pPr>
      <w:r w:rsidRPr="00C61D08">
        <w:rPr>
          <w:snapToGrid w:val="0"/>
        </w:rPr>
        <w:t>Add new item:</w:t>
      </w:r>
    </w:p>
    <w:p w14:paraId="53E30801" w14:textId="7C883295" w:rsidR="00935CB1" w:rsidRPr="00EB1825" w:rsidRDefault="00935CB1" w:rsidP="000B7F8D">
      <w:pPr>
        <w:widowControl w:val="0"/>
        <w:ind w:firstLine="709"/>
        <w:rPr>
          <w:rFonts w:asciiTheme="minorHAnsi" w:hAnsiTheme="minorHAnsi"/>
          <w:bCs/>
          <w:snapToGrid w:val="0"/>
          <w:highlight w:val="cyan"/>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w:tblPr>
      <w:tblGrid>
        <w:gridCol w:w="1271"/>
        <w:gridCol w:w="2670"/>
        <w:gridCol w:w="811"/>
        <w:gridCol w:w="812"/>
        <w:gridCol w:w="811"/>
        <w:gridCol w:w="812"/>
        <w:gridCol w:w="1880"/>
      </w:tblGrid>
      <w:tr w:rsidR="001D1C8D" w:rsidRPr="00FD0EF7" w14:paraId="6D49C99A" w14:textId="77777777" w:rsidTr="61ED92A5">
        <w:trPr>
          <w:cantSplit/>
          <w:trHeight w:val="20"/>
        </w:trPr>
        <w:tc>
          <w:tcPr>
            <w:tcW w:w="3941" w:type="dxa"/>
            <w:gridSpan w:val="2"/>
            <w:vAlign w:val="center"/>
          </w:tcPr>
          <w:p w14:paraId="181C161F" w14:textId="77777777" w:rsidR="001D1C8D" w:rsidRPr="00FD0EF7" w:rsidRDefault="001D1C8D" w:rsidP="000B7F8D">
            <w:pPr>
              <w:keepLines/>
              <w:rPr>
                <w:rFonts w:ascii="Arial Narrow" w:hAnsi="Arial Narrow"/>
                <w:b/>
                <w:bCs/>
                <w:sz w:val="20"/>
                <w:szCs w:val="20"/>
              </w:rPr>
            </w:pPr>
            <w:r w:rsidRPr="00FD0EF7">
              <w:rPr>
                <w:rFonts w:ascii="Arial Narrow" w:hAnsi="Arial Narrow"/>
                <w:b/>
                <w:bCs/>
                <w:sz w:val="20"/>
                <w:szCs w:val="20"/>
              </w:rPr>
              <w:t>MEDICINAL PRODUCT</w:t>
            </w:r>
          </w:p>
          <w:p w14:paraId="08895DDC" w14:textId="77777777" w:rsidR="001D1C8D" w:rsidRPr="00FD0EF7" w:rsidRDefault="001D1C8D" w:rsidP="000B7F8D">
            <w:pPr>
              <w:keepLines/>
              <w:rPr>
                <w:rFonts w:ascii="Arial Narrow" w:hAnsi="Arial Narrow"/>
                <w:b/>
                <w:sz w:val="20"/>
                <w:szCs w:val="20"/>
              </w:rPr>
            </w:pPr>
            <w:r w:rsidRPr="00FD0EF7">
              <w:rPr>
                <w:rFonts w:ascii="Arial Narrow" w:hAnsi="Arial Narrow"/>
                <w:b/>
                <w:bCs/>
                <w:sz w:val="20"/>
                <w:szCs w:val="20"/>
              </w:rPr>
              <w:t>medicinal product pack</w:t>
            </w:r>
          </w:p>
        </w:tc>
        <w:tc>
          <w:tcPr>
            <w:tcW w:w="811" w:type="dxa"/>
            <w:vAlign w:val="center"/>
          </w:tcPr>
          <w:p w14:paraId="18E2760C" w14:textId="77777777" w:rsidR="001D1C8D" w:rsidRPr="00FD0EF7" w:rsidRDefault="001D1C8D" w:rsidP="000B7F8D">
            <w:pPr>
              <w:keepLines/>
              <w:jc w:val="center"/>
              <w:rPr>
                <w:rFonts w:ascii="Arial Narrow" w:hAnsi="Arial Narrow"/>
                <w:b/>
                <w:sz w:val="20"/>
                <w:szCs w:val="20"/>
              </w:rPr>
            </w:pPr>
            <w:r w:rsidRPr="00FD0EF7">
              <w:rPr>
                <w:rFonts w:ascii="Arial Narrow" w:hAnsi="Arial Narrow"/>
                <w:b/>
                <w:sz w:val="20"/>
                <w:szCs w:val="20"/>
              </w:rPr>
              <w:t>PBS item code</w:t>
            </w:r>
          </w:p>
        </w:tc>
        <w:tc>
          <w:tcPr>
            <w:tcW w:w="812" w:type="dxa"/>
            <w:vAlign w:val="center"/>
          </w:tcPr>
          <w:p w14:paraId="42D77BE2" w14:textId="77777777" w:rsidR="001D1C8D" w:rsidRPr="00FD0EF7" w:rsidRDefault="001D1C8D" w:rsidP="000B7F8D">
            <w:pPr>
              <w:keepLines/>
              <w:jc w:val="center"/>
              <w:rPr>
                <w:rFonts w:ascii="Arial Narrow" w:hAnsi="Arial Narrow"/>
                <w:b/>
                <w:sz w:val="20"/>
                <w:szCs w:val="20"/>
              </w:rPr>
            </w:pPr>
            <w:r w:rsidRPr="00FD0EF7">
              <w:rPr>
                <w:rFonts w:ascii="Arial Narrow" w:hAnsi="Arial Narrow"/>
                <w:b/>
                <w:sz w:val="20"/>
                <w:szCs w:val="20"/>
              </w:rPr>
              <w:t>Max. qty packs</w:t>
            </w:r>
          </w:p>
        </w:tc>
        <w:tc>
          <w:tcPr>
            <w:tcW w:w="811" w:type="dxa"/>
            <w:vAlign w:val="center"/>
          </w:tcPr>
          <w:p w14:paraId="5FB8588E" w14:textId="77777777" w:rsidR="001D1C8D" w:rsidRPr="00FD0EF7" w:rsidRDefault="001D1C8D" w:rsidP="000B7F8D">
            <w:pPr>
              <w:keepLines/>
              <w:jc w:val="center"/>
              <w:rPr>
                <w:rFonts w:ascii="Arial Narrow" w:hAnsi="Arial Narrow"/>
                <w:b/>
                <w:sz w:val="20"/>
                <w:szCs w:val="20"/>
              </w:rPr>
            </w:pPr>
            <w:r w:rsidRPr="00FD0EF7">
              <w:rPr>
                <w:rFonts w:ascii="Arial Narrow" w:hAnsi="Arial Narrow"/>
                <w:b/>
                <w:sz w:val="20"/>
                <w:szCs w:val="20"/>
              </w:rPr>
              <w:t>Max. qty units</w:t>
            </w:r>
          </w:p>
        </w:tc>
        <w:tc>
          <w:tcPr>
            <w:tcW w:w="812" w:type="dxa"/>
            <w:vAlign w:val="center"/>
          </w:tcPr>
          <w:p w14:paraId="3E2A160E" w14:textId="77777777" w:rsidR="001D1C8D" w:rsidRPr="00FD0EF7" w:rsidRDefault="001D1C8D" w:rsidP="000B7F8D">
            <w:pPr>
              <w:keepLines/>
              <w:jc w:val="center"/>
              <w:rPr>
                <w:rFonts w:ascii="Arial Narrow" w:hAnsi="Arial Narrow"/>
                <w:b/>
                <w:sz w:val="20"/>
                <w:szCs w:val="20"/>
              </w:rPr>
            </w:pPr>
            <w:r w:rsidRPr="00FD0EF7">
              <w:rPr>
                <w:rFonts w:ascii="Arial Narrow" w:hAnsi="Arial Narrow"/>
                <w:b/>
                <w:sz w:val="20"/>
                <w:szCs w:val="20"/>
              </w:rPr>
              <w:t>№.of</w:t>
            </w:r>
          </w:p>
          <w:p w14:paraId="6F9CE216" w14:textId="77777777" w:rsidR="001D1C8D" w:rsidRPr="00FD0EF7" w:rsidRDefault="001D1C8D" w:rsidP="000B7F8D">
            <w:pPr>
              <w:keepLines/>
              <w:jc w:val="center"/>
              <w:rPr>
                <w:rFonts w:ascii="Arial Narrow" w:hAnsi="Arial Narrow"/>
                <w:b/>
                <w:sz w:val="20"/>
                <w:szCs w:val="20"/>
              </w:rPr>
            </w:pPr>
            <w:proofErr w:type="spellStart"/>
            <w:r w:rsidRPr="00FD0EF7">
              <w:rPr>
                <w:rFonts w:ascii="Arial Narrow" w:hAnsi="Arial Narrow"/>
                <w:b/>
                <w:sz w:val="20"/>
                <w:szCs w:val="20"/>
              </w:rPr>
              <w:t>Rpts</w:t>
            </w:r>
            <w:proofErr w:type="spellEnd"/>
          </w:p>
        </w:tc>
        <w:tc>
          <w:tcPr>
            <w:tcW w:w="1880" w:type="dxa"/>
            <w:vAlign w:val="center"/>
          </w:tcPr>
          <w:p w14:paraId="709A5F60" w14:textId="77777777" w:rsidR="001D1C8D" w:rsidRPr="00FD0EF7" w:rsidRDefault="001D1C8D" w:rsidP="000B7F8D">
            <w:pPr>
              <w:keepLines/>
              <w:rPr>
                <w:rFonts w:ascii="Arial Narrow" w:hAnsi="Arial Narrow"/>
                <w:b/>
                <w:sz w:val="20"/>
                <w:szCs w:val="20"/>
              </w:rPr>
            </w:pPr>
            <w:r w:rsidRPr="00FD0EF7">
              <w:rPr>
                <w:rFonts w:ascii="Arial Narrow" w:hAnsi="Arial Narrow"/>
                <w:b/>
                <w:sz w:val="20"/>
                <w:szCs w:val="20"/>
              </w:rPr>
              <w:t>Available brands</w:t>
            </w:r>
          </w:p>
        </w:tc>
      </w:tr>
      <w:tr w:rsidR="001D1C8D" w:rsidRPr="00FD0EF7" w14:paraId="1020A813" w14:textId="77777777" w:rsidTr="61ED92A5">
        <w:trPr>
          <w:cantSplit/>
          <w:trHeight w:val="20"/>
        </w:trPr>
        <w:tc>
          <w:tcPr>
            <w:tcW w:w="9067" w:type="dxa"/>
            <w:gridSpan w:val="7"/>
            <w:vAlign w:val="center"/>
          </w:tcPr>
          <w:p w14:paraId="42C81028" w14:textId="77777777" w:rsidR="001D1C8D" w:rsidRPr="00FD0EF7" w:rsidRDefault="001D1C8D" w:rsidP="000B7F8D">
            <w:pPr>
              <w:keepLines/>
              <w:rPr>
                <w:rFonts w:ascii="Arial Narrow" w:hAnsi="Arial Narrow"/>
                <w:sz w:val="20"/>
                <w:szCs w:val="20"/>
              </w:rPr>
            </w:pPr>
            <w:r w:rsidRPr="00FD0EF7">
              <w:rPr>
                <w:rFonts w:ascii="Arial Narrow" w:hAnsi="Arial Narrow"/>
                <w:sz w:val="20"/>
                <w:szCs w:val="20"/>
              </w:rPr>
              <w:t>FEZOLINETANT</w:t>
            </w:r>
          </w:p>
        </w:tc>
      </w:tr>
      <w:tr w:rsidR="001D1C8D" w:rsidRPr="00FD0EF7" w14:paraId="7ADA5A3F" w14:textId="77777777" w:rsidTr="61ED92A5">
        <w:trPr>
          <w:cantSplit/>
          <w:trHeight w:val="20"/>
        </w:trPr>
        <w:tc>
          <w:tcPr>
            <w:tcW w:w="3941" w:type="dxa"/>
            <w:gridSpan w:val="2"/>
            <w:vAlign w:val="center"/>
          </w:tcPr>
          <w:p w14:paraId="4FDC96B3" w14:textId="77777777" w:rsidR="001D1C8D" w:rsidRPr="00721C0B" w:rsidRDefault="001D1C8D" w:rsidP="000B7F8D">
            <w:pPr>
              <w:keepLines/>
              <w:rPr>
                <w:rFonts w:ascii="Arial Narrow" w:hAnsi="Arial Narrow"/>
                <w:sz w:val="20"/>
                <w:szCs w:val="20"/>
              </w:rPr>
            </w:pPr>
            <w:proofErr w:type="spellStart"/>
            <w:r w:rsidRPr="00721C0B">
              <w:rPr>
                <w:rFonts w:ascii="Arial Narrow" w:hAnsi="Arial Narrow"/>
                <w:sz w:val="20"/>
                <w:szCs w:val="20"/>
              </w:rPr>
              <w:t>fezolinetant</w:t>
            </w:r>
            <w:proofErr w:type="spellEnd"/>
            <w:r w:rsidRPr="00721C0B">
              <w:rPr>
                <w:rFonts w:ascii="Arial Narrow" w:hAnsi="Arial Narrow"/>
                <w:sz w:val="20"/>
                <w:szCs w:val="20"/>
              </w:rPr>
              <w:t xml:space="preserve"> 45 mg tablet, 30</w:t>
            </w:r>
          </w:p>
        </w:tc>
        <w:tc>
          <w:tcPr>
            <w:tcW w:w="811" w:type="dxa"/>
            <w:vAlign w:val="center"/>
          </w:tcPr>
          <w:p w14:paraId="5C8E3AE6" w14:textId="77777777" w:rsidR="001D1C8D" w:rsidRPr="00FD0EF7" w:rsidRDefault="001D1C8D" w:rsidP="000B7F8D">
            <w:pPr>
              <w:keepLines/>
              <w:jc w:val="center"/>
              <w:rPr>
                <w:rFonts w:ascii="Arial Narrow" w:hAnsi="Arial Narrow"/>
                <w:sz w:val="20"/>
                <w:szCs w:val="20"/>
              </w:rPr>
            </w:pPr>
            <w:r w:rsidRPr="00FD0EF7">
              <w:rPr>
                <w:rFonts w:ascii="Arial Narrow" w:hAnsi="Arial Narrow"/>
                <w:sz w:val="20"/>
                <w:szCs w:val="20"/>
              </w:rPr>
              <w:t>NEW</w:t>
            </w:r>
          </w:p>
        </w:tc>
        <w:tc>
          <w:tcPr>
            <w:tcW w:w="812" w:type="dxa"/>
            <w:vAlign w:val="center"/>
          </w:tcPr>
          <w:p w14:paraId="57767CA5" w14:textId="77777777" w:rsidR="001D1C8D" w:rsidRPr="00FD0EF7" w:rsidRDefault="001D1C8D" w:rsidP="000B7F8D">
            <w:pPr>
              <w:keepLines/>
              <w:jc w:val="center"/>
              <w:rPr>
                <w:rFonts w:ascii="Arial Narrow" w:hAnsi="Arial Narrow"/>
                <w:sz w:val="20"/>
                <w:szCs w:val="20"/>
              </w:rPr>
            </w:pPr>
            <w:r w:rsidRPr="00FD0EF7">
              <w:rPr>
                <w:rFonts w:ascii="Arial Narrow" w:hAnsi="Arial Narrow"/>
                <w:sz w:val="20"/>
                <w:szCs w:val="20"/>
              </w:rPr>
              <w:t>1</w:t>
            </w:r>
          </w:p>
        </w:tc>
        <w:tc>
          <w:tcPr>
            <w:tcW w:w="811" w:type="dxa"/>
            <w:vAlign w:val="center"/>
          </w:tcPr>
          <w:p w14:paraId="77989FC7" w14:textId="77777777" w:rsidR="001D1C8D" w:rsidRPr="00FD0EF7" w:rsidRDefault="001D1C8D" w:rsidP="000B7F8D">
            <w:pPr>
              <w:keepLines/>
              <w:jc w:val="center"/>
              <w:rPr>
                <w:rFonts w:ascii="Arial Narrow" w:hAnsi="Arial Narrow"/>
                <w:sz w:val="20"/>
                <w:szCs w:val="20"/>
              </w:rPr>
            </w:pPr>
            <w:r w:rsidRPr="00FD0EF7">
              <w:rPr>
                <w:rFonts w:ascii="Arial Narrow" w:hAnsi="Arial Narrow"/>
                <w:sz w:val="20"/>
                <w:szCs w:val="20"/>
              </w:rPr>
              <w:t>30</w:t>
            </w:r>
          </w:p>
        </w:tc>
        <w:tc>
          <w:tcPr>
            <w:tcW w:w="812" w:type="dxa"/>
            <w:vAlign w:val="center"/>
          </w:tcPr>
          <w:p w14:paraId="35368D54" w14:textId="77777777" w:rsidR="001D1C8D" w:rsidRPr="00FD0EF7" w:rsidRDefault="001D1C8D" w:rsidP="000B7F8D">
            <w:pPr>
              <w:keepLines/>
              <w:jc w:val="center"/>
              <w:rPr>
                <w:rFonts w:ascii="Arial Narrow" w:hAnsi="Arial Narrow"/>
                <w:sz w:val="20"/>
                <w:szCs w:val="20"/>
              </w:rPr>
            </w:pPr>
            <w:r w:rsidRPr="00FD0EF7">
              <w:rPr>
                <w:rFonts w:ascii="Arial Narrow" w:hAnsi="Arial Narrow"/>
                <w:sz w:val="20"/>
                <w:szCs w:val="20"/>
              </w:rPr>
              <w:t>5</w:t>
            </w:r>
          </w:p>
        </w:tc>
        <w:tc>
          <w:tcPr>
            <w:tcW w:w="1880" w:type="dxa"/>
            <w:vAlign w:val="center"/>
          </w:tcPr>
          <w:p w14:paraId="08D8A90F" w14:textId="77777777" w:rsidR="001D1C8D" w:rsidRPr="00FD0EF7" w:rsidRDefault="001D1C8D" w:rsidP="000B7F8D">
            <w:pPr>
              <w:keepLines/>
              <w:jc w:val="center"/>
              <w:rPr>
                <w:rFonts w:ascii="Arial Narrow" w:hAnsi="Arial Narrow"/>
                <w:sz w:val="20"/>
                <w:szCs w:val="20"/>
              </w:rPr>
            </w:pPr>
            <w:r w:rsidRPr="00FD0EF7">
              <w:rPr>
                <w:rFonts w:ascii="Arial Narrow" w:hAnsi="Arial Narrow"/>
                <w:sz w:val="20"/>
                <w:szCs w:val="20"/>
              </w:rPr>
              <w:t>VEOZA</w:t>
            </w:r>
          </w:p>
        </w:tc>
      </w:tr>
      <w:tr w:rsidR="001D1C8D" w:rsidRPr="00FD0EF7" w14:paraId="138761A5" w14:textId="77777777" w:rsidTr="61ED92A5">
        <w:tblPrEx>
          <w:tblCellMar>
            <w:top w:w="15" w:type="dxa"/>
            <w:bottom w:w="15" w:type="dxa"/>
          </w:tblCellMar>
          <w:tblLook w:val="04A0" w:firstRow="1" w:lastRow="0" w:firstColumn="1" w:lastColumn="0" w:noHBand="0" w:noVBand="1"/>
        </w:tblPrEx>
        <w:trPr>
          <w:trHeight w:val="20"/>
        </w:trPr>
        <w:tc>
          <w:tcPr>
            <w:tcW w:w="9067" w:type="dxa"/>
            <w:gridSpan w:val="7"/>
            <w:tcBorders>
              <w:top w:val="single" w:sz="4" w:space="0" w:color="auto"/>
              <w:left w:val="single" w:sz="4" w:space="0" w:color="auto"/>
              <w:right w:val="single" w:sz="4" w:space="0" w:color="auto"/>
            </w:tcBorders>
            <w:vAlign w:val="center"/>
          </w:tcPr>
          <w:p w14:paraId="25C50CC3" w14:textId="77777777" w:rsidR="001D1C8D" w:rsidRPr="00FD0EF7" w:rsidRDefault="001D1C8D" w:rsidP="000B7F8D">
            <w:pPr>
              <w:rPr>
                <w:rFonts w:ascii="Arial Narrow" w:hAnsi="Arial Narrow"/>
                <w:sz w:val="20"/>
                <w:szCs w:val="20"/>
              </w:rPr>
            </w:pPr>
          </w:p>
        </w:tc>
      </w:tr>
      <w:tr w:rsidR="001D1C8D" w:rsidRPr="00FD0EF7" w14:paraId="0ADB4A8D" w14:textId="77777777" w:rsidTr="61ED92A5">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BB9B163" w14:textId="77777777" w:rsidR="001D1C8D" w:rsidRPr="00FD0EF7" w:rsidRDefault="001D1C8D" w:rsidP="000B7F8D">
            <w:pPr>
              <w:jc w:val="center"/>
              <w:rPr>
                <w:rFonts w:ascii="Arial Narrow" w:hAnsi="Arial Narrow"/>
                <w:sz w:val="20"/>
                <w:szCs w:val="20"/>
              </w:rPr>
            </w:pPr>
            <w:r w:rsidRPr="00FD0EF7">
              <w:rPr>
                <w:rFonts w:ascii="Arial Narrow" w:hAnsi="Arial Narrow"/>
                <w:b/>
                <w:sz w:val="20"/>
                <w:szCs w:val="20"/>
              </w:rPr>
              <w:t>Concept ID</w:t>
            </w:r>
          </w:p>
          <w:p w14:paraId="2DD6F084" w14:textId="77777777" w:rsidR="001D1C8D" w:rsidRPr="00FD0EF7" w:rsidRDefault="001D1C8D" w:rsidP="000B7F8D">
            <w:pPr>
              <w:jc w:val="center"/>
              <w:rPr>
                <w:rFonts w:ascii="Arial Narrow" w:hAnsi="Arial Narrow"/>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29D5D1B8" w14:textId="77777777" w:rsidR="001D1C8D" w:rsidRPr="00FD0EF7" w:rsidRDefault="001D1C8D" w:rsidP="000B7F8D">
            <w:pPr>
              <w:keepLines/>
              <w:jc w:val="left"/>
              <w:rPr>
                <w:rFonts w:ascii="Arial Narrow" w:hAnsi="Arial Narrow"/>
                <w:sz w:val="20"/>
                <w:szCs w:val="20"/>
              </w:rPr>
            </w:pPr>
            <w:r w:rsidRPr="00FD0EF7">
              <w:rPr>
                <w:rFonts w:ascii="Arial Narrow" w:hAnsi="Arial Narrow"/>
                <w:b/>
                <w:sz w:val="20"/>
                <w:szCs w:val="20"/>
              </w:rPr>
              <w:t>Category / Program:</w:t>
            </w:r>
            <w:r w:rsidRPr="00FD0EF7">
              <w:rPr>
                <w:rFonts w:ascii="Arial Narrow" w:hAnsi="Arial Narrow"/>
                <w:sz w:val="20"/>
                <w:szCs w:val="20"/>
              </w:rPr>
              <w:t xml:space="preserve"> </w:t>
            </w:r>
            <w:r w:rsidRPr="00FD0EF7">
              <w:rPr>
                <w:rFonts w:ascii="Arial Narrow" w:hAnsi="Arial Narrow"/>
                <w:sz w:val="20"/>
                <w:szCs w:val="20"/>
              </w:rPr>
              <w:fldChar w:fldCharType="begin">
                <w:ffData>
                  <w:name w:val=""/>
                  <w:enabled/>
                  <w:calcOnExit w:val="0"/>
                  <w:checkBox>
                    <w:sizeAuto/>
                    <w:default w:val="1"/>
                  </w:checkBox>
                </w:ffData>
              </w:fldChar>
            </w:r>
            <w:r w:rsidRPr="00FD0EF7">
              <w:rPr>
                <w:rFonts w:ascii="Arial Narrow" w:hAnsi="Arial Narrow"/>
                <w:sz w:val="20"/>
                <w:szCs w:val="20"/>
              </w:rPr>
              <w:instrText xml:space="preserve"> FORMCHECKBOX </w:instrText>
            </w:r>
            <w:r w:rsidRPr="00FD0EF7">
              <w:rPr>
                <w:rFonts w:ascii="Arial Narrow" w:hAnsi="Arial Narrow"/>
                <w:sz w:val="20"/>
                <w:szCs w:val="20"/>
              </w:rPr>
            </w:r>
            <w:r w:rsidRPr="00FD0EF7">
              <w:rPr>
                <w:rFonts w:ascii="Arial Narrow" w:hAnsi="Arial Narrow"/>
                <w:sz w:val="20"/>
                <w:szCs w:val="20"/>
              </w:rPr>
              <w:fldChar w:fldCharType="separate"/>
            </w:r>
            <w:r w:rsidRPr="00FD0EF7">
              <w:rPr>
                <w:rFonts w:ascii="Arial Narrow" w:hAnsi="Arial Narrow"/>
                <w:sz w:val="20"/>
                <w:szCs w:val="20"/>
              </w:rPr>
              <w:fldChar w:fldCharType="end"/>
            </w:r>
            <w:r w:rsidRPr="00FD0EF7">
              <w:rPr>
                <w:rFonts w:ascii="Arial Narrow" w:hAnsi="Arial Narrow"/>
                <w:sz w:val="20"/>
                <w:szCs w:val="20"/>
              </w:rPr>
              <w:t xml:space="preserve"> </w:t>
            </w:r>
            <w:r w:rsidRPr="00FD0EF7">
              <w:rPr>
                <w:rFonts w:ascii="Arial Narrow" w:eastAsia="Calibri" w:hAnsi="Arial Narrow"/>
                <w:sz w:val="20"/>
                <w:szCs w:val="20"/>
              </w:rPr>
              <w:t xml:space="preserve">GENERAL - General Schedule (Code GE) </w:t>
            </w:r>
          </w:p>
        </w:tc>
      </w:tr>
      <w:tr w:rsidR="001D1C8D" w:rsidRPr="00FD0EF7" w14:paraId="6F8C6B0F" w14:textId="77777777" w:rsidTr="61ED92A5">
        <w:tblPrEx>
          <w:tblCellMar>
            <w:top w:w="15" w:type="dxa"/>
            <w:bottom w:w="15" w:type="dxa"/>
          </w:tblCellMar>
          <w:tblLook w:val="04A0" w:firstRow="1" w:lastRow="0" w:firstColumn="1" w:lastColumn="0" w:noHBand="0" w:noVBand="1"/>
        </w:tblPrEx>
        <w:trPr>
          <w:trHeight w:val="20"/>
        </w:trPr>
        <w:tc>
          <w:tcPr>
            <w:tcW w:w="1271" w:type="dxa"/>
            <w:vMerge/>
          </w:tcPr>
          <w:p w14:paraId="19C7BA5F" w14:textId="77777777" w:rsidR="001D1C8D" w:rsidRPr="00FD0EF7" w:rsidRDefault="001D1C8D" w:rsidP="000B7F8D">
            <w:pPr>
              <w:jc w:val="cente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1E459C5D" w14:textId="77777777" w:rsidR="001D1C8D" w:rsidRPr="00FD0EF7" w:rsidRDefault="001D1C8D" w:rsidP="000B7F8D">
            <w:pPr>
              <w:keepLines/>
              <w:rPr>
                <w:rFonts w:ascii="Arial Narrow" w:hAnsi="Arial Narrow"/>
                <w:b/>
                <w:sz w:val="20"/>
                <w:szCs w:val="20"/>
              </w:rPr>
            </w:pPr>
            <w:r w:rsidRPr="00FD0EF7">
              <w:rPr>
                <w:rFonts w:ascii="Arial Narrow" w:hAnsi="Arial Narrow"/>
                <w:b/>
                <w:sz w:val="20"/>
                <w:szCs w:val="20"/>
              </w:rPr>
              <w:t>Prescriber type:</w:t>
            </w:r>
            <w:r w:rsidRPr="00FD0EF7">
              <w:rPr>
                <w:rFonts w:ascii="Arial Narrow" w:hAnsi="Arial Narrow"/>
                <w:sz w:val="20"/>
                <w:szCs w:val="20"/>
              </w:rPr>
              <w:t xml:space="preserve"> </w:t>
            </w:r>
            <w:r w:rsidRPr="00FD0EF7">
              <w:rPr>
                <w:rFonts w:ascii="Arial Narrow" w:hAnsi="Arial Narrow"/>
                <w:sz w:val="20"/>
                <w:szCs w:val="20"/>
              </w:rPr>
              <w:fldChar w:fldCharType="begin">
                <w:ffData>
                  <w:name w:val=""/>
                  <w:enabled/>
                  <w:calcOnExit w:val="0"/>
                  <w:checkBox>
                    <w:sizeAuto/>
                    <w:default w:val="1"/>
                  </w:checkBox>
                </w:ffData>
              </w:fldChar>
            </w:r>
            <w:r w:rsidRPr="00FD0EF7">
              <w:rPr>
                <w:rFonts w:ascii="Arial Narrow" w:hAnsi="Arial Narrow"/>
                <w:sz w:val="20"/>
                <w:szCs w:val="20"/>
              </w:rPr>
              <w:instrText xml:space="preserve"> FORMCHECKBOX </w:instrText>
            </w:r>
            <w:r w:rsidRPr="00FD0EF7">
              <w:rPr>
                <w:rFonts w:ascii="Arial Narrow" w:hAnsi="Arial Narrow"/>
                <w:sz w:val="20"/>
                <w:szCs w:val="20"/>
              </w:rPr>
            </w:r>
            <w:r w:rsidRPr="00FD0EF7">
              <w:rPr>
                <w:rFonts w:ascii="Arial Narrow" w:hAnsi="Arial Narrow"/>
                <w:sz w:val="20"/>
                <w:szCs w:val="20"/>
              </w:rPr>
              <w:fldChar w:fldCharType="separate"/>
            </w:r>
            <w:r w:rsidRPr="00FD0EF7">
              <w:rPr>
                <w:rFonts w:ascii="Arial Narrow" w:hAnsi="Arial Narrow"/>
                <w:sz w:val="20"/>
                <w:szCs w:val="20"/>
              </w:rPr>
              <w:fldChar w:fldCharType="end"/>
            </w:r>
            <w:r w:rsidRPr="00FD0EF7">
              <w:rPr>
                <w:rFonts w:ascii="Arial Narrow" w:hAnsi="Arial Narrow"/>
                <w:sz w:val="20"/>
                <w:szCs w:val="20"/>
              </w:rPr>
              <w:t xml:space="preserve"> Medical Practitioners </w:t>
            </w:r>
            <w:r w:rsidRPr="00FD0EF7">
              <w:rPr>
                <w:rFonts w:ascii="Arial Narrow" w:hAnsi="Arial Narrow"/>
                <w:sz w:val="20"/>
                <w:szCs w:val="20"/>
              </w:rPr>
              <w:fldChar w:fldCharType="begin">
                <w:ffData>
                  <w:name w:val=""/>
                  <w:enabled/>
                  <w:calcOnExit w:val="0"/>
                  <w:checkBox>
                    <w:sizeAuto/>
                    <w:default w:val="1"/>
                  </w:checkBox>
                </w:ffData>
              </w:fldChar>
            </w:r>
            <w:r w:rsidRPr="00FD0EF7">
              <w:rPr>
                <w:rFonts w:ascii="Arial Narrow" w:hAnsi="Arial Narrow"/>
                <w:sz w:val="20"/>
                <w:szCs w:val="20"/>
              </w:rPr>
              <w:instrText xml:space="preserve"> FORMCHECKBOX </w:instrText>
            </w:r>
            <w:r w:rsidRPr="00FD0EF7">
              <w:rPr>
                <w:rFonts w:ascii="Arial Narrow" w:hAnsi="Arial Narrow"/>
                <w:sz w:val="20"/>
                <w:szCs w:val="20"/>
              </w:rPr>
            </w:r>
            <w:r w:rsidRPr="00FD0EF7">
              <w:rPr>
                <w:rFonts w:ascii="Arial Narrow" w:hAnsi="Arial Narrow"/>
                <w:sz w:val="20"/>
                <w:szCs w:val="20"/>
              </w:rPr>
              <w:fldChar w:fldCharType="separate"/>
            </w:r>
            <w:r w:rsidRPr="00FD0EF7">
              <w:rPr>
                <w:rFonts w:ascii="Arial Narrow" w:hAnsi="Arial Narrow"/>
                <w:sz w:val="20"/>
                <w:szCs w:val="20"/>
              </w:rPr>
              <w:fldChar w:fldCharType="end"/>
            </w:r>
            <w:r w:rsidRPr="00FD0EF7">
              <w:rPr>
                <w:rFonts w:ascii="Arial Narrow" w:hAnsi="Arial Narrow"/>
                <w:sz w:val="20"/>
                <w:szCs w:val="20"/>
              </w:rPr>
              <w:t xml:space="preserve"> Nurse practitioners </w:t>
            </w:r>
          </w:p>
        </w:tc>
      </w:tr>
      <w:tr w:rsidR="001D1C8D" w:rsidRPr="00FD0EF7" w14:paraId="61AB3B14" w14:textId="77777777" w:rsidTr="61ED92A5">
        <w:tblPrEx>
          <w:tblCellMar>
            <w:top w:w="15" w:type="dxa"/>
            <w:bottom w:w="15" w:type="dxa"/>
          </w:tblCellMar>
          <w:tblLook w:val="04A0" w:firstRow="1" w:lastRow="0" w:firstColumn="1" w:lastColumn="0" w:noHBand="0" w:noVBand="1"/>
        </w:tblPrEx>
        <w:trPr>
          <w:trHeight w:val="20"/>
        </w:trPr>
        <w:tc>
          <w:tcPr>
            <w:tcW w:w="1271" w:type="dxa"/>
            <w:vMerge/>
          </w:tcPr>
          <w:p w14:paraId="78F3FF07" w14:textId="77777777" w:rsidR="001D1C8D" w:rsidRPr="00FD0EF7" w:rsidRDefault="001D1C8D" w:rsidP="000B7F8D">
            <w:pPr>
              <w:jc w:val="cente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438BB4FE" w14:textId="46ADB896" w:rsidR="001D1C8D" w:rsidRPr="00FD0EF7" w:rsidRDefault="6FA69D47" w:rsidP="000B7F8D">
            <w:pPr>
              <w:keepLines/>
              <w:jc w:val="left"/>
              <w:rPr>
                <w:rFonts w:ascii="Arial Narrow" w:hAnsi="Arial Narrow"/>
                <w:sz w:val="20"/>
                <w:szCs w:val="20"/>
              </w:rPr>
            </w:pPr>
            <w:r w:rsidRPr="0D03DDBD">
              <w:rPr>
                <w:rFonts w:ascii="Arial Narrow" w:hAnsi="Arial Narrow"/>
                <w:b/>
                <w:bCs/>
                <w:sz w:val="20"/>
                <w:szCs w:val="20"/>
              </w:rPr>
              <w:t xml:space="preserve">Benefit type: </w:t>
            </w:r>
            <w:r w:rsidR="001D1C8D" w:rsidRPr="00FD0EF7">
              <w:rPr>
                <w:rFonts w:ascii="Arial Narrow" w:hAnsi="Arial Narrow"/>
                <w:sz w:val="20"/>
                <w:szCs w:val="20"/>
              </w:rPr>
              <w:fldChar w:fldCharType="begin">
                <w:ffData>
                  <w:name w:val=""/>
                  <w:enabled/>
                  <w:calcOnExit w:val="0"/>
                  <w:checkBox>
                    <w:sizeAuto/>
                    <w:default w:val="1"/>
                  </w:checkBox>
                </w:ffData>
              </w:fldChar>
            </w:r>
            <w:r w:rsidR="001D1C8D" w:rsidRPr="00FD0EF7">
              <w:rPr>
                <w:rFonts w:ascii="Arial Narrow" w:hAnsi="Arial Narrow"/>
                <w:sz w:val="20"/>
                <w:szCs w:val="20"/>
              </w:rPr>
              <w:instrText xml:space="preserve"> FORMCHECKBOX </w:instrText>
            </w:r>
            <w:r w:rsidR="001D1C8D" w:rsidRPr="00FD0EF7">
              <w:rPr>
                <w:rFonts w:ascii="Arial Narrow" w:hAnsi="Arial Narrow"/>
                <w:sz w:val="20"/>
                <w:szCs w:val="20"/>
              </w:rPr>
            </w:r>
            <w:r w:rsidR="001D1C8D" w:rsidRPr="00FD0EF7">
              <w:rPr>
                <w:rFonts w:ascii="Arial Narrow" w:hAnsi="Arial Narrow"/>
                <w:sz w:val="20"/>
                <w:szCs w:val="20"/>
              </w:rPr>
              <w:fldChar w:fldCharType="separate"/>
            </w:r>
            <w:r w:rsidR="001D1C8D" w:rsidRPr="00FD0EF7">
              <w:rPr>
                <w:rFonts w:ascii="Arial Narrow" w:hAnsi="Arial Narrow"/>
                <w:sz w:val="20"/>
                <w:szCs w:val="20"/>
              </w:rPr>
              <w:fldChar w:fldCharType="end"/>
            </w:r>
            <w:r w:rsidRPr="00FD0EF7">
              <w:rPr>
                <w:rFonts w:ascii="Arial Narrow" w:hAnsi="Arial Narrow"/>
                <w:sz w:val="20"/>
                <w:szCs w:val="20"/>
              </w:rPr>
              <w:t xml:space="preserve"> </w:t>
            </w:r>
            <w:r w:rsidRPr="00FD0EF7">
              <w:rPr>
                <w:rFonts w:ascii="Arial Narrow" w:eastAsia="Calibri" w:hAnsi="Arial Narrow"/>
                <w:sz w:val="20"/>
                <w:szCs w:val="20"/>
              </w:rPr>
              <w:t xml:space="preserve">Authority Required </w:t>
            </w:r>
            <w:r w:rsidRPr="00721C0B">
              <w:rPr>
                <w:rFonts w:ascii="Arial Narrow" w:eastAsia="Calibri" w:hAnsi="Arial Narrow"/>
                <w:sz w:val="20"/>
                <w:szCs w:val="20"/>
              </w:rPr>
              <w:t>(</w:t>
            </w:r>
            <w:r w:rsidR="78C2D23F">
              <w:rPr>
                <w:rFonts w:ascii="Arial Narrow" w:eastAsia="Calibri" w:hAnsi="Arial Narrow"/>
                <w:sz w:val="20"/>
                <w:szCs w:val="20"/>
              </w:rPr>
              <w:t xml:space="preserve">Telephone/ Online PBS Authorities system) </w:t>
            </w:r>
            <w:r w:rsidRPr="00FD0EF7">
              <w:rPr>
                <w:rFonts w:ascii="Arial Narrow" w:eastAsia="Calibri" w:hAnsi="Arial Narrow"/>
                <w:sz w:val="20"/>
                <w:szCs w:val="20"/>
              </w:rPr>
              <w:t xml:space="preserve"> </w:t>
            </w:r>
          </w:p>
        </w:tc>
      </w:tr>
      <w:tr w:rsidR="001D1C8D" w:rsidRPr="00FD0EF7" w14:paraId="0BBBD6AB" w14:textId="77777777" w:rsidTr="61ED92A5">
        <w:tblPrEx>
          <w:tblCellMar>
            <w:top w:w="15" w:type="dxa"/>
            <w:bottom w:w="15" w:type="dxa"/>
          </w:tblCellMar>
          <w:tblLook w:val="04A0" w:firstRow="1" w:lastRow="0" w:firstColumn="1" w:lastColumn="0" w:noHBand="0" w:noVBand="1"/>
        </w:tblPrEx>
        <w:trPr>
          <w:trHeight w:val="45"/>
        </w:trPr>
        <w:tc>
          <w:tcPr>
            <w:tcW w:w="1271" w:type="dxa"/>
            <w:tcBorders>
              <w:left w:val="single" w:sz="4" w:space="0" w:color="auto"/>
              <w:bottom w:val="single" w:sz="4" w:space="0" w:color="auto"/>
              <w:right w:val="single" w:sz="4" w:space="0" w:color="auto"/>
            </w:tcBorders>
          </w:tcPr>
          <w:p w14:paraId="0106610F" w14:textId="77777777" w:rsidR="001D1C8D" w:rsidRPr="00FD0EF7" w:rsidRDefault="001D1C8D" w:rsidP="000B7F8D">
            <w:pPr>
              <w:jc w:val="cente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6CC63A6A" w14:textId="77777777" w:rsidR="001D1C8D" w:rsidRPr="00FD0EF7" w:rsidRDefault="001D1C8D" w:rsidP="000B7F8D">
            <w:pPr>
              <w:pStyle w:val="pf0"/>
              <w:spacing w:before="0" w:beforeAutospacing="0" w:after="0" w:afterAutospacing="0"/>
              <w:rPr>
                <w:rFonts w:ascii="Arial Narrow" w:hAnsi="Arial Narrow" w:cs="Arial"/>
                <w:b/>
                <w:sz w:val="20"/>
                <w:szCs w:val="20"/>
              </w:rPr>
            </w:pPr>
            <w:r w:rsidRPr="00FD0EF7">
              <w:rPr>
                <w:rFonts w:ascii="Arial Narrow" w:hAnsi="Arial Narrow" w:cs="Arial"/>
                <w:b/>
                <w:sz w:val="20"/>
                <w:szCs w:val="20"/>
              </w:rPr>
              <w:t xml:space="preserve">Prescribing rule level:  </w:t>
            </w:r>
          </w:p>
        </w:tc>
      </w:tr>
      <w:tr w:rsidR="001D1C8D" w:rsidRPr="00FD0EF7" w14:paraId="6FF3358A" w14:textId="77777777" w:rsidTr="61ED92A5">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40271B30" w14:textId="256BEDB7" w:rsidR="001D1C8D" w:rsidRPr="00FD0EF7" w:rsidRDefault="001D1C8D" w:rsidP="000B7F8D">
            <w:pPr>
              <w:jc w:val="center"/>
              <w:rPr>
                <w:rFonts w:ascii="Arial Narrow" w:hAnsi="Arial Narrow"/>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374ADBB3" w14:textId="77777777" w:rsidR="001D1C8D" w:rsidRPr="00FD0EF7" w:rsidRDefault="001D1C8D" w:rsidP="000B7F8D">
            <w:pPr>
              <w:rPr>
                <w:rFonts w:ascii="Arial Narrow" w:hAnsi="Arial Narrow"/>
                <w:b/>
                <w:bCs/>
                <w:sz w:val="20"/>
                <w:szCs w:val="20"/>
              </w:rPr>
            </w:pPr>
            <w:r w:rsidRPr="00FD0EF7">
              <w:rPr>
                <w:rFonts w:ascii="Arial Narrow" w:hAnsi="Arial Narrow"/>
                <w:b/>
                <w:bCs/>
                <w:sz w:val="20"/>
                <w:szCs w:val="20"/>
              </w:rPr>
              <w:t>Administrative Advice:</w:t>
            </w:r>
          </w:p>
          <w:p w14:paraId="4DDB4502" w14:textId="77777777" w:rsidR="001D1C8D" w:rsidRPr="00FD0EF7" w:rsidRDefault="001D1C8D" w:rsidP="000B7F8D">
            <w:pPr>
              <w:rPr>
                <w:rFonts w:ascii="Arial Narrow" w:hAnsi="Arial Narrow"/>
                <w:sz w:val="20"/>
                <w:szCs w:val="20"/>
              </w:rPr>
            </w:pPr>
            <w:r w:rsidRPr="00FD0EF7">
              <w:rPr>
                <w:rFonts w:ascii="Arial Narrow" w:hAnsi="Arial Narrow"/>
                <w:sz w:val="20"/>
                <w:szCs w:val="20"/>
              </w:rPr>
              <w:t>No increase in the maximum quantity or number of units may be authorised.</w:t>
            </w:r>
          </w:p>
        </w:tc>
      </w:tr>
      <w:tr w:rsidR="001D1C8D" w:rsidRPr="00FD0EF7" w14:paraId="6F2FB627" w14:textId="77777777" w:rsidTr="61ED92A5">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6059EAD6" w14:textId="388B49D1" w:rsidR="001D1C8D" w:rsidRPr="00801354" w:rsidRDefault="001D1C8D" w:rsidP="000B7F8D">
            <w:pPr>
              <w:jc w:val="center"/>
              <w:rPr>
                <w:rFonts w:ascii="Arial Narrow" w:hAnsi="Arial Narrow"/>
                <w:color w:val="333333"/>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74930FBF" w14:textId="77777777" w:rsidR="001D1C8D" w:rsidRPr="00801354" w:rsidRDefault="001D1C8D" w:rsidP="000B7F8D">
            <w:pPr>
              <w:rPr>
                <w:rFonts w:ascii="Arial Narrow" w:hAnsi="Arial Narrow"/>
                <w:b/>
                <w:bCs/>
                <w:sz w:val="20"/>
                <w:szCs w:val="20"/>
              </w:rPr>
            </w:pPr>
            <w:r w:rsidRPr="00801354">
              <w:rPr>
                <w:rFonts w:ascii="Arial Narrow" w:hAnsi="Arial Narrow"/>
                <w:b/>
                <w:bCs/>
                <w:sz w:val="20"/>
                <w:szCs w:val="20"/>
              </w:rPr>
              <w:t>Administrative Advice:</w:t>
            </w:r>
          </w:p>
          <w:p w14:paraId="48D003D4" w14:textId="77777777" w:rsidR="001D1C8D" w:rsidRPr="00801354" w:rsidRDefault="001D1C8D" w:rsidP="000B7F8D">
            <w:pPr>
              <w:rPr>
                <w:rFonts w:ascii="Arial Narrow" w:hAnsi="Arial Narrow"/>
                <w:sz w:val="20"/>
                <w:szCs w:val="20"/>
              </w:rPr>
            </w:pPr>
            <w:r w:rsidRPr="00801354">
              <w:rPr>
                <w:rFonts w:ascii="Arial Narrow" w:hAnsi="Arial Narrow"/>
                <w:sz w:val="20"/>
                <w:szCs w:val="20"/>
              </w:rPr>
              <w:t>No increase in the maximum number of repeats may be authorised.</w:t>
            </w:r>
          </w:p>
        </w:tc>
      </w:tr>
      <w:tr w:rsidR="001D1C8D" w:rsidRPr="00FD0EF7" w14:paraId="406314C0" w14:textId="77777777" w:rsidTr="61ED92A5">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146BE3B7" w14:textId="529BA394" w:rsidR="001D1C8D" w:rsidRPr="00801354" w:rsidRDefault="001D1C8D" w:rsidP="000B7F8D">
            <w:pPr>
              <w:jc w:val="center"/>
              <w:rPr>
                <w:rFonts w:ascii="Arial Narrow" w:hAnsi="Arial Narrow"/>
                <w:color w:val="333333"/>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0A0BAC8A" w14:textId="77777777" w:rsidR="001D1C8D" w:rsidRPr="00801354" w:rsidRDefault="001D1C8D" w:rsidP="000B7F8D">
            <w:pPr>
              <w:rPr>
                <w:rFonts w:ascii="Arial Narrow" w:hAnsi="Arial Narrow"/>
                <w:b/>
                <w:bCs/>
                <w:sz w:val="20"/>
                <w:szCs w:val="20"/>
              </w:rPr>
            </w:pPr>
            <w:r w:rsidRPr="00801354">
              <w:rPr>
                <w:rFonts w:ascii="Arial Narrow" w:hAnsi="Arial Narrow"/>
                <w:b/>
                <w:bCs/>
                <w:sz w:val="20"/>
                <w:szCs w:val="20"/>
              </w:rPr>
              <w:t>Administrative Advice:</w:t>
            </w:r>
          </w:p>
          <w:p w14:paraId="7CE6E16D" w14:textId="77777777" w:rsidR="001D1C8D" w:rsidRPr="00801354" w:rsidRDefault="001D1C8D" w:rsidP="000B7F8D">
            <w:pPr>
              <w:rPr>
                <w:rFonts w:ascii="Arial Narrow" w:hAnsi="Arial Narrow"/>
                <w:sz w:val="20"/>
                <w:szCs w:val="20"/>
              </w:rPr>
            </w:pPr>
            <w:r w:rsidRPr="00801354">
              <w:rPr>
                <w:rFonts w:ascii="Arial Narrow" w:hAnsi="Arial Narrow"/>
                <w:sz w:val="20"/>
                <w:szCs w:val="20"/>
              </w:rPr>
              <w:t>Special Pricing Arrangements apply.</w:t>
            </w:r>
          </w:p>
        </w:tc>
      </w:tr>
      <w:tr w:rsidR="001D1C8D" w:rsidRPr="00FD0EF7" w14:paraId="358952DC" w14:textId="77777777" w:rsidTr="61ED92A5">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341FD0DC" w14:textId="37DF37A3" w:rsidR="001D1C8D" w:rsidRPr="00801354" w:rsidRDefault="001D1C8D" w:rsidP="000B7F8D">
            <w:pPr>
              <w:jc w:val="center"/>
              <w:rPr>
                <w:rFonts w:ascii="Arial Narrow" w:hAnsi="Arial Narrow"/>
                <w:color w:val="333333"/>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439C49DC" w14:textId="77777777" w:rsidR="001D1C8D" w:rsidRPr="00801354" w:rsidRDefault="001D1C8D" w:rsidP="000B7F8D">
            <w:pPr>
              <w:rPr>
                <w:rFonts w:ascii="Arial Narrow" w:hAnsi="Arial Narrow"/>
                <w:b/>
                <w:bCs/>
                <w:sz w:val="20"/>
                <w:szCs w:val="20"/>
              </w:rPr>
            </w:pPr>
            <w:r w:rsidRPr="00801354">
              <w:rPr>
                <w:rFonts w:ascii="Arial Narrow" w:hAnsi="Arial Narrow"/>
                <w:b/>
                <w:bCs/>
                <w:sz w:val="20"/>
                <w:szCs w:val="20"/>
              </w:rPr>
              <w:t>Administrative Advice:</w:t>
            </w:r>
          </w:p>
          <w:p w14:paraId="5DCA50C4" w14:textId="77777777" w:rsidR="001D1C8D" w:rsidRPr="00801354" w:rsidRDefault="001D1C8D" w:rsidP="000B7F8D">
            <w:pPr>
              <w:rPr>
                <w:rFonts w:ascii="Arial Narrow" w:hAnsi="Arial Narrow"/>
                <w:sz w:val="20"/>
                <w:szCs w:val="20"/>
              </w:rPr>
            </w:pPr>
            <w:r w:rsidRPr="00801354">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1C8D" w:rsidRPr="00FD0EF7" w14:paraId="3BE6E4EF" w14:textId="77777777" w:rsidTr="61ED92A5">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703C8BB9" w14:textId="09663E03" w:rsidR="001D1C8D" w:rsidRPr="00801354" w:rsidRDefault="001D1C8D" w:rsidP="000B7F8D">
            <w:pPr>
              <w:jc w:val="center"/>
              <w:rPr>
                <w:rFonts w:ascii="Arial Narrow" w:hAnsi="Arial Narrow"/>
                <w:color w:val="333333"/>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5DC93530" w14:textId="77777777" w:rsidR="001D1C8D" w:rsidRPr="00801354" w:rsidRDefault="001D1C8D" w:rsidP="000B7F8D">
            <w:pPr>
              <w:rPr>
                <w:rFonts w:ascii="Arial Narrow" w:hAnsi="Arial Narrow"/>
                <w:b/>
                <w:bCs/>
                <w:sz w:val="20"/>
                <w:szCs w:val="20"/>
              </w:rPr>
            </w:pPr>
            <w:r w:rsidRPr="00801354">
              <w:rPr>
                <w:rFonts w:ascii="Arial Narrow" w:hAnsi="Arial Narrow"/>
                <w:b/>
                <w:bCs/>
                <w:sz w:val="20"/>
                <w:szCs w:val="20"/>
              </w:rPr>
              <w:t xml:space="preserve">Caution: </w:t>
            </w:r>
          </w:p>
          <w:p w14:paraId="0B0A4B62" w14:textId="77777777" w:rsidR="001D1C8D" w:rsidRDefault="6FA69D47" w:rsidP="000B7F8D">
            <w:pPr>
              <w:rPr>
                <w:rFonts w:ascii="Arial Narrow" w:hAnsi="Arial Narrow"/>
                <w:sz w:val="20"/>
                <w:szCs w:val="20"/>
              </w:rPr>
            </w:pPr>
            <w:r w:rsidRPr="0D03DDBD">
              <w:rPr>
                <w:rFonts w:ascii="Arial Narrow" w:hAnsi="Arial Narrow"/>
                <w:sz w:val="20"/>
                <w:szCs w:val="20"/>
              </w:rPr>
              <w:t xml:space="preserve">Baseline hepatic laboratory tests should be performed for all patients before initiating </w:t>
            </w:r>
            <w:proofErr w:type="spellStart"/>
            <w:r w:rsidRPr="0D03DDBD">
              <w:rPr>
                <w:rFonts w:ascii="Arial Narrow" w:hAnsi="Arial Narrow"/>
                <w:sz w:val="20"/>
                <w:szCs w:val="20"/>
              </w:rPr>
              <w:t>fezolinetant</w:t>
            </w:r>
            <w:proofErr w:type="spellEnd"/>
            <w:r w:rsidRPr="0D03DDBD">
              <w:rPr>
                <w:rFonts w:ascii="Arial Narrow" w:hAnsi="Arial Narrow"/>
                <w:sz w:val="20"/>
                <w:szCs w:val="20"/>
              </w:rPr>
              <w:t xml:space="preserve">. </w:t>
            </w:r>
          </w:p>
          <w:p w14:paraId="24FA9305" w14:textId="77777777" w:rsidR="001D1C8D" w:rsidRPr="00801354" w:rsidRDefault="6FA69D47" w:rsidP="000B7F8D">
            <w:pPr>
              <w:rPr>
                <w:rFonts w:ascii="Arial Narrow" w:hAnsi="Arial Narrow"/>
                <w:b/>
                <w:bCs/>
                <w:sz w:val="20"/>
                <w:szCs w:val="20"/>
              </w:rPr>
            </w:pPr>
            <w:r w:rsidRPr="0D03DDBD">
              <w:rPr>
                <w:rFonts w:ascii="Arial Narrow" w:hAnsi="Arial Narrow"/>
                <w:sz w:val="20"/>
                <w:szCs w:val="20"/>
              </w:rPr>
              <w:t xml:space="preserve">Follow-up hepatic laboratory tests should be performed monthly for the first 3 months, at 6 months and at 9 months of therapy, and thereafter periodically based on clinical judgement. </w:t>
            </w:r>
          </w:p>
        </w:tc>
      </w:tr>
      <w:tr w:rsidR="001D1C8D" w:rsidRPr="00FD0EF7" w14:paraId="205F93DC" w14:textId="77777777" w:rsidTr="61ED92A5">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shd w:val="clear" w:color="auto" w:fill="BFBFBF" w:themeFill="background1" w:themeFillShade="BF"/>
          </w:tcPr>
          <w:p w14:paraId="23E96E8E" w14:textId="77777777" w:rsidR="001D1C8D" w:rsidRPr="00FD0EF7" w:rsidRDefault="001D1C8D" w:rsidP="000B7F8D">
            <w:pPr>
              <w:jc w:val="center"/>
              <w:rPr>
                <w:rFonts w:ascii="Arial Narrow" w:hAnsi="Arial Narrow"/>
                <w:color w:val="333333"/>
                <w:sz w:val="20"/>
                <w:szCs w:val="20"/>
              </w:rPr>
            </w:pPr>
          </w:p>
        </w:tc>
        <w:tc>
          <w:tcPr>
            <w:tcW w:w="77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430D3C" w14:textId="77777777" w:rsidR="001D1C8D" w:rsidRPr="00FD0EF7" w:rsidRDefault="001D1C8D" w:rsidP="000B7F8D">
            <w:pPr>
              <w:keepLines/>
              <w:rPr>
                <w:rFonts w:ascii="Arial Narrow" w:hAnsi="Arial Narrow"/>
                <w:b/>
                <w:bCs/>
                <w:sz w:val="20"/>
                <w:szCs w:val="20"/>
              </w:rPr>
            </w:pPr>
            <w:r w:rsidRPr="00FD0EF7">
              <w:rPr>
                <w:rFonts w:ascii="Arial Narrow" w:hAnsi="Arial Narrow"/>
                <w:b/>
                <w:sz w:val="20"/>
                <w:szCs w:val="20"/>
              </w:rPr>
              <w:t>Restriction Summary [new1] / Treatment of Concept: [new1A]</w:t>
            </w:r>
          </w:p>
        </w:tc>
      </w:tr>
      <w:tr w:rsidR="001D1C8D" w:rsidRPr="00FD0EF7" w14:paraId="0934DF82" w14:textId="77777777" w:rsidTr="61ED92A5">
        <w:tblPrEx>
          <w:tblCellMar>
            <w:top w:w="15" w:type="dxa"/>
            <w:bottom w:w="15" w:type="dxa"/>
          </w:tblCellMar>
          <w:tblLook w:val="04A0" w:firstRow="1" w:lastRow="0" w:firstColumn="1" w:lastColumn="0" w:noHBand="0" w:noVBand="1"/>
        </w:tblPrEx>
        <w:trPr>
          <w:cantSplit/>
          <w:trHeight w:val="20"/>
        </w:trPr>
        <w:tc>
          <w:tcPr>
            <w:tcW w:w="1271" w:type="dxa"/>
            <w:hideMark/>
          </w:tcPr>
          <w:p w14:paraId="0DB82954" w14:textId="08EEFF57" w:rsidR="001D1C8D" w:rsidRPr="00FD0EF7" w:rsidRDefault="001D1C8D" w:rsidP="000B7F8D">
            <w:pPr>
              <w:keepLines/>
              <w:jc w:val="center"/>
              <w:rPr>
                <w:rFonts w:ascii="Arial Narrow" w:hAnsi="Arial Narrow"/>
                <w:color w:val="333333"/>
                <w:sz w:val="20"/>
                <w:szCs w:val="20"/>
              </w:rPr>
            </w:pPr>
          </w:p>
        </w:tc>
        <w:tc>
          <w:tcPr>
            <w:tcW w:w="7796" w:type="dxa"/>
            <w:gridSpan w:val="6"/>
            <w:vAlign w:val="center"/>
            <w:hideMark/>
          </w:tcPr>
          <w:p w14:paraId="6D163D26" w14:textId="77777777" w:rsidR="001D1C8D" w:rsidRPr="00FD0EF7" w:rsidRDefault="001D1C8D" w:rsidP="000B7F8D">
            <w:pPr>
              <w:keepLines/>
              <w:rPr>
                <w:rFonts w:ascii="Arial Narrow" w:hAnsi="Arial Narrow"/>
                <w:sz w:val="20"/>
                <w:szCs w:val="20"/>
              </w:rPr>
            </w:pPr>
            <w:r w:rsidRPr="00FD0EF7">
              <w:rPr>
                <w:rFonts w:ascii="Arial Narrow" w:hAnsi="Arial Narrow"/>
                <w:b/>
                <w:bCs/>
                <w:sz w:val="20"/>
                <w:szCs w:val="20"/>
              </w:rPr>
              <w:t>Indication:</w:t>
            </w:r>
            <w:r w:rsidRPr="00FD0EF7">
              <w:rPr>
                <w:rFonts w:ascii="Arial Narrow" w:hAnsi="Arial Narrow"/>
                <w:sz w:val="20"/>
                <w:szCs w:val="20"/>
              </w:rPr>
              <w:t xml:space="preserve"> Moderate to severe menopause-related vasomotor symptoms (VMS)</w:t>
            </w:r>
          </w:p>
        </w:tc>
      </w:tr>
      <w:tr w:rsidR="001D1C8D" w:rsidRPr="00FD0EF7" w14:paraId="1E1E48B3" w14:textId="77777777" w:rsidTr="61ED92A5">
        <w:tblPrEx>
          <w:tblCellMar>
            <w:top w:w="15" w:type="dxa"/>
            <w:bottom w:w="15" w:type="dxa"/>
          </w:tblCellMar>
          <w:tblLook w:val="04A0" w:firstRow="1" w:lastRow="0" w:firstColumn="1" w:lastColumn="0" w:noHBand="0" w:noVBand="1"/>
        </w:tblPrEx>
        <w:trPr>
          <w:cantSplit/>
          <w:trHeight w:val="20"/>
        </w:trPr>
        <w:tc>
          <w:tcPr>
            <w:tcW w:w="1271" w:type="dxa"/>
          </w:tcPr>
          <w:p w14:paraId="4C6F25B7" w14:textId="53C66660" w:rsidR="001D1C8D" w:rsidRPr="00FD0EF7" w:rsidRDefault="001D1C8D" w:rsidP="000B7F8D">
            <w:pPr>
              <w:jc w:val="center"/>
              <w:rPr>
                <w:rFonts w:ascii="Arial Narrow" w:hAnsi="Arial Narrow"/>
                <w:color w:val="333333"/>
                <w:sz w:val="20"/>
                <w:szCs w:val="20"/>
              </w:rPr>
            </w:pPr>
          </w:p>
        </w:tc>
        <w:tc>
          <w:tcPr>
            <w:tcW w:w="7796" w:type="dxa"/>
            <w:gridSpan w:val="6"/>
            <w:vAlign w:val="center"/>
            <w:hideMark/>
          </w:tcPr>
          <w:p w14:paraId="5F06ACC1" w14:textId="77777777" w:rsidR="001D1C8D" w:rsidRPr="00FD0EF7" w:rsidRDefault="001D1C8D" w:rsidP="000B7F8D">
            <w:pPr>
              <w:rPr>
                <w:rFonts w:ascii="Arial Narrow" w:hAnsi="Arial Narrow"/>
                <w:sz w:val="20"/>
                <w:szCs w:val="20"/>
              </w:rPr>
            </w:pPr>
            <w:r w:rsidRPr="00FD0EF7">
              <w:rPr>
                <w:rFonts w:ascii="Arial Narrow" w:hAnsi="Arial Narrow"/>
                <w:b/>
                <w:bCs/>
                <w:color w:val="333333"/>
                <w:sz w:val="20"/>
                <w:szCs w:val="20"/>
              </w:rPr>
              <w:t xml:space="preserve">Clinical criteria: </w:t>
            </w:r>
          </w:p>
        </w:tc>
      </w:tr>
      <w:tr w:rsidR="00835392" w:rsidRPr="00FD0EF7" w14:paraId="6530F596" w14:textId="77777777" w:rsidTr="61ED92A5">
        <w:tblPrEx>
          <w:tblCellMar>
            <w:top w:w="15" w:type="dxa"/>
            <w:bottom w:w="15" w:type="dxa"/>
          </w:tblCellMar>
          <w:tblLook w:val="04A0" w:firstRow="1" w:lastRow="0" w:firstColumn="1" w:lastColumn="0" w:noHBand="0" w:noVBand="1"/>
        </w:tblPrEx>
        <w:trPr>
          <w:cantSplit/>
          <w:trHeight w:val="20"/>
        </w:trPr>
        <w:tc>
          <w:tcPr>
            <w:tcW w:w="1271" w:type="dxa"/>
          </w:tcPr>
          <w:p w14:paraId="4EE9501D" w14:textId="7D524C6F" w:rsidR="00835392" w:rsidRPr="00FD0EF7" w:rsidRDefault="00835392" w:rsidP="000B7F8D">
            <w:pPr>
              <w:jc w:val="center"/>
              <w:rPr>
                <w:rFonts w:ascii="Arial Narrow" w:hAnsi="Arial Narrow"/>
                <w:color w:val="333333"/>
                <w:sz w:val="20"/>
                <w:szCs w:val="20"/>
              </w:rPr>
            </w:pPr>
          </w:p>
        </w:tc>
        <w:tc>
          <w:tcPr>
            <w:tcW w:w="7796" w:type="dxa"/>
            <w:gridSpan w:val="6"/>
            <w:vAlign w:val="center"/>
          </w:tcPr>
          <w:p w14:paraId="67B350D5" w14:textId="6B2CF2BD" w:rsidR="00835392" w:rsidRPr="006F23DE" w:rsidRDefault="00835392" w:rsidP="000B7F8D">
            <w:pPr>
              <w:rPr>
                <w:rFonts w:ascii="Arial Narrow" w:hAnsi="Arial Narrow"/>
                <w:sz w:val="20"/>
                <w:szCs w:val="20"/>
              </w:rPr>
            </w:pPr>
            <w:r w:rsidRPr="006F23DE">
              <w:rPr>
                <w:rFonts w:ascii="Arial Narrow" w:hAnsi="Arial Narrow"/>
                <w:sz w:val="20"/>
                <w:szCs w:val="20"/>
              </w:rPr>
              <w:t xml:space="preserve">Patient must be experiencing </w:t>
            </w:r>
            <w:r w:rsidR="006F23DE" w:rsidRPr="006F23DE">
              <w:rPr>
                <w:rFonts w:ascii="Arial Narrow" w:hAnsi="Arial Narrow"/>
                <w:sz w:val="20"/>
                <w:szCs w:val="20"/>
              </w:rPr>
              <w:t xml:space="preserve">an average of </w:t>
            </w:r>
            <w:r w:rsidR="007C6BFD">
              <w:rPr>
                <w:rFonts w:ascii="Arial Narrow" w:hAnsi="Arial Narrow"/>
                <w:sz w:val="20"/>
                <w:szCs w:val="20"/>
              </w:rPr>
              <w:t xml:space="preserve">at least </w:t>
            </w:r>
            <w:r w:rsidR="006F23DE" w:rsidRPr="006F23DE">
              <w:rPr>
                <w:rFonts w:ascii="Arial Narrow" w:hAnsi="Arial Narrow"/>
                <w:sz w:val="20"/>
                <w:szCs w:val="20"/>
              </w:rPr>
              <w:t xml:space="preserve">7 moderate-to-severe </w:t>
            </w:r>
            <w:r w:rsidR="006F23DE">
              <w:rPr>
                <w:rFonts w:ascii="Arial Narrow" w:hAnsi="Arial Narrow"/>
                <w:sz w:val="20"/>
                <w:szCs w:val="20"/>
              </w:rPr>
              <w:t>VMS episodes</w:t>
            </w:r>
            <w:r w:rsidR="006F23DE" w:rsidRPr="006F23DE">
              <w:rPr>
                <w:rFonts w:ascii="Arial Narrow" w:hAnsi="Arial Narrow"/>
                <w:sz w:val="20"/>
                <w:szCs w:val="20"/>
              </w:rPr>
              <w:t xml:space="preserve"> per day</w:t>
            </w:r>
          </w:p>
        </w:tc>
      </w:tr>
      <w:tr w:rsidR="005A1968" w:rsidRPr="00FD0EF7" w14:paraId="3F41D852" w14:textId="77777777" w:rsidTr="61ED92A5">
        <w:tblPrEx>
          <w:tblCellMar>
            <w:top w:w="15" w:type="dxa"/>
            <w:bottom w:w="15" w:type="dxa"/>
          </w:tblCellMar>
          <w:tblLook w:val="04A0" w:firstRow="1" w:lastRow="0" w:firstColumn="1" w:lastColumn="0" w:noHBand="0" w:noVBand="1"/>
        </w:tblPrEx>
        <w:trPr>
          <w:cantSplit/>
          <w:trHeight w:val="20"/>
        </w:trPr>
        <w:tc>
          <w:tcPr>
            <w:tcW w:w="1271" w:type="dxa"/>
          </w:tcPr>
          <w:p w14:paraId="29C8AF27" w14:textId="77777777" w:rsidR="005A1968" w:rsidRPr="00FD0EF7" w:rsidRDefault="005A1968" w:rsidP="000B7F8D">
            <w:pPr>
              <w:jc w:val="center"/>
              <w:rPr>
                <w:rFonts w:ascii="Arial Narrow" w:hAnsi="Arial Narrow"/>
                <w:color w:val="333333"/>
                <w:sz w:val="20"/>
                <w:szCs w:val="20"/>
              </w:rPr>
            </w:pPr>
          </w:p>
        </w:tc>
        <w:tc>
          <w:tcPr>
            <w:tcW w:w="7796" w:type="dxa"/>
            <w:gridSpan w:val="6"/>
            <w:vAlign w:val="center"/>
          </w:tcPr>
          <w:p w14:paraId="12F43FD7" w14:textId="3D8D15A9" w:rsidR="005A1968" w:rsidRPr="005A1968" w:rsidRDefault="005A1968" w:rsidP="000B7F8D">
            <w:pPr>
              <w:rPr>
                <w:rFonts w:ascii="Arial Narrow" w:hAnsi="Arial Narrow"/>
                <w:b/>
                <w:bCs/>
                <w:sz w:val="20"/>
                <w:szCs w:val="20"/>
              </w:rPr>
            </w:pPr>
            <w:r w:rsidRPr="005A1968">
              <w:rPr>
                <w:rFonts w:ascii="Arial Narrow" w:hAnsi="Arial Narrow"/>
                <w:b/>
                <w:bCs/>
                <w:sz w:val="20"/>
                <w:szCs w:val="20"/>
              </w:rPr>
              <w:t>AND</w:t>
            </w:r>
          </w:p>
        </w:tc>
      </w:tr>
      <w:tr w:rsidR="00835392" w:rsidRPr="00FD0EF7" w14:paraId="48BA9F76" w14:textId="77777777" w:rsidTr="61ED92A5">
        <w:tblPrEx>
          <w:tblCellMar>
            <w:top w:w="15" w:type="dxa"/>
            <w:bottom w:w="15" w:type="dxa"/>
          </w:tblCellMar>
          <w:tblLook w:val="04A0" w:firstRow="1" w:lastRow="0" w:firstColumn="1" w:lastColumn="0" w:noHBand="0" w:noVBand="1"/>
        </w:tblPrEx>
        <w:trPr>
          <w:cantSplit/>
          <w:trHeight w:val="20"/>
        </w:trPr>
        <w:tc>
          <w:tcPr>
            <w:tcW w:w="1271" w:type="dxa"/>
          </w:tcPr>
          <w:p w14:paraId="1BF26884" w14:textId="594B3D2D" w:rsidR="00835392" w:rsidRPr="00FD0EF7" w:rsidRDefault="00835392" w:rsidP="000B7F8D">
            <w:pPr>
              <w:jc w:val="center"/>
              <w:rPr>
                <w:rFonts w:ascii="Arial Narrow" w:hAnsi="Arial Narrow"/>
                <w:color w:val="333333"/>
                <w:sz w:val="20"/>
                <w:szCs w:val="20"/>
              </w:rPr>
            </w:pPr>
          </w:p>
        </w:tc>
        <w:tc>
          <w:tcPr>
            <w:tcW w:w="7796" w:type="dxa"/>
            <w:gridSpan w:val="6"/>
            <w:vAlign w:val="center"/>
            <w:hideMark/>
          </w:tcPr>
          <w:p w14:paraId="3DA0466D" w14:textId="77777777" w:rsidR="00835392" w:rsidRPr="00FD0EF7" w:rsidRDefault="00835392" w:rsidP="000B7F8D">
            <w:pPr>
              <w:rPr>
                <w:rFonts w:ascii="Arial Narrow" w:hAnsi="Arial Narrow"/>
                <w:sz w:val="20"/>
                <w:szCs w:val="20"/>
              </w:rPr>
            </w:pPr>
            <w:r w:rsidRPr="00FD0EF7">
              <w:rPr>
                <w:rFonts w:ascii="Arial Narrow" w:hAnsi="Arial Narrow"/>
                <w:b/>
                <w:bCs/>
                <w:color w:val="333333"/>
                <w:sz w:val="20"/>
                <w:szCs w:val="20"/>
              </w:rPr>
              <w:t xml:space="preserve">Clinical criteria: </w:t>
            </w:r>
          </w:p>
        </w:tc>
      </w:tr>
      <w:tr w:rsidR="001D1C8D" w:rsidRPr="00FD0EF7" w14:paraId="2B6D46FA" w14:textId="77777777" w:rsidTr="61ED92A5">
        <w:tblPrEx>
          <w:tblCellMar>
            <w:top w:w="15" w:type="dxa"/>
            <w:bottom w:w="15" w:type="dxa"/>
          </w:tblCellMar>
          <w:tblLook w:val="04A0" w:firstRow="1" w:lastRow="0" w:firstColumn="1" w:lastColumn="0" w:noHBand="0" w:noVBand="1"/>
        </w:tblPrEx>
        <w:trPr>
          <w:cantSplit/>
          <w:trHeight w:val="20"/>
        </w:trPr>
        <w:tc>
          <w:tcPr>
            <w:tcW w:w="1271" w:type="dxa"/>
          </w:tcPr>
          <w:p w14:paraId="0AD7B3AD" w14:textId="3676D51E" w:rsidR="001D1C8D" w:rsidRPr="00FD0EF7" w:rsidRDefault="001D1C8D" w:rsidP="000B7F8D">
            <w:pPr>
              <w:jc w:val="center"/>
              <w:rPr>
                <w:rFonts w:ascii="Arial Narrow" w:hAnsi="Arial Narrow"/>
                <w:color w:val="333333"/>
                <w:sz w:val="20"/>
                <w:szCs w:val="20"/>
              </w:rPr>
            </w:pPr>
          </w:p>
        </w:tc>
        <w:tc>
          <w:tcPr>
            <w:tcW w:w="7796" w:type="dxa"/>
            <w:gridSpan w:val="6"/>
            <w:vAlign w:val="center"/>
            <w:hideMark/>
          </w:tcPr>
          <w:p w14:paraId="1014B39D" w14:textId="77777777" w:rsidR="001D1C8D" w:rsidRPr="00FD0EF7" w:rsidRDefault="6FA69D47" w:rsidP="000B7F8D">
            <w:pPr>
              <w:rPr>
                <w:rFonts w:ascii="Arial Narrow" w:hAnsi="Arial Narrow"/>
                <w:sz w:val="20"/>
                <w:szCs w:val="20"/>
              </w:rPr>
            </w:pPr>
            <w:r w:rsidRPr="0D03DDBD">
              <w:rPr>
                <w:rFonts w:ascii="Arial Narrow" w:hAnsi="Arial Narrow"/>
                <w:sz w:val="20"/>
                <w:szCs w:val="20"/>
              </w:rPr>
              <w:t>Patient must be unsuitable to receive menopausal hormone therapy (MHT) due to experiencing at least one of the following:</w:t>
            </w:r>
          </w:p>
          <w:p w14:paraId="053B579E" w14:textId="65D6FA92" w:rsidR="001D1C8D" w:rsidRPr="00E54F4C" w:rsidRDefault="6FA69D47" w:rsidP="000B7F8D">
            <w:pPr>
              <w:numPr>
                <w:ilvl w:val="0"/>
                <w:numId w:val="16"/>
              </w:numPr>
              <w:ind w:left="770" w:hanging="360"/>
              <w:jc w:val="left"/>
              <w:rPr>
                <w:rFonts w:ascii="Arial Narrow" w:hAnsi="Arial Narrow"/>
                <w:sz w:val="20"/>
                <w:szCs w:val="20"/>
              </w:rPr>
            </w:pPr>
            <w:r w:rsidRPr="0D03DDBD">
              <w:rPr>
                <w:rFonts w:ascii="Arial Narrow" w:hAnsi="Arial Narrow"/>
                <w:sz w:val="20"/>
                <w:szCs w:val="20"/>
              </w:rPr>
              <w:t xml:space="preserve">has a condition for which MHT is contraindicated </w:t>
            </w:r>
          </w:p>
          <w:p w14:paraId="509D0A1C" w14:textId="299DFDF4" w:rsidR="001D1C8D" w:rsidRPr="00E54F4C" w:rsidRDefault="6FA69D47" w:rsidP="000B7F8D">
            <w:pPr>
              <w:numPr>
                <w:ilvl w:val="0"/>
                <w:numId w:val="16"/>
              </w:numPr>
              <w:ind w:left="770" w:hanging="360"/>
              <w:jc w:val="left"/>
              <w:rPr>
                <w:rFonts w:ascii="Arial Narrow" w:hAnsi="Arial Narrow"/>
                <w:sz w:val="20"/>
                <w:szCs w:val="20"/>
              </w:rPr>
            </w:pPr>
            <w:r w:rsidRPr="0D03DDBD">
              <w:rPr>
                <w:rFonts w:ascii="Arial Narrow" w:hAnsi="Arial Narrow"/>
                <w:sz w:val="20"/>
                <w:szCs w:val="20"/>
              </w:rPr>
              <w:t>has discontinued MHT due to side effects</w:t>
            </w:r>
            <w:r w:rsidR="0C63C453" w:rsidRPr="0D03DDBD">
              <w:rPr>
                <w:rFonts w:ascii="Arial Narrow" w:hAnsi="Arial Narrow"/>
                <w:sz w:val="20"/>
                <w:szCs w:val="20"/>
              </w:rPr>
              <w:t>/ intolerance</w:t>
            </w:r>
            <w:r w:rsidRPr="0D03DDBD">
              <w:rPr>
                <w:rFonts w:ascii="Arial Narrow" w:hAnsi="Arial Narrow"/>
                <w:sz w:val="20"/>
                <w:szCs w:val="20"/>
              </w:rPr>
              <w:t xml:space="preserve"> </w:t>
            </w:r>
          </w:p>
          <w:p w14:paraId="3399B97A" w14:textId="77777777" w:rsidR="001D1C8D" w:rsidRPr="000626FD" w:rsidRDefault="6FA69D47" w:rsidP="000B7F8D">
            <w:pPr>
              <w:numPr>
                <w:ilvl w:val="0"/>
                <w:numId w:val="16"/>
              </w:numPr>
              <w:ind w:left="770" w:hanging="360"/>
              <w:jc w:val="left"/>
              <w:rPr>
                <w:rFonts w:ascii="Arial Narrow" w:hAnsi="Arial Narrow"/>
                <w:sz w:val="20"/>
                <w:szCs w:val="20"/>
              </w:rPr>
            </w:pPr>
            <w:r w:rsidRPr="0D03DDBD">
              <w:rPr>
                <w:rFonts w:ascii="Arial Narrow" w:hAnsi="Arial Narrow"/>
                <w:sz w:val="20"/>
                <w:szCs w:val="20"/>
              </w:rPr>
              <w:t>has discontinued MHT after at least 3 months of therapy due to lack of efficacy</w:t>
            </w:r>
            <w:r w:rsidRPr="000626FD">
              <w:rPr>
                <w:rFonts w:ascii="Arial Narrow" w:hAnsi="Arial Narrow"/>
                <w:sz w:val="20"/>
                <w:szCs w:val="20"/>
              </w:rPr>
              <w:t>.</w:t>
            </w:r>
          </w:p>
        </w:tc>
      </w:tr>
      <w:tr w:rsidR="001D1C8D" w:rsidRPr="00FD0EF7" w14:paraId="15CF4B9B" w14:textId="77777777" w:rsidTr="61ED92A5">
        <w:tblPrEx>
          <w:tblCellMar>
            <w:top w:w="15" w:type="dxa"/>
            <w:bottom w:w="15" w:type="dxa"/>
          </w:tblCellMar>
          <w:tblLook w:val="04A0" w:firstRow="1" w:lastRow="0" w:firstColumn="1" w:lastColumn="0" w:noHBand="0" w:noVBand="1"/>
        </w:tblPrEx>
        <w:trPr>
          <w:cantSplit/>
          <w:trHeight w:val="20"/>
        </w:trPr>
        <w:tc>
          <w:tcPr>
            <w:tcW w:w="1271" w:type="dxa"/>
          </w:tcPr>
          <w:p w14:paraId="1A48AD81" w14:textId="07DABDB6" w:rsidR="001D1C8D" w:rsidRPr="00B3663D" w:rsidRDefault="001D1C8D" w:rsidP="000B7F8D">
            <w:pPr>
              <w:jc w:val="center"/>
              <w:rPr>
                <w:rFonts w:ascii="Arial Narrow" w:hAnsi="Arial Narrow"/>
                <w:color w:val="333333"/>
                <w:sz w:val="20"/>
                <w:szCs w:val="20"/>
              </w:rPr>
            </w:pPr>
          </w:p>
        </w:tc>
        <w:tc>
          <w:tcPr>
            <w:tcW w:w="7796" w:type="dxa"/>
            <w:gridSpan w:val="6"/>
            <w:vAlign w:val="center"/>
          </w:tcPr>
          <w:p w14:paraId="7134E8AE" w14:textId="77777777" w:rsidR="001D1C8D" w:rsidRPr="00B3663D" w:rsidRDefault="6FA69D47" w:rsidP="000B7F8D">
            <w:pPr>
              <w:rPr>
                <w:rFonts w:ascii="Arial Narrow" w:hAnsi="Arial Narrow"/>
                <w:sz w:val="20"/>
                <w:szCs w:val="20"/>
              </w:rPr>
            </w:pPr>
            <w:r w:rsidRPr="0D03DDBD">
              <w:rPr>
                <w:rFonts w:ascii="Arial Narrow" w:hAnsi="Arial Narrow"/>
                <w:b/>
                <w:bCs/>
                <w:sz w:val="20"/>
                <w:szCs w:val="20"/>
              </w:rPr>
              <w:t xml:space="preserve">Treatment criteria </w:t>
            </w:r>
          </w:p>
        </w:tc>
      </w:tr>
      <w:tr w:rsidR="001D1C8D" w:rsidRPr="00FD0EF7" w14:paraId="5B1CB9E3" w14:textId="77777777" w:rsidTr="61ED92A5">
        <w:tblPrEx>
          <w:tblCellMar>
            <w:top w:w="15" w:type="dxa"/>
            <w:bottom w:w="15" w:type="dxa"/>
          </w:tblCellMar>
          <w:tblLook w:val="04A0" w:firstRow="1" w:lastRow="0" w:firstColumn="1" w:lastColumn="0" w:noHBand="0" w:noVBand="1"/>
        </w:tblPrEx>
        <w:trPr>
          <w:cantSplit/>
          <w:trHeight w:val="20"/>
        </w:trPr>
        <w:tc>
          <w:tcPr>
            <w:tcW w:w="1271" w:type="dxa"/>
          </w:tcPr>
          <w:p w14:paraId="4C943E78" w14:textId="6DACB27A" w:rsidR="001D1C8D" w:rsidRPr="00B3663D" w:rsidRDefault="001D1C8D" w:rsidP="000B7F8D">
            <w:pPr>
              <w:jc w:val="center"/>
              <w:rPr>
                <w:rFonts w:ascii="Arial Narrow" w:hAnsi="Arial Narrow"/>
                <w:color w:val="333333"/>
                <w:sz w:val="20"/>
                <w:szCs w:val="20"/>
              </w:rPr>
            </w:pPr>
          </w:p>
        </w:tc>
        <w:tc>
          <w:tcPr>
            <w:tcW w:w="7796" w:type="dxa"/>
            <w:gridSpan w:val="6"/>
            <w:vAlign w:val="center"/>
          </w:tcPr>
          <w:p w14:paraId="6E2D4E2B" w14:textId="07D43870" w:rsidR="001D1C8D" w:rsidRPr="00B3663D" w:rsidRDefault="001D1C8D" w:rsidP="000B7F8D">
            <w:pPr>
              <w:rPr>
                <w:rFonts w:ascii="Arial Narrow" w:hAnsi="Arial Narrow"/>
                <w:sz w:val="20"/>
                <w:szCs w:val="20"/>
              </w:rPr>
            </w:pPr>
            <w:r w:rsidRPr="00B3663D">
              <w:rPr>
                <w:rFonts w:ascii="Arial Narrow" w:hAnsi="Arial Narrow"/>
                <w:sz w:val="20"/>
                <w:szCs w:val="20"/>
              </w:rPr>
              <w:t>Must be treated by a health practitioner who is any of: (i) a medical practitioner, (ii) a nurse practitioner who is continuing treatment with this medicine that was initiated by a medical practitioner as a PBS benefit.</w:t>
            </w:r>
          </w:p>
        </w:tc>
      </w:tr>
      <w:tr w:rsidR="001D1C8D" w:rsidRPr="00FD0EF7" w14:paraId="75892C87" w14:textId="77777777" w:rsidTr="61ED92A5">
        <w:tblPrEx>
          <w:tblCellMar>
            <w:top w:w="15" w:type="dxa"/>
            <w:bottom w:w="15" w:type="dxa"/>
          </w:tblCellMar>
          <w:tblLook w:val="04A0" w:firstRow="1" w:lastRow="0" w:firstColumn="1" w:lastColumn="0" w:noHBand="0" w:noVBand="1"/>
        </w:tblPrEx>
        <w:trPr>
          <w:cantSplit/>
          <w:trHeight w:val="20"/>
        </w:trPr>
        <w:tc>
          <w:tcPr>
            <w:tcW w:w="1271" w:type="dxa"/>
          </w:tcPr>
          <w:p w14:paraId="78141373" w14:textId="1547D77A" w:rsidR="001D1C8D" w:rsidRPr="00B3663D" w:rsidRDefault="001D1C8D" w:rsidP="000B7F8D">
            <w:pPr>
              <w:jc w:val="center"/>
              <w:rPr>
                <w:rFonts w:ascii="Arial Narrow" w:hAnsi="Arial Narrow"/>
                <w:color w:val="333333"/>
                <w:sz w:val="20"/>
                <w:szCs w:val="20"/>
              </w:rPr>
            </w:pPr>
            <w:r w:rsidRPr="00B3663D">
              <w:rPr>
                <w:rFonts w:ascii="Arial Narrow" w:hAnsi="Arial Narrow"/>
                <w:color w:val="333333"/>
                <w:sz w:val="20"/>
                <w:szCs w:val="20"/>
              </w:rPr>
              <w:t>I</w:t>
            </w:r>
          </w:p>
        </w:tc>
        <w:tc>
          <w:tcPr>
            <w:tcW w:w="7796" w:type="dxa"/>
            <w:gridSpan w:val="6"/>
            <w:vAlign w:val="center"/>
          </w:tcPr>
          <w:p w14:paraId="353B28C0" w14:textId="77777777" w:rsidR="001D1C8D" w:rsidRPr="00B3663D" w:rsidRDefault="001D1C8D" w:rsidP="000B7F8D">
            <w:pPr>
              <w:rPr>
                <w:rFonts w:ascii="Arial Narrow" w:hAnsi="Arial Narrow"/>
                <w:b/>
                <w:bCs/>
                <w:sz w:val="20"/>
                <w:szCs w:val="20"/>
              </w:rPr>
            </w:pPr>
            <w:r w:rsidRPr="00B3663D">
              <w:rPr>
                <w:rFonts w:ascii="Arial Narrow" w:hAnsi="Arial Narrow"/>
                <w:b/>
                <w:bCs/>
                <w:sz w:val="20"/>
                <w:szCs w:val="20"/>
              </w:rPr>
              <w:t>Prescribing Instructions:</w:t>
            </w:r>
          </w:p>
          <w:p w14:paraId="39971EE6" w14:textId="6331485D" w:rsidR="001D1C8D" w:rsidRPr="00B3663D" w:rsidRDefault="001D1C8D" w:rsidP="000B7F8D">
            <w:pPr>
              <w:rPr>
                <w:rFonts w:ascii="Arial Narrow" w:hAnsi="Arial Narrow"/>
                <w:sz w:val="20"/>
                <w:szCs w:val="20"/>
              </w:rPr>
            </w:pPr>
            <w:r>
              <w:rPr>
                <w:rFonts w:ascii="Arial Narrow" w:hAnsi="Arial Narrow"/>
                <w:sz w:val="20"/>
                <w:szCs w:val="20"/>
              </w:rPr>
              <w:t>P</w:t>
            </w:r>
            <w:r w:rsidRPr="00B3663D">
              <w:rPr>
                <w:rFonts w:ascii="Arial Narrow" w:hAnsi="Arial Narrow"/>
                <w:sz w:val="20"/>
                <w:szCs w:val="20"/>
              </w:rPr>
              <w:t>rior to receiving treatment with this drug</w:t>
            </w:r>
            <w:r>
              <w:rPr>
                <w:rFonts w:ascii="Arial Narrow" w:hAnsi="Arial Narrow"/>
                <w:sz w:val="20"/>
                <w:szCs w:val="20"/>
              </w:rPr>
              <w:t xml:space="preserve"> for this condition, tr</w:t>
            </w:r>
            <w:r w:rsidRPr="00B3663D">
              <w:rPr>
                <w:rFonts w:ascii="Arial Narrow" w:hAnsi="Arial Narrow"/>
                <w:sz w:val="20"/>
                <w:szCs w:val="20"/>
              </w:rPr>
              <w:t xml:space="preserve">ansdermal MHT should be considered </w:t>
            </w:r>
            <w:r>
              <w:rPr>
                <w:rFonts w:ascii="Arial Narrow" w:hAnsi="Arial Narrow"/>
                <w:sz w:val="20"/>
                <w:szCs w:val="20"/>
              </w:rPr>
              <w:t>for</w:t>
            </w:r>
            <w:r w:rsidRPr="00B3663D">
              <w:rPr>
                <w:rFonts w:ascii="Arial Narrow" w:hAnsi="Arial Narrow"/>
                <w:sz w:val="20"/>
                <w:szCs w:val="20"/>
              </w:rPr>
              <w:t xml:space="preserve"> patients </w:t>
            </w:r>
            <w:r w:rsidR="00891926">
              <w:rPr>
                <w:rFonts w:ascii="Arial Narrow" w:hAnsi="Arial Narrow"/>
                <w:sz w:val="20"/>
                <w:szCs w:val="20"/>
              </w:rPr>
              <w:t>who developed</w:t>
            </w:r>
            <w:r w:rsidR="006220C8">
              <w:rPr>
                <w:rFonts w:ascii="Arial Narrow" w:hAnsi="Arial Narrow"/>
                <w:sz w:val="20"/>
                <w:szCs w:val="20"/>
              </w:rPr>
              <w:t xml:space="preserve"> side effects </w:t>
            </w:r>
            <w:r w:rsidR="000E6B2E">
              <w:rPr>
                <w:rFonts w:ascii="Arial Narrow" w:hAnsi="Arial Narrow"/>
                <w:sz w:val="20"/>
                <w:szCs w:val="20"/>
              </w:rPr>
              <w:t>or intolerance to</w:t>
            </w:r>
            <w:r w:rsidRPr="00B3663D">
              <w:rPr>
                <w:rFonts w:ascii="Arial Narrow" w:hAnsi="Arial Narrow"/>
                <w:sz w:val="20"/>
                <w:szCs w:val="20"/>
              </w:rPr>
              <w:t xml:space="preserve"> </w:t>
            </w:r>
            <w:r w:rsidR="000E6B2E">
              <w:rPr>
                <w:rFonts w:ascii="Arial Narrow" w:hAnsi="Arial Narrow"/>
                <w:sz w:val="20"/>
                <w:szCs w:val="20"/>
              </w:rPr>
              <w:t>oral</w:t>
            </w:r>
            <w:r w:rsidRPr="00B3663D">
              <w:rPr>
                <w:rFonts w:ascii="Arial Narrow" w:hAnsi="Arial Narrow"/>
                <w:sz w:val="20"/>
                <w:szCs w:val="20"/>
              </w:rPr>
              <w:t xml:space="preserve"> MHT</w:t>
            </w:r>
            <w:r>
              <w:rPr>
                <w:rFonts w:ascii="Arial Narrow" w:hAnsi="Arial Narrow"/>
                <w:sz w:val="20"/>
                <w:szCs w:val="20"/>
              </w:rPr>
              <w:t xml:space="preserve">. </w:t>
            </w:r>
          </w:p>
        </w:tc>
      </w:tr>
      <w:tr w:rsidR="00DA02CB" w:rsidRPr="00FD0EF7" w14:paraId="07D7156A" w14:textId="77777777" w:rsidTr="61ED92A5">
        <w:tblPrEx>
          <w:tblCellMar>
            <w:top w:w="15" w:type="dxa"/>
            <w:bottom w:w="15" w:type="dxa"/>
          </w:tblCellMar>
          <w:tblLook w:val="04A0" w:firstRow="1" w:lastRow="0" w:firstColumn="1" w:lastColumn="0" w:noHBand="0" w:noVBand="1"/>
        </w:tblPrEx>
        <w:trPr>
          <w:cantSplit/>
          <w:trHeight w:val="20"/>
        </w:trPr>
        <w:tc>
          <w:tcPr>
            <w:tcW w:w="1271" w:type="dxa"/>
          </w:tcPr>
          <w:p w14:paraId="6DFB31ED" w14:textId="00221F31" w:rsidR="00DA02CB" w:rsidRPr="00B3663D" w:rsidRDefault="00DA02CB" w:rsidP="000B7F8D">
            <w:pPr>
              <w:jc w:val="center"/>
              <w:rPr>
                <w:rFonts w:ascii="Arial Narrow" w:hAnsi="Arial Narrow"/>
                <w:color w:val="333333"/>
                <w:sz w:val="20"/>
                <w:szCs w:val="20"/>
              </w:rPr>
            </w:pPr>
          </w:p>
        </w:tc>
        <w:tc>
          <w:tcPr>
            <w:tcW w:w="7796" w:type="dxa"/>
            <w:gridSpan w:val="6"/>
            <w:vAlign w:val="center"/>
          </w:tcPr>
          <w:p w14:paraId="5D85BC8C" w14:textId="77777777" w:rsidR="00DA02CB" w:rsidRPr="00B3663D" w:rsidRDefault="00DA02CB" w:rsidP="000B7F8D">
            <w:pPr>
              <w:rPr>
                <w:rFonts w:ascii="Arial Narrow" w:hAnsi="Arial Narrow"/>
                <w:b/>
                <w:bCs/>
                <w:sz w:val="20"/>
                <w:szCs w:val="20"/>
              </w:rPr>
            </w:pPr>
            <w:r w:rsidRPr="00B3663D">
              <w:rPr>
                <w:rFonts w:ascii="Arial Narrow" w:hAnsi="Arial Narrow"/>
                <w:b/>
                <w:bCs/>
                <w:sz w:val="20"/>
                <w:szCs w:val="20"/>
              </w:rPr>
              <w:t>Prescribing Instructions:</w:t>
            </w:r>
          </w:p>
          <w:p w14:paraId="374E2725" w14:textId="2D957E41" w:rsidR="00310E6A" w:rsidRDefault="00C61831" w:rsidP="000B7F8D">
            <w:pPr>
              <w:rPr>
                <w:rFonts w:ascii="Arial Narrow" w:hAnsi="Arial Narrow"/>
                <w:sz w:val="20"/>
                <w:szCs w:val="20"/>
              </w:rPr>
            </w:pPr>
            <w:r>
              <w:rPr>
                <w:rFonts w:ascii="Arial Narrow" w:hAnsi="Arial Narrow"/>
                <w:sz w:val="20"/>
                <w:szCs w:val="20"/>
              </w:rPr>
              <w:t>M</w:t>
            </w:r>
            <w:r w:rsidRPr="00C61831">
              <w:rPr>
                <w:rFonts w:ascii="Arial Narrow" w:hAnsi="Arial Narrow"/>
                <w:sz w:val="20"/>
                <w:szCs w:val="20"/>
              </w:rPr>
              <w:t xml:space="preserve">oderate VMS </w:t>
            </w:r>
            <w:r w:rsidR="00835392">
              <w:rPr>
                <w:rFonts w:ascii="Arial Narrow" w:hAnsi="Arial Narrow"/>
                <w:sz w:val="20"/>
                <w:szCs w:val="20"/>
              </w:rPr>
              <w:t xml:space="preserve">is defined </w:t>
            </w:r>
            <w:r w:rsidRPr="00C61831">
              <w:rPr>
                <w:rFonts w:ascii="Arial Narrow" w:hAnsi="Arial Narrow"/>
                <w:sz w:val="20"/>
                <w:szCs w:val="20"/>
              </w:rPr>
              <w:t xml:space="preserve">as a sensation of heat with sweating, </w:t>
            </w:r>
            <w:r w:rsidR="00F92EA2">
              <w:rPr>
                <w:rFonts w:ascii="Arial Narrow" w:hAnsi="Arial Narrow"/>
                <w:sz w:val="20"/>
                <w:szCs w:val="20"/>
              </w:rPr>
              <w:t xml:space="preserve">but </w:t>
            </w:r>
            <w:r w:rsidRPr="00C61831">
              <w:rPr>
                <w:rFonts w:ascii="Arial Narrow" w:hAnsi="Arial Narrow"/>
                <w:sz w:val="20"/>
                <w:szCs w:val="20"/>
              </w:rPr>
              <w:t>able to continue activity</w:t>
            </w:r>
            <w:r w:rsidR="00310E6A">
              <w:rPr>
                <w:rFonts w:ascii="Arial Narrow" w:hAnsi="Arial Narrow"/>
                <w:sz w:val="20"/>
                <w:szCs w:val="20"/>
              </w:rPr>
              <w:t>.</w:t>
            </w:r>
            <w:r w:rsidRPr="00C61831">
              <w:rPr>
                <w:rFonts w:ascii="Arial Narrow" w:hAnsi="Arial Narrow"/>
                <w:sz w:val="20"/>
                <w:szCs w:val="20"/>
              </w:rPr>
              <w:t xml:space="preserve"> </w:t>
            </w:r>
          </w:p>
          <w:p w14:paraId="58B73773" w14:textId="3288706F" w:rsidR="00DA02CB" w:rsidRPr="00B3663D" w:rsidRDefault="00310E6A" w:rsidP="000B7F8D">
            <w:pPr>
              <w:rPr>
                <w:rFonts w:ascii="Arial Narrow" w:hAnsi="Arial Narrow"/>
                <w:b/>
                <w:bCs/>
                <w:sz w:val="20"/>
                <w:szCs w:val="20"/>
              </w:rPr>
            </w:pPr>
            <w:r>
              <w:rPr>
                <w:rFonts w:ascii="Arial Narrow" w:hAnsi="Arial Narrow"/>
                <w:sz w:val="20"/>
                <w:szCs w:val="20"/>
              </w:rPr>
              <w:t>S</w:t>
            </w:r>
            <w:r w:rsidR="00C61831" w:rsidRPr="00C61831">
              <w:rPr>
                <w:rFonts w:ascii="Arial Narrow" w:hAnsi="Arial Narrow"/>
                <w:sz w:val="20"/>
                <w:szCs w:val="20"/>
              </w:rPr>
              <w:t xml:space="preserve">evere VMS </w:t>
            </w:r>
            <w:r w:rsidR="00835392">
              <w:rPr>
                <w:rFonts w:ascii="Arial Narrow" w:hAnsi="Arial Narrow"/>
                <w:sz w:val="20"/>
                <w:szCs w:val="20"/>
              </w:rPr>
              <w:t xml:space="preserve">is defined </w:t>
            </w:r>
            <w:r w:rsidR="00C61831" w:rsidRPr="00C61831">
              <w:rPr>
                <w:rFonts w:ascii="Arial Narrow" w:hAnsi="Arial Narrow"/>
                <w:sz w:val="20"/>
                <w:szCs w:val="20"/>
              </w:rPr>
              <w:t>as a sensation of heat with sweating, causing cessation of activity</w:t>
            </w:r>
            <w:r w:rsidR="00835392">
              <w:rPr>
                <w:rFonts w:ascii="Arial Narrow" w:hAnsi="Arial Narrow"/>
                <w:sz w:val="20"/>
                <w:szCs w:val="20"/>
              </w:rPr>
              <w:t>.</w:t>
            </w:r>
          </w:p>
        </w:tc>
      </w:tr>
      <w:tr w:rsidR="001D1C8D" w:rsidRPr="00FD0EF7" w14:paraId="52D2EB76" w14:textId="77777777" w:rsidTr="61ED92A5">
        <w:tblPrEx>
          <w:tblCellMar>
            <w:top w:w="15" w:type="dxa"/>
            <w:bottom w:w="15" w:type="dxa"/>
          </w:tblCellMar>
          <w:tblLook w:val="04A0" w:firstRow="1" w:lastRow="0" w:firstColumn="1" w:lastColumn="0" w:noHBand="0" w:noVBand="1"/>
        </w:tblPrEx>
        <w:trPr>
          <w:cantSplit/>
          <w:trHeight w:val="20"/>
        </w:trPr>
        <w:tc>
          <w:tcPr>
            <w:tcW w:w="1271" w:type="dxa"/>
          </w:tcPr>
          <w:p w14:paraId="2A7E221E" w14:textId="3813534C" w:rsidR="001D1C8D" w:rsidRPr="00B3663D" w:rsidRDefault="001D1C8D" w:rsidP="000B7F8D">
            <w:pPr>
              <w:jc w:val="center"/>
              <w:rPr>
                <w:rFonts w:ascii="Arial Narrow" w:hAnsi="Arial Narrow"/>
                <w:color w:val="333333"/>
                <w:sz w:val="20"/>
                <w:szCs w:val="20"/>
              </w:rPr>
            </w:pPr>
            <w:r w:rsidRPr="00B3663D">
              <w:rPr>
                <w:rFonts w:ascii="Arial Narrow" w:hAnsi="Arial Narrow"/>
                <w:color w:val="333333"/>
                <w:sz w:val="20"/>
                <w:szCs w:val="20"/>
              </w:rPr>
              <w:t xml:space="preserve"> </w:t>
            </w:r>
          </w:p>
        </w:tc>
        <w:tc>
          <w:tcPr>
            <w:tcW w:w="7796" w:type="dxa"/>
            <w:gridSpan w:val="6"/>
            <w:vAlign w:val="center"/>
          </w:tcPr>
          <w:p w14:paraId="43EFA21A" w14:textId="77777777" w:rsidR="001D1C8D" w:rsidRPr="00B3663D" w:rsidRDefault="001D1C8D" w:rsidP="000B7F8D">
            <w:pPr>
              <w:rPr>
                <w:rFonts w:ascii="Arial Narrow" w:hAnsi="Arial Narrow"/>
                <w:b/>
                <w:bCs/>
                <w:sz w:val="20"/>
                <w:szCs w:val="20"/>
              </w:rPr>
            </w:pPr>
            <w:r w:rsidRPr="00B3663D">
              <w:rPr>
                <w:rFonts w:ascii="Arial Narrow" w:hAnsi="Arial Narrow"/>
                <w:b/>
                <w:bCs/>
                <w:sz w:val="20"/>
                <w:szCs w:val="20"/>
              </w:rPr>
              <w:t>Prescribing Instructions:</w:t>
            </w:r>
          </w:p>
          <w:p w14:paraId="5B2AAB0A" w14:textId="3D3CE3B2" w:rsidR="001D1C8D" w:rsidRPr="00B3663D" w:rsidRDefault="6FA69D47" w:rsidP="000B7F8D">
            <w:pPr>
              <w:rPr>
                <w:rFonts w:ascii="Arial Narrow" w:hAnsi="Arial Narrow"/>
                <w:sz w:val="20"/>
                <w:szCs w:val="20"/>
              </w:rPr>
            </w:pPr>
            <w:r w:rsidRPr="0D03DDBD">
              <w:rPr>
                <w:rFonts w:ascii="Arial Narrow" w:hAnsi="Arial Narrow"/>
                <w:sz w:val="20"/>
                <w:szCs w:val="20"/>
              </w:rPr>
              <w:t xml:space="preserve">A contraindication to menopausal hormone therapy (MHT) is defined as at least one of the following: </w:t>
            </w:r>
          </w:p>
          <w:p w14:paraId="0EF0988B" w14:textId="77777777" w:rsidR="001D1C8D" w:rsidRDefault="001D1C8D" w:rsidP="000B7F8D">
            <w:pPr>
              <w:pStyle w:val="ListParagraph"/>
              <w:numPr>
                <w:ilvl w:val="0"/>
                <w:numId w:val="17"/>
              </w:numPr>
              <w:spacing w:after="0"/>
              <w:ind w:left="770" w:hanging="360"/>
              <w:contextualSpacing/>
              <w:rPr>
                <w:rFonts w:ascii="Arial Narrow" w:hAnsi="Arial Narrow"/>
                <w:sz w:val="20"/>
                <w:szCs w:val="20"/>
              </w:rPr>
            </w:pPr>
            <w:r>
              <w:rPr>
                <w:rFonts w:ascii="Arial Narrow" w:hAnsi="Arial Narrow"/>
                <w:sz w:val="20"/>
                <w:szCs w:val="20"/>
              </w:rPr>
              <w:t>age 60 years or older prior to initiation of any treatment for VMS,</w:t>
            </w:r>
          </w:p>
          <w:p w14:paraId="3F18D447" w14:textId="77777777" w:rsidR="001D1C8D" w:rsidRPr="00B3663D" w:rsidRDefault="001D1C8D" w:rsidP="000B7F8D">
            <w:pPr>
              <w:pStyle w:val="ListParagraph"/>
              <w:numPr>
                <w:ilvl w:val="0"/>
                <w:numId w:val="17"/>
              </w:numPr>
              <w:spacing w:after="0"/>
              <w:ind w:left="770" w:hanging="360"/>
              <w:contextualSpacing/>
              <w:rPr>
                <w:rFonts w:ascii="Arial Narrow" w:hAnsi="Arial Narrow"/>
                <w:sz w:val="20"/>
                <w:szCs w:val="20"/>
              </w:rPr>
            </w:pPr>
            <w:r w:rsidRPr="00B3663D">
              <w:rPr>
                <w:rFonts w:ascii="Arial Narrow" w:hAnsi="Arial Narrow"/>
                <w:sz w:val="20"/>
                <w:szCs w:val="20"/>
              </w:rPr>
              <w:t xml:space="preserve">previous venous thromboembolism, </w:t>
            </w:r>
          </w:p>
          <w:p w14:paraId="36948215" w14:textId="77777777" w:rsidR="001D1C8D" w:rsidRPr="00B3663D" w:rsidRDefault="001D1C8D" w:rsidP="000B7F8D">
            <w:pPr>
              <w:pStyle w:val="ListParagraph"/>
              <w:numPr>
                <w:ilvl w:val="0"/>
                <w:numId w:val="17"/>
              </w:numPr>
              <w:spacing w:after="0"/>
              <w:ind w:left="770" w:hanging="360"/>
              <w:contextualSpacing/>
              <w:rPr>
                <w:rFonts w:ascii="Arial Narrow" w:hAnsi="Arial Narrow"/>
                <w:sz w:val="20"/>
                <w:szCs w:val="20"/>
              </w:rPr>
            </w:pPr>
            <w:r w:rsidRPr="00B3663D">
              <w:rPr>
                <w:rFonts w:ascii="Arial Narrow" w:hAnsi="Arial Narrow"/>
                <w:sz w:val="20"/>
                <w:szCs w:val="20"/>
              </w:rPr>
              <w:t xml:space="preserve">previous transient ischaemic attack, stroke or acute myocardial infarction, </w:t>
            </w:r>
          </w:p>
          <w:p w14:paraId="7A4F34BF" w14:textId="77777777" w:rsidR="001D1C8D" w:rsidRPr="00B3663D" w:rsidRDefault="001D1C8D" w:rsidP="000B7F8D">
            <w:pPr>
              <w:pStyle w:val="ListParagraph"/>
              <w:numPr>
                <w:ilvl w:val="0"/>
                <w:numId w:val="17"/>
              </w:numPr>
              <w:spacing w:after="0"/>
              <w:ind w:left="770" w:hanging="360"/>
              <w:contextualSpacing/>
              <w:rPr>
                <w:rFonts w:ascii="Arial Narrow" w:hAnsi="Arial Narrow"/>
                <w:sz w:val="20"/>
                <w:szCs w:val="20"/>
              </w:rPr>
            </w:pPr>
            <w:r w:rsidRPr="00B3663D">
              <w:rPr>
                <w:rFonts w:ascii="Arial Narrow" w:hAnsi="Arial Narrow"/>
                <w:sz w:val="20"/>
                <w:szCs w:val="20"/>
              </w:rPr>
              <w:t xml:space="preserve">uncontrolled hypertension, </w:t>
            </w:r>
          </w:p>
          <w:p w14:paraId="4BA76A6A" w14:textId="77777777" w:rsidR="001D1C8D" w:rsidRPr="00B3663D" w:rsidRDefault="001D1C8D" w:rsidP="000B7F8D">
            <w:pPr>
              <w:pStyle w:val="ListParagraph"/>
              <w:numPr>
                <w:ilvl w:val="0"/>
                <w:numId w:val="17"/>
              </w:numPr>
              <w:spacing w:after="0"/>
              <w:ind w:left="770" w:hanging="360"/>
              <w:contextualSpacing/>
              <w:rPr>
                <w:rFonts w:ascii="Arial Narrow" w:hAnsi="Arial Narrow"/>
                <w:sz w:val="20"/>
                <w:szCs w:val="20"/>
              </w:rPr>
            </w:pPr>
            <w:r>
              <w:rPr>
                <w:rFonts w:ascii="Arial Narrow" w:hAnsi="Arial Narrow"/>
                <w:sz w:val="20"/>
                <w:szCs w:val="20"/>
              </w:rPr>
              <w:t xml:space="preserve">current or </w:t>
            </w:r>
            <w:proofErr w:type="gramStart"/>
            <w:r w:rsidRPr="00061CEB">
              <w:rPr>
                <w:rFonts w:ascii="Arial Narrow" w:hAnsi="Arial Narrow"/>
                <w:iCs/>
                <w:sz w:val="20"/>
                <w:szCs w:val="20"/>
              </w:rPr>
              <w:t>past</w:t>
            </w:r>
            <w:r>
              <w:rPr>
                <w:rFonts w:ascii="Arial Narrow" w:hAnsi="Arial Narrow"/>
                <w:sz w:val="20"/>
                <w:szCs w:val="20"/>
              </w:rPr>
              <w:t xml:space="preserve"> history</w:t>
            </w:r>
            <w:proofErr w:type="gramEnd"/>
            <w:r>
              <w:rPr>
                <w:rFonts w:ascii="Arial Narrow" w:hAnsi="Arial Narrow"/>
                <w:sz w:val="20"/>
                <w:szCs w:val="20"/>
              </w:rPr>
              <w:t xml:space="preserve"> of </w:t>
            </w:r>
            <w:r w:rsidRPr="00B3663D">
              <w:rPr>
                <w:rFonts w:ascii="Arial Narrow" w:hAnsi="Arial Narrow"/>
                <w:sz w:val="20"/>
                <w:szCs w:val="20"/>
              </w:rPr>
              <w:t>estrogen-dependent cancer (e.g. endometrial or breast cancer),</w:t>
            </w:r>
          </w:p>
          <w:p w14:paraId="70AA350E" w14:textId="77777777" w:rsidR="001D1C8D" w:rsidRPr="00B3663D" w:rsidRDefault="001D1C8D" w:rsidP="000B7F8D">
            <w:pPr>
              <w:pStyle w:val="ListParagraph"/>
              <w:numPr>
                <w:ilvl w:val="0"/>
                <w:numId w:val="17"/>
              </w:numPr>
              <w:spacing w:after="0"/>
              <w:ind w:left="770" w:hanging="360"/>
              <w:contextualSpacing/>
              <w:rPr>
                <w:rFonts w:ascii="Arial Narrow" w:hAnsi="Arial Narrow"/>
                <w:sz w:val="20"/>
                <w:szCs w:val="20"/>
              </w:rPr>
            </w:pPr>
            <w:r w:rsidRPr="00B3663D">
              <w:rPr>
                <w:rFonts w:ascii="Arial Narrow" w:hAnsi="Arial Narrow"/>
                <w:sz w:val="20"/>
                <w:szCs w:val="20"/>
              </w:rPr>
              <w:t>undiagnosed vaginal bleeding (may include estrogen-dependent cancer),</w:t>
            </w:r>
          </w:p>
          <w:p w14:paraId="5A22E56D" w14:textId="77777777" w:rsidR="001D1C8D" w:rsidRDefault="001D1C8D" w:rsidP="000B7F8D">
            <w:pPr>
              <w:pStyle w:val="ListParagraph"/>
              <w:spacing w:after="0"/>
              <w:ind w:left="770"/>
              <w:contextualSpacing/>
              <w:rPr>
                <w:rFonts w:ascii="Arial Narrow" w:hAnsi="Arial Narrow"/>
                <w:sz w:val="20"/>
                <w:szCs w:val="20"/>
              </w:rPr>
            </w:pPr>
            <w:r w:rsidRPr="61ED92A5">
              <w:rPr>
                <w:rFonts w:ascii="Arial Narrow" w:hAnsi="Arial Narrow"/>
                <w:sz w:val="20"/>
                <w:szCs w:val="20"/>
              </w:rPr>
              <w:t>high risk of breast cancer after individual risk assessment,</w:t>
            </w:r>
          </w:p>
          <w:p w14:paraId="3E85C4AD" w14:textId="45B45E13" w:rsidR="61ED92A5" w:rsidRDefault="61ED92A5" w:rsidP="000B7F8D">
            <w:pPr>
              <w:contextualSpacing/>
              <w:rPr>
                <w:rFonts w:ascii="Arial Narrow" w:hAnsi="Arial Narrow"/>
                <w:sz w:val="20"/>
                <w:szCs w:val="20"/>
              </w:rPr>
            </w:pPr>
          </w:p>
          <w:p w14:paraId="4CC23E0A" w14:textId="7E0FE0F3" w:rsidR="00F86508" w:rsidRPr="00B13A47" w:rsidRDefault="7EEC66CA" w:rsidP="000B7F8D">
            <w:pPr>
              <w:contextualSpacing/>
              <w:rPr>
                <w:rFonts w:ascii="Arial Narrow" w:hAnsi="Arial Narrow"/>
                <w:b/>
                <w:bCs/>
                <w:sz w:val="20"/>
                <w:szCs w:val="20"/>
              </w:rPr>
            </w:pPr>
            <w:r w:rsidRPr="0D03DDBD">
              <w:rPr>
                <w:rFonts w:ascii="Arial Narrow" w:hAnsi="Arial Narrow"/>
                <w:sz w:val="20"/>
                <w:szCs w:val="20"/>
              </w:rPr>
              <w:t>State the relevant contraindication(s) with the first authority application where applicable.</w:t>
            </w:r>
          </w:p>
        </w:tc>
      </w:tr>
      <w:bookmarkEnd w:id="113"/>
      <w:bookmarkEnd w:id="116"/>
    </w:tbl>
    <w:p w14:paraId="1983F513" w14:textId="1A8B73C7" w:rsidR="00A847EC" w:rsidRDefault="00A847EC" w:rsidP="00CE3EC7">
      <w:pPr>
        <w:jc w:val="left"/>
        <w:rPr>
          <w:rFonts w:asciiTheme="minorHAnsi" w:hAnsiTheme="minorHAnsi"/>
          <w:b/>
          <w:snapToGrid w:val="0"/>
          <w:sz w:val="32"/>
          <w:szCs w:val="32"/>
        </w:rPr>
      </w:pPr>
    </w:p>
    <w:p w14:paraId="136EA421" w14:textId="77777777" w:rsidR="00F40AC6" w:rsidRDefault="00F40AC6" w:rsidP="00F40AC6">
      <w:pPr>
        <w:spacing w:before="120"/>
        <w:rPr>
          <w:rFonts w:asciiTheme="minorHAnsi" w:hAnsiTheme="minorHAnsi"/>
          <w:b/>
          <w:i/>
          <w:iCs/>
          <w:snapToGrid w:val="0"/>
        </w:rPr>
      </w:pPr>
      <w:r w:rsidRPr="00EB1825">
        <w:rPr>
          <w:rFonts w:asciiTheme="minorHAnsi" w:hAnsiTheme="minorHAnsi"/>
          <w:b/>
          <w:i/>
          <w:iCs/>
          <w:snapToGrid w:val="0"/>
        </w:rPr>
        <w:t>These restrictions may be subject to further review. Should there be any changes made to the restriction the sponsor will be informed.</w:t>
      </w:r>
    </w:p>
    <w:p w14:paraId="42145A25" w14:textId="77777777" w:rsidR="00DB68FB" w:rsidRPr="00DB68FB" w:rsidRDefault="00DB68FB" w:rsidP="00DB68FB">
      <w:pPr>
        <w:keepNext/>
        <w:spacing w:before="240" w:after="120"/>
        <w:ind w:left="720" w:hanging="720"/>
        <w:jc w:val="left"/>
        <w:outlineLvl w:val="0"/>
        <w:rPr>
          <w:rFonts w:asciiTheme="minorHAnsi" w:hAnsiTheme="minorHAnsi"/>
          <w:b/>
          <w:bCs/>
          <w:snapToGrid w:val="0"/>
          <w:sz w:val="32"/>
          <w:szCs w:val="32"/>
          <w:lang w:val="en-GB"/>
        </w:rPr>
      </w:pPr>
      <w:bookmarkStart w:id="123" w:name="_Hlk219360790"/>
      <w:r w:rsidRPr="00DB68FB">
        <w:rPr>
          <w:rFonts w:asciiTheme="minorHAnsi" w:hAnsiTheme="minorHAnsi"/>
          <w:b/>
          <w:snapToGrid w:val="0"/>
          <w:sz w:val="32"/>
          <w:szCs w:val="32"/>
        </w:rPr>
        <w:t>9</w:t>
      </w:r>
      <w:r w:rsidRPr="00DB68FB">
        <w:rPr>
          <w:rFonts w:asciiTheme="minorHAnsi" w:hAnsiTheme="minorHAnsi"/>
          <w:b/>
          <w:snapToGrid w:val="0"/>
          <w:sz w:val="32"/>
          <w:szCs w:val="32"/>
        </w:rPr>
        <w:tab/>
        <w:t>Context for Decision</w:t>
      </w:r>
    </w:p>
    <w:p w14:paraId="21D3242C" w14:textId="77777777" w:rsidR="00DB68FB" w:rsidRPr="00DB68FB" w:rsidRDefault="00DB68FB" w:rsidP="00DB68FB">
      <w:pPr>
        <w:spacing w:after="120"/>
        <w:ind w:left="720"/>
        <w:rPr>
          <w:rFonts w:asciiTheme="minorHAnsi" w:hAnsiTheme="minorHAnsi"/>
          <w:bCs/>
          <w:lang w:val="en-GB"/>
        </w:rPr>
      </w:pPr>
      <w:r w:rsidRPr="00DB68FB">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AC9219A" w14:textId="3F1BA8A6" w:rsidR="00DB68FB" w:rsidRPr="00DB68FB" w:rsidRDefault="00DB68FB" w:rsidP="00E60765">
      <w:pPr>
        <w:keepNext/>
        <w:spacing w:before="240" w:after="120"/>
        <w:ind w:left="720" w:hanging="720"/>
        <w:jc w:val="left"/>
        <w:outlineLvl w:val="0"/>
        <w:rPr>
          <w:rFonts w:asciiTheme="minorHAnsi" w:eastAsiaTheme="minorHAnsi" w:hAnsiTheme="minorHAnsi"/>
          <w:bCs/>
          <w:lang w:eastAsia="en-US"/>
        </w:rPr>
      </w:pPr>
      <w:r w:rsidRPr="00DB68FB">
        <w:rPr>
          <w:rFonts w:asciiTheme="minorHAnsi" w:hAnsiTheme="minorHAnsi"/>
          <w:b/>
          <w:snapToGrid w:val="0"/>
          <w:sz w:val="32"/>
          <w:szCs w:val="32"/>
        </w:rPr>
        <w:t>10</w:t>
      </w:r>
      <w:r w:rsidRPr="00DB68FB">
        <w:rPr>
          <w:rFonts w:asciiTheme="minorHAnsi" w:hAnsiTheme="minorHAnsi"/>
          <w:b/>
          <w:snapToGrid w:val="0"/>
          <w:sz w:val="32"/>
          <w:szCs w:val="32"/>
        </w:rPr>
        <w:tab/>
        <w:t>Sponsor’s Comment</w:t>
      </w:r>
    </w:p>
    <w:bookmarkEnd w:id="123"/>
    <w:p w14:paraId="0DC942CA" w14:textId="5CF9F21D" w:rsidR="00DB68FB" w:rsidRPr="00E60765" w:rsidRDefault="001662E9" w:rsidP="00E60765">
      <w:pPr>
        <w:spacing w:after="120"/>
        <w:ind w:left="720"/>
        <w:rPr>
          <w:rFonts w:asciiTheme="minorHAnsi" w:hAnsiTheme="minorHAnsi"/>
          <w:bCs/>
          <w:lang w:val="en-GB"/>
        </w:rPr>
      </w:pPr>
      <w:r w:rsidRPr="00E60765">
        <w:rPr>
          <w:rFonts w:asciiTheme="minorHAnsi" w:hAnsiTheme="minorHAnsi"/>
          <w:bCs/>
          <w:lang w:val="en-GB"/>
        </w:rPr>
        <w:t xml:space="preserve">Astellas </w:t>
      </w:r>
      <w:r w:rsidR="00581126" w:rsidRPr="00E60765">
        <w:rPr>
          <w:rFonts w:asciiTheme="minorHAnsi" w:hAnsiTheme="minorHAnsi"/>
          <w:bCs/>
          <w:lang w:val="en-GB"/>
        </w:rPr>
        <w:t xml:space="preserve">is working proactively with the Department of Health to </w:t>
      </w:r>
      <w:r w:rsidR="00221B93" w:rsidRPr="00E60765">
        <w:rPr>
          <w:rFonts w:asciiTheme="minorHAnsi" w:hAnsiTheme="minorHAnsi"/>
          <w:bCs/>
          <w:lang w:val="en-GB"/>
        </w:rPr>
        <w:t xml:space="preserve">improve </w:t>
      </w:r>
      <w:proofErr w:type="spellStart"/>
      <w:r w:rsidR="00221B93" w:rsidRPr="00E60765">
        <w:rPr>
          <w:rFonts w:asciiTheme="minorHAnsi" w:hAnsiTheme="minorHAnsi"/>
          <w:bCs/>
          <w:lang w:val="en-GB"/>
        </w:rPr>
        <w:t>womens</w:t>
      </w:r>
      <w:proofErr w:type="spellEnd"/>
      <w:r w:rsidR="00221B93" w:rsidRPr="00E60765">
        <w:rPr>
          <w:rFonts w:asciiTheme="minorHAnsi" w:hAnsiTheme="minorHAnsi"/>
          <w:bCs/>
          <w:lang w:val="en-GB"/>
        </w:rPr>
        <w:t xml:space="preserve"> health via access to Fezolinetant on the PBS for all suitable Australian</w:t>
      </w:r>
      <w:r w:rsidR="000E606A" w:rsidRPr="00E60765">
        <w:rPr>
          <w:rFonts w:asciiTheme="minorHAnsi" w:hAnsiTheme="minorHAnsi"/>
          <w:bCs/>
          <w:lang w:val="en-GB"/>
        </w:rPr>
        <w:t xml:space="preserve"> </w:t>
      </w:r>
      <w:r w:rsidR="00221B93" w:rsidRPr="00E60765">
        <w:rPr>
          <w:rFonts w:asciiTheme="minorHAnsi" w:hAnsiTheme="minorHAnsi"/>
          <w:bCs/>
          <w:lang w:val="en-GB"/>
        </w:rPr>
        <w:t>women</w:t>
      </w:r>
      <w:r w:rsidR="00FC7B66" w:rsidRPr="00E60765">
        <w:rPr>
          <w:rFonts w:asciiTheme="minorHAnsi" w:hAnsiTheme="minorHAnsi"/>
          <w:bCs/>
          <w:lang w:val="en-GB"/>
        </w:rPr>
        <w:t>,</w:t>
      </w:r>
      <w:r w:rsidR="000E606A" w:rsidRPr="00E60765">
        <w:rPr>
          <w:rFonts w:asciiTheme="minorHAnsi" w:hAnsiTheme="minorHAnsi"/>
          <w:bCs/>
          <w:lang w:val="en-GB"/>
        </w:rPr>
        <w:t xml:space="preserve"> as soon as possible</w:t>
      </w:r>
      <w:r w:rsidR="00581126" w:rsidRPr="00E60765">
        <w:rPr>
          <w:rFonts w:asciiTheme="minorHAnsi" w:hAnsiTheme="minorHAnsi"/>
          <w:bCs/>
          <w:lang w:val="en-GB"/>
        </w:rPr>
        <w:t xml:space="preserve"> </w:t>
      </w:r>
    </w:p>
    <w:sectPr w:rsidR="00DB68FB" w:rsidRPr="00E60765" w:rsidSect="00251006">
      <w:headerReference w:type="default" r:id="rId19"/>
      <w:footerReference w:type="default" r:id="rId2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62983" w14:textId="77777777" w:rsidR="00C33C2C" w:rsidRPr="00FD0EF7" w:rsidRDefault="00C33C2C" w:rsidP="00124A51">
      <w:r w:rsidRPr="00FD0EF7">
        <w:separator/>
      </w:r>
    </w:p>
    <w:p w14:paraId="6413630D" w14:textId="77777777" w:rsidR="00C33C2C" w:rsidRPr="00FD0EF7" w:rsidRDefault="00C33C2C"/>
  </w:endnote>
  <w:endnote w:type="continuationSeparator" w:id="0">
    <w:p w14:paraId="62EEF36A" w14:textId="77777777" w:rsidR="00C33C2C" w:rsidRPr="00FD0EF7" w:rsidRDefault="00C33C2C" w:rsidP="00124A51">
      <w:r w:rsidRPr="00FD0EF7">
        <w:continuationSeparator/>
      </w:r>
    </w:p>
    <w:p w14:paraId="03FD04D9" w14:textId="77777777" w:rsidR="00C33C2C" w:rsidRPr="00FD0EF7" w:rsidRDefault="00C33C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1D7FA" w14:textId="09B16108" w:rsidR="002E17CD" w:rsidRPr="00FD0EF7" w:rsidRDefault="00587BBB" w:rsidP="006028D3">
    <w:pPr>
      <w:pStyle w:val="PageFooter"/>
    </w:pPr>
    <w:sdt>
      <w:sdtPr>
        <w:id w:val="1525588631"/>
        <w:docPartObj>
          <w:docPartGallery w:val="Page Numbers (Bottom of Page)"/>
          <w:docPartUnique/>
        </w:docPartObj>
      </w:sdtPr>
      <w:sdtEndPr>
        <w:rPr>
          <w:noProof/>
        </w:rPr>
      </w:sdtEndPr>
      <w:sdtContent>
        <w:r w:rsidR="002511C5">
          <w:fldChar w:fldCharType="begin"/>
        </w:r>
        <w:r w:rsidR="002511C5">
          <w:instrText xml:space="preserve"> PAGE   \* MERGEFORMAT </w:instrText>
        </w:r>
        <w:r w:rsidR="002511C5">
          <w:fldChar w:fldCharType="separate"/>
        </w:r>
        <w:r w:rsidR="002511C5">
          <w:t>1</w:t>
        </w:r>
        <w:r w:rsidR="002511C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33406" w14:textId="77777777" w:rsidR="00C33C2C" w:rsidRPr="00FD0EF7" w:rsidRDefault="00C33C2C" w:rsidP="00124A51">
      <w:r w:rsidRPr="00FD0EF7">
        <w:separator/>
      </w:r>
    </w:p>
    <w:p w14:paraId="2ECF9F3A" w14:textId="77777777" w:rsidR="00C33C2C" w:rsidRPr="00FD0EF7" w:rsidRDefault="00C33C2C"/>
  </w:footnote>
  <w:footnote w:type="continuationSeparator" w:id="0">
    <w:p w14:paraId="4A148CCC" w14:textId="77777777" w:rsidR="00C33C2C" w:rsidRPr="00FD0EF7" w:rsidRDefault="00C33C2C" w:rsidP="00124A51">
      <w:r w:rsidRPr="00FD0EF7">
        <w:continuationSeparator/>
      </w:r>
    </w:p>
    <w:p w14:paraId="116A4ACD" w14:textId="77777777" w:rsidR="00C33C2C" w:rsidRPr="00FD0EF7" w:rsidRDefault="00C33C2C"/>
  </w:footnote>
  <w:footnote w:id="1">
    <w:p w14:paraId="75FD87D6" w14:textId="77777777" w:rsidR="00C77D0D" w:rsidRPr="00FD0EF7" w:rsidRDefault="00C77D0D" w:rsidP="00C77D0D">
      <w:pPr>
        <w:pStyle w:val="FootnoteText"/>
      </w:pPr>
      <w:r w:rsidRPr="00FD0EF7">
        <w:rPr>
          <w:rStyle w:val="FootnoteReference"/>
        </w:rPr>
        <w:footnoteRef/>
      </w:r>
      <w:r w:rsidRPr="00FD0EF7">
        <w:t xml:space="preserve"> National Institute for Health and Care Excellence (NICE). Draft guidance consultation - </w:t>
      </w:r>
      <w:proofErr w:type="spellStart"/>
      <w:r w:rsidRPr="00FD0EF7">
        <w:t>Fezolinetant</w:t>
      </w:r>
      <w:proofErr w:type="spellEnd"/>
      <w:r w:rsidRPr="00FD0EF7">
        <w:t xml:space="preserve"> for treating moderate to severe vasomotor symptoms caused by menopause. March 2025. Available from: </w:t>
      </w:r>
      <w:hyperlink r:id="rId1" w:history="1">
        <w:r w:rsidRPr="00FD0EF7">
          <w:rPr>
            <w:rStyle w:val="Hyperlink"/>
          </w:rPr>
          <w:t>https://www.nice.org.uk/guidance/gid-ta11058/documents/html-content-7</w:t>
        </w:r>
      </w:hyperlink>
      <w:r w:rsidRPr="00FD0EF7">
        <w:t>. Accessed on 15/07/2025.</w:t>
      </w:r>
    </w:p>
  </w:footnote>
  <w:footnote w:id="2">
    <w:p w14:paraId="1A51074C" w14:textId="77777777" w:rsidR="00C77D0D" w:rsidRPr="00FD0EF7" w:rsidRDefault="00C77D0D" w:rsidP="00C77D0D">
      <w:pPr>
        <w:pStyle w:val="FootnoteText"/>
      </w:pPr>
      <w:r w:rsidRPr="00FD0EF7">
        <w:rPr>
          <w:rStyle w:val="FootnoteReference"/>
        </w:rPr>
        <w:footnoteRef/>
      </w:r>
      <w:r w:rsidRPr="00FD0EF7">
        <w:t xml:space="preserve"> $69.99 at Chemist Warehouse - https://www.chemistwarehouse.com.au/search?searchtext=veoza&amp;fh=1</w:t>
      </w:r>
    </w:p>
  </w:footnote>
  <w:footnote w:id="3">
    <w:p w14:paraId="37C30BFA" w14:textId="77777777" w:rsidR="00054615" w:rsidRPr="00FD0EF7" w:rsidRDefault="00054615" w:rsidP="00054615">
      <w:pPr>
        <w:pStyle w:val="FootnoteText"/>
      </w:pPr>
      <w:r w:rsidRPr="00FD0EF7">
        <w:rPr>
          <w:rStyle w:val="FootnoteReference"/>
        </w:rPr>
        <w:footnoteRef/>
      </w:r>
      <w:r w:rsidRPr="00FD0EF7">
        <w:t xml:space="preserve"> </w:t>
      </w:r>
      <w:r>
        <w:t>The FDA</w:t>
      </w:r>
      <w:r w:rsidRPr="004D0951">
        <w:t xml:space="preserve"> defined moderate VMS as a sensation of heat with sweating, able to continue activity and severe VMS as a sensation of heat with sweating, causing cessation of activity. Symptom severity is calculated as a weighted average of individual episode severities over a specified period (i.e. one week)</w:t>
      </w:r>
      <w:r>
        <w:t xml:space="preserve">. </w:t>
      </w:r>
      <w:proofErr w:type="spellStart"/>
      <w:r w:rsidRPr="00FD0EF7">
        <w:t>Center</w:t>
      </w:r>
      <w:proofErr w:type="spellEnd"/>
      <w:r w:rsidRPr="00FD0EF7">
        <w:t xml:space="preserve"> for Drug Evaluation and Research (CDER). Guidance for Industry. Estrogen and Estrogen/Progestin Drug Products to Treat Vasomotor Symptoms and Vulvar and Vaginal Atrophy Symptoms — Recommendations for Clinical Evaluation. Food and Drug Administration (FDA), USA, 2023.</w:t>
      </w:r>
    </w:p>
  </w:footnote>
  <w:footnote w:id="4">
    <w:p w14:paraId="3A68BEA6" w14:textId="77777777" w:rsidR="00C77D0D" w:rsidRPr="005579DB" w:rsidRDefault="00C77D0D" w:rsidP="00C77D0D">
      <w:pPr>
        <w:pStyle w:val="FootnoteText"/>
        <w:rPr>
          <w:lang w:val="pt-PT"/>
        </w:rPr>
      </w:pPr>
      <w:r w:rsidRPr="00FD0EF7">
        <w:rPr>
          <w:rStyle w:val="FootnoteReference"/>
        </w:rPr>
        <w:footnoteRef/>
      </w:r>
      <w:r w:rsidRPr="00FD0EF7">
        <w:t xml:space="preserve"> Davis SR, Pinkerton J, Santoro N, Simoncini T. Menopause-Biology, consequences, supportive care, and therapeutic options. </w:t>
      </w:r>
      <w:r w:rsidRPr="005579DB">
        <w:rPr>
          <w:lang w:val="pt-PT"/>
        </w:rPr>
        <w:t>Cell. 2023. 186(19):4038-4058.</w:t>
      </w:r>
    </w:p>
  </w:footnote>
  <w:footnote w:id="5">
    <w:p w14:paraId="5F66B80D" w14:textId="77777777" w:rsidR="00C77D0D" w:rsidRPr="00FD0EF7" w:rsidRDefault="00C77D0D" w:rsidP="00C77D0D">
      <w:pPr>
        <w:pStyle w:val="FootnoteText"/>
      </w:pPr>
      <w:r w:rsidRPr="00FD0EF7">
        <w:rPr>
          <w:rStyle w:val="FootnoteReference"/>
        </w:rPr>
        <w:footnoteRef/>
      </w:r>
      <w:r w:rsidRPr="005579DB">
        <w:rPr>
          <w:lang w:val="pt-PT"/>
        </w:rPr>
        <w:t xml:space="preserve"> </w:t>
      </w:r>
      <w:r w:rsidRPr="005579DB">
        <w:rPr>
          <w:lang w:val="pt-PT"/>
        </w:rPr>
        <w:t xml:space="preserve">Hemachandra </w:t>
      </w:r>
      <w:r w:rsidRPr="005579DB">
        <w:rPr>
          <w:lang w:val="pt-PT"/>
        </w:rPr>
        <w:t xml:space="preserve">C, Taylor S, Islam RM, Fooladi E, Davis SR. </w:t>
      </w:r>
      <w:r w:rsidRPr="00FD0EF7">
        <w:t xml:space="preserve">A systematic review and critical appraisal of menopause guidelines. BMJ Sex </w:t>
      </w:r>
      <w:proofErr w:type="spellStart"/>
      <w:r w:rsidRPr="00FD0EF7">
        <w:t>Reprod</w:t>
      </w:r>
      <w:proofErr w:type="spellEnd"/>
      <w:r w:rsidRPr="00FD0EF7">
        <w:t xml:space="preserve"> Health. 2024 Apr 11;50(2):122-138. </w:t>
      </w:r>
    </w:p>
  </w:footnote>
  <w:footnote w:id="6">
    <w:p w14:paraId="02AFAB16" w14:textId="77777777" w:rsidR="00C77D0D" w:rsidRPr="00FD0EF7" w:rsidRDefault="00C77D0D" w:rsidP="00C77D0D">
      <w:pPr>
        <w:pStyle w:val="FootnoteText"/>
      </w:pPr>
      <w:r w:rsidRPr="00FD0EF7">
        <w:rPr>
          <w:rStyle w:val="FootnoteReference"/>
        </w:rPr>
        <w:footnoteRef/>
      </w:r>
      <w:r w:rsidRPr="00FD0EF7">
        <w:t xml:space="preserve"> Therapeutic Guidelines Australia (</w:t>
      </w:r>
      <w:proofErr w:type="spellStart"/>
      <w:r w:rsidRPr="00FD0EF7">
        <w:t>eTG</w:t>
      </w:r>
      <w:proofErr w:type="spellEnd"/>
      <w:r w:rsidRPr="00FD0EF7">
        <w:t xml:space="preserve">). ‘Nonhormonal drug therapy for vasomotor symptoms of menopause’. Therapeutic Guidelines Limited 2023. Available from: </w:t>
      </w:r>
      <w:hyperlink r:id="rId2" w:history="1">
        <w:r w:rsidRPr="00FD0EF7">
          <w:rPr>
            <w:rStyle w:val="Hyperlink"/>
          </w:rPr>
          <w:t>www.tg.org.au/</w:t>
        </w:r>
      </w:hyperlink>
      <w:r w:rsidRPr="00FD0EF7">
        <w:rPr>
          <w:rStyle w:val="Hyperlink"/>
        </w:rPr>
        <w:t>.</w:t>
      </w:r>
      <w:r w:rsidRPr="00FD0EF7">
        <w:t xml:space="preserve"> Accessed on 18/11/2024.</w:t>
      </w:r>
    </w:p>
  </w:footnote>
  <w:footnote w:id="7">
    <w:p w14:paraId="28430EBC" w14:textId="77777777" w:rsidR="00C77D0D" w:rsidRPr="00FD0EF7" w:rsidRDefault="00C77D0D" w:rsidP="00C77D0D">
      <w:pPr>
        <w:pStyle w:val="FootnoteText"/>
      </w:pPr>
      <w:r w:rsidRPr="00FD0EF7">
        <w:rPr>
          <w:rStyle w:val="FootnoteReference"/>
        </w:rPr>
        <w:footnoteRef/>
      </w:r>
      <w:r w:rsidRPr="00FD0EF7">
        <w:t xml:space="preserve"> Davis SR, Taylor S, Hemachandra C, </w:t>
      </w:r>
      <w:proofErr w:type="spellStart"/>
      <w:r w:rsidRPr="00FD0EF7">
        <w:t>Magraith</w:t>
      </w:r>
      <w:proofErr w:type="spellEnd"/>
      <w:r w:rsidRPr="00FD0EF7">
        <w:t xml:space="preserve"> K, Ebeling PR, Jane F, &amp; Islam RM. The 2023 Practitioner’s Toolkit for Managing Menopause. Climacteric. 2023. 26(6):517-536.</w:t>
      </w:r>
    </w:p>
  </w:footnote>
  <w:footnote w:id="8">
    <w:p w14:paraId="44F7740A" w14:textId="5F17608D" w:rsidR="009377C3" w:rsidRDefault="009377C3">
      <w:pPr>
        <w:pStyle w:val="FootnoteText"/>
      </w:pPr>
      <w:r>
        <w:rPr>
          <w:rStyle w:val="FootnoteReference"/>
        </w:rPr>
        <w:footnoteRef/>
      </w:r>
      <w:r>
        <w:t xml:space="preserve"> </w:t>
      </w:r>
      <w:r w:rsidRPr="009377C3">
        <w:t>The advisory board included advisors with expertise in gynaecology, endocrinology and general practice</w:t>
      </w:r>
      <w:r>
        <w:t>.</w:t>
      </w:r>
    </w:p>
  </w:footnote>
  <w:footnote w:id="9">
    <w:p w14:paraId="2F990E6D" w14:textId="77777777" w:rsidR="00C77D0D" w:rsidRPr="00FD0EF7" w:rsidRDefault="00C77D0D" w:rsidP="00C77D0D">
      <w:pPr>
        <w:pStyle w:val="FootnoteText"/>
      </w:pPr>
      <w:r w:rsidRPr="00FD0EF7">
        <w:rPr>
          <w:rStyle w:val="FootnoteReference"/>
        </w:rPr>
        <w:footnoteRef/>
      </w:r>
      <w:r w:rsidRPr="00FD0EF7">
        <w:t xml:space="preserve"> Therapeutic Goods Administration (TGA). TBC Bayer Australia Ltd (active ingredient: </w:t>
      </w:r>
      <w:proofErr w:type="spellStart"/>
      <w:r w:rsidRPr="00FD0EF7">
        <w:t>elinzanetant</w:t>
      </w:r>
      <w:proofErr w:type="spellEnd"/>
      <w:r w:rsidRPr="00FD0EF7">
        <w:t xml:space="preserve">). September 2024. Available from: </w:t>
      </w:r>
      <w:hyperlink r:id="rId3" w:anchor=":~:text=You%20are%20here,Sep%2D2024" w:history="1">
        <w:r w:rsidRPr="00FD0EF7">
          <w:rPr>
            <w:rStyle w:val="Hyperlink"/>
          </w:rPr>
          <w:t>https://www.tga.gov.au/resources/prescription-medicines-under-evaluation/tbc-bayer-australia-ltd#:~:text=You%20are%20here,Sep%2D2024</w:t>
        </w:r>
      </w:hyperlink>
      <w:r w:rsidRPr="00FD0EF7">
        <w:t>. Accessed on 17/07/2025.</w:t>
      </w:r>
    </w:p>
  </w:footnote>
  <w:footnote w:id="10">
    <w:p w14:paraId="1DCB4B0F" w14:textId="77777777" w:rsidR="00C77D0D" w:rsidRPr="00FD0EF7" w:rsidRDefault="00C77D0D" w:rsidP="00C77D0D">
      <w:pPr>
        <w:pStyle w:val="FootnoteText"/>
      </w:pPr>
      <w:r w:rsidRPr="00FD0EF7">
        <w:rPr>
          <w:rStyle w:val="FootnoteReference"/>
        </w:rPr>
        <w:footnoteRef/>
      </w:r>
      <w:r w:rsidRPr="00FD0EF7">
        <w:t xml:space="preserve"> Constantine GD, Simon JA, Kaunitz AM, Pickar JH, </w:t>
      </w:r>
      <w:proofErr w:type="spellStart"/>
      <w:r w:rsidRPr="00FD0EF7">
        <w:t>Revicki</w:t>
      </w:r>
      <w:proofErr w:type="spellEnd"/>
      <w:r w:rsidRPr="00FD0EF7">
        <w:t xml:space="preserve"> DA, Graham S, Bernick B, Mirkin S. TX-001HR is associated with a clinically meaningful effect on severity of moderate to severe vasomotor symptoms in the REPLENISH trial. Menopause. 2020. 27(11):1236-1241. </w:t>
      </w:r>
      <w:proofErr w:type="spellStart"/>
      <w:r w:rsidRPr="00FD0EF7">
        <w:t>doi</w:t>
      </w:r>
      <w:proofErr w:type="spellEnd"/>
      <w:r w:rsidRPr="00FD0EF7">
        <w:t>: 10.1097/GME.0000000000001602.</w:t>
      </w:r>
    </w:p>
    <w:p w14:paraId="1B0B41AA" w14:textId="77777777" w:rsidR="00C77D0D" w:rsidRPr="00FD0EF7" w:rsidRDefault="00C77D0D" w:rsidP="00C77D0D">
      <w:pPr>
        <w:pStyle w:val="FootnoteText"/>
      </w:pPr>
    </w:p>
  </w:footnote>
  <w:footnote w:id="11">
    <w:p w14:paraId="127ECB3A" w14:textId="77777777" w:rsidR="00B834DD" w:rsidRPr="00FD0EF7" w:rsidRDefault="00B834DD" w:rsidP="005F69BD">
      <w:pPr>
        <w:pStyle w:val="FootnoteText"/>
      </w:pPr>
      <w:r w:rsidRPr="00FD0EF7">
        <w:rPr>
          <w:rStyle w:val="FootnoteReference"/>
          <w:rFonts w:eastAsia="SimSun"/>
        </w:rPr>
        <w:footnoteRef/>
      </w:r>
      <w:r w:rsidRPr="00FD0EF7">
        <w:t xml:space="preserve"> </w:t>
      </w:r>
      <w:r w:rsidRPr="00FD0EF7">
        <w:rPr>
          <w:rFonts w:ascii="Arial Narrow" w:hAnsi="Arial Narrow"/>
          <w:szCs w:val="18"/>
        </w:rPr>
        <w:t xml:space="preserve">NICE 2025. </w:t>
      </w:r>
      <w:proofErr w:type="spellStart"/>
      <w:r w:rsidRPr="00FD0EF7">
        <w:rPr>
          <w:rFonts w:ascii="Arial Narrow" w:hAnsi="Arial Narrow"/>
          <w:szCs w:val="18"/>
        </w:rPr>
        <w:t>Fezolinetant</w:t>
      </w:r>
      <w:proofErr w:type="spellEnd"/>
      <w:r w:rsidRPr="00FD0EF7">
        <w:rPr>
          <w:rFonts w:ascii="Arial Narrow" w:hAnsi="Arial Narrow"/>
          <w:szCs w:val="18"/>
        </w:rPr>
        <w:t xml:space="preserve"> for treating vasomotor symptoms associated with the menopause [ID5071]. Accessed on 14/07/2025: </w:t>
      </w:r>
      <w:hyperlink r:id="rId4" w:anchor="recommendations" w:history="1">
        <w:r w:rsidRPr="00FD0EF7">
          <w:rPr>
            <w:rStyle w:val="Hyperlink"/>
            <w:rFonts w:ascii="Arial Narrow" w:hAnsi="Arial Narrow"/>
            <w:szCs w:val="18"/>
          </w:rPr>
          <w:t>https://www.nice.org.uk/consultations/2918/1/recommendations#recommendations</w:t>
        </w:r>
      </w:hyperlink>
      <w:r w:rsidRPr="00FD0EF7">
        <w:rPr>
          <w:rFonts w:ascii="Arial Narrow" w:hAnsi="Arial Narrow"/>
          <w:szCs w:val="18"/>
        </w:rPr>
        <w:t>.</w:t>
      </w:r>
    </w:p>
  </w:footnote>
  <w:footnote w:id="12">
    <w:p w14:paraId="1D834B9B" w14:textId="77777777" w:rsidR="008A1855" w:rsidRDefault="008A1855" w:rsidP="008A1855">
      <w:pPr>
        <w:pStyle w:val="FootnoteText"/>
      </w:pPr>
      <w:r>
        <w:rPr>
          <w:rStyle w:val="FootnoteReference"/>
        </w:rPr>
        <w:footnoteRef/>
      </w:r>
      <w:r>
        <w:t xml:space="preserve"> </w:t>
      </w:r>
      <w:r w:rsidRPr="008E6C1B">
        <w:t>based on a mean estimate from DAYLIGHT, SKYLIGHT, Global Survey (2693-MA-3283), DSP Survey (2693-MA-3284) and CPRD Study [UK Gold] (</w:t>
      </w:r>
      <w:r>
        <w:t>pre-PBAC response</w:t>
      </w:r>
      <w:r w:rsidRPr="008E6C1B">
        <w:t>, p2</w:t>
      </w:r>
      <w:r>
        <w:t>)</w:t>
      </w:r>
    </w:p>
  </w:footnote>
  <w:footnote w:id="13">
    <w:p w14:paraId="4F32EC3F" w14:textId="77777777" w:rsidR="009D2E19" w:rsidRPr="001A079B" w:rsidRDefault="009D2E19" w:rsidP="009D2E19">
      <w:pPr>
        <w:pStyle w:val="FootnoteText"/>
        <w:rPr>
          <w:rFonts w:ascii="Arial Narrow" w:hAnsi="Arial Narrow"/>
          <w:sz w:val="18"/>
          <w:szCs w:val="18"/>
        </w:rPr>
      </w:pPr>
      <w:r w:rsidRPr="001A079B">
        <w:rPr>
          <w:rStyle w:val="FootnoteReference"/>
        </w:rPr>
        <w:footnoteRef/>
      </w:r>
      <w:r w:rsidRPr="001A079B">
        <w:t xml:space="preserve"> </w:t>
      </w:r>
      <w:r w:rsidRPr="001A079B">
        <w:rPr>
          <w:rFonts w:ascii="Arial Narrow" w:hAnsi="Arial Narrow"/>
          <w:sz w:val="18"/>
          <w:szCs w:val="18"/>
        </w:rPr>
        <w:t xml:space="preserve">Nappi RE. et al., Global cross-sectional survey of women with vasomotor symptoms associated with menopause: prevalence and quality of life burden. Menopause. 2021 May 24;28(8):875-882. </w:t>
      </w:r>
      <w:proofErr w:type="spellStart"/>
      <w:r w:rsidRPr="001A079B">
        <w:rPr>
          <w:rFonts w:ascii="Arial Narrow" w:hAnsi="Arial Narrow"/>
          <w:sz w:val="18"/>
          <w:szCs w:val="18"/>
        </w:rPr>
        <w:t>doi</w:t>
      </w:r>
      <w:proofErr w:type="spellEnd"/>
      <w:r w:rsidRPr="001A079B">
        <w:rPr>
          <w:rFonts w:ascii="Arial Narrow" w:hAnsi="Arial Narrow"/>
          <w:sz w:val="18"/>
          <w:szCs w:val="18"/>
        </w:rPr>
        <w:t>: 10.1097/GME.0000000000001793.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107C0" w14:textId="4ADADD50" w:rsidR="005400F8" w:rsidRPr="00E56512" w:rsidRDefault="001C2353" w:rsidP="00F1080A">
    <w:pPr>
      <w:jc w:val="center"/>
      <w:rPr>
        <w:rFonts w:asciiTheme="minorHAnsi" w:hAnsiTheme="minorHAnsi" w:cstheme="minorHAnsi"/>
        <w:i/>
        <w:iCs/>
      </w:rPr>
    </w:pPr>
    <w:r>
      <w:rPr>
        <w:rFonts w:asciiTheme="minorHAnsi" w:hAnsiTheme="minorHAnsi" w:cstheme="minorHAnsi"/>
        <w:i/>
        <w:iCs/>
      </w:rPr>
      <w:t xml:space="preserve">Public Summary Document - </w:t>
    </w:r>
    <w:r w:rsidR="005400F8">
      <w:rPr>
        <w:rFonts w:asciiTheme="minorHAnsi" w:hAnsiTheme="minorHAnsi" w:cstheme="minorHAnsi"/>
        <w:i/>
        <w:iCs/>
      </w:rPr>
      <w:t>November</w:t>
    </w:r>
    <w:r w:rsidR="005400F8" w:rsidRPr="00E56512">
      <w:rPr>
        <w:rFonts w:asciiTheme="minorHAnsi" w:hAnsiTheme="minorHAnsi" w:cstheme="minorHAnsi"/>
        <w:i/>
        <w:iCs/>
      </w:rPr>
      <w:t xml:space="preserve"> 202</w:t>
    </w:r>
    <w:r w:rsidR="005400F8">
      <w:rPr>
        <w:rFonts w:asciiTheme="minorHAnsi" w:hAnsiTheme="minorHAnsi" w:cstheme="minorHAnsi"/>
        <w:i/>
        <w:iCs/>
      </w:rPr>
      <w:t>5</w:t>
    </w:r>
    <w:r w:rsidR="005400F8" w:rsidRPr="00E56512">
      <w:rPr>
        <w:rFonts w:asciiTheme="minorHAnsi" w:hAnsiTheme="minorHAnsi" w:cstheme="minorHAnsi"/>
        <w:i/>
        <w:iCs/>
      </w:rPr>
      <w:t xml:space="preserve"> PBAC meeting </w:t>
    </w:r>
  </w:p>
  <w:p w14:paraId="2F08C4D0" w14:textId="77777777" w:rsidR="005400F8" w:rsidRDefault="005400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AA036A"/>
    <w:multiLevelType w:val="hybridMultilevel"/>
    <w:tmpl w:val="41ACC8E8"/>
    <w:lvl w:ilvl="0" w:tplc="2840984E">
      <w:start w:val="1"/>
      <w:numFmt w:val="bullet"/>
      <w:lvlText w:val=""/>
      <w:lvlJc w:val="left"/>
      <w:pPr>
        <w:ind w:left="1080" w:hanging="360"/>
      </w:pPr>
      <w:rPr>
        <w:rFonts w:ascii="Symbol" w:hAnsi="Symbol"/>
      </w:rPr>
    </w:lvl>
    <w:lvl w:ilvl="1" w:tplc="658C10A0">
      <w:start w:val="1"/>
      <w:numFmt w:val="bullet"/>
      <w:lvlText w:val=""/>
      <w:lvlJc w:val="left"/>
      <w:pPr>
        <w:ind w:left="1080" w:hanging="360"/>
      </w:pPr>
      <w:rPr>
        <w:rFonts w:ascii="Symbol" w:hAnsi="Symbol"/>
      </w:rPr>
    </w:lvl>
    <w:lvl w:ilvl="2" w:tplc="5110330E">
      <w:start w:val="1"/>
      <w:numFmt w:val="bullet"/>
      <w:lvlText w:val=""/>
      <w:lvlJc w:val="left"/>
      <w:pPr>
        <w:ind w:left="1080" w:hanging="360"/>
      </w:pPr>
      <w:rPr>
        <w:rFonts w:ascii="Symbol" w:hAnsi="Symbol"/>
      </w:rPr>
    </w:lvl>
    <w:lvl w:ilvl="3" w:tplc="2612EA32">
      <w:start w:val="1"/>
      <w:numFmt w:val="bullet"/>
      <w:lvlText w:val=""/>
      <w:lvlJc w:val="left"/>
      <w:pPr>
        <w:ind w:left="1080" w:hanging="360"/>
      </w:pPr>
      <w:rPr>
        <w:rFonts w:ascii="Symbol" w:hAnsi="Symbol"/>
      </w:rPr>
    </w:lvl>
    <w:lvl w:ilvl="4" w:tplc="0E90FFBE">
      <w:start w:val="1"/>
      <w:numFmt w:val="bullet"/>
      <w:lvlText w:val=""/>
      <w:lvlJc w:val="left"/>
      <w:pPr>
        <w:ind w:left="1080" w:hanging="360"/>
      </w:pPr>
      <w:rPr>
        <w:rFonts w:ascii="Symbol" w:hAnsi="Symbol"/>
      </w:rPr>
    </w:lvl>
    <w:lvl w:ilvl="5" w:tplc="C212B748">
      <w:start w:val="1"/>
      <w:numFmt w:val="bullet"/>
      <w:lvlText w:val=""/>
      <w:lvlJc w:val="left"/>
      <w:pPr>
        <w:ind w:left="1080" w:hanging="360"/>
      </w:pPr>
      <w:rPr>
        <w:rFonts w:ascii="Symbol" w:hAnsi="Symbol"/>
      </w:rPr>
    </w:lvl>
    <w:lvl w:ilvl="6" w:tplc="B8644822">
      <w:start w:val="1"/>
      <w:numFmt w:val="bullet"/>
      <w:lvlText w:val=""/>
      <w:lvlJc w:val="left"/>
      <w:pPr>
        <w:ind w:left="1080" w:hanging="360"/>
      </w:pPr>
      <w:rPr>
        <w:rFonts w:ascii="Symbol" w:hAnsi="Symbol"/>
      </w:rPr>
    </w:lvl>
    <w:lvl w:ilvl="7" w:tplc="BE4A931A">
      <w:start w:val="1"/>
      <w:numFmt w:val="bullet"/>
      <w:lvlText w:val=""/>
      <w:lvlJc w:val="left"/>
      <w:pPr>
        <w:ind w:left="1080" w:hanging="360"/>
      </w:pPr>
      <w:rPr>
        <w:rFonts w:ascii="Symbol" w:hAnsi="Symbol"/>
      </w:rPr>
    </w:lvl>
    <w:lvl w:ilvl="8" w:tplc="D0AE2E96">
      <w:start w:val="1"/>
      <w:numFmt w:val="bullet"/>
      <w:lvlText w:val=""/>
      <w:lvlJc w:val="left"/>
      <w:pPr>
        <w:ind w:left="1080" w:hanging="360"/>
      </w:pPr>
      <w:rPr>
        <w:rFonts w:ascii="Symbol" w:hAnsi="Symbol"/>
      </w:rPr>
    </w:lvl>
  </w:abstractNum>
  <w:abstractNum w:abstractNumId="3" w15:restartNumberingAfterBreak="0">
    <w:nsid w:val="0CC043B0"/>
    <w:multiLevelType w:val="hybridMultilevel"/>
    <w:tmpl w:val="344C9238"/>
    <w:lvl w:ilvl="0" w:tplc="F0F0DC32">
      <w:start w:val="1"/>
      <w:numFmt w:val="lowerRoman"/>
      <w:lvlText w:val="(%1)"/>
      <w:lvlJc w:val="left"/>
      <w:pPr>
        <w:ind w:left="1080" w:hanging="720"/>
      </w:pPr>
      <w:rPr>
        <w:rFonts w:hint="default"/>
        <w:b w:val="0"/>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FB3625"/>
    <w:multiLevelType w:val="hybridMultilevel"/>
    <w:tmpl w:val="CD945F9E"/>
    <w:lvl w:ilvl="0" w:tplc="B7A25A26">
      <w:start w:val="1"/>
      <w:numFmt w:val="bullet"/>
      <w:lvlText w:val=""/>
      <w:lvlJc w:val="left"/>
      <w:pPr>
        <w:ind w:left="720" w:hanging="360"/>
      </w:pPr>
      <w:rPr>
        <w:rFonts w:ascii="Symbol" w:hAnsi="Symbol"/>
      </w:rPr>
    </w:lvl>
    <w:lvl w:ilvl="1" w:tplc="FEF8309A">
      <w:start w:val="1"/>
      <w:numFmt w:val="bullet"/>
      <w:lvlText w:val=""/>
      <w:lvlJc w:val="left"/>
      <w:pPr>
        <w:ind w:left="720" w:hanging="360"/>
      </w:pPr>
      <w:rPr>
        <w:rFonts w:ascii="Symbol" w:hAnsi="Symbol"/>
      </w:rPr>
    </w:lvl>
    <w:lvl w:ilvl="2" w:tplc="1230FCD6">
      <w:start w:val="1"/>
      <w:numFmt w:val="bullet"/>
      <w:lvlText w:val=""/>
      <w:lvlJc w:val="left"/>
      <w:pPr>
        <w:ind w:left="720" w:hanging="360"/>
      </w:pPr>
      <w:rPr>
        <w:rFonts w:ascii="Symbol" w:hAnsi="Symbol"/>
      </w:rPr>
    </w:lvl>
    <w:lvl w:ilvl="3" w:tplc="41828674">
      <w:start w:val="1"/>
      <w:numFmt w:val="bullet"/>
      <w:lvlText w:val=""/>
      <w:lvlJc w:val="left"/>
      <w:pPr>
        <w:ind w:left="720" w:hanging="360"/>
      </w:pPr>
      <w:rPr>
        <w:rFonts w:ascii="Symbol" w:hAnsi="Symbol"/>
      </w:rPr>
    </w:lvl>
    <w:lvl w:ilvl="4" w:tplc="971EEF5C">
      <w:start w:val="1"/>
      <w:numFmt w:val="bullet"/>
      <w:lvlText w:val=""/>
      <w:lvlJc w:val="left"/>
      <w:pPr>
        <w:ind w:left="720" w:hanging="360"/>
      </w:pPr>
      <w:rPr>
        <w:rFonts w:ascii="Symbol" w:hAnsi="Symbol"/>
      </w:rPr>
    </w:lvl>
    <w:lvl w:ilvl="5" w:tplc="4C6EA41A">
      <w:start w:val="1"/>
      <w:numFmt w:val="bullet"/>
      <w:lvlText w:val=""/>
      <w:lvlJc w:val="left"/>
      <w:pPr>
        <w:ind w:left="720" w:hanging="360"/>
      </w:pPr>
      <w:rPr>
        <w:rFonts w:ascii="Symbol" w:hAnsi="Symbol"/>
      </w:rPr>
    </w:lvl>
    <w:lvl w:ilvl="6" w:tplc="2BEEC6C6">
      <w:start w:val="1"/>
      <w:numFmt w:val="bullet"/>
      <w:lvlText w:val=""/>
      <w:lvlJc w:val="left"/>
      <w:pPr>
        <w:ind w:left="720" w:hanging="360"/>
      </w:pPr>
      <w:rPr>
        <w:rFonts w:ascii="Symbol" w:hAnsi="Symbol"/>
      </w:rPr>
    </w:lvl>
    <w:lvl w:ilvl="7" w:tplc="480C615E">
      <w:start w:val="1"/>
      <w:numFmt w:val="bullet"/>
      <w:lvlText w:val=""/>
      <w:lvlJc w:val="left"/>
      <w:pPr>
        <w:ind w:left="720" w:hanging="360"/>
      </w:pPr>
      <w:rPr>
        <w:rFonts w:ascii="Symbol" w:hAnsi="Symbol"/>
      </w:rPr>
    </w:lvl>
    <w:lvl w:ilvl="8" w:tplc="B0927516">
      <w:start w:val="1"/>
      <w:numFmt w:val="bullet"/>
      <w:lvlText w:val=""/>
      <w:lvlJc w:val="left"/>
      <w:pPr>
        <w:ind w:left="720" w:hanging="360"/>
      </w:pPr>
      <w:rPr>
        <w:rFonts w:ascii="Symbol" w:hAnsi="Symbol"/>
      </w:rPr>
    </w:lvl>
  </w:abstractNum>
  <w:abstractNum w:abstractNumId="5" w15:restartNumberingAfterBreak="0">
    <w:nsid w:val="0E753EA6"/>
    <w:multiLevelType w:val="hybridMultilevel"/>
    <w:tmpl w:val="36886EFA"/>
    <w:lvl w:ilvl="0" w:tplc="0FB6151E">
      <w:start w:val="1"/>
      <w:numFmt w:val="bullet"/>
      <w:lvlText w:val=""/>
      <w:lvlJc w:val="left"/>
      <w:pPr>
        <w:ind w:left="1080" w:hanging="360"/>
      </w:pPr>
      <w:rPr>
        <w:rFonts w:ascii="Symbol" w:hAnsi="Symbol"/>
      </w:rPr>
    </w:lvl>
    <w:lvl w:ilvl="1" w:tplc="87E613B8">
      <w:start w:val="1"/>
      <w:numFmt w:val="bullet"/>
      <w:lvlText w:val=""/>
      <w:lvlJc w:val="left"/>
      <w:pPr>
        <w:ind w:left="1080" w:hanging="360"/>
      </w:pPr>
      <w:rPr>
        <w:rFonts w:ascii="Symbol" w:hAnsi="Symbol"/>
      </w:rPr>
    </w:lvl>
    <w:lvl w:ilvl="2" w:tplc="EA08D2EE">
      <w:start w:val="1"/>
      <w:numFmt w:val="bullet"/>
      <w:lvlText w:val=""/>
      <w:lvlJc w:val="left"/>
      <w:pPr>
        <w:ind w:left="1080" w:hanging="360"/>
      </w:pPr>
      <w:rPr>
        <w:rFonts w:ascii="Symbol" w:hAnsi="Symbol"/>
      </w:rPr>
    </w:lvl>
    <w:lvl w:ilvl="3" w:tplc="94087D9E">
      <w:start w:val="1"/>
      <w:numFmt w:val="bullet"/>
      <w:lvlText w:val=""/>
      <w:lvlJc w:val="left"/>
      <w:pPr>
        <w:ind w:left="1080" w:hanging="360"/>
      </w:pPr>
      <w:rPr>
        <w:rFonts w:ascii="Symbol" w:hAnsi="Symbol"/>
      </w:rPr>
    </w:lvl>
    <w:lvl w:ilvl="4" w:tplc="B508A230">
      <w:start w:val="1"/>
      <w:numFmt w:val="bullet"/>
      <w:lvlText w:val=""/>
      <w:lvlJc w:val="left"/>
      <w:pPr>
        <w:ind w:left="1080" w:hanging="360"/>
      </w:pPr>
      <w:rPr>
        <w:rFonts w:ascii="Symbol" w:hAnsi="Symbol"/>
      </w:rPr>
    </w:lvl>
    <w:lvl w:ilvl="5" w:tplc="A87C2E22">
      <w:start w:val="1"/>
      <w:numFmt w:val="bullet"/>
      <w:lvlText w:val=""/>
      <w:lvlJc w:val="left"/>
      <w:pPr>
        <w:ind w:left="1080" w:hanging="360"/>
      </w:pPr>
      <w:rPr>
        <w:rFonts w:ascii="Symbol" w:hAnsi="Symbol"/>
      </w:rPr>
    </w:lvl>
    <w:lvl w:ilvl="6" w:tplc="5AD07B82">
      <w:start w:val="1"/>
      <w:numFmt w:val="bullet"/>
      <w:lvlText w:val=""/>
      <w:lvlJc w:val="left"/>
      <w:pPr>
        <w:ind w:left="1080" w:hanging="360"/>
      </w:pPr>
      <w:rPr>
        <w:rFonts w:ascii="Symbol" w:hAnsi="Symbol"/>
      </w:rPr>
    </w:lvl>
    <w:lvl w:ilvl="7" w:tplc="A36AC66E">
      <w:start w:val="1"/>
      <w:numFmt w:val="bullet"/>
      <w:lvlText w:val=""/>
      <w:lvlJc w:val="left"/>
      <w:pPr>
        <w:ind w:left="1080" w:hanging="360"/>
      </w:pPr>
      <w:rPr>
        <w:rFonts w:ascii="Symbol" w:hAnsi="Symbol"/>
      </w:rPr>
    </w:lvl>
    <w:lvl w:ilvl="8" w:tplc="052E2936">
      <w:start w:val="1"/>
      <w:numFmt w:val="bullet"/>
      <w:lvlText w:val=""/>
      <w:lvlJc w:val="left"/>
      <w:pPr>
        <w:ind w:left="1080" w:hanging="360"/>
      </w:pPr>
      <w:rPr>
        <w:rFonts w:ascii="Symbol" w:hAnsi="Symbol"/>
      </w:rPr>
    </w:lvl>
  </w:abstractNum>
  <w:abstractNum w:abstractNumId="6" w15:restartNumberingAfterBreak="0">
    <w:nsid w:val="0EDC4166"/>
    <w:multiLevelType w:val="hybridMultilevel"/>
    <w:tmpl w:val="2F508F00"/>
    <w:lvl w:ilvl="0" w:tplc="96ACE954">
      <w:start w:val="1"/>
      <w:numFmt w:val="bullet"/>
      <w:lvlText w:val=""/>
      <w:lvlJc w:val="left"/>
      <w:pPr>
        <w:ind w:left="1080" w:hanging="360"/>
      </w:pPr>
      <w:rPr>
        <w:rFonts w:ascii="Symbol" w:hAnsi="Symbol"/>
      </w:rPr>
    </w:lvl>
    <w:lvl w:ilvl="1" w:tplc="DDF4918C">
      <w:start w:val="1"/>
      <w:numFmt w:val="bullet"/>
      <w:lvlText w:val=""/>
      <w:lvlJc w:val="left"/>
      <w:pPr>
        <w:ind w:left="1080" w:hanging="360"/>
      </w:pPr>
      <w:rPr>
        <w:rFonts w:ascii="Symbol" w:hAnsi="Symbol"/>
      </w:rPr>
    </w:lvl>
    <w:lvl w:ilvl="2" w:tplc="4C886A40">
      <w:start w:val="1"/>
      <w:numFmt w:val="bullet"/>
      <w:lvlText w:val=""/>
      <w:lvlJc w:val="left"/>
      <w:pPr>
        <w:ind w:left="1080" w:hanging="360"/>
      </w:pPr>
      <w:rPr>
        <w:rFonts w:ascii="Symbol" w:hAnsi="Symbol"/>
      </w:rPr>
    </w:lvl>
    <w:lvl w:ilvl="3" w:tplc="9210010C">
      <w:start w:val="1"/>
      <w:numFmt w:val="bullet"/>
      <w:lvlText w:val=""/>
      <w:lvlJc w:val="left"/>
      <w:pPr>
        <w:ind w:left="1080" w:hanging="360"/>
      </w:pPr>
      <w:rPr>
        <w:rFonts w:ascii="Symbol" w:hAnsi="Symbol"/>
      </w:rPr>
    </w:lvl>
    <w:lvl w:ilvl="4" w:tplc="88CA229A">
      <w:start w:val="1"/>
      <w:numFmt w:val="bullet"/>
      <w:lvlText w:val=""/>
      <w:lvlJc w:val="left"/>
      <w:pPr>
        <w:ind w:left="1080" w:hanging="360"/>
      </w:pPr>
      <w:rPr>
        <w:rFonts w:ascii="Symbol" w:hAnsi="Symbol"/>
      </w:rPr>
    </w:lvl>
    <w:lvl w:ilvl="5" w:tplc="D8086ADC">
      <w:start w:val="1"/>
      <w:numFmt w:val="bullet"/>
      <w:lvlText w:val=""/>
      <w:lvlJc w:val="left"/>
      <w:pPr>
        <w:ind w:left="1080" w:hanging="360"/>
      </w:pPr>
      <w:rPr>
        <w:rFonts w:ascii="Symbol" w:hAnsi="Symbol"/>
      </w:rPr>
    </w:lvl>
    <w:lvl w:ilvl="6" w:tplc="18A85A30">
      <w:start w:val="1"/>
      <w:numFmt w:val="bullet"/>
      <w:lvlText w:val=""/>
      <w:lvlJc w:val="left"/>
      <w:pPr>
        <w:ind w:left="1080" w:hanging="360"/>
      </w:pPr>
      <w:rPr>
        <w:rFonts w:ascii="Symbol" w:hAnsi="Symbol"/>
      </w:rPr>
    </w:lvl>
    <w:lvl w:ilvl="7" w:tplc="74C2B3BC">
      <w:start w:val="1"/>
      <w:numFmt w:val="bullet"/>
      <w:lvlText w:val=""/>
      <w:lvlJc w:val="left"/>
      <w:pPr>
        <w:ind w:left="1080" w:hanging="360"/>
      </w:pPr>
      <w:rPr>
        <w:rFonts w:ascii="Symbol" w:hAnsi="Symbol"/>
      </w:rPr>
    </w:lvl>
    <w:lvl w:ilvl="8" w:tplc="CC6AB2CE">
      <w:start w:val="1"/>
      <w:numFmt w:val="bullet"/>
      <w:lvlText w:val=""/>
      <w:lvlJc w:val="left"/>
      <w:pPr>
        <w:ind w:left="1080" w:hanging="360"/>
      </w:pPr>
      <w:rPr>
        <w:rFonts w:ascii="Symbol" w:hAnsi="Symbol"/>
      </w:rPr>
    </w:lvl>
  </w:abstractNum>
  <w:abstractNum w:abstractNumId="7" w15:restartNumberingAfterBreak="0">
    <w:nsid w:val="0EE2364A"/>
    <w:multiLevelType w:val="hybridMultilevel"/>
    <w:tmpl w:val="CA580DE6"/>
    <w:lvl w:ilvl="0" w:tplc="0C090001">
      <w:start w:val="1"/>
      <w:numFmt w:val="bullet"/>
      <w:lvlText w:val=""/>
      <w:lvlJc w:val="left"/>
      <w:pPr>
        <w:ind w:left="700" w:hanging="360"/>
      </w:pPr>
      <w:rPr>
        <w:rFonts w:ascii="Symbol" w:hAnsi="Symbol" w:hint="default"/>
      </w:rPr>
    </w:lvl>
    <w:lvl w:ilvl="1" w:tplc="0C090019">
      <w:start w:val="1"/>
      <w:numFmt w:val="lowerLetter"/>
      <w:lvlText w:val="%2."/>
      <w:lvlJc w:val="left"/>
      <w:pPr>
        <w:ind w:left="1420" w:hanging="360"/>
      </w:pPr>
    </w:lvl>
    <w:lvl w:ilvl="2" w:tplc="0C09001B">
      <w:start w:val="1"/>
      <w:numFmt w:val="lowerRoman"/>
      <w:lvlText w:val="%3."/>
      <w:lvlJc w:val="right"/>
      <w:pPr>
        <w:ind w:left="2140" w:hanging="180"/>
      </w:pPr>
    </w:lvl>
    <w:lvl w:ilvl="3" w:tplc="0C09000F">
      <w:start w:val="1"/>
      <w:numFmt w:val="decimal"/>
      <w:lvlText w:val="%4."/>
      <w:lvlJc w:val="left"/>
      <w:pPr>
        <w:ind w:left="2860" w:hanging="360"/>
      </w:pPr>
    </w:lvl>
    <w:lvl w:ilvl="4" w:tplc="0C090019">
      <w:start w:val="1"/>
      <w:numFmt w:val="lowerLetter"/>
      <w:lvlText w:val="%5."/>
      <w:lvlJc w:val="left"/>
      <w:pPr>
        <w:ind w:left="3580" w:hanging="360"/>
      </w:pPr>
    </w:lvl>
    <w:lvl w:ilvl="5" w:tplc="0C09001B">
      <w:start w:val="1"/>
      <w:numFmt w:val="lowerRoman"/>
      <w:lvlText w:val="%6."/>
      <w:lvlJc w:val="right"/>
      <w:pPr>
        <w:ind w:left="4300" w:hanging="180"/>
      </w:pPr>
    </w:lvl>
    <w:lvl w:ilvl="6" w:tplc="0C09000F">
      <w:start w:val="1"/>
      <w:numFmt w:val="decimal"/>
      <w:lvlText w:val="%7."/>
      <w:lvlJc w:val="left"/>
      <w:pPr>
        <w:ind w:left="5020" w:hanging="360"/>
      </w:pPr>
    </w:lvl>
    <w:lvl w:ilvl="7" w:tplc="0C090019">
      <w:start w:val="1"/>
      <w:numFmt w:val="lowerLetter"/>
      <w:lvlText w:val="%8."/>
      <w:lvlJc w:val="left"/>
      <w:pPr>
        <w:ind w:left="5740" w:hanging="360"/>
      </w:pPr>
    </w:lvl>
    <w:lvl w:ilvl="8" w:tplc="0C09001B">
      <w:start w:val="1"/>
      <w:numFmt w:val="lowerRoman"/>
      <w:lvlText w:val="%9."/>
      <w:lvlJc w:val="right"/>
      <w:pPr>
        <w:ind w:left="6460" w:hanging="180"/>
      </w:pPr>
    </w:lvl>
  </w:abstractNum>
  <w:abstractNum w:abstractNumId="8" w15:restartNumberingAfterBreak="0">
    <w:nsid w:val="0FA30743"/>
    <w:multiLevelType w:val="hybridMultilevel"/>
    <w:tmpl w:val="8FEE3EA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7A42BE7"/>
    <w:multiLevelType w:val="hybridMultilevel"/>
    <w:tmpl w:val="1554B66C"/>
    <w:lvl w:ilvl="0" w:tplc="DA3CCE0C">
      <w:start w:val="1"/>
      <w:numFmt w:val="bullet"/>
      <w:lvlText w:val=""/>
      <w:lvlJc w:val="left"/>
      <w:pPr>
        <w:ind w:left="1800" w:hanging="360"/>
      </w:pPr>
      <w:rPr>
        <w:rFonts w:ascii="Symbol" w:hAnsi="Symbol"/>
      </w:rPr>
    </w:lvl>
    <w:lvl w:ilvl="1" w:tplc="1D6E79D2">
      <w:start w:val="1"/>
      <w:numFmt w:val="bullet"/>
      <w:lvlText w:val=""/>
      <w:lvlJc w:val="left"/>
      <w:pPr>
        <w:ind w:left="1800" w:hanging="360"/>
      </w:pPr>
      <w:rPr>
        <w:rFonts w:ascii="Symbol" w:hAnsi="Symbol"/>
      </w:rPr>
    </w:lvl>
    <w:lvl w:ilvl="2" w:tplc="D284CEDC">
      <w:start w:val="1"/>
      <w:numFmt w:val="bullet"/>
      <w:lvlText w:val=""/>
      <w:lvlJc w:val="left"/>
      <w:pPr>
        <w:ind w:left="1800" w:hanging="360"/>
      </w:pPr>
      <w:rPr>
        <w:rFonts w:ascii="Symbol" w:hAnsi="Symbol"/>
      </w:rPr>
    </w:lvl>
    <w:lvl w:ilvl="3" w:tplc="80CEC564">
      <w:start w:val="1"/>
      <w:numFmt w:val="bullet"/>
      <w:lvlText w:val=""/>
      <w:lvlJc w:val="left"/>
      <w:pPr>
        <w:ind w:left="1800" w:hanging="360"/>
      </w:pPr>
      <w:rPr>
        <w:rFonts w:ascii="Symbol" w:hAnsi="Symbol"/>
      </w:rPr>
    </w:lvl>
    <w:lvl w:ilvl="4" w:tplc="0A70EED8">
      <w:start w:val="1"/>
      <w:numFmt w:val="bullet"/>
      <w:lvlText w:val=""/>
      <w:lvlJc w:val="left"/>
      <w:pPr>
        <w:ind w:left="1800" w:hanging="360"/>
      </w:pPr>
      <w:rPr>
        <w:rFonts w:ascii="Symbol" w:hAnsi="Symbol"/>
      </w:rPr>
    </w:lvl>
    <w:lvl w:ilvl="5" w:tplc="5A0270CA">
      <w:start w:val="1"/>
      <w:numFmt w:val="bullet"/>
      <w:lvlText w:val=""/>
      <w:lvlJc w:val="left"/>
      <w:pPr>
        <w:ind w:left="1800" w:hanging="360"/>
      </w:pPr>
      <w:rPr>
        <w:rFonts w:ascii="Symbol" w:hAnsi="Symbol"/>
      </w:rPr>
    </w:lvl>
    <w:lvl w:ilvl="6" w:tplc="6C382E18">
      <w:start w:val="1"/>
      <w:numFmt w:val="bullet"/>
      <w:lvlText w:val=""/>
      <w:lvlJc w:val="left"/>
      <w:pPr>
        <w:ind w:left="1800" w:hanging="360"/>
      </w:pPr>
      <w:rPr>
        <w:rFonts w:ascii="Symbol" w:hAnsi="Symbol"/>
      </w:rPr>
    </w:lvl>
    <w:lvl w:ilvl="7" w:tplc="B82287A6">
      <w:start w:val="1"/>
      <w:numFmt w:val="bullet"/>
      <w:lvlText w:val=""/>
      <w:lvlJc w:val="left"/>
      <w:pPr>
        <w:ind w:left="1800" w:hanging="360"/>
      </w:pPr>
      <w:rPr>
        <w:rFonts w:ascii="Symbol" w:hAnsi="Symbol"/>
      </w:rPr>
    </w:lvl>
    <w:lvl w:ilvl="8" w:tplc="91B8E75E">
      <w:start w:val="1"/>
      <w:numFmt w:val="bullet"/>
      <w:lvlText w:val=""/>
      <w:lvlJc w:val="left"/>
      <w:pPr>
        <w:ind w:left="1800" w:hanging="360"/>
      </w:pPr>
      <w:rPr>
        <w:rFonts w:ascii="Symbol" w:hAnsi="Symbol"/>
      </w:rPr>
    </w:lvl>
  </w:abstractNum>
  <w:abstractNum w:abstractNumId="10" w15:restartNumberingAfterBreak="0">
    <w:nsid w:val="1FC50BFF"/>
    <w:multiLevelType w:val="hybridMultilevel"/>
    <w:tmpl w:val="6380AA68"/>
    <w:lvl w:ilvl="0" w:tplc="A9BE7B7A">
      <w:start w:val="1"/>
      <w:numFmt w:val="bullet"/>
      <w:pStyle w:val="EndNoteBibliography"/>
      <w:lvlText w:val=""/>
      <w:lvlJc w:val="left"/>
      <w:pPr>
        <w:ind w:left="149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F85601"/>
    <w:multiLevelType w:val="hybridMultilevel"/>
    <w:tmpl w:val="426EDC88"/>
    <w:lvl w:ilvl="0" w:tplc="FF04BFFE">
      <w:start w:val="1"/>
      <w:numFmt w:val="bullet"/>
      <w:lvlText w:val=""/>
      <w:lvlJc w:val="left"/>
      <w:pPr>
        <w:ind w:left="980" w:hanging="360"/>
      </w:pPr>
      <w:rPr>
        <w:rFonts w:ascii="Symbol" w:hAnsi="Symbol"/>
      </w:rPr>
    </w:lvl>
    <w:lvl w:ilvl="1" w:tplc="1B5C19F8">
      <w:start w:val="1"/>
      <w:numFmt w:val="bullet"/>
      <w:lvlText w:val=""/>
      <w:lvlJc w:val="left"/>
      <w:pPr>
        <w:ind w:left="980" w:hanging="360"/>
      </w:pPr>
      <w:rPr>
        <w:rFonts w:ascii="Symbol" w:hAnsi="Symbol"/>
      </w:rPr>
    </w:lvl>
    <w:lvl w:ilvl="2" w:tplc="803E2B04">
      <w:start w:val="1"/>
      <w:numFmt w:val="bullet"/>
      <w:lvlText w:val=""/>
      <w:lvlJc w:val="left"/>
      <w:pPr>
        <w:ind w:left="980" w:hanging="360"/>
      </w:pPr>
      <w:rPr>
        <w:rFonts w:ascii="Symbol" w:hAnsi="Symbol"/>
      </w:rPr>
    </w:lvl>
    <w:lvl w:ilvl="3" w:tplc="898C264C">
      <w:start w:val="1"/>
      <w:numFmt w:val="bullet"/>
      <w:lvlText w:val=""/>
      <w:lvlJc w:val="left"/>
      <w:pPr>
        <w:ind w:left="980" w:hanging="360"/>
      </w:pPr>
      <w:rPr>
        <w:rFonts w:ascii="Symbol" w:hAnsi="Symbol"/>
      </w:rPr>
    </w:lvl>
    <w:lvl w:ilvl="4" w:tplc="77F20C70">
      <w:start w:val="1"/>
      <w:numFmt w:val="bullet"/>
      <w:lvlText w:val=""/>
      <w:lvlJc w:val="left"/>
      <w:pPr>
        <w:ind w:left="980" w:hanging="360"/>
      </w:pPr>
      <w:rPr>
        <w:rFonts w:ascii="Symbol" w:hAnsi="Symbol"/>
      </w:rPr>
    </w:lvl>
    <w:lvl w:ilvl="5" w:tplc="9678E9D2">
      <w:start w:val="1"/>
      <w:numFmt w:val="bullet"/>
      <w:lvlText w:val=""/>
      <w:lvlJc w:val="left"/>
      <w:pPr>
        <w:ind w:left="980" w:hanging="360"/>
      </w:pPr>
      <w:rPr>
        <w:rFonts w:ascii="Symbol" w:hAnsi="Symbol"/>
      </w:rPr>
    </w:lvl>
    <w:lvl w:ilvl="6" w:tplc="9A82DB8C">
      <w:start w:val="1"/>
      <w:numFmt w:val="bullet"/>
      <w:lvlText w:val=""/>
      <w:lvlJc w:val="left"/>
      <w:pPr>
        <w:ind w:left="980" w:hanging="360"/>
      </w:pPr>
      <w:rPr>
        <w:rFonts w:ascii="Symbol" w:hAnsi="Symbol"/>
      </w:rPr>
    </w:lvl>
    <w:lvl w:ilvl="7" w:tplc="022CB6F6">
      <w:start w:val="1"/>
      <w:numFmt w:val="bullet"/>
      <w:lvlText w:val=""/>
      <w:lvlJc w:val="left"/>
      <w:pPr>
        <w:ind w:left="980" w:hanging="360"/>
      </w:pPr>
      <w:rPr>
        <w:rFonts w:ascii="Symbol" w:hAnsi="Symbol"/>
      </w:rPr>
    </w:lvl>
    <w:lvl w:ilvl="8" w:tplc="879E4AC8">
      <w:start w:val="1"/>
      <w:numFmt w:val="bullet"/>
      <w:lvlText w:val=""/>
      <w:lvlJc w:val="left"/>
      <w:pPr>
        <w:ind w:left="980" w:hanging="360"/>
      </w:pPr>
      <w:rPr>
        <w:rFonts w:ascii="Symbol" w:hAnsi="Symbol"/>
      </w:rPr>
    </w:lvl>
  </w:abstractNum>
  <w:abstractNum w:abstractNumId="12"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3732D0"/>
    <w:multiLevelType w:val="hybridMultilevel"/>
    <w:tmpl w:val="34560E7A"/>
    <w:lvl w:ilvl="0" w:tplc="CB365B2A">
      <w:start w:val="1"/>
      <w:numFmt w:val="bullet"/>
      <w:lvlText w:val=""/>
      <w:lvlJc w:val="left"/>
      <w:pPr>
        <w:ind w:left="1080" w:hanging="360"/>
      </w:pPr>
      <w:rPr>
        <w:rFonts w:ascii="Symbol" w:hAnsi="Symbol"/>
      </w:rPr>
    </w:lvl>
    <w:lvl w:ilvl="1" w:tplc="CF1CE69E">
      <w:start w:val="1"/>
      <w:numFmt w:val="bullet"/>
      <w:lvlText w:val=""/>
      <w:lvlJc w:val="left"/>
      <w:pPr>
        <w:ind w:left="1080" w:hanging="360"/>
      </w:pPr>
      <w:rPr>
        <w:rFonts w:ascii="Symbol" w:hAnsi="Symbol"/>
      </w:rPr>
    </w:lvl>
    <w:lvl w:ilvl="2" w:tplc="FF4EE380">
      <w:start w:val="1"/>
      <w:numFmt w:val="bullet"/>
      <w:lvlText w:val=""/>
      <w:lvlJc w:val="left"/>
      <w:pPr>
        <w:ind w:left="1080" w:hanging="360"/>
      </w:pPr>
      <w:rPr>
        <w:rFonts w:ascii="Symbol" w:hAnsi="Symbol"/>
      </w:rPr>
    </w:lvl>
    <w:lvl w:ilvl="3" w:tplc="223E142A">
      <w:start w:val="1"/>
      <w:numFmt w:val="bullet"/>
      <w:lvlText w:val=""/>
      <w:lvlJc w:val="left"/>
      <w:pPr>
        <w:ind w:left="1080" w:hanging="360"/>
      </w:pPr>
      <w:rPr>
        <w:rFonts w:ascii="Symbol" w:hAnsi="Symbol"/>
      </w:rPr>
    </w:lvl>
    <w:lvl w:ilvl="4" w:tplc="E1AC07DE">
      <w:start w:val="1"/>
      <w:numFmt w:val="bullet"/>
      <w:lvlText w:val=""/>
      <w:lvlJc w:val="left"/>
      <w:pPr>
        <w:ind w:left="1080" w:hanging="360"/>
      </w:pPr>
      <w:rPr>
        <w:rFonts w:ascii="Symbol" w:hAnsi="Symbol"/>
      </w:rPr>
    </w:lvl>
    <w:lvl w:ilvl="5" w:tplc="29CAB348">
      <w:start w:val="1"/>
      <w:numFmt w:val="bullet"/>
      <w:lvlText w:val=""/>
      <w:lvlJc w:val="left"/>
      <w:pPr>
        <w:ind w:left="1080" w:hanging="360"/>
      </w:pPr>
      <w:rPr>
        <w:rFonts w:ascii="Symbol" w:hAnsi="Symbol"/>
      </w:rPr>
    </w:lvl>
    <w:lvl w:ilvl="6" w:tplc="52BC6174">
      <w:start w:val="1"/>
      <w:numFmt w:val="bullet"/>
      <w:lvlText w:val=""/>
      <w:lvlJc w:val="left"/>
      <w:pPr>
        <w:ind w:left="1080" w:hanging="360"/>
      </w:pPr>
      <w:rPr>
        <w:rFonts w:ascii="Symbol" w:hAnsi="Symbol"/>
      </w:rPr>
    </w:lvl>
    <w:lvl w:ilvl="7" w:tplc="01A0DA56">
      <w:start w:val="1"/>
      <w:numFmt w:val="bullet"/>
      <w:lvlText w:val=""/>
      <w:lvlJc w:val="left"/>
      <w:pPr>
        <w:ind w:left="1080" w:hanging="360"/>
      </w:pPr>
      <w:rPr>
        <w:rFonts w:ascii="Symbol" w:hAnsi="Symbol"/>
      </w:rPr>
    </w:lvl>
    <w:lvl w:ilvl="8" w:tplc="AB241AC4">
      <w:start w:val="1"/>
      <w:numFmt w:val="bullet"/>
      <w:lvlText w:val=""/>
      <w:lvlJc w:val="left"/>
      <w:pPr>
        <w:ind w:left="1080" w:hanging="360"/>
      </w:pPr>
      <w:rPr>
        <w:rFonts w:ascii="Symbol" w:hAnsi="Symbol"/>
      </w:rPr>
    </w:lvl>
  </w:abstractNum>
  <w:abstractNum w:abstractNumId="15" w15:restartNumberingAfterBreak="0">
    <w:nsid w:val="293C2657"/>
    <w:multiLevelType w:val="hybridMultilevel"/>
    <w:tmpl w:val="3D9CFE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29696CEF"/>
    <w:multiLevelType w:val="hybridMultilevel"/>
    <w:tmpl w:val="DBC841A4"/>
    <w:lvl w:ilvl="0" w:tplc="B5D086DA">
      <w:start w:val="1"/>
      <w:numFmt w:val="bullet"/>
      <w:lvlText w:val=""/>
      <w:lvlJc w:val="left"/>
      <w:pPr>
        <w:ind w:left="1080" w:hanging="360"/>
      </w:pPr>
      <w:rPr>
        <w:rFonts w:ascii="Symbol" w:hAnsi="Symbol"/>
      </w:rPr>
    </w:lvl>
    <w:lvl w:ilvl="1" w:tplc="EF60D856">
      <w:start w:val="1"/>
      <w:numFmt w:val="bullet"/>
      <w:lvlText w:val=""/>
      <w:lvlJc w:val="left"/>
      <w:pPr>
        <w:ind w:left="1080" w:hanging="360"/>
      </w:pPr>
      <w:rPr>
        <w:rFonts w:ascii="Symbol" w:hAnsi="Symbol"/>
      </w:rPr>
    </w:lvl>
    <w:lvl w:ilvl="2" w:tplc="E86611EA">
      <w:start w:val="1"/>
      <w:numFmt w:val="bullet"/>
      <w:lvlText w:val=""/>
      <w:lvlJc w:val="left"/>
      <w:pPr>
        <w:ind w:left="1080" w:hanging="360"/>
      </w:pPr>
      <w:rPr>
        <w:rFonts w:ascii="Symbol" w:hAnsi="Symbol"/>
      </w:rPr>
    </w:lvl>
    <w:lvl w:ilvl="3" w:tplc="80D01D5C">
      <w:start w:val="1"/>
      <w:numFmt w:val="bullet"/>
      <w:lvlText w:val=""/>
      <w:lvlJc w:val="left"/>
      <w:pPr>
        <w:ind w:left="1080" w:hanging="360"/>
      </w:pPr>
      <w:rPr>
        <w:rFonts w:ascii="Symbol" w:hAnsi="Symbol"/>
      </w:rPr>
    </w:lvl>
    <w:lvl w:ilvl="4" w:tplc="C602E5C6">
      <w:start w:val="1"/>
      <w:numFmt w:val="bullet"/>
      <w:lvlText w:val=""/>
      <w:lvlJc w:val="left"/>
      <w:pPr>
        <w:ind w:left="1080" w:hanging="360"/>
      </w:pPr>
      <w:rPr>
        <w:rFonts w:ascii="Symbol" w:hAnsi="Symbol"/>
      </w:rPr>
    </w:lvl>
    <w:lvl w:ilvl="5" w:tplc="6B2CD9AA">
      <w:start w:val="1"/>
      <w:numFmt w:val="bullet"/>
      <w:lvlText w:val=""/>
      <w:lvlJc w:val="left"/>
      <w:pPr>
        <w:ind w:left="1080" w:hanging="360"/>
      </w:pPr>
      <w:rPr>
        <w:rFonts w:ascii="Symbol" w:hAnsi="Symbol"/>
      </w:rPr>
    </w:lvl>
    <w:lvl w:ilvl="6" w:tplc="F2A42F7E">
      <w:start w:val="1"/>
      <w:numFmt w:val="bullet"/>
      <w:lvlText w:val=""/>
      <w:lvlJc w:val="left"/>
      <w:pPr>
        <w:ind w:left="1080" w:hanging="360"/>
      </w:pPr>
      <w:rPr>
        <w:rFonts w:ascii="Symbol" w:hAnsi="Symbol"/>
      </w:rPr>
    </w:lvl>
    <w:lvl w:ilvl="7" w:tplc="65B68A7C">
      <w:start w:val="1"/>
      <w:numFmt w:val="bullet"/>
      <w:lvlText w:val=""/>
      <w:lvlJc w:val="left"/>
      <w:pPr>
        <w:ind w:left="1080" w:hanging="360"/>
      </w:pPr>
      <w:rPr>
        <w:rFonts w:ascii="Symbol" w:hAnsi="Symbol"/>
      </w:rPr>
    </w:lvl>
    <w:lvl w:ilvl="8" w:tplc="3D3ED048">
      <w:start w:val="1"/>
      <w:numFmt w:val="bullet"/>
      <w:lvlText w:val=""/>
      <w:lvlJc w:val="left"/>
      <w:pPr>
        <w:ind w:left="1080" w:hanging="360"/>
      </w:pPr>
      <w:rPr>
        <w:rFonts w:ascii="Symbol" w:hAnsi="Symbol"/>
      </w:rPr>
    </w:lvl>
  </w:abstractNum>
  <w:abstractNum w:abstractNumId="17"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13629C1"/>
    <w:multiLevelType w:val="hybridMultilevel"/>
    <w:tmpl w:val="246C8EA0"/>
    <w:lvl w:ilvl="0" w:tplc="04B632F6">
      <w:start w:val="1"/>
      <w:numFmt w:val="bullet"/>
      <w:lvlText w:val=""/>
      <w:lvlJc w:val="left"/>
      <w:pPr>
        <w:ind w:left="1080" w:hanging="360"/>
      </w:pPr>
      <w:rPr>
        <w:rFonts w:ascii="Symbol" w:hAnsi="Symbol"/>
      </w:rPr>
    </w:lvl>
    <w:lvl w:ilvl="1" w:tplc="4ECC5B34">
      <w:start w:val="1"/>
      <w:numFmt w:val="bullet"/>
      <w:lvlText w:val=""/>
      <w:lvlJc w:val="left"/>
      <w:pPr>
        <w:ind w:left="1080" w:hanging="360"/>
      </w:pPr>
      <w:rPr>
        <w:rFonts w:ascii="Symbol" w:hAnsi="Symbol"/>
      </w:rPr>
    </w:lvl>
    <w:lvl w:ilvl="2" w:tplc="325C7F62">
      <w:start w:val="1"/>
      <w:numFmt w:val="bullet"/>
      <w:lvlText w:val=""/>
      <w:lvlJc w:val="left"/>
      <w:pPr>
        <w:ind w:left="1080" w:hanging="360"/>
      </w:pPr>
      <w:rPr>
        <w:rFonts w:ascii="Symbol" w:hAnsi="Symbol"/>
      </w:rPr>
    </w:lvl>
    <w:lvl w:ilvl="3" w:tplc="6ABE5EAE">
      <w:start w:val="1"/>
      <w:numFmt w:val="bullet"/>
      <w:lvlText w:val=""/>
      <w:lvlJc w:val="left"/>
      <w:pPr>
        <w:ind w:left="1080" w:hanging="360"/>
      </w:pPr>
      <w:rPr>
        <w:rFonts w:ascii="Symbol" w:hAnsi="Symbol"/>
      </w:rPr>
    </w:lvl>
    <w:lvl w:ilvl="4" w:tplc="C19C08C2">
      <w:start w:val="1"/>
      <w:numFmt w:val="bullet"/>
      <w:lvlText w:val=""/>
      <w:lvlJc w:val="left"/>
      <w:pPr>
        <w:ind w:left="1080" w:hanging="360"/>
      </w:pPr>
      <w:rPr>
        <w:rFonts w:ascii="Symbol" w:hAnsi="Symbol"/>
      </w:rPr>
    </w:lvl>
    <w:lvl w:ilvl="5" w:tplc="6F34B032">
      <w:start w:val="1"/>
      <w:numFmt w:val="bullet"/>
      <w:lvlText w:val=""/>
      <w:lvlJc w:val="left"/>
      <w:pPr>
        <w:ind w:left="1080" w:hanging="360"/>
      </w:pPr>
      <w:rPr>
        <w:rFonts w:ascii="Symbol" w:hAnsi="Symbol"/>
      </w:rPr>
    </w:lvl>
    <w:lvl w:ilvl="6" w:tplc="1448929A">
      <w:start w:val="1"/>
      <w:numFmt w:val="bullet"/>
      <w:lvlText w:val=""/>
      <w:lvlJc w:val="left"/>
      <w:pPr>
        <w:ind w:left="1080" w:hanging="360"/>
      </w:pPr>
      <w:rPr>
        <w:rFonts w:ascii="Symbol" w:hAnsi="Symbol"/>
      </w:rPr>
    </w:lvl>
    <w:lvl w:ilvl="7" w:tplc="8FDA1662">
      <w:start w:val="1"/>
      <w:numFmt w:val="bullet"/>
      <w:lvlText w:val=""/>
      <w:lvlJc w:val="left"/>
      <w:pPr>
        <w:ind w:left="1080" w:hanging="360"/>
      </w:pPr>
      <w:rPr>
        <w:rFonts w:ascii="Symbol" w:hAnsi="Symbol"/>
      </w:rPr>
    </w:lvl>
    <w:lvl w:ilvl="8" w:tplc="1430F4A0">
      <w:start w:val="1"/>
      <w:numFmt w:val="bullet"/>
      <w:lvlText w:val=""/>
      <w:lvlJc w:val="left"/>
      <w:pPr>
        <w:ind w:left="1080" w:hanging="360"/>
      </w:pPr>
      <w:rPr>
        <w:rFonts w:ascii="Symbol" w:hAnsi="Symbol"/>
      </w:rPr>
    </w:lvl>
  </w:abstractNum>
  <w:abstractNum w:abstractNumId="19" w15:restartNumberingAfterBreak="0">
    <w:nsid w:val="34E32EA7"/>
    <w:multiLevelType w:val="hybridMultilevel"/>
    <w:tmpl w:val="DD0A588A"/>
    <w:lvl w:ilvl="0" w:tplc="427E37F8">
      <w:start w:val="1"/>
      <w:numFmt w:val="bullet"/>
      <w:lvlText w:val=""/>
      <w:lvlJc w:val="left"/>
      <w:pPr>
        <w:ind w:left="1800" w:hanging="360"/>
      </w:pPr>
      <w:rPr>
        <w:rFonts w:ascii="Symbol" w:hAnsi="Symbol"/>
      </w:rPr>
    </w:lvl>
    <w:lvl w:ilvl="1" w:tplc="B77EEF92">
      <w:start w:val="1"/>
      <w:numFmt w:val="bullet"/>
      <w:lvlText w:val=""/>
      <w:lvlJc w:val="left"/>
      <w:pPr>
        <w:ind w:left="1800" w:hanging="360"/>
      </w:pPr>
      <w:rPr>
        <w:rFonts w:ascii="Symbol" w:hAnsi="Symbol"/>
      </w:rPr>
    </w:lvl>
    <w:lvl w:ilvl="2" w:tplc="532890A4">
      <w:start w:val="1"/>
      <w:numFmt w:val="bullet"/>
      <w:lvlText w:val=""/>
      <w:lvlJc w:val="left"/>
      <w:pPr>
        <w:ind w:left="1800" w:hanging="360"/>
      </w:pPr>
      <w:rPr>
        <w:rFonts w:ascii="Symbol" w:hAnsi="Symbol"/>
      </w:rPr>
    </w:lvl>
    <w:lvl w:ilvl="3" w:tplc="6D6C3F9A">
      <w:start w:val="1"/>
      <w:numFmt w:val="bullet"/>
      <w:lvlText w:val=""/>
      <w:lvlJc w:val="left"/>
      <w:pPr>
        <w:ind w:left="1800" w:hanging="360"/>
      </w:pPr>
      <w:rPr>
        <w:rFonts w:ascii="Symbol" w:hAnsi="Symbol"/>
      </w:rPr>
    </w:lvl>
    <w:lvl w:ilvl="4" w:tplc="6C6605CA">
      <w:start w:val="1"/>
      <w:numFmt w:val="bullet"/>
      <w:lvlText w:val=""/>
      <w:lvlJc w:val="left"/>
      <w:pPr>
        <w:ind w:left="1800" w:hanging="360"/>
      </w:pPr>
      <w:rPr>
        <w:rFonts w:ascii="Symbol" w:hAnsi="Symbol"/>
      </w:rPr>
    </w:lvl>
    <w:lvl w:ilvl="5" w:tplc="5CD03254">
      <w:start w:val="1"/>
      <w:numFmt w:val="bullet"/>
      <w:lvlText w:val=""/>
      <w:lvlJc w:val="left"/>
      <w:pPr>
        <w:ind w:left="1800" w:hanging="360"/>
      </w:pPr>
      <w:rPr>
        <w:rFonts w:ascii="Symbol" w:hAnsi="Symbol"/>
      </w:rPr>
    </w:lvl>
    <w:lvl w:ilvl="6" w:tplc="4E50B1D8">
      <w:start w:val="1"/>
      <w:numFmt w:val="bullet"/>
      <w:lvlText w:val=""/>
      <w:lvlJc w:val="left"/>
      <w:pPr>
        <w:ind w:left="1800" w:hanging="360"/>
      </w:pPr>
      <w:rPr>
        <w:rFonts w:ascii="Symbol" w:hAnsi="Symbol"/>
      </w:rPr>
    </w:lvl>
    <w:lvl w:ilvl="7" w:tplc="26A29208">
      <w:start w:val="1"/>
      <w:numFmt w:val="bullet"/>
      <w:lvlText w:val=""/>
      <w:lvlJc w:val="left"/>
      <w:pPr>
        <w:ind w:left="1800" w:hanging="360"/>
      </w:pPr>
      <w:rPr>
        <w:rFonts w:ascii="Symbol" w:hAnsi="Symbol"/>
      </w:rPr>
    </w:lvl>
    <w:lvl w:ilvl="8" w:tplc="E368D11A">
      <w:start w:val="1"/>
      <w:numFmt w:val="bullet"/>
      <w:lvlText w:val=""/>
      <w:lvlJc w:val="left"/>
      <w:pPr>
        <w:ind w:left="1800" w:hanging="360"/>
      </w:pPr>
      <w:rPr>
        <w:rFonts w:ascii="Symbol" w:hAnsi="Symbol"/>
      </w:rPr>
    </w:lvl>
  </w:abstractNum>
  <w:abstractNum w:abstractNumId="20" w15:restartNumberingAfterBreak="0">
    <w:nsid w:val="36C74115"/>
    <w:multiLevelType w:val="hybridMultilevel"/>
    <w:tmpl w:val="E4CC089E"/>
    <w:lvl w:ilvl="0" w:tplc="04090001">
      <w:start w:val="1"/>
      <w:numFmt w:val="bullet"/>
      <w:lvlText w:val=""/>
      <w:lvlJc w:val="left"/>
      <w:pPr>
        <w:ind w:left="1210" w:hanging="360"/>
      </w:pPr>
      <w:rPr>
        <w:rFonts w:ascii="Symbol" w:hAnsi="Symbol" w:hint="default"/>
      </w:rPr>
    </w:lvl>
    <w:lvl w:ilvl="1" w:tplc="0C090001">
      <w:start w:val="1"/>
      <w:numFmt w:val="bullet"/>
      <w:lvlText w:val=""/>
      <w:lvlJc w:val="left"/>
      <w:pPr>
        <w:ind w:left="1930" w:hanging="360"/>
      </w:pPr>
      <w:rPr>
        <w:rFonts w:ascii="Symbol" w:hAnsi="Symbol"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1" w15:restartNumberingAfterBreak="0">
    <w:nsid w:val="37C0098F"/>
    <w:multiLevelType w:val="hybridMultilevel"/>
    <w:tmpl w:val="81CC0F94"/>
    <w:lvl w:ilvl="0" w:tplc="F1D4DAF8">
      <w:start w:val="1"/>
      <w:numFmt w:val="lowerRoman"/>
      <w:lvlText w:val="(%1)"/>
      <w:lvlJc w:val="left"/>
      <w:pPr>
        <w:ind w:left="1080" w:hanging="720"/>
      </w:pPr>
      <w:rPr>
        <w:rFonts w:hint="default"/>
        <w:strike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8E43712"/>
    <w:multiLevelType w:val="singleLevel"/>
    <w:tmpl w:val="F1FA849E"/>
    <w:lvl w:ilvl="0">
      <w:numFmt w:val="bullet"/>
      <w:pStyle w:val="Secondbullit"/>
      <w:lvlText w:val=""/>
      <w:lvlJc w:val="left"/>
      <w:pPr>
        <w:tabs>
          <w:tab w:val="num" w:pos="1080"/>
        </w:tabs>
        <w:ind w:left="1080" w:hanging="360"/>
      </w:pPr>
      <w:rPr>
        <w:rFonts w:ascii="Symbol" w:hAnsi="Symbol" w:hint="default"/>
      </w:rPr>
    </w:lvl>
  </w:abstractNum>
  <w:abstractNum w:abstractNumId="23" w15:restartNumberingAfterBreak="0">
    <w:nsid w:val="3AEB0A8E"/>
    <w:multiLevelType w:val="hybridMultilevel"/>
    <w:tmpl w:val="B8C4CA0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376C72"/>
    <w:multiLevelType w:val="hybridMultilevel"/>
    <w:tmpl w:val="4F26C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E717EF"/>
    <w:multiLevelType w:val="hybridMultilevel"/>
    <w:tmpl w:val="C63A5170"/>
    <w:lvl w:ilvl="0" w:tplc="A33232FC">
      <w:start w:val="1"/>
      <w:numFmt w:val="bullet"/>
      <w:lvlText w:val=""/>
      <w:lvlJc w:val="left"/>
      <w:pPr>
        <w:ind w:left="1800" w:hanging="360"/>
      </w:pPr>
      <w:rPr>
        <w:rFonts w:ascii="Symbol" w:hAnsi="Symbol"/>
      </w:rPr>
    </w:lvl>
    <w:lvl w:ilvl="1" w:tplc="793C797C">
      <w:start w:val="1"/>
      <w:numFmt w:val="bullet"/>
      <w:lvlText w:val=""/>
      <w:lvlJc w:val="left"/>
      <w:pPr>
        <w:ind w:left="1800" w:hanging="360"/>
      </w:pPr>
      <w:rPr>
        <w:rFonts w:ascii="Symbol" w:hAnsi="Symbol"/>
      </w:rPr>
    </w:lvl>
    <w:lvl w:ilvl="2" w:tplc="18167316">
      <w:start w:val="1"/>
      <w:numFmt w:val="bullet"/>
      <w:lvlText w:val=""/>
      <w:lvlJc w:val="left"/>
      <w:pPr>
        <w:ind w:left="1800" w:hanging="360"/>
      </w:pPr>
      <w:rPr>
        <w:rFonts w:ascii="Symbol" w:hAnsi="Symbol"/>
      </w:rPr>
    </w:lvl>
    <w:lvl w:ilvl="3" w:tplc="8E5282CC">
      <w:start w:val="1"/>
      <w:numFmt w:val="bullet"/>
      <w:lvlText w:val=""/>
      <w:lvlJc w:val="left"/>
      <w:pPr>
        <w:ind w:left="1800" w:hanging="360"/>
      </w:pPr>
      <w:rPr>
        <w:rFonts w:ascii="Symbol" w:hAnsi="Symbol"/>
      </w:rPr>
    </w:lvl>
    <w:lvl w:ilvl="4" w:tplc="6198A14C">
      <w:start w:val="1"/>
      <w:numFmt w:val="bullet"/>
      <w:lvlText w:val=""/>
      <w:lvlJc w:val="left"/>
      <w:pPr>
        <w:ind w:left="1800" w:hanging="360"/>
      </w:pPr>
      <w:rPr>
        <w:rFonts w:ascii="Symbol" w:hAnsi="Symbol"/>
      </w:rPr>
    </w:lvl>
    <w:lvl w:ilvl="5" w:tplc="895CF96A">
      <w:start w:val="1"/>
      <w:numFmt w:val="bullet"/>
      <w:lvlText w:val=""/>
      <w:lvlJc w:val="left"/>
      <w:pPr>
        <w:ind w:left="1800" w:hanging="360"/>
      </w:pPr>
      <w:rPr>
        <w:rFonts w:ascii="Symbol" w:hAnsi="Symbol"/>
      </w:rPr>
    </w:lvl>
    <w:lvl w:ilvl="6" w:tplc="DF707772">
      <w:start w:val="1"/>
      <w:numFmt w:val="bullet"/>
      <w:lvlText w:val=""/>
      <w:lvlJc w:val="left"/>
      <w:pPr>
        <w:ind w:left="1800" w:hanging="360"/>
      </w:pPr>
      <w:rPr>
        <w:rFonts w:ascii="Symbol" w:hAnsi="Symbol"/>
      </w:rPr>
    </w:lvl>
    <w:lvl w:ilvl="7" w:tplc="E7A4230E">
      <w:start w:val="1"/>
      <w:numFmt w:val="bullet"/>
      <w:lvlText w:val=""/>
      <w:lvlJc w:val="left"/>
      <w:pPr>
        <w:ind w:left="1800" w:hanging="360"/>
      </w:pPr>
      <w:rPr>
        <w:rFonts w:ascii="Symbol" w:hAnsi="Symbol"/>
      </w:rPr>
    </w:lvl>
    <w:lvl w:ilvl="8" w:tplc="30DA7146">
      <w:start w:val="1"/>
      <w:numFmt w:val="bullet"/>
      <w:lvlText w:val=""/>
      <w:lvlJc w:val="left"/>
      <w:pPr>
        <w:ind w:left="1800" w:hanging="360"/>
      </w:pPr>
      <w:rPr>
        <w:rFonts w:ascii="Symbol" w:hAnsi="Symbol"/>
      </w:rPr>
    </w:lvl>
  </w:abstractNum>
  <w:abstractNum w:abstractNumId="27" w15:restartNumberingAfterBreak="0">
    <w:nsid w:val="458F3629"/>
    <w:multiLevelType w:val="hybridMultilevel"/>
    <w:tmpl w:val="15AA789A"/>
    <w:lvl w:ilvl="0" w:tplc="331AF146">
      <w:start w:val="1"/>
      <w:numFmt w:val="bullet"/>
      <w:lvlText w:val=""/>
      <w:lvlJc w:val="left"/>
      <w:pPr>
        <w:ind w:left="1080" w:hanging="360"/>
      </w:pPr>
      <w:rPr>
        <w:rFonts w:ascii="Symbol" w:hAnsi="Symbol"/>
      </w:rPr>
    </w:lvl>
    <w:lvl w:ilvl="1" w:tplc="98044DC0">
      <w:start w:val="1"/>
      <w:numFmt w:val="bullet"/>
      <w:lvlText w:val=""/>
      <w:lvlJc w:val="left"/>
      <w:pPr>
        <w:ind w:left="1080" w:hanging="360"/>
      </w:pPr>
      <w:rPr>
        <w:rFonts w:ascii="Symbol" w:hAnsi="Symbol"/>
      </w:rPr>
    </w:lvl>
    <w:lvl w:ilvl="2" w:tplc="2200A586">
      <w:start w:val="1"/>
      <w:numFmt w:val="bullet"/>
      <w:lvlText w:val=""/>
      <w:lvlJc w:val="left"/>
      <w:pPr>
        <w:ind w:left="1080" w:hanging="360"/>
      </w:pPr>
      <w:rPr>
        <w:rFonts w:ascii="Symbol" w:hAnsi="Symbol"/>
      </w:rPr>
    </w:lvl>
    <w:lvl w:ilvl="3" w:tplc="86E2FB4A">
      <w:start w:val="1"/>
      <w:numFmt w:val="bullet"/>
      <w:lvlText w:val=""/>
      <w:lvlJc w:val="left"/>
      <w:pPr>
        <w:ind w:left="1080" w:hanging="360"/>
      </w:pPr>
      <w:rPr>
        <w:rFonts w:ascii="Symbol" w:hAnsi="Symbol"/>
      </w:rPr>
    </w:lvl>
    <w:lvl w:ilvl="4" w:tplc="EC0897A8">
      <w:start w:val="1"/>
      <w:numFmt w:val="bullet"/>
      <w:lvlText w:val=""/>
      <w:lvlJc w:val="left"/>
      <w:pPr>
        <w:ind w:left="1080" w:hanging="360"/>
      </w:pPr>
      <w:rPr>
        <w:rFonts w:ascii="Symbol" w:hAnsi="Symbol"/>
      </w:rPr>
    </w:lvl>
    <w:lvl w:ilvl="5" w:tplc="729AD6AE">
      <w:start w:val="1"/>
      <w:numFmt w:val="bullet"/>
      <w:lvlText w:val=""/>
      <w:lvlJc w:val="left"/>
      <w:pPr>
        <w:ind w:left="1080" w:hanging="360"/>
      </w:pPr>
      <w:rPr>
        <w:rFonts w:ascii="Symbol" w:hAnsi="Symbol"/>
      </w:rPr>
    </w:lvl>
    <w:lvl w:ilvl="6" w:tplc="7E28326A">
      <w:start w:val="1"/>
      <w:numFmt w:val="bullet"/>
      <w:lvlText w:val=""/>
      <w:lvlJc w:val="left"/>
      <w:pPr>
        <w:ind w:left="1080" w:hanging="360"/>
      </w:pPr>
      <w:rPr>
        <w:rFonts w:ascii="Symbol" w:hAnsi="Symbol"/>
      </w:rPr>
    </w:lvl>
    <w:lvl w:ilvl="7" w:tplc="7D7CA1FC">
      <w:start w:val="1"/>
      <w:numFmt w:val="bullet"/>
      <w:lvlText w:val=""/>
      <w:lvlJc w:val="left"/>
      <w:pPr>
        <w:ind w:left="1080" w:hanging="360"/>
      </w:pPr>
      <w:rPr>
        <w:rFonts w:ascii="Symbol" w:hAnsi="Symbol"/>
      </w:rPr>
    </w:lvl>
    <w:lvl w:ilvl="8" w:tplc="E34C55CC">
      <w:start w:val="1"/>
      <w:numFmt w:val="bullet"/>
      <w:lvlText w:val=""/>
      <w:lvlJc w:val="left"/>
      <w:pPr>
        <w:ind w:left="1080" w:hanging="360"/>
      </w:pPr>
      <w:rPr>
        <w:rFonts w:ascii="Symbol" w:hAnsi="Symbol"/>
      </w:rPr>
    </w:lvl>
  </w:abstractNum>
  <w:abstractNum w:abstractNumId="28" w15:restartNumberingAfterBreak="0">
    <w:nsid w:val="4C5937D4"/>
    <w:multiLevelType w:val="hybridMultilevel"/>
    <w:tmpl w:val="189C73C8"/>
    <w:lvl w:ilvl="0" w:tplc="41466D3E">
      <w:start w:val="1"/>
      <w:numFmt w:val="bullet"/>
      <w:lvlText w:val=""/>
      <w:lvlJc w:val="left"/>
      <w:pPr>
        <w:ind w:left="1080" w:hanging="360"/>
      </w:pPr>
      <w:rPr>
        <w:rFonts w:ascii="Symbol" w:hAnsi="Symbol"/>
      </w:rPr>
    </w:lvl>
    <w:lvl w:ilvl="1" w:tplc="4948BF66">
      <w:start w:val="1"/>
      <w:numFmt w:val="bullet"/>
      <w:lvlText w:val=""/>
      <w:lvlJc w:val="left"/>
      <w:pPr>
        <w:ind w:left="1080" w:hanging="360"/>
      </w:pPr>
      <w:rPr>
        <w:rFonts w:ascii="Symbol" w:hAnsi="Symbol"/>
      </w:rPr>
    </w:lvl>
    <w:lvl w:ilvl="2" w:tplc="5D8C4522">
      <w:start w:val="1"/>
      <w:numFmt w:val="bullet"/>
      <w:lvlText w:val=""/>
      <w:lvlJc w:val="left"/>
      <w:pPr>
        <w:ind w:left="1080" w:hanging="360"/>
      </w:pPr>
      <w:rPr>
        <w:rFonts w:ascii="Symbol" w:hAnsi="Symbol"/>
      </w:rPr>
    </w:lvl>
    <w:lvl w:ilvl="3" w:tplc="B9BA8870">
      <w:start w:val="1"/>
      <w:numFmt w:val="bullet"/>
      <w:lvlText w:val=""/>
      <w:lvlJc w:val="left"/>
      <w:pPr>
        <w:ind w:left="1080" w:hanging="360"/>
      </w:pPr>
      <w:rPr>
        <w:rFonts w:ascii="Symbol" w:hAnsi="Symbol"/>
      </w:rPr>
    </w:lvl>
    <w:lvl w:ilvl="4" w:tplc="9E360BB8">
      <w:start w:val="1"/>
      <w:numFmt w:val="bullet"/>
      <w:lvlText w:val=""/>
      <w:lvlJc w:val="left"/>
      <w:pPr>
        <w:ind w:left="1080" w:hanging="360"/>
      </w:pPr>
      <w:rPr>
        <w:rFonts w:ascii="Symbol" w:hAnsi="Symbol"/>
      </w:rPr>
    </w:lvl>
    <w:lvl w:ilvl="5" w:tplc="F1F01E8C">
      <w:start w:val="1"/>
      <w:numFmt w:val="bullet"/>
      <w:lvlText w:val=""/>
      <w:lvlJc w:val="left"/>
      <w:pPr>
        <w:ind w:left="1080" w:hanging="360"/>
      </w:pPr>
      <w:rPr>
        <w:rFonts w:ascii="Symbol" w:hAnsi="Symbol"/>
      </w:rPr>
    </w:lvl>
    <w:lvl w:ilvl="6" w:tplc="6442C852">
      <w:start w:val="1"/>
      <w:numFmt w:val="bullet"/>
      <w:lvlText w:val=""/>
      <w:lvlJc w:val="left"/>
      <w:pPr>
        <w:ind w:left="1080" w:hanging="360"/>
      </w:pPr>
      <w:rPr>
        <w:rFonts w:ascii="Symbol" w:hAnsi="Symbol"/>
      </w:rPr>
    </w:lvl>
    <w:lvl w:ilvl="7" w:tplc="7B2241FC">
      <w:start w:val="1"/>
      <w:numFmt w:val="bullet"/>
      <w:lvlText w:val=""/>
      <w:lvlJc w:val="left"/>
      <w:pPr>
        <w:ind w:left="1080" w:hanging="360"/>
      </w:pPr>
      <w:rPr>
        <w:rFonts w:ascii="Symbol" w:hAnsi="Symbol"/>
      </w:rPr>
    </w:lvl>
    <w:lvl w:ilvl="8" w:tplc="D72A1788">
      <w:start w:val="1"/>
      <w:numFmt w:val="bullet"/>
      <w:lvlText w:val=""/>
      <w:lvlJc w:val="left"/>
      <w:pPr>
        <w:ind w:left="1080" w:hanging="360"/>
      </w:pPr>
      <w:rPr>
        <w:rFonts w:ascii="Symbol" w:hAnsi="Symbol"/>
      </w:rPr>
    </w:lvl>
  </w:abstractNum>
  <w:abstractNum w:abstractNumId="29" w15:restartNumberingAfterBreak="0">
    <w:nsid w:val="4DC8439F"/>
    <w:multiLevelType w:val="hybridMultilevel"/>
    <w:tmpl w:val="C7660B72"/>
    <w:lvl w:ilvl="0" w:tplc="61D49D6A">
      <w:start w:val="1"/>
      <w:numFmt w:val="lowerRoman"/>
      <w:lvlText w:val="%1)"/>
      <w:lvlJc w:val="right"/>
      <w:pPr>
        <w:ind w:left="720" w:hanging="360"/>
      </w:pPr>
    </w:lvl>
    <w:lvl w:ilvl="1" w:tplc="91EC8A2C">
      <w:start w:val="1"/>
      <w:numFmt w:val="lowerRoman"/>
      <w:lvlText w:val="%2)"/>
      <w:lvlJc w:val="right"/>
      <w:pPr>
        <w:ind w:left="720" w:hanging="360"/>
      </w:pPr>
    </w:lvl>
    <w:lvl w:ilvl="2" w:tplc="5426D112">
      <w:start w:val="1"/>
      <w:numFmt w:val="lowerRoman"/>
      <w:lvlText w:val="%3)"/>
      <w:lvlJc w:val="right"/>
      <w:pPr>
        <w:ind w:left="720" w:hanging="360"/>
      </w:pPr>
    </w:lvl>
    <w:lvl w:ilvl="3" w:tplc="5EE2991C">
      <w:start w:val="1"/>
      <w:numFmt w:val="lowerRoman"/>
      <w:lvlText w:val="%4)"/>
      <w:lvlJc w:val="right"/>
      <w:pPr>
        <w:ind w:left="720" w:hanging="360"/>
      </w:pPr>
    </w:lvl>
    <w:lvl w:ilvl="4" w:tplc="3088298A">
      <w:start w:val="1"/>
      <w:numFmt w:val="lowerRoman"/>
      <w:lvlText w:val="%5)"/>
      <w:lvlJc w:val="right"/>
      <w:pPr>
        <w:ind w:left="720" w:hanging="360"/>
      </w:pPr>
    </w:lvl>
    <w:lvl w:ilvl="5" w:tplc="1D022BE0">
      <w:start w:val="1"/>
      <w:numFmt w:val="lowerRoman"/>
      <w:lvlText w:val="%6)"/>
      <w:lvlJc w:val="right"/>
      <w:pPr>
        <w:ind w:left="720" w:hanging="360"/>
      </w:pPr>
    </w:lvl>
    <w:lvl w:ilvl="6" w:tplc="7D0A676A">
      <w:start w:val="1"/>
      <w:numFmt w:val="lowerRoman"/>
      <w:lvlText w:val="%7)"/>
      <w:lvlJc w:val="right"/>
      <w:pPr>
        <w:ind w:left="720" w:hanging="360"/>
      </w:pPr>
    </w:lvl>
    <w:lvl w:ilvl="7" w:tplc="E7983932">
      <w:start w:val="1"/>
      <w:numFmt w:val="lowerRoman"/>
      <w:lvlText w:val="%8)"/>
      <w:lvlJc w:val="right"/>
      <w:pPr>
        <w:ind w:left="720" w:hanging="360"/>
      </w:pPr>
    </w:lvl>
    <w:lvl w:ilvl="8" w:tplc="7CDC8A12">
      <w:start w:val="1"/>
      <w:numFmt w:val="lowerRoman"/>
      <w:lvlText w:val="%9)"/>
      <w:lvlJc w:val="right"/>
      <w:pPr>
        <w:ind w:left="720" w:hanging="360"/>
      </w:pPr>
    </w:lvl>
  </w:abstractNum>
  <w:abstractNum w:abstractNumId="30" w15:restartNumberingAfterBreak="0">
    <w:nsid w:val="534E2379"/>
    <w:multiLevelType w:val="hybridMultilevel"/>
    <w:tmpl w:val="40C66F70"/>
    <w:lvl w:ilvl="0" w:tplc="888AA9CA">
      <w:start w:val="1"/>
      <w:numFmt w:val="bullet"/>
      <w:lvlText w:val=""/>
      <w:lvlJc w:val="left"/>
      <w:pPr>
        <w:ind w:left="980" w:hanging="360"/>
      </w:pPr>
      <w:rPr>
        <w:rFonts w:ascii="Symbol" w:hAnsi="Symbol"/>
      </w:rPr>
    </w:lvl>
    <w:lvl w:ilvl="1" w:tplc="48AA35DC">
      <w:start w:val="1"/>
      <w:numFmt w:val="bullet"/>
      <w:lvlText w:val=""/>
      <w:lvlJc w:val="left"/>
      <w:pPr>
        <w:ind w:left="980" w:hanging="360"/>
      </w:pPr>
      <w:rPr>
        <w:rFonts w:ascii="Symbol" w:hAnsi="Symbol"/>
      </w:rPr>
    </w:lvl>
    <w:lvl w:ilvl="2" w:tplc="A6B2654C">
      <w:start w:val="1"/>
      <w:numFmt w:val="bullet"/>
      <w:lvlText w:val=""/>
      <w:lvlJc w:val="left"/>
      <w:pPr>
        <w:ind w:left="980" w:hanging="360"/>
      </w:pPr>
      <w:rPr>
        <w:rFonts w:ascii="Symbol" w:hAnsi="Symbol"/>
      </w:rPr>
    </w:lvl>
    <w:lvl w:ilvl="3" w:tplc="A0208934">
      <w:start w:val="1"/>
      <w:numFmt w:val="bullet"/>
      <w:lvlText w:val=""/>
      <w:lvlJc w:val="left"/>
      <w:pPr>
        <w:ind w:left="980" w:hanging="360"/>
      </w:pPr>
      <w:rPr>
        <w:rFonts w:ascii="Symbol" w:hAnsi="Symbol"/>
      </w:rPr>
    </w:lvl>
    <w:lvl w:ilvl="4" w:tplc="07743CBC">
      <w:start w:val="1"/>
      <w:numFmt w:val="bullet"/>
      <w:lvlText w:val=""/>
      <w:lvlJc w:val="left"/>
      <w:pPr>
        <w:ind w:left="980" w:hanging="360"/>
      </w:pPr>
      <w:rPr>
        <w:rFonts w:ascii="Symbol" w:hAnsi="Symbol"/>
      </w:rPr>
    </w:lvl>
    <w:lvl w:ilvl="5" w:tplc="5890E820">
      <w:start w:val="1"/>
      <w:numFmt w:val="bullet"/>
      <w:lvlText w:val=""/>
      <w:lvlJc w:val="left"/>
      <w:pPr>
        <w:ind w:left="980" w:hanging="360"/>
      </w:pPr>
      <w:rPr>
        <w:rFonts w:ascii="Symbol" w:hAnsi="Symbol"/>
      </w:rPr>
    </w:lvl>
    <w:lvl w:ilvl="6" w:tplc="920C6158">
      <w:start w:val="1"/>
      <w:numFmt w:val="bullet"/>
      <w:lvlText w:val=""/>
      <w:lvlJc w:val="left"/>
      <w:pPr>
        <w:ind w:left="980" w:hanging="360"/>
      </w:pPr>
      <w:rPr>
        <w:rFonts w:ascii="Symbol" w:hAnsi="Symbol"/>
      </w:rPr>
    </w:lvl>
    <w:lvl w:ilvl="7" w:tplc="060E9F7A">
      <w:start w:val="1"/>
      <w:numFmt w:val="bullet"/>
      <w:lvlText w:val=""/>
      <w:lvlJc w:val="left"/>
      <w:pPr>
        <w:ind w:left="980" w:hanging="360"/>
      </w:pPr>
      <w:rPr>
        <w:rFonts w:ascii="Symbol" w:hAnsi="Symbol"/>
      </w:rPr>
    </w:lvl>
    <w:lvl w:ilvl="8" w:tplc="96409CC0">
      <w:start w:val="1"/>
      <w:numFmt w:val="bullet"/>
      <w:lvlText w:val=""/>
      <w:lvlJc w:val="left"/>
      <w:pPr>
        <w:ind w:left="980" w:hanging="360"/>
      </w:pPr>
      <w:rPr>
        <w:rFonts w:ascii="Symbol" w:hAnsi="Symbol"/>
      </w:rPr>
    </w:lvl>
  </w:abstractNum>
  <w:abstractNum w:abstractNumId="31" w15:restartNumberingAfterBreak="0">
    <w:nsid w:val="5AB50DA6"/>
    <w:multiLevelType w:val="hybridMultilevel"/>
    <w:tmpl w:val="9698F3CE"/>
    <w:lvl w:ilvl="0" w:tplc="FFFFFFFF">
      <w:start w:val="1"/>
      <w:numFmt w:val="bullet"/>
      <w:lvlText w:val=""/>
      <w:lvlJc w:val="left"/>
      <w:pPr>
        <w:ind w:left="1080" w:hanging="360"/>
      </w:pPr>
      <w:rPr>
        <w:rFonts w:ascii="Symbol" w:hAnsi="Symbol" w:hint="default"/>
      </w:rPr>
    </w:lvl>
    <w:lvl w:ilvl="1" w:tplc="B1C212D0">
      <w:start w:val="1"/>
      <w:numFmt w:val="lowerRoman"/>
      <w:lvlText w:val="(%2)"/>
      <w:lvlJc w:val="left"/>
      <w:pPr>
        <w:ind w:left="1800" w:hanging="360"/>
      </w:pPr>
      <w:rPr>
        <w:rFonts w:hint="default"/>
        <w:i w:val="0"/>
        <w:iCs/>
        <w:color w:val="333333"/>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0C40DD2"/>
    <w:multiLevelType w:val="multilevel"/>
    <w:tmpl w:val="BCA0E6F2"/>
    <w:lvl w:ilvl="0">
      <w:start w:val="1"/>
      <w:numFmt w:val="decimal"/>
      <w:lvlText w:val="%1"/>
      <w:lvlJc w:val="left"/>
      <w:pPr>
        <w:ind w:left="720" w:hanging="720"/>
      </w:pPr>
      <w:rPr>
        <w:rFonts w:hint="default"/>
        <w:b/>
      </w:rPr>
    </w:lvl>
    <w:lvl w:ilvl="1">
      <w:start w:val="1"/>
      <w:numFmt w:val="bullet"/>
      <w:lvlText w:val=""/>
      <w:lvlJc w:val="left"/>
      <w:pPr>
        <w:ind w:left="786"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66F512F9"/>
    <w:multiLevelType w:val="hybridMultilevel"/>
    <w:tmpl w:val="24EE2B1C"/>
    <w:lvl w:ilvl="0" w:tplc="50BA50B8">
      <w:start w:val="1"/>
      <w:numFmt w:val="bullet"/>
      <w:lvlText w:val=""/>
      <w:lvlJc w:val="left"/>
      <w:pPr>
        <w:ind w:left="1420" w:hanging="360"/>
      </w:pPr>
      <w:rPr>
        <w:rFonts w:ascii="Symbol" w:hAnsi="Symbol"/>
      </w:rPr>
    </w:lvl>
    <w:lvl w:ilvl="1" w:tplc="22B4D3DA">
      <w:start w:val="1"/>
      <w:numFmt w:val="bullet"/>
      <w:lvlText w:val=""/>
      <w:lvlJc w:val="left"/>
      <w:pPr>
        <w:ind w:left="1420" w:hanging="360"/>
      </w:pPr>
      <w:rPr>
        <w:rFonts w:ascii="Symbol" w:hAnsi="Symbol"/>
      </w:rPr>
    </w:lvl>
    <w:lvl w:ilvl="2" w:tplc="0A328974">
      <w:start w:val="1"/>
      <w:numFmt w:val="bullet"/>
      <w:lvlText w:val=""/>
      <w:lvlJc w:val="left"/>
      <w:pPr>
        <w:ind w:left="1420" w:hanging="360"/>
      </w:pPr>
      <w:rPr>
        <w:rFonts w:ascii="Symbol" w:hAnsi="Symbol"/>
      </w:rPr>
    </w:lvl>
    <w:lvl w:ilvl="3" w:tplc="A70E4572">
      <w:start w:val="1"/>
      <w:numFmt w:val="bullet"/>
      <w:lvlText w:val=""/>
      <w:lvlJc w:val="left"/>
      <w:pPr>
        <w:ind w:left="1420" w:hanging="360"/>
      </w:pPr>
      <w:rPr>
        <w:rFonts w:ascii="Symbol" w:hAnsi="Symbol"/>
      </w:rPr>
    </w:lvl>
    <w:lvl w:ilvl="4" w:tplc="B038C172">
      <w:start w:val="1"/>
      <w:numFmt w:val="bullet"/>
      <w:lvlText w:val=""/>
      <w:lvlJc w:val="left"/>
      <w:pPr>
        <w:ind w:left="1420" w:hanging="360"/>
      </w:pPr>
      <w:rPr>
        <w:rFonts w:ascii="Symbol" w:hAnsi="Symbol"/>
      </w:rPr>
    </w:lvl>
    <w:lvl w:ilvl="5" w:tplc="C38E92A8">
      <w:start w:val="1"/>
      <w:numFmt w:val="bullet"/>
      <w:lvlText w:val=""/>
      <w:lvlJc w:val="left"/>
      <w:pPr>
        <w:ind w:left="1420" w:hanging="360"/>
      </w:pPr>
      <w:rPr>
        <w:rFonts w:ascii="Symbol" w:hAnsi="Symbol"/>
      </w:rPr>
    </w:lvl>
    <w:lvl w:ilvl="6" w:tplc="BF3E3D72">
      <w:start w:val="1"/>
      <w:numFmt w:val="bullet"/>
      <w:lvlText w:val=""/>
      <w:lvlJc w:val="left"/>
      <w:pPr>
        <w:ind w:left="1420" w:hanging="360"/>
      </w:pPr>
      <w:rPr>
        <w:rFonts w:ascii="Symbol" w:hAnsi="Symbol"/>
      </w:rPr>
    </w:lvl>
    <w:lvl w:ilvl="7" w:tplc="C1BA747A">
      <w:start w:val="1"/>
      <w:numFmt w:val="bullet"/>
      <w:lvlText w:val=""/>
      <w:lvlJc w:val="left"/>
      <w:pPr>
        <w:ind w:left="1420" w:hanging="360"/>
      </w:pPr>
      <w:rPr>
        <w:rFonts w:ascii="Symbol" w:hAnsi="Symbol"/>
      </w:rPr>
    </w:lvl>
    <w:lvl w:ilvl="8" w:tplc="C8749C32">
      <w:start w:val="1"/>
      <w:numFmt w:val="bullet"/>
      <w:lvlText w:val=""/>
      <w:lvlJc w:val="left"/>
      <w:pPr>
        <w:ind w:left="1420" w:hanging="360"/>
      </w:pPr>
      <w:rPr>
        <w:rFonts w:ascii="Symbol" w:hAnsi="Symbol"/>
      </w:rPr>
    </w:lvl>
  </w:abstractNum>
  <w:abstractNum w:abstractNumId="35" w15:restartNumberingAfterBreak="0">
    <w:nsid w:val="67155B04"/>
    <w:multiLevelType w:val="hybridMultilevel"/>
    <w:tmpl w:val="9288DCE0"/>
    <w:lvl w:ilvl="0" w:tplc="EF16A60E">
      <w:start w:val="1"/>
      <w:numFmt w:val="lowerRoman"/>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6A59263C"/>
    <w:multiLevelType w:val="hybridMultilevel"/>
    <w:tmpl w:val="2F346392"/>
    <w:lvl w:ilvl="0" w:tplc="2EC212F8">
      <w:start w:val="1"/>
      <w:numFmt w:val="bullet"/>
      <w:lvlText w:val=""/>
      <w:lvlJc w:val="left"/>
      <w:pPr>
        <w:ind w:left="1800" w:hanging="360"/>
      </w:pPr>
      <w:rPr>
        <w:rFonts w:ascii="Symbol" w:hAnsi="Symbol"/>
      </w:rPr>
    </w:lvl>
    <w:lvl w:ilvl="1" w:tplc="1A0A662A">
      <w:start w:val="1"/>
      <w:numFmt w:val="bullet"/>
      <w:lvlText w:val=""/>
      <w:lvlJc w:val="left"/>
      <w:pPr>
        <w:ind w:left="1800" w:hanging="360"/>
      </w:pPr>
      <w:rPr>
        <w:rFonts w:ascii="Symbol" w:hAnsi="Symbol"/>
      </w:rPr>
    </w:lvl>
    <w:lvl w:ilvl="2" w:tplc="B2E21EE0">
      <w:start w:val="1"/>
      <w:numFmt w:val="bullet"/>
      <w:lvlText w:val=""/>
      <w:lvlJc w:val="left"/>
      <w:pPr>
        <w:ind w:left="1800" w:hanging="360"/>
      </w:pPr>
      <w:rPr>
        <w:rFonts w:ascii="Symbol" w:hAnsi="Symbol"/>
      </w:rPr>
    </w:lvl>
    <w:lvl w:ilvl="3" w:tplc="C75CA5C6">
      <w:start w:val="1"/>
      <w:numFmt w:val="bullet"/>
      <w:lvlText w:val=""/>
      <w:lvlJc w:val="left"/>
      <w:pPr>
        <w:ind w:left="1800" w:hanging="360"/>
      </w:pPr>
      <w:rPr>
        <w:rFonts w:ascii="Symbol" w:hAnsi="Symbol"/>
      </w:rPr>
    </w:lvl>
    <w:lvl w:ilvl="4" w:tplc="267824F2">
      <w:start w:val="1"/>
      <w:numFmt w:val="bullet"/>
      <w:lvlText w:val=""/>
      <w:lvlJc w:val="left"/>
      <w:pPr>
        <w:ind w:left="1800" w:hanging="360"/>
      </w:pPr>
      <w:rPr>
        <w:rFonts w:ascii="Symbol" w:hAnsi="Symbol"/>
      </w:rPr>
    </w:lvl>
    <w:lvl w:ilvl="5" w:tplc="BF7C80F2">
      <w:start w:val="1"/>
      <w:numFmt w:val="bullet"/>
      <w:lvlText w:val=""/>
      <w:lvlJc w:val="left"/>
      <w:pPr>
        <w:ind w:left="1800" w:hanging="360"/>
      </w:pPr>
      <w:rPr>
        <w:rFonts w:ascii="Symbol" w:hAnsi="Symbol"/>
      </w:rPr>
    </w:lvl>
    <w:lvl w:ilvl="6" w:tplc="4692B854">
      <w:start w:val="1"/>
      <w:numFmt w:val="bullet"/>
      <w:lvlText w:val=""/>
      <w:lvlJc w:val="left"/>
      <w:pPr>
        <w:ind w:left="1800" w:hanging="360"/>
      </w:pPr>
      <w:rPr>
        <w:rFonts w:ascii="Symbol" w:hAnsi="Symbol"/>
      </w:rPr>
    </w:lvl>
    <w:lvl w:ilvl="7" w:tplc="1290A470">
      <w:start w:val="1"/>
      <w:numFmt w:val="bullet"/>
      <w:lvlText w:val=""/>
      <w:lvlJc w:val="left"/>
      <w:pPr>
        <w:ind w:left="1800" w:hanging="360"/>
      </w:pPr>
      <w:rPr>
        <w:rFonts w:ascii="Symbol" w:hAnsi="Symbol"/>
      </w:rPr>
    </w:lvl>
    <w:lvl w:ilvl="8" w:tplc="0FE07826">
      <w:start w:val="1"/>
      <w:numFmt w:val="bullet"/>
      <w:lvlText w:val=""/>
      <w:lvlJc w:val="left"/>
      <w:pPr>
        <w:ind w:left="1800" w:hanging="360"/>
      </w:pPr>
      <w:rPr>
        <w:rFonts w:ascii="Symbol" w:hAnsi="Symbol"/>
      </w:rPr>
    </w:lvl>
  </w:abstractNum>
  <w:abstractNum w:abstractNumId="37" w15:restartNumberingAfterBreak="0">
    <w:nsid w:val="6C6C3DAC"/>
    <w:multiLevelType w:val="hybridMultilevel"/>
    <w:tmpl w:val="3F505B40"/>
    <w:lvl w:ilvl="0" w:tplc="0A8A9748">
      <w:start w:val="1"/>
      <w:numFmt w:val="bullet"/>
      <w:lvlText w:val=""/>
      <w:lvlJc w:val="left"/>
      <w:pPr>
        <w:ind w:left="1800" w:hanging="360"/>
      </w:pPr>
      <w:rPr>
        <w:rFonts w:ascii="Symbol" w:hAnsi="Symbol"/>
      </w:rPr>
    </w:lvl>
    <w:lvl w:ilvl="1" w:tplc="1FECEF7C">
      <w:start w:val="1"/>
      <w:numFmt w:val="bullet"/>
      <w:lvlText w:val=""/>
      <w:lvlJc w:val="left"/>
      <w:pPr>
        <w:ind w:left="1800" w:hanging="360"/>
      </w:pPr>
      <w:rPr>
        <w:rFonts w:ascii="Symbol" w:hAnsi="Symbol"/>
      </w:rPr>
    </w:lvl>
    <w:lvl w:ilvl="2" w:tplc="271E3790">
      <w:start w:val="1"/>
      <w:numFmt w:val="bullet"/>
      <w:lvlText w:val=""/>
      <w:lvlJc w:val="left"/>
      <w:pPr>
        <w:ind w:left="1800" w:hanging="360"/>
      </w:pPr>
      <w:rPr>
        <w:rFonts w:ascii="Symbol" w:hAnsi="Symbol"/>
      </w:rPr>
    </w:lvl>
    <w:lvl w:ilvl="3" w:tplc="FE72E7C4">
      <w:start w:val="1"/>
      <w:numFmt w:val="bullet"/>
      <w:lvlText w:val=""/>
      <w:lvlJc w:val="left"/>
      <w:pPr>
        <w:ind w:left="1800" w:hanging="360"/>
      </w:pPr>
      <w:rPr>
        <w:rFonts w:ascii="Symbol" w:hAnsi="Symbol"/>
      </w:rPr>
    </w:lvl>
    <w:lvl w:ilvl="4" w:tplc="E2A2DCFA">
      <w:start w:val="1"/>
      <w:numFmt w:val="bullet"/>
      <w:lvlText w:val=""/>
      <w:lvlJc w:val="left"/>
      <w:pPr>
        <w:ind w:left="1800" w:hanging="360"/>
      </w:pPr>
      <w:rPr>
        <w:rFonts w:ascii="Symbol" w:hAnsi="Symbol"/>
      </w:rPr>
    </w:lvl>
    <w:lvl w:ilvl="5" w:tplc="1856DCEA">
      <w:start w:val="1"/>
      <w:numFmt w:val="bullet"/>
      <w:lvlText w:val=""/>
      <w:lvlJc w:val="left"/>
      <w:pPr>
        <w:ind w:left="1800" w:hanging="360"/>
      </w:pPr>
      <w:rPr>
        <w:rFonts w:ascii="Symbol" w:hAnsi="Symbol"/>
      </w:rPr>
    </w:lvl>
    <w:lvl w:ilvl="6" w:tplc="87205B44">
      <w:start w:val="1"/>
      <w:numFmt w:val="bullet"/>
      <w:lvlText w:val=""/>
      <w:lvlJc w:val="left"/>
      <w:pPr>
        <w:ind w:left="1800" w:hanging="360"/>
      </w:pPr>
      <w:rPr>
        <w:rFonts w:ascii="Symbol" w:hAnsi="Symbol"/>
      </w:rPr>
    </w:lvl>
    <w:lvl w:ilvl="7" w:tplc="A536944A">
      <w:start w:val="1"/>
      <w:numFmt w:val="bullet"/>
      <w:lvlText w:val=""/>
      <w:lvlJc w:val="left"/>
      <w:pPr>
        <w:ind w:left="1800" w:hanging="360"/>
      </w:pPr>
      <w:rPr>
        <w:rFonts w:ascii="Symbol" w:hAnsi="Symbol"/>
      </w:rPr>
    </w:lvl>
    <w:lvl w:ilvl="8" w:tplc="5BA6671C">
      <w:start w:val="1"/>
      <w:numFmt w:val="bullet"/>
      <w:lvlText w:val=""/>
      <w:lvlJc w:val="left"/>
      <w:pPr>
        <w:ind w:left="1800" w:hanging="360"/>
      </w:pPr>
      <w:rPr>
        <w:rFonts w:ascii="Symbol" w:hAnsi="Symbol"/>
      </w:rPr>
    </w:lvl>
  </w:abstractNum>
  <w:abstractNum w:abstractNumId="38" w15:restartNumberingAfterBreak="0">
    <w:nsid w:val="6CBB0EF2"/>
    <w:multiLevelType w:val="hybridMultilevel"/>
    <w:tmpl w:val="F3C8EBA4"/>
    <w:lvl w:ilvl="0" w:tplc="73EECE18">
      <w:start w:val="1"/>
      <w:numFmt w:val="bullet"/>
      <w:lvlText w:val=""/>
      <w:lvlJc w:val="left"/>
      <w:pPr>
        <w:ind w:left="1800" w:hanging="360"/>
      </w:pPr>
      <w:rPr>
        <w:rFonts w:ascii="Symbol" w:hAnsi="Symbol"/>
      </w:rPr>
    </w:lvl>
    <w:lvl w:ilvl="1" w:tplc="EE6A1C68">
      <w:start w:val="1"/>
      <w:numFmt w:val="bullet"/>
      <w:lvlText w:val=""/>
      <w:lvlJc w:val="left"/>
      <w:pPr>
        <w:ind w:left="1800" w:hanging="360"/>
      </w:pPr>
      <w:rPr>
        <w:rFonts w:ascii="Symbol" w:hAnsi="Symbol"/>
      </w:rPr>
    </w:lvl>
    <w:lvl w:ilvl="2" w:tplc="2B722EA8">
      <w:start w:val="1"/>
      <w:numFmt w:val="bullet"/>
      <w:lvlText w:val=""/>
      <w:lvlJc w:val="left"/>
      <w:pPr>
        <w:ind w:left="1800" w:hanging="360"/>
      </w:pPr>
      <w:rPr>
        <w:rFonts w:ascii="Symbol" w:hAnsi="Symbol"/>
      </w:rPr>
    </w:lvl>
    <w:lvl w:ilvl="3" w:tplc="2D266016">
      <w:start w:val="1"/>
      <w:numFmt w:val="bullet"/>
      <w:lvlText w:val=""/>
      <w:lvlJc w:val="left"/>
      <w:pPr>
        <w:ind w:left="1800" w:hanging="360"/>
      </w:pPr>
      <w:rPr>
        <w:rFonts w:ascii="Symbol" w:hAnsi="Symbol"/>
      </w:rPr>
    </w:lvl>
    <w:lvl w:ilvl="4" w:tplc="81A86CAA">
      <w:start w:val="1"/>
      <w:numFmt w:val="bullet"/>
      <w:lvlText w:val=""/>
      <w:lvlJc w:val="left"/>
      <w:pPr>
        <w:ind w:left="1800" w:hanging="360"/>
      </w:pPr>
      <w:rPr>
        <w:rFonts w:ascii="Symbol" w:hAnsi="Symbol"/>
      </w:rPr>
    </w:lvl>
    <w:lvl w:ilvl="5" w:tplc="2C4CD810">
      <w:start w:val="1"/>
      <w:numFmt w:val="bullet"/>
      <w:lvlText w:val=""/>
      <w:lvlJc w:val="left"/>
      <w:pPr>
        <w:ind w:left="1800" w:hanging="360"/>
      </w:pPr>
      <w:rPr>
        <w:rFonts w:ascii="Symbol" w:hAnsi="Symbol"/>
      </w:rPr>
    </w:lvl>
    <w:lvl w:ilvl="6" w:tplc="69229566">
      <w:start w:val="1"/>
      <w:numFmt w:val="bullet"/>
      <w:lvlText w:val=""/>
      <w:lvlJc w:val="left"/>
      <w:pPr>
        <w:ind w:left="1800" w:hanging="360"/>
      </w:pPr>
      <w:rPr>
        <w:rFonts w:ascii="Symbol" w:hAnsi="Symbol"/>
      </w:rPr>
    </w:lvl>
    <w:lvl w:ilvl="7" w:tplc="0ED20B42">
      <w:start w:val="1"/>
      <w:numFmt w:val="bullet"/>
      <w:lvlText w:val=""/>
      <w:lvlJc w:val="left"/>
      <w:pPr>
        <w:ind w:left="1800" w:hanging="360"/>
      </w:pPr>
      <w:rPr>
        <w:rFonts w:ascii="Symbol" w:hAnsi="Symbol"/>
      </w:rPr>
    </w:lvl>
    <w:lvl w:ilvl="8" w:tplc="261EC198">
      <w:start w:val="1"/>
      <w:numFmt w:val="bullet"/>
      <w:lvlText w:val=""/>
      <w:lvlJc w:val="left"/>
      <w:pPr>
        <w:ind w:left="1800" w:hanging="360"/>
      </w:pPr>
      <w:rPr>
        <w:rFonts w:ascii="Symbol" w:hAnsi="Symbol"/>
      </w:rPr>
    </w:lvl>
  </w:abstractNum>
  <w:abstractNum w:abstractNumId="3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6E143D"/>
    <w:multiLevelType w:val="hybridMultilevel"/>
    <w:tmpl w:val="37E46E6A"/>
    <w:lvl w:ilvl="0" w:tplc="30B886DA">
      <w:start w:val="1"/>
      <w:numFmt w:val="bullet"/>
      <w:lvlText w:val=""/>
      <w:lvlJc w:val="left"/>
      <w:pPr>
        <w:ind w:left="1800" w:hanging="360"/>
      </w:pPr>
      <w:rPr>
        <w:rFonts w:ascii="Symbol" w:hAnsi="Symbol"/>
      </w:rPr>
    </w:lvl>
    <w:lvl w:ilvl="1" w:tplc="E8A48CA0">
      <w:start w:val="1"/>
      <w:numFmt w:val="bullet"/>
      <w:lvlText w:val=""/>
      <w:lvlJc w:val="left"/>
      <w:pPr>
        <w:ind w:left="1800" w:hanging="360"/>
      </w:pPr>
      <w:rPr>
        <w:rFonts w:ascii="Symbol" w:hAnsi="Symbol"/>
      </w:rPr>
    </w:lvl>
    <w:lvl w:ilvl="2" w:tplc="61BCF1F0">
      <w:start w:val="1"/>
      <w:numFmt w:val="bullet"/>
      <w:lvlText w:val=""/>
      <w:lvlJc w:val="left"/>
      <w:pPr>
        <w:ind w:left="1800" w:hanging="360"/>
      </w:pPr>
      <w:rPr>
        <w:rFonts w:ascii="Symbol" w:hAnsi="Symbol"/>
      </w:rPr>
    </w:lvl>
    <w:lvl w:ilvl="3" w:tplc="19368628">
      <w:start w:val="1"/>
      <w:numFmt w:val="bullet"/>
      <w:lvlText w:val=""/>
      <w:lvlJc w:val="left"/>
      <w:pPr>
        <w:ind w:left="1800" w:hanging="360"/>
      </w:pPr>
      <w:rPr>
        <w:rFonts w:ascii="Symbol" w:hAnsi="Symbol"/>
      </w:rPr>
    </w:lvl>
    <w:lvl w:ilvl="4" w:tplc="40709614">
      <w:start w:val="1"/>
      <w:numFmt w:val="bullet"/>
      <w:lvlText w:val=""/>
      <w:lvlJc w:val="left"/>
      <w:pPr>
        <w:ind w:left="1800" w:hanging="360"/>
      </w:pPr>
      <w:rPr>
        <w:rFonts w:ascii="Symbol" w:hAnsi="Symbol"/>
      </w:rPr>
    </w:lvl>
    <w:lvl w:ilvl="5" w:tplc="FFF4F738">
      <w:start w:val="1"/>
      <w:numFmt w:val="bullet"/>
      <w:lvlText w:val=""/>
      <w:lvlJc w:val="left"/>
      <w:pPr>
        <w:ind w:left="1800" w:hanging="360"/>
      </w:pPr>
      <w:rPr>
        <w:rFonts w:ascii="Symbol" w:hAnsi="Symbol"/>
      </w:rPr>
    </w:lvl>
    <w:lvl w:ilvl="6" w:tplc="D1F64E2C">
      <w:start w:val="1"/>
      <w:numFmt w:val="bullet"/>
      <w:lvlText w:val=""/>
      <w:lvlJc w:val="left"/>
      <w:pPr>
        <w:ind w:left="1800" w:hanging="360"/>
      </w:pPr>
      <w:rPr>
        <w:rFonts w:ascii="Symbol" w:hAnsi="Symbol"/>
      </w:rPr>
    </w:lvl>
    <w:lvl w:ilvl="7" w:tplc="59EC2E0E">
      <w:start w:val="1"/>
      <w:numFmt w:val="bullet"/>
      <w:lvlText w:val=""/>
      <w:lvlJc w:val="left"/>
      <w:pPr>
        <w:ind w:left="1800" w:hanging="360"/>
      </w:pPr>
      <w:rPr>
        <w:rFonts w:ascii="Symbol" w:hAnsi="Symbol"/>
      </w:rPr>
    </w:lvl>
    <w:lvl w:ilvl="8" w:tplc="5958D9D8">
      <w:start w:val="1"/>
      <w:numFmt w:val="bullet"/>
      <w:lvlText w:val=""/>
      <w:lvlJc w:val="left"/>
      <w:pPr>
        <w:ind w:left="1800" w:hanging="360"/>
      </w:pPr>
      <w:rPr>
        <w:rFonts w:ascii="Symbol" w:hAnsi="Symbol"/>
      </w:rPr>
    </w:lvl>
  </w:abstractNum>
  <w:abstractNum w:abstractNumId="41" w15:restartNumberingAfterBreak="0">
    <w:nsid w:val="768F1EEC"/>
    <w:multiLevelType w:val="hybridMultilevel"/>
    <w:tmpl w:val="AE544C80"/>
    <w:lvl w:ilvl="0" w:tplc="34A8738E">
      <w:start w:val="1"/>
      <w:numFmt w:val="lowerRoman"/>
      <w:lvlText w:val="%1)"/>
      <w:lvlJc w:val="left"/>
      <w:pPr>
        <w:ind w:left="720" w:hanging="720"/>
      </w:pPr>
      <w:rPr>
        <w:rFonts w:hint="default"/>
        <w:color w:val="auto"/>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84D033C"/>
    <w:multiLevelType w:val="multilevel"/>
    <w:tmpl w:val="3966843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146" w:hanging="720"/>
      </w:pPr>
      <w:rPr>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AA2F04"/>
    <w:multiLevelType w:val="multilevel"/>
    <w:tmpl w:val="F76EC444"/>
    <w:lvl w:ilvl="0">
      <w:start w:val="1"/>
      <w:numFmt w:val="decimal"/>
      <w:lvlText w:val="%1"/>
      <w:lvlJc w:val="left"/>
      <w:pPr>
        <w:ind w:left="720" w:hanging="720"/>
      </w:pPr>
      <w:rPr>
        <w:rFonts w:hint="default"/>
        <w:b/>
      </w:rPr>
    </w:lvl>
    <w:lvl w:ilvl="1">
      <w:start w:val="1"/>
      <w:numFmt w:val="decimal"/>
      <w:lvlText w:val="%2."/>
      <w:lvlJc w:val="left"/>
      <w:pPr>
        <w:ind w:left="786"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C2F5FF9"/>
    <w:multiLevelType w:val="hybridMultilevel"/>
    <w:tmpl w:val="C0AC31C2"/>
    <w:lvl w:ilvl="0" w:tplc="4FCCA75A">
      <w:start w:val="1"/>
      <w:numFmt w:val="lowerRoman"/>
      <w:lvlText w:val="(%1)"/>
      <w:lvlJc w:val="left"/>
      <w:pPr>
        <w:ind w:left="1080" w:hanging="720"/>
      </w:pPr>
      <w:rPr>
        <w:rFonts w:hint="default"/>
        <w:i w:val="0"/>
        <w:iCs/>
        <w:color w:val="333333"/>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0785483">
    <w:abstractNumId w:val="42"/>
  </w:num>
  <w:num w:numId="2" w16cid:durableId="1534995277">
    <w:abstractNumId w:val="25"/>
  </w:num>
  <w:num w:numId="3" w16cid:durableId="121463432">
    <w:abstractNumId w:val="0"/>
  </w:num>
  <w:num w:numId="4" w16cid:durableId="1298104264">
    <w:abstractNumId w:val="12"/>
  </w:num>
  <w:num w:numId="5" w16cid:durableId="411393846">
    <w:abstractNumId w:val="24"/>
  </w:num>
  <w:num w:numId="6" w16cid:durableId="1388186988">
    <w:abstractNumId w:val="33"/>
  </w:num>
  <w:num w:numId="7" w16cid:durableId="1283342330">
    <w:abstractNumId w:val="17"/>
  </w:num>
  <w:num w:numId="8" w16cid:durableId="1747805451">
    <w:abstractNumId w:val="42"/>
  </w:num>
  <w:num w:numId="9" w16cid:durableId="119610603">
    <w:abstractNumId w:val="41"/>
  </w:num>
  <w:num w:numId="10" w16cid:durableId="1784613410">
    <w:abstractNumId w:val="8"/>
  </w:num>
  <w:num w:numId="11" w16cid:durableId="4988174">
    <w:abstractNumId w:val="10"/>
  </w:num>
  <w:num w:numId="12" w16cid:durableId="26543099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2227520">
    <w:abstractNumId w:val="22"/>
  </w:num>
  <w:num w:numId="14" w16cid:durableId="704644230">
    <w:abstractNumId w:val="20"/>
  </w:num>
  <w:num w:numId="15" w16cid:durableId="2099055367">
    <w:abstractNumId w:val="15"/>
  </w:num>
  <w:num w:numId="16" w16cid:durableId="1250576300">
    <w:abstractNumId w:val="44"/>
  </w:num>
  <w:num w:numId="17" w16cid:durableId="1021395317">
    <w:abstractNumId w:val="21"/>
  </w:num>
  <w:num w:numId="18" w16cid:durableId="705176722">
    <w:abstractNumId w:val="1"/>
  </w:num>
  <w:num w:numId="19" w16cid:durableId="1926569401">
    <w:abstractNumId w:val="13"/>
  </w:num>
  <w:num w:numId="20" w16cid:durableId="209997201">
    <w:abstractNumId w:val="39"/>
  </w:num>
  <w:num w:numId="21" w16cid:durableId="560141390">
    <w:abstractNumId w:val="4"/>
  </w:num>
  <w:num w:numId="22" w16cid:durableId="1064790346">
    <w:abstractNumId w:val="29"/>
  </w:num>
  <w:num w:numId="23" w16cid:durableId="1788309129">
    <w:abstractNumId w:val="34"/>
  </w:num>
  <w:num w:numId="24" w16cid:durableId="264657186">
    <w:abstractNumId w:val="6"/>
  </w:num>
  <w:num w:numId="25" w16cid:durableId="1020206579">
    <w:abstractNumId w:val="5"/>
  </w:num>
  <w:num w:numId="26" w16cid:durableId="596015089">
    <w:abstractNumId w:val="14"/>
  </w:num>
  <w:num w:numId="27" w16cid:durableId="379400720">
    <w:abstractNumId w:val="37"/>
  </w:num>
  <w:num w:numId="28" w16cid:durableId="399787125">
    <w:abstractNumId w:val="18"/>
  </w:num>
  <w:num w:numId="29" w16cid:durableId="2086829058">
    <w:abstractNumId w:val="26"/>
  </w:num>
  <w:num w:numId="30" w16cid:durableId="255402171">
    <w:abstractNumId w:val="28"/>
  </w:num>
  <w:num w:numId="31" w16cid:durableId="1597057200">
    <w:abstractNumId w:val="36"/>
  </w:num>
  <w:num w:numId="32" w16cid:durableId="154759738">
    <w:abstractNumId w:val="30"/>
  </w:num>
  <w:num w:numId="33" w16cid:durableId="1912887927">
    <w:abstractNumId w:val="27"/>
  </w:num>
  <w:num w:numId="34" w16cid:durableId="1049182150">
    <w:abstractNumId w:val="19"/>
  </w:num>
  <w:num w:numId="35" w16cid:durableId="1594439384">
    <w:abstractNumId w:val="2"/>
  </w:num>
  <w:num w:numId="36" w16cid:durableId="1285691171">
    <w:abstractNumId w:val="9"/>
  </w:num>
  <w:num w:numId="37" w16cid:durableId="85352239">
    <w:abstractNumId w:val="16"/>
  </w:num>
  <w:num w:numId="38" w16cid:durableId="956715430">
    <w:abstractNumId w:val="38"/>
  </w:num>
  <w:num w:numId="39" w16cid:durableId="884684365">
    <w:abstractNumId w:val="11"/>
  </w:num>
  <w:num w:numId="40" w16cid:durableId="1738360621">
    <w:abstractNumId w:val="3"/>
  </w:num>
  <w:num w:numId="41" w16cid:durableId="658734097">
    <w:abstractNumId w:val="23"/>
  </w:num>
  <w:num w:numId="42" w16cid:durableId="1526553506">
    <w:abstractNumId w:val="31"/>
  </w:num>
  <w:num w:numId="43" w16cid:durableId="1608855939">
    <w:abstractNumId w:val="40"/>
  </w:num>
  <w:num w:numId="44" w16cid:durableId="547302395">
    <w:abstractNumId w:val="7"/>
  </w:num>
  <w:num w:numId="45" w16cid:durableId="1720739227">
    <w:abstractNumId w:val="35"/>
  </w:num>
  <w:num w:numId="46" w16cid:durableId="686370933">
    <w:abstractNumId w:val="17"/>
  </w:num>
  <w:num w:numId="47" w16cid:durableId="1956717898">
    <w:abstractNumId w:val="17"/>
  </w:num>
  <w:num w:numId="48" w16cid:durableId="542642437">
    <w:abstractNumId w:val="42"/>
  </w:num>
  <w:num w:numId="49" w16cid:durableId="2024355456">
    <w:abstractNumId w:val="43"/>
  </w:num>
  <w:num w:numId="50" w16cid:durableId="1703675095">
    <w:abstractNumId w:val="32"/>
  </w:num>
  <w:num w:numId="51" w16cid:durableId="930044565">
    <w:abstractNumId w:val="40"/>
  </w:num>
  <w:num w:numId="52" w16cid:durableId="1668553263">
    <w:abstractNumId w:val="42"/>
  </w:num>
  <w:num w:numId="53" w16cid:durableId="1528833911">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59"/>
    <w:rsid w:val="00000348"/>
    <w:rsid w:val="00000790"/>
    <w:rsid w:val="000009EC"/>
    <w:rsid w:val="0000110B"/>
    <w:rsid w:val="00001E8F"/>
    <w:rsid w:val="00001F33"/>
    <w:rsid w:val="00002247"/>
    <w:rsid w:val="00002B6D"/>
    <w:rsid w:val="00002DFF"/>
    <w:rsid w:val="00003499"/>
    <w:rsid w:val="0000369F"/>
    <w:rsid w:val="000039B7"/>
    <w:rsid w:val="0000401D"/>
    <w:rsid w:val="0000410B"/>
    <w:rsid w:val="00004C3F"/>
    <w:rsid w:val="000056B9"/>
    <w:rsid w:val="00005A2E"/>
    <w:rsid w:val="00005C31"/>
    <w:rsid w:val="0000639A"/>
    <w:rsid w:val="0000660F"/>
    <w:rsid w:val="0000685B"/>
    <w:rsid w:val="00006DB0"/>
    <w:rsid w:val="00007274"/>
    <w:rsid w:val="0001003F"/>
    <w:rsid w:val="00010D41"/>
    <w:rsid w:val="00011509"/>
    <w:rsid w:val="0001260A"/>
    <w:rsid w:val="00013247"/>
    <w:rsid w:val="0001458C"/>
    <w:rsid w:val="000145FA"/>
    <w:rsid w:val="00014B18"/>
    <w:rsid w:val="0001506E"/>
    <w:rsid w:val="00015241"/>
    <w:rsid w:val="000155F1"/>
    <w:rsid w:val="00015886"/>
    <w:rsid w:val="00015AD2"/>
    <w:rsid w:val="00015D91"/>
    <w:rsid w:val="000160CF"/>
    <w:rsid w:val="000162EF"/>
    <w:rsid w:val="00016EE8"/>
    <w:rsid w:val="00017362"/>
    <w:rsid w:val="00017455"/>
    <w:rsid w:val="00017FC5"/>
    <w:rsid w:val="0002070F"/>
    <w:rsid w:val="000207C3"/>
    <w:rsid w:val="000207C9"/>
    <w:rsid w:val="000219FB"/>
    <w:rsid w:val="00021BC7"/>
    <w:rsid w:val="00021F2C"/>
    <w:rsid w:val="0002225F"/>
    <w:rsid w:val="0002250B"/>
    <w:rsid w:val="00022976"/>
    <w:rsid w:val="00022C4D"/>
    <w:rsid w:val="00022FF5"/>
    <w:rsid w:val="000232F0"/>
    <w:rsid w:val="00023593"/>
    <w:rsid w:val="00023643"/>
    <w:rsid w:val="00023763"/>
    <w:rsid w:val="00023C00"/>
    <w:rsid w:val="00023F14"/>
    <w:rsid w:val="00024B9E"/>
    <w:rsid w:val="00024C1E"/>
    <w:rsid w:val="00024EB5"/>
    <w:rsid w:val="00024F55"/>
    <w:rsid w:val="000256FF"/>
    <w:rsid w:val="0002586D"/>
    <w:rsid w:val="00026419"/>
    <w:rsid w:val="000274B8"/>
    <w:rsid w:val="000274DE"/>
    <w:rsid w:val="00027AB7"/>
    <w:rsid w:val="00031039"/>
    <w:rsid w:val="0003118B"/>
    <w:rsid w:val="000327C1"/>
    <w:rsid w:val="00032851"/>
    <w:rsid w:val="00032E38"/>
    <w:rsid w:val="00033863"/>
    <w:rsid w:val="0003387D"/>
    <w:rsid w:val="000339EF"/>
    <w:rsid w:val="000339F6"/>
    <w:rsid w:val="00033B30"/>
    <w:rsid w:val="00033C63"/>
    <w:rsid w:val="00033D3C"/>
    <w:rsid w:val="0003416E"/>
    <w:rsid w:val="00034457"/>
    <w:rsid w:val="00034AE6"/>
    <w:rsid w:val="00034B97"/>
    <w:rsid w:val="00034F52"/>
    <w:rsid w:val="00035071"/>
    <w:rsid w:val="00035475"/>
    <w:rsid w:val="000354BF"/>
    <w:rsid w:val="00035DC0"/>
    <w:rsid w:val="00035FAD"/>
    <w:rsid w:val="00036829"/>
    <w:rsid w:val="0003699B"/>
    <w:rsid w:val="00040014"/>
    <w:rsid w:val="00040435"/>
    <w:rsid w:val="00040895"/>
    <w:rsid w:val="0004089D"/>
    <w:rsid w:val="00040C68"/>
    <w:rsid w:val="00040EA5"/>
    <w:rsid w:val="00041097"/>
    <w:rsid w:val="000410A0"/>
    <w:rsid w:val="00041619"/>
    <w:rsid w:val="00041960"/>
    <w:rsid w:val="0004205D"/>
    <w:rsid w:val="000424C8"/>
    <w:rsid w:val="000425C0"/>
    <w:rsid w:val="000430E6"/>
    <w:rsid w:val="000435EE"/>
    <w:rsid w:val="00043605"/>
    <w:rsid w:val="000436EF"/>
    <w:rsid w:val="00043C37"/>
    <w:rsid w:val="00044196"/>
    <w:rsid w:val="000442C8"/>
    <w:rsid w:val="0004462D"/>
    <w:rsid w:val="00044710"/>
    <w:rsid w:val="000448D2"/>
    <w:rsid w:val="00045017"/>
    <w:rsid w:val="00045247"/>
    <w:rsid w:val="000452FC"/>
    <w:rsid w:val="00045A2B"/>
    <w:rsid w:val="0004646A"/>
    <w:rsid w:val="0004698F"/>
    <w:rsid w:val="00046D64"/>
    <w:rsid w:val="000475B5"/>
    <w:rsid w:val="000475F2"/>
    <w:rsid w:val="00047B24"/>
    <w:rsid w:val="00047E92"/>
    <w:rsid w:val="00050562"/>
    <w:rsid w:val="000508C2"/>
    <w:rsid w:val="00050BA0"/>
    <w:rsid w:val="00050D93"/>
    <w:rsid w:val="0005103B"/>
    <w:rsid w:val="0005115E"/>
    <w:rsid w:val="00051658"/>
    <w:rsid w:val="000528C0"/>
    <w:rsid w:val="00052D1A"/>
    <w:rsid w:val="00053262"/>
    <w:rsid w:val="000532E7"/>
    <w:rsid w:val="000539D0"/>
    <w:rsid w:val="00053AF3"/>
    <w:rsid w:val="00054615"/>
    <w:rsid w:val="00054621"/>
    <w:rsid w:val="000546D7"/>
    <w:rsid w:val="00054A8D"/>
    <w:rsid w:val="00055877"/>
    <w:rsid w:val="00056ECF"/>
    <w:rsid w:val="0005706A"/>
    <w:rsid w:val="0005721C"/>
    <w:rsid w:val="0005779A"/>
    <w:rsid w:val="000604DF"/>
    <w:rsid w:val="000606E4"/>
    <w:rsid w:val="00061539"/>
    <w:rsid w:val="0006178C"/>
    <w:rsid w:val="00061CEB"/>
    <w:rsid w:val="00061F63"/>
    <w:rsid w:val="00062324"/>
    <w:rsid w:val="00062501"/>
    <w:rsid w:val="000625C7"/>
    <w:rsid w:val="000626FD"/>
    <w:rsid w:val="000628D4"/>
    <w:rsid w:val="00062A33"/>
    <w:rsid w:val="00062A68"/>
    <w:rsid w:val="00062BF8"/>
    <w:rsid w:val="00062D6F"/>
    <w:rsid w:val="00062F6D"/>
    <w:rsid w:val="00063E4B"/>
    <w:rsid w:val="00064C54"/>
    <w:rsid w:val="000653B5"/>
    <w:rsid w:val="00065EAD"/>
    <w:rsid w:val="00065F22"/>
    <w:rsid w:val="00066360"/>
    <w:rsid w:val="00066AF8"/>
    <w:rsid w:val="000677F4"/>
    <w:rsid w:val="00067F36"/>
    <w:rsid w:val="000703C5"/>
    <w:rsid w:val="00070657"/>
    <w:rsid w:val="000711B6"/>
    <w:rsid w:val="00071248"/>
    <w:rsid w:val="000716D4"/>
    <w:rsid w:val="00071819"/>
    <w:rsid w:val="00071B41"/>
    <w:rsid w:val="000720B9"/>
    <w:rsid w:val="00072189"/>
    <w:rsid w:val="000737F7"/>
    <w:rsid w:val="00073C48"/>
    <w:rsid w:val="000741CA"/>
    <w:rsid w:val="00074B4B"/>
    <w:rsid w:val="00074F53"/>
    <w:rsid w:val="00075207"/>
    <w:rsid w:val="00075739"/>
    <w:rsid w:val="00075D4E"/>
    <w:rsid w:val="000761E9"/>
    <w:rsid w:val="0007672F"/>
    <w:rsid w:val="00076B54"/>
    <w:rsid w:val="00076CAD"/>
    <w:rsid w:val="0007715A"/>
    <w:rsid w:val="00077367"/>
    <w:rsid w:val="000774F0"/>
    <w:rsid w:val="00077F86"/>
    <w:rsid w:val="00080177"/>
    <w:rsid w:val="00080376"/>
    <w:rsid w:val="000808E1"/>
    <w:rsid w:val="00080909"/>
    <w:rsid w:val="000812CA"/>
    <w:rsid w:val="00081E63"/>
    <w:rsid w:val="00082537"/>
    <w:rsid w:val="0008258D"/>
    <w:rsid w:val="00082C57"/>
    <w:rsid w:val="000839A0"/>
    <w:rsid w:val="00083E99"/>
    <w:rsid w:val="000847BA"/>
    <w:rsid w:val="00084FA8"/>
    <w:rsid w:val="0008544F"/>
    <w:rsid w:val="000856C5"/>
    <w:rsid w:val="00085C31"/>
    <w:rsid w:val="00087469"/>
    <w:rsid w:val="00087588"/>
    <w:rsid w:val="00087B56"/>
    <w:rsid w:val="000901F3"/>
    <w:rsid w:val="000902D9"/>
    <w:rsid w:val="0009048C"/>
    <w:rsid w:val="000905B1"/>
    <w:rsid w:val="00090ABF"/>
    <w:rsid w:val="00090C7E"/>
    <w:rsid w:val="00090F8B"/>
    <w:rsid w:val="000911AC"/>
    <w:rsid w:val="000920C3"/>
    <w:rsid w:val="000920D5"/>
    <w:rsid w:val="0009245B"/>
    <w:rsid w:val="00092600"/>
    <w:rsid w:val="0009262B"/>
    <w:rsid w:val="00092F1C"/>
    <w:rsid w:val="00093310"/>
    <w:rsid w:val="00093706"/>
    <w:rsid w:val="00093B37"/>
    <w:rsid w:val="000941F0"/>
    <w:rsid w:val="000942F1"/>
    <w:rsid w:val="0009445C"/>
    <w:rsid w:val="000945FC"/>
    <w:rsid w:val="00094742"/>
    <w:rsid w:val="00095200"/>
    <w:rsid w:val="000959B0"/>
    <w:rsid w:val="00095FE5"/>
    <w:rsid w:val="00096284"/>
    <w:rsid w:val="000969A1"/>
    <w:rsid w:val="00096ADF"/>
    <w:rsid w:val="0009778D"/>
    <w:rsid w:val="000A026C"/>
    <w:rsid w:val="000A0A02"/>
    <w:rsid w:val="000A172A"/>
    <w:rsid w:val="000A187F"/>
    <w:rsid w:val="000A1BC0"/>
    <w:rsid w:val="000A237C"/>
    <w:rsid w:val="000A26F0"/>
    <w:rsid w:val="000A27FB"/>
    <w:rsid w:val="000A2F9E"/>
    <w:rsid w:val="000A3A6D"/>
    <w:rsid w:val="000A3AF0"/>
    <w:rsid w:val="000A3AF5"/>
    <w:rsid w:val="000A3CCD"/>
    <w:rsid w:val="000A3D29"/>
    <w:rsid w:val="000A3E47"/>
    <w:rsid w:val="000A3FBF"/>
    <w:rsid w:val="000A433F"/>
    <w:rsid w:val="000A47C1"/>
    <w:rsid w:val="000A4FE2"/>
    <w:rsid w:val="000A522B"/>
    <w:rsid w:val="000A5446"/>
    <w:rsid w:val="000A5804"/>
    <w:rsid w:val="000A6039"/>
    <w:rsid w:val="000A63C5"/>
    <w:rsid w:val="000A7453"/>
    <w:rsid w:val="000A78A6"/>
    <w:rsid w:val="000A7D08"/>
    <w:rsid w:val="000B0121"/>
    <w:rsid w:val="000B0670"/>
    <w:rsid w:val="000B0AAE"/>
    <w:rsid w:val="000B0E75"/>
    <w:rsid w:val="000B1DF4"/>
    <w:rsid w:val="000B216E"/>
    <w:rsid w:val="000B23A7"/>
    <w:rsid w:val="000B2ACA"/>
    <w:rsid w:val="000B2CB9"/>
    <w:rsid w:val="000B2DCB"/>
    <w:rsid w:val="000B37DC"/>
    <w:rsid w:val="000B4ADD"/>
    <w:rsid w:val="000B4B59"/>
    <w:rsid w:val="000B4D14"/>
    <w:rsid w:val="000B5391"/>
    <w:rsid w:val="000B59D0"/>
    <w:rsid w:val="000B5AF8"/>
    <w:rsid w:val="000B5CE0"/>
    <w:rsid w:val="000B5EC9"/>
    <w:rsid w:val="000B609D"/>
    <w:rsid w:val="000B6B8B"/>
    <w:rsid w:val="000B6CAC"/>
    <w:rsid w:val="000B73E4"/>
    <w:rsid w:val="000B7612"/>
    <w:rsid w:val="000B78AE"/>
    <w:rsid w:val="000B7B24"/>
    <w:rsid w:val="000B7D39"/>
    <w:rsid w:val="000B7F8D"/>
    <w:rsid w:val="000C0A11"/>
    <w:rsid w:val="000C19DB"/>
    <w:rsid w:val="000C1EF6"/>
    <w:rsid w:val="000C262E"/>
    <w:rsid w:val="000C26FF"/>
    <w:rsid w:val="000C2DC6"/>
    <w:rsid w:val="000C3A1F"/>
    <w:rsid w:val="000C3C46"/>
    <w:rsid w:val="000C3DF9"/>
    <w:rsid w:val="000C42D6"/>
    <w:rsid w:val="000C45DE"/>
    <w:rsid w:val="000C4891"/>
    <w:rsid w:val="000C4CF2"/>
    <w:rsid w:val="000C5D69"/>
    <w:rsid w:val="000C6181"/>
    <w:rsid w:val="000C6713"/>
    <w:rsid w:val="000C6884"/>
    <w:rsid w:val="000C7224"/>
    <w:rsid w:val="000D014B"/>
    <w:rsid w:val="000D074A"/>
    <w:rsid w:val="000D122C"/>
    <w:rsid w:val="000D1BFC"/>
    <w:rsid w:val="000D1D5D"/>
    <w:rsid w:val="000D2374"/>
    <w:rsid w:val="000D281A"/>
    <w:rsid w:val="000D2848"/>
    <w:rsid w:val="000D326A"/>
    <w:rsid w:val="000D3F13"/>
    <w:rsid w:val="000D434D"/>
    <w:rsid w:val="000D470D"/>
    <w:rsid w:val="000D4798"/>
    <w:rsid w:val="000D4AFC"/>
    <w:rsid w:val="000D5118"/>
    <w:rsid w:val="000D51FB"/>
    <w:rsid w:val="000D574A"/>
    <w:rsid w:val="000D58A0"/>
    <w:rsid w:val="000D5937"/>
    <w:rsid w:val="000D5CAD"/>
    <w:rsid w:val="000D6668"/>
    <w:rsid w:val="000D6872"/>
    <w:rsid w:val="000D6D5F"/>
    <w:rsid w:val="000D6D6B"/>
    <w:rsid w:val="000D7628"/>
    <w:rsid w:val="000D7BB2"/>
    <w:rsid w:val="000E02EC"/>
    <w:rsid w:val="000E0640"/>
    <w:rsid w:val="000E1298"/>
    <w:rsid w:val="000E135D"/>
    <w:rsid w:val="000E2EDD"/>
    <w:rsid w:val="000E2F26"/>
    <w:rsid w:val="000E3393"/>
    <w:rsid w:val="000E3CAD"/>
    <w:rsid w:val="000E4382"/>
    <w:rsid w:val="000E48B2"/>
    <w:rsid w:val="000E5129"/>
    <w:rsid w:val="000E564B"/>
    <w:rsid w:val="000E5C12"/>
    <w:rsid w:val="000E606A"/>
    <w:rsid w:val="000E614D"/>
    <w:rsid w:val="000E6178"/>
    <w:rsid w:val="000E698D"/>
    <w:rsid w:val="000E6B2E"/>
    <w:rsid w:val="000E6BE2"/>
    <w:rsid w:val="000E7028"/>
    <w:rsid w:val="000E736B"/>
    <w:rsid w:val="000E7E42"/>
    <w:rsid w:val="000F00BA"/>
    <w:rsid w:val="000F0272"/>
    <w:rsid w:val="000F1C30"/>
    <w:rsid w:val="000F1F33"/>
    <w:rsid w:val="000F24AF"/>
    <w:rsid w:val="000F2898"/>
    <w:rsid w:val="000F316A"/>
    <w:rsid w:val="000F3C74"/>
    <w:rsid w:val="000F4029"/>
    <w:rsid w:val="000F421F"/>
    <w:rsid w:val="000F42CF"/>
    <w:rsid w:val="000F4B88"/>
    <w:rsid w:val="000F4BB8"/>
    <w:rsid w:val="000F4FA9"/>
    <w:rsid w:val="000F53FB"/>
    <w:rsid w:val="000F54F9"/>
    <w:rsid w:val="000F562B"/>
    <w:rsid w:val="000F5C77"/>
    <w:rsid w:val="000F64DD"/>
    <w:rsid w:val="000F6894"/>
    <w:rsid w:val="000F6AFA"/>
    <w:rsid w:val="000F7127"/>
    <w:rsid w:val="000F7867"/>
    <w:rsid w:val="000F78C1"/>
    <w:rsid w:val="000F7B54"/>
    <w:rsid w:val="000F7EAE"/>
    <w:rsid w:val="00100006"/>
    <w:rsid w:val="001000B3"/>
    <w:rsid w:val="00100198"/>
    <w:rsid w:val="00100ACF"/>
    <w:rsid w:val="00100F8A"/>
    <w:rsid w:val="00101029"/>
    <w:rsid w:val="001014B9"/>
    <w:rsid w:val="0010189D"/>
    <w:rsid w:val="0010278D"/>
    <w:rsid w:val="00102A20"/>
    <w:rsid w:val="00102B66"/>
    <w:rsid w:val="00102E78"/>
    <w:rsid w:val="00103D61"/>
    <w:rsid w:val="00103DC2"/>
    <w:rsid w:val="00104138"/>
    <w:rsid w:val="00104207"/>
    <w:rsid w:val="0010452E"/>
    <w:rsid w:val="001047C7"/>
    <w:rsid w:val="00104AB8"/>
    <w:rsid w:val="00105682"/>
    <w:rsid w:val="00105AE2"/>
    <w:rsid w:val="001060C6"/>
    <w:rsid w:val="001068DE"/>
    <w:rsid w:val="00106B80"/>
    <w:rsid w:val="00106BE2"/>
    <w:rsid w:val="00106CCF"/>
    <w:rsid w:val="001074BC"/>
    <w:rsid w:val="001076C6"/>
    <w:rsid w:val="00107E7B"/>
    <w:rsid w:val="001100BE"/>
    <w:rsid w:val="0011032E"/>
    <w:rsid w:val="00110374"/>
    <w:rsid w:val="00110422"/>
    <w:rsid w:val="00110ECE"/>
    <w:rsid w:val="001113B7"/>
    <w:rsid w:val="001114D9"/>
    <w:rsid w:val="0011164C"/>
    <w:rsid w:val="0011336B"/>
    <w:rsid w:val="0011348B"/>
    <w:rsid w:val="00113586"/>
    <w:rsid w:val="001138D2"/>
    <w:rsid w:val="001146F8"/>
    <w:rsid w:val="001155DA"/>
    <w:rsid w:val="0011561B"/>
    <w:rsid w:val="00115982"/>
    <w:rsid w:val="00115B42"/>
    <w:rsid w:val="00115F41"/>
    <w:rsid w:val="00116124"/>
    <w:rsid w:val="001168CB"/>
    <w:rsid w:val="00116C53"/>
    <w:rsid w:val="00116DD2"/>
    <w:rsid w:val="00116E6C"/>
    <w:rsid w:val="00120054"/>
    <w:rsid w:val="001204AF"/>
    <w:rsid w:val="00121799"/>
    <w:rsid w:val="00121D55"/>
    <w:rsid w:val="00122115"/>
    <w:rsid w:val="001222FC"/>
    <w:rsid w:val="0012245E"/>
    <w:rsid w:val="00122C8A"/>
    <w:rsid w:val="0012342B"/>
    <w:rsid w:val="00123902"/>
    <w:rsid w:val="00123ADD"/>
    <w:rsid w:val="00123ADF"/>
    <w:rsid w:val="00123AE3"/>
    <w:rsid w:val="00123C28"/>
    <w:rsid w:val="00123CD7"/>
    <w:rsid w:val="0012404C"/>
    <w:rsid w:val="0012421C"/>
    <w:rsid w:val="00124414"/>
    <w:rsid w:val="0012486D"/>
    <w:rsid w:val="00124A51"/>
    <w:rsid w:val="001252C2"/>
    <w:rsid w:val="00126480"/>
    <w:rsid w:val="00126621"/>
    <w:rsid w:val="00126B1D"/>
    <w:rsid w:val="00126EBE"/>
    <w:rsid w:val="00127142"/>
    <w:rsid w:val="00127526"/>
    <w:rsid w:val="001277E7"/>
    <w:rsid w:val="001279B5"/>
    <w:rsid w:val="001301E9"/>
    <w:rsid w:val="00130DFC"/>
    <w:rsid w:val="00130EAA"/>
    <w:rsid w:val="00131A68"/>
    <w:rsid w:val="00131D82"/>
    <w:rsid w:val="00131DE1"/>
    <w:rsid w:val="001324E5"/>
    <w:rsid w:val="0013255D"/>
    <w:rsid w:val="001325B1"/>
    <w:rsid w:val="00132B22"/>
    <w:rsid w:val="00132F3B"/>
    <w:rsid w:val="00132FE1"/>
    <w:rsid w:val="0013314F"/>
    <w:rsid w:val="0013390E"/>
    <w:rsid w:val="00133D36"/>
    <w:rsid w:val="0013414A"/>
    <w:rsid w:val="00134BE9"/>
    <w:rsid w:val="0013535F"/>
    <w:rsid w:val="001368CE"/>
    <w:rsid w:val="00136F9B"/>
    <w:rsid w:val="00137645"/>
    <w:rsid w:val="001376AF"/>
    <w:rsid w:val="0013781E"/>
    <w:rsid w:val="0014015A"/>
    <w:rsid w:val="00140A53"/>
    <w:rsid w:val="00140E99"/>
    <w:rsid w:val="0014137F"/>
    <w:rsid w:val="00141D3F"/>
    <w:rsid w:val="0014214D"/>
    <w:rsid w:val="00142DA2"/>
    <w:rsid w:val="0014318C"/>
    <w:rsid w:val="001437B7"/>
    <w:rsid w:val="00143F67"/>
    <w:rsid w:val="001444E7"/>
    <w:rsid w:val="00144CB4"/>
    <w:rsid w:val="00145234"/>
    <w:rsid w:val="00145540"/>
    <w:rsid w:val="0014555E"/>
    <w:rsid w:val="001456B0"/>
    <w:rsid w:val="0014622E"/>
    <w:rsid w:val="001467C0"/>
    <w:rsid w:val="00146C86"/>
    <w:rsid w:val="0014710B"/>
    <w:rsid w:val="001477D8"/>
    <w:rsid w:val="001479B4"/>
    <w:rsid w:val="001479D9"/>
    <w:rsid w:val="001506E4"/>
    <w:rsid w:val="00150C43"/>
    <w:rsid w:val="00150FB8"/>
    <w:rsid w:val="00151321"/>
    <w:rsid w:val="00152079"/>
    <w:rsid w:val="00152CCF"/>
    <w:rsid w:val="0015307F"/>
    <w:rsid w:val="001533B6"/>
    <w:rsid w:val="001544B4"/>
    <w:rsid w:val="00154574"/>
    <w:rsid w:val="001547AB"/>
    <w:rsid w:val="00154BF9"/>
    <w:rsid w:val="001553FF"/>
    <w:rsid w:val="001554C1"/>
    <w:rsid w:val="00155D07"/>
    <w:rsid w:val="00156282"/>
    <w:rsid w:val="0015665A"/>
    <w:rsid w:val="001568A8"/>
    <w:rsid w:val="00156A35"/>
    <w:rsid w:val="00156F8F"/>
    <w:rsid w:val="00157130"/>
    <w:rsid w:val="001576B1"/>
    <w:rsid w:val="001579CB"/>
    <w:rsid w:val="0016047B"/>
    <w:rsid w:val="00160A4C"/>
    <w:rsid w:val="0016123E"/>
    <w:rsid w:val="001618E2"/>
    <w:rsid w:val="00161BC7"/>
    <w:rsid w:val="00161FB4"/>
    <w:rsid w:val="0016235A"/>
    <w:rsid w:val="00162913"/>
    <w:rsid w:val="00162B46"/>
    <w:rsid w:val="00162E54"/>
    <w:rsid w:val="001630F9"/>
    <w:rsid w:val="00163EFF"/>
    <w:rsid w:val="00163F66"/>
    <w:rsid w:val="00164308"/>
    <w:rsid w:val="0016478E"/>
    <w:rsid w:val="001655E9"/>
    <w:rsid w:val="00165EC4"/>
    <w:rsid w:val="001661FB"/>
    <w:rsid w:val="001662E9"/>
    <w:rsid w:val="0016669B"/>
    <w:rsid w:val="00166CB6"/>
    <w:rsid w:val="001671A0"/>
    <w:rsid w:val="0016767F"/>
    <w:rsid w:val="00167DE0"/>
    <w:rsid w:val="001700C5"/>
    <w:rsid w:val="00170400"/>
    <w:rsid w:val="001706A3"/>
    <w:rsid w:val="001722C4"/>
    <w:rsid w:val="00172FB4"/>
    <w:rsid w:val="00173565"/>
    <w:rsid w:val="00173AA0"/>
    <w:rsid w:val="00173ACC"/>
    <w:rsid w:val="00173B07"/>
    <w:rsid w:val="00174093"/>
    <w:rsid w:val="00174958"/>
    <w:rsid w:val="001751FA"/>
    <w:rsid w:val="0017591B"/>
    <w:rsid w:val="00175CB4"/>
    <w:rsid w:val="00175F3B"/>
    <w:rsid w:val="00176750"/>
    <w:rsid w:val="00176829"/>
    <w:rsid w:val="00176838"/>
    <w:rsid w:val="00176925"/>
    <w:rsid w:val="00176CFD"/>
    <w:rsid w:val="00177467"/>
    <w:rsid w:val="00177AA6"/>
    <w:rsid w:val="00177CF2"/>
    <w:rsid w:val="00180172"/>
    <w:rsid w:val="00180184"/>
    <w:rsid w:val="001805E4"/>
    <w:rsid w:val="0018191C"/>
    <w:rsid w:val="00181AB2"/>
    <w:rsid w:val="00181C10"/>
    <w:rsid w:val="00181D9C"/>
    <w:rsid w:val="001827B7"/>
    <w:rsid w:val="00182A77"/>
    <w:rsid w:val="001834CC"/>
    <w:rsid w:val="001837FF"/>
    <w:rsid w:val="00183925"/>
    <w:rsid w:val="00183C97"/>
    <w:rsid w:val="001840DF"/>
    <w:rsid w:val="00184B0E"/>
    <w:rsid w:val="00184C39"/>
    <w:rsid w:val="00185134"/>
    <w:rsid w:val="00185D4E"/>
    <w:rsid w:val="00186D98"/>
    <w:rsid w:val="00187177"/>
    <w:rsid w:val="0018737F"/>
    <w:rsid w:val="001873F5"/>
    <w:rsid w:val="0018752F"/>
    <w:rsid w:val="0018793E"/>
    <w:rsid w:val="00187F4C"/>
    <w:rsid w:val="00191630"/>
    <w:rsid w:val="00192344"/>
    <w:rsid w:val="00192983"/>
    <w:rsid w:val="00193838"/>
    <w:rsid w:val="00193F55"/>
    <w:rsid w:val="00194AD8"/>
    <w:rsid w:val="00194B47"/>
    <w:rsid w:val="00195222"/>
    <w:rsid w:val="00195452"/>
    <w:rsid w:val="001955CB"/>
    <w:rsid w:val="0019588B"/>
    <w:rsid w:val="001961FD"/>
    <w:rsid w:val="00196394"/>
    <w:rsid w:val="0019682F"/>
    <w:rsid w:val="00196D06"/>
    <w:rsid w:val="0019729E"/>
    <w:rsid w:val="001973A6"/>
    <w:rsid w:val="001975D8"/>
    <w:rsid w:val="00197C02"/>
    <w:rsid w:val="00197CA0"/>
    <w:rsid w:val="00197DDA"/>
    <w:rsid w:val="001A0048"/>
    <w:rsid w:val="001A0291"/>
    <w:rsid w:val="001A079B"/>
    <w:rsid w:val="001A08C9"/>
    <w:rsid w:val="001A1087"/>
    <w:rsid w:val="001A1335"/>
    <w:rsid w:val="001A178E"/>
    <w:rsid w:val="001A18D7"/>
    <w:rsid w:val="001A1989"/>
    <w:rsid w:val="001A1FA7"/>
    <w:rsid w:val="001A286B"/>
    <w:rsid w:val="001A296A"/>
    <w:rsid w:val="001A2DD0"/>
    <w:rsid w:val="001A3A8F"/>
    <w:rsid w:val="001A43FA"/>
    <w:rsid w:val="001A47C5"/>
    <w:rsid w:val="001A51E6"/>
    <w:rsid w:val="001A59FB"/>
    <w:rsid w:val="001A5E9E"/>
    <w:rsid w:val="001A6354"/>
    <w:rsid w:val="001A6366"/>
    <w:rsid w:val="001A663C"/>
    <w:rsid w:val="001A719D"/>
    <w:rsid w:val="001A7406"/>
    <w:rsid w:val="001A77CA"/>
    <w:rsid w:val="001A7AE8"/>
    <w:rsid w:val="001A7BF5"/>
    <w:rsid w:val="001B0995"/>
    <w:rsid w:val="001B1000"/>
    <w:rsid w:val="001B118E"/>
    <w:rsid w:val="001B1D9E"/>
    <w:rsid w:val="001B204E"/>
    <w:rsid w:val="001B2372"/>
    <w:rsid w:val="001B237F"/>
    <w:rsid w:val="001B2DB6"/>
    <w:rsid w:val="001B3192"/>
    <w:rsid w:val="001B3344"/>
    <w:rsid w:val="001B3443"/>
    <w:rsid w:val="001B434F"/>
    <w:rsid w:val="001B4898"/>
    <w:rsid w:val="001B4A80"/>
    <w:rsid w:val="001B4AE9"/>
    <w:rsid w:val="001B4C75"/>
    <w:rsid w:val="001B4D20"/>
    <w:rsid w:val="001B5035"/>
    <w:rsid w:val="001B54DB"/>
    <w:rsid w:val="001B7510"/>
    <w:rsid w:val="001B789B"/>
    <w:rsid w:val="001B7A0B"/>
    <w:rsid w:val="001B7F84"/>
    <w:rsid w:val="001C03F6"/>
    <w:rsid w:val="001C0A24"/>
    <w:rsid w:val="001C12C9"/>
    <w:rsid w:val="001C2234"/>
    <w:rsid w:val="001C2353"/>
    <w:rsid w:val="001C2A9B"/>
    <w:rsid w:val="001C3838"/>
    <w:rsid w:val="001C3DD6"/>
    <w:rsid w:val="001C4299"/>
    <w:rsid w:val="001C4874"/>
    <w:rsid w:val="001C4DE1"/>
    <w:rsid w:val="001C503F"/>
    <w:rsid w:val="001C5DEE"/>
    <w:rsid w:val="001C5F94"/>
    <w:rsid w:val="001C6056"/>
    <w:rsid w:val="001C6495"/>
    <w:rsid w:val="001C653F"/>
    <w:rsid w:val="001C6DBC"/>
    <w:rsid w:val="001C6E66"/>
    <w:rsid w:val="001C6E75"/>
    <w:rsid w:val="001C7DE1"/>
    <w:rsid w:val="001C7DE7"/>
    <w:rsid w:val="001C7F3E"/>
    <w:rsid w:val="001D008E"/>
    <w:rsid w:val="001D06EF"/>
    <w:rsid w:val="001D08B5"/>
    <w:rsid w:val="001D1100"/>
    <w:rsid w:val="001D1391"/>
    <w:rsid w:val="001D145B"/>
    <w:rsid w:val="001D1620"/>
    <w:rsid w:val="001D1A45"/>
    <w:rsid w:val="001D1C8D"/>
    <w:rsid w:val="001D1DE0"/>
    <w:rsid w:val="001D2018"/>
    <w:rsid w:val="001D25D7"/>
    <w:rsid w:val="001D27AA"/>
    <w:rsid w:val="001D2AFE"/>
    <w:rsid w:val="001D2B44"/>
    <w:rsid w:val="001D31AF"/>
    <w:rsid w:val="001D3325"/>
    <w:rsid w:val="001D416D"/>
    <w:rsid w:val="001D4428"/>
    <w:rsid w:val="001D4628"/>
    <w:rsid w:val="001D47F3"/>
    <w:rsid w:val="001D50B2"/>
    <w:rsid w:val="001D6289"/>
    <w:rsid w:val="001D6EE5"/>
    <w:rsid w:val="001D7030"/>
    <w:rsid w:val="001D717C"/>
    <w:rsid w:val="001D71F4"/>
    <w:rsid w:val="001D7434"/>
    <w:rsid w:val="001D7645"/>
    <w:rsid w:val="001D7704"/>
    <w:rsid w:val="001D794C"/>
    <w:rsid w:val="001D799F"/>
    <w:rsid w:val="001E0952"/>
    <w:rsid w:val="001E1E86"/>
    <w:rsid w:val="001E20A7"/>
    <w:rsid w:val="001E238E"/>
    <w:rsid w:val="001E2483"/>
    <w:rsid w:val="001E269A"/>
    <w:rsid w:val="001E274F"/>
    <w:rsid w:val="001E2B1E"/>
    <w:rsid w:val="001E2CFF"/>
    <w:rsid w:val="001E2E35"/>
    <w:rsid w:val="001E2F24"/>
    <w:rsid w:val="001E30D4"/>
    <w:rsid w:val="001E34DF"/>
    <w:rsid w:val="001E4124"/>
    <w:rsid w:val="001E514C"/>
    <w:rsid w:val="001E52EB"/>
    <w:rsid w:val="001E61D2"/>
    <w:rsid w:val="001E740C"/>
    <w:rsid w:val="001E7437"/>
    <w:rsid w:val="001E7824"/>
    <w:rsid w:val="001F0C65"/>
    <w:rsid w:val="001F1235"/>
    <w:rsid w:val="001F1718"/>
    <w:rsid w:val="001F1774"/>
    <w:rsid w:val="001F1838"/>
    <w:rsid w:val="001F1B6C"/>
    <w:rsid w:val="001F1CB3"/>
    <w:rsid w:val="001F1D49"/>
    <w:rsid w:val="001F2277"/>
    <w:rsid w:val="001F2828"/>
    <w:rsid w:val="001F38B5"/>
    <w:rsid w:val="001F3FD6"/>
    <w:rsid w:val="001F4081"/>
    <w:rsid w:val="001F444E"/>
    <w:rsid w:val="001F4B22"/>
    <w:rsid w:val="001F65A7"/>
    <w:rsid w:val="001F6F8D"/>
    <w:rsid w:val="001F7361"/>
    <w:rsid w:val="001F7818"/>
    <w:rsid w:val="001F7DAA"/>
    <w:rsid w:val="001F7EB3"/>
    <w:rsid w:val="00200C5C"/>
    <w:rsid w:val="0020106C"/>
    <w:rsid w:val="002011B0"/>
    <w:rsid w:val="00201407"/>
    <w:rsid w:val="00203181"/>
    <w:rsid w:val="0020329B"/>
    <w:rsid w:val="002034BB"/>
    <w:rsid w:val="002036A4"/>
    <w:rsid w:val="00203782"/>
    <w:rsid w:val="00203783"/>
    <w:rsid w:val="0020385F"/>
    <w:rsid w:val="0020398A"/>
    <w:rsid w:val="00204521"/>
    <w:rsid w:val="002049F0"/>
    <w:rsid w:val="00204F81"/>
    <w:rsid w:val="00205098"/>
    <w:rsid w:val="00205145"/>
    <w:rsid w:val="002065E1"/>
    <w:rsid w:val="002067B4"/>
    <w:rsid w:val="002068A0"/>
    <w:rsid w:val="00206929"/>
    <w:rsid w:val="00207021"/>
    <w:rsid w:val="0020732F"/>
    <w:rsid w:val="0020743D"/>
    <w:rsid w:val="0020754D"/>
    <w:rsid w:val="00207D00"/>
    <w:rsid w:val="00210038"/>
    <w:rsid w:val="002105C1"/>
    <w:rsid w:val="00210DA7"/>
    <w:rsid w:val="00210DEE"/>
    <w:rsid w:val="00211154"/>
    <w:rsid w:val="002116FD"/>
    <w:rsid w:val="00211E1E"/>
    <w:rsid w:val="00211FAD"/>
    <w:rsid w:val="00212609"/>
    <w:rsid w:val="0021323C"/>
    <w:rsid w:val="002136C5"/>
    <w:rsid w:val="00213811"/>
    <w:rsid w:val="00213A00"/>
    <w:rsid w:val="00213BC7"/>
    <w:rsid w:val="00213EF5"/>
    <w:rsid w:val="00214447"/>
    <w:rsid w:val="00214653"/>
    <w:rsid w:val="0021560D"/>
    <w:rsid w:val="00215649"/>
    <w:rsid w:val="00215B93"/>
    <w:rsid w:val="00216943"/>
    <w:rsid w:val="00216BF5"/>
    <w:rsid w:val="00216C69"/>
    <w:rsid w:val="00217308"/>
    <w:rsid w:val="002173AC"/>
    <w:rsid w:val="002207A3"/>
    <w:rsid w:val="00220AE9"/>
    <w:rsid w:val="00220BB2"/>
    <w:rsid w:val="002212B7"/>
    <w:rsid w:val="002213DE"/>
    <w:rsid w:val="00221A3B"/>
    <w:rsid w:val="00221B93"/>
    <w:rsid w:val="00221C2D"/>
    <w:rsid w:val="00221D56"/>
    <w:rsid w:val="00221DCF"/>
    <w:rsid w:val="0022234D"/>
    <w:rsid w:val="00223532"/>
    <w:rsid w:val="00223B49"/>
    <w:rsid w:val="00223D5A"/>
    <w:rsid w:val="00223D8C"/>
    <w:rsid w:val="00224DD4"/>
    <w:rsid w:val="002251E9"/>
    <w:rsid w:val="00225768"/>
    <w:rsid w:val="00227250"/>
    <w:rsid w:val="00227580"/>
    <w:rsid w:val="002278A0"/>
    <w:rsid w:val="00227D2D"/>
    <w:rsid w:val="002307DA"/>
    <w:rsid w:val="002308B2"/>
    <w:rsid w:val="002308E4"/>
    <w:rsid w:val="002309CC"/>
    <w:rsid w:val="00230D06"/>
    <w:rsid w:val="00231389"/>
    <w:rsid w:val="00231529"/>
    <w:rsid w:val="00231BA9"/>
    <w:rsid w:val="0023209F"/>
    <w:rsid w:val="002323A4"/>
    <w:rsid w:val="00232CEB"/>
    <w:rsid w:val="00233500"/>
    <w:rsid w:val="00233C01"/>
    <w:rsid w:val="0023413C"/>
    <w:rsid w:val="002346F0"/>
    <w:rsid w:val="00234EF0"/>
    <w:rsid w:val="0023570B"/>
    <w:rsid w:val="0023629D"/>
    <w:rsid w:val="002369B8"/>
    <w:rsid w:val="00237255"/>
    <w:rsid w:val="002375FC"/>
    <w:rsid w:val="00237BBA"/>
    <w:rsid w:val="00237EE9"/>
    <w:rsid w:val="002413ED"/>
    <w:rsid w:val="002424AF"/>
    <w:rsid w:val="00243378"/>
    <w:rsid w:val="002439DC"/>
    <w:rsid w:val="002441D2"/>
    <w:rsid w:val="002445C0"/>
    <w:rsid w:val="002446FE"/>
    <w:rsid w:val="00244DC8"/>
    <w:rsid w:val="00245187"/>
    <w:rsid w:val="002456DB"/>
    <w:rsid w:val="002458BA"/>
    <w:rsid w:val="0024591D"/>
    <w:rsid w:val="00245A02"/>
    <w:rsid w:val="00245CE9"/>
    <w:rsid w:val="0024636C"/>
    <w:rsid w:val="00246494"/>
    <w:rsid w:val="0024692B"/>
    <w:rsid w:val="002469C1"/>
    <w:rsid w:val="00246FEB"/>
    <w:rsid w:val="002473B6"/>
    <w:rsid w:val="00247925"/>
    <w:rsid w:val="00247A87"/>
    <w:rsid w:val="00247F86"/>
    <w:rsid w:val="002507AD"/>
    <w:rsid w:val="00250FD7"/>
    <w:rsid w:val="00250FFB"/>
    <w:rsid w:val="00251006"/>
    <w:rsid w:val="002511C5"/>
    <w:rsid w:val="00251650"/>
    <w:rsid w:val="0025194F"/>
    <w:rsid w:val="002519C8"/>
    <w:rsid w:val="002524D5"/>
    <w:rsid w:val="002528CC"/>
    <w:rsid w:val="0025293D"/>
    <w:rsid w:val="00252967"/>
    <w:rsid w:val="002531CE"/>
    <w:rsid w:val="0025335C"/>
    <w:rsid w:val="00253771"/>
    <w:rsid w:val="00253B1D"/>
    <w:rsid w:val="00254CF3"/>
    <w:rsid w:val="00254DCF"/>
    <w:rsid w:val="0025534B"/>
    <w:rsid w:val="00255642"/>
    <w:rsid w:val="00255778"/>
    <w:rsid w:val="002558A3"/>
    <w:rsid w:val="00255BB7"/>
    <w:rsid w:val="00255EF6"/>
    <w:rsid w:val="00256358"/>
    <w:rsid w:val="00256540"/>
    <w:rsid w:val="0025699D"/>
    <w:rsid w:val="00257541"/>
    <w:rsid w:val="00257944"/>
    <w:rsid w:val="00257A39"/>
    <w:rsid w:val="00257AC4"/>
    <w:rsid w:val="00257BBE"/>
    <w:rsid w:val="0026126D"/>
    <w:rsid w:val="00261EAE"/>
    <w:rsid w:val="00261EEF"/>
    <w:rsid w:val="0026228D"/>
    <w:rsid w:val="00262A1A"/>
    <w:rsid w:val="00262A87"/>
    <w:rsid w:val="00264801"/>
    <w:rsid w:val="0026493A"/>
    <w:rsid w:val="00264CBF"/>
    <w:rsid w:val="00264D26"/>
    <w:rsid w:val="002650F7"/>
    <w:rsid w:val="002658B1"/>
    <w:rsid w:val="00265910"/>
    <w:rsid w:val="0026598F"/>
    <w:rsid w:val="00265E09"/>
    <w:rsid w:val="00266E66"/>
    <w:rsid w:val="002672EB"/>
    <w:rsid w:val="00267642"/>
    <w:rsid w:val="0026779B"/>
    <w:rsid w:val="00267AEA"/>
    <w:rsid w:val="002700E6"/>
    <w:rsid w:val="00270B1D"/>
    <w:rsid w:val="00270C21"/>
    <w:rsid w:val="00270E0D"/>
    <w:rsid w:val="00271919"/>
    <w:rsid w:val="0027294B"/>
    <w:rsid w:val="002730C9"/>
    <w:rsid w:val="00273495"/>
    <w:rsid w:val="00273A2F"/>
    <w:rsid w:val="00273B61"/>
    <w:rsid w:val="00273EB4"/>
    <w:rsid w:val="00274682"/>
    <w:rsid w:val="00274B10"/>
    <w:rsid w:val="00275155"/>
    <w:rsid w:val="00275158"/>
    <w:rsid w:val="002754DC"/>
    <w:rsid w:val="0027559F"/>
    <w:rsid w:val="002755C1"/>
    <w:rsid w:val="00275C5A"/>
    <w:rsid w:val="00275EDB"/>
    <w:rsid w:val="0027611B"/>
    <w:rsid w:val="0027637D"/>
    <w:rsid w:val="00280626"/>
    <w:rsid w:val="00280C75"/>
    <w:rsid w:val="00281014"/>
    <w:rsid w:val="002817D0"/>
    <w:rsid w:val="00281848"/>
    <w:rsid w:val="00282482"/>
    <w:rsid w:val="00282533"/>
    <w:rsid w:val="0028299B"/>
    <w:rsid w:val="00282A62"/>
    <w:rsid w:val="002835B3"/>
    <w:rsid w:val="00283B42"/>
    <w:rsid w:val="002841D9"/>
    <w:rsid w:val="002852B8"/>
    <w:rsid w:val="00285738"/>
    <w:rsid w:val="00285741"/>
    <w:rsid w:val="00285A1F"/>
    <w:rsid w:val="00285BCE"/>
    <w:rsid w:val="0028665D"/>
    <w:rsid w:val="00286A9D"/>
    <w:rsid w:val="00286F3F"/>
    <w:rsid w:val="00290134"/>
    <w:rsid w:val="0029179F"/>
    <w:rsid w:val="002919B0"/>
    <w:rsid w:val="002921CD"/>
    <w:rsid w:val="0029275A"/>
    <w:rsid w:val="00293665"/>
    <w:rsid w:val="00293667"/>
    <w:rsid w:val="0029397A"/>
    <w:rsid w:val="00293AAB"/>
    <w:rsid w:val="00293C1A"/>
    <w:rsid w:val="00293CE8"/>
    <w:rsid w:val="0029413A"/>
    <w:rsid w:val="00295665"/>
    <w:rsid w:val="00295ACD"/>
    <w:rsid w:val="00295C64"/>
    <w:rsid w:val="00296403"/>
    <w:rsid w:val="00296AC7"/>
    <w:rsid w:val="00296DF7"/>
    <w:rsid w:val="00296EEE"/>
    <w:rsid w:val="00297057"/>
    <w:rsid w:val="00297319"/>
    <w:rsid w:val="002A0026"/>
    <w:rsid w:val="002A003B"/>
    <w:rsid w:val="002A00FC"/>
    <w:rsid w:val="002A0315"/>
    <w:rsid w:val="002A0CFE"/>
    <w:rsid w:val="002A0E10"/>
    <w:rsid w:val="002A14AB"/>
    <w:rsid w:val="002A1621"/>
    <w:rsid w:val="002A2ADE"/>
    <w:rsid w:val="002A2D75"/>
    <w:rsid w:val="002A2F50"/>
    <w:rsid w:val="002A3159"/>
    <w:rsid w:val="002A388F"/>
    <w:rsid w:val="002A3A37"/>
    <w:rsid w:val="002A3CF9"/>
    <w:rsid w:val="002A3F3A"/>
    <w:rsid w:val="002A4525"/>
    <w:rsid w:val="002A4842"/>
    <w:rsid w:val="002A61AA"/>
    <w:rsid w:val="002A6EEB"/>
    <w:rsid w:val="002A7943"/>
    <w:rsid w:val="002B05A1"/>
    <w:rsid w:val="002B09A4"/>
    <w:rsid w:val="002B1C1F"/>
    <w:rsid w:val="002B212D"/>
    <w:rsid w:val="002B2883"/>
    <w:rsid w:val="002B2A4C"/>
    <w:rsid w:val="002B316D"/>
    <w:rsid w:val="002B39EC"/>
    <w:rsid w:val="002B432F"/>
    <w:rsid w:val="002B4F7F"/>
    <w:rsid w:val="002B5D52"/>
    <w:rsid w:val="002B62B3"/>
    <w:rsid w:val="002B6754"/>
    <w:rsid w:val="002B6CCE"/>
    <w:rsid w:val="002B6E24"/>
    <w:rsid w:val="002B7501"/>
    <w:rsid w:val="002B75F1"/>
    <w:rsid w:val="002B777B"/>
    <w:rsid w:val="002C03A4"/>
    <w:rsid w:val="002C07FD"/>
    <w:rsid w:val="002C20C5"/>
    <w:rsid w:val="002C2510"/>
    <w:rsid w:val="002C2607"/>
    <w:rsid w:val="002C2775"/>
    <w:rsid w:val="002C27C1"/>
    <w:rsid w:val="002C27C7"/>
    <w:rsid w:val="002C34E7"/>
    <w:rsid w:val="002C36E3"/>
    <w:rsid w:val="002C3BE9"/>
    <w:rsid w:val="002C3C60"/>
    <w:rsid w:val="002C3F02"/>
    <w:rsid w:val="002C4A9A"/>
    <w:rsid w:val="002C5026"/>
    <w:rsid w:val="002C5099"/>
    <w:rsid w:val="002C5185"/>
    <w:rsid w:val="002C5710"/>
    <w:rsid w:val="002C5889"/>
    <w:rsid w:val="002C5953"/>
    <w:rsid w:val="002C6086"/>
    <w:rsid w:val="002C71CE"/>
    <w:rsid w:val="002C7B7B"/>
    <w:rsid w:val="002D072B"/>
    <w:rsid w:val="002D08F8"/>
    <w:rsid w:val="002D0D92"/>
    <w:rsid w:val="002D1756"/>
    <w:rsid w:val="002D19BF"/>
    <w:rsid w:val="002D2C77"/>
    <w:rsid w:val="002D2CC3"/>
    <w:rsid w:val="002D2D94"/>
    <w:rsid w:val="002D3687"/>
    <w:rsid w:val="002D3A80"/>
    <w:rsid w:val="002D3CD0"/>
    <w:rsid w:val="002D3FD8"/>
    <w:rsid w:val="002D555C"/>
    <w:rsid w:val="002D577C"/>
    <w:rsid w:val="002D7832"/>
    <w:rsid w:val="002D78AE"/>
    <w:rsid w:val="002D7A45"/>
    <w:rsid w:val="002D7EB7"/>
    <w:rsid w:val="002E029A"/>
    <w:rsid w:val="002E03F0"/>
    <w:rsid w:val="002E0545"/>
    <w:rsid w:val="002E1071"/>
    <w:rsid w:val="002E15B9"/>
    <w:rsid w:val="002E17CD"/>
    <w:rsid w:val="002E2158"/>
    <w:rsid w:val="002E3083"/>
    <w:rsid w:val="002E319D"/>
    <w:rsid w:val="002E34B6"/>
    <w:rsid w:val="002E35DB"/>
    <w:rsid w:val="002E36BC"/>
    <w:rsid w:val="002E37AB"/>
    <w:rsid w:val="002E3D8C"/>
    <w:rsid w:val="002E3DFC"/>
    <w:rsid w:val="002E40B2"/>
    <w:rsid w:val="002E49DD"/>
    <w:rsid w:val="002E4B48"/>
    <w:rsid w:val="002E4D4E"/>
    <w:rsid w:val="002E4F02"/>
    <w:rsid w:val="002E591D"/>
    <w:rsid w:val="002E65B9"/>
    <w:rsid w:val="002E69EA"/>
    <w:rsid w:val="002E7722"/>
    <w:rsid w:val="002E78C1"/>
    <w:rsid w:val="002F0612"/>
    <w:rsid w:val="002F07BA"/>
    <w:rsid w:val="002F0DA9"/>
    <w:rsid w:val="002F0F96"/>
    <w:rsid w:val="002F1014"/>
    <w:rsid w:val="002F1576"/>
    <w:rsid w:val="002F15D6"/>
    <w:rsid w:val="002F1E3B"/>
    <w:rsid w:val="002F2F3B"/>
    <w:rsid w:val="002F3ED9"/>
    <w:rsid w:val="002F3FE1"/>
    <w:rsid w:val="002F48BB"/>
    <w:rsid w:val="002F53CE"/>
    <w:rsid w:val="002F54BD"/>
    <w:rsid w:val="002F5EB0"/>
    <w:rsid w:val="002F5F94"/>
    <w:rsid w:val="002F5FAD"/>
    <w:rsid w:val="002F643C"/>
    <w:rsid w:val="002F6888"/>
    <w:rsid w:val="002F71C0"/>
    <w:rsid w:val="002F74F1"/>
    <w:rsid w:val="00300AF1"/>
    <w:rsid w:val="00300B56"/>
    <w:rsid w:val="00300CAF"/>
    <w:rsid w:val="00301017"/>
    <w:rsid w:val="00301212"/>
    <w:rsid w:val="0030155F"/>
    <w:rsid w:val="003032BF"/>
    <w:rsid w:val="0030437B"/>
    <w:rsid w:val="00304C07"/>
    <w:rsid w:val="003057AB"/>
    <w:rsid w:val="0030587B"/>
    <w:rsid w:val="00306743"/>
    <w:rsid w:val="003068D9"/>
    <w:rsid w:val="00306909"/>
    <w:rsid w:val="00306D98"/>
    <w:rsid w:val="00306DAC"/>
    <w:rsid w:val="00307414"/>
    <w:rsid w:val="003076C3"/>
    <w:rsid w:val="0030786C"/>
    <w:rsid w:val="00307CF2"/>
    <w:rsid w:val="0031031A"/>
    <w:rsid w:val="00310981"/>
    <w:rsid w:val="00310D2F"/>
    <w:rsid w:val="00310E36"/>
    <w:rsid w:val="00310E4D"/>
    <w:rsid w:val="00310E6A"/>
    <w:rsid w:val="003117F0"/>
    <w:rsid w:val="003119D4"/>
    <w:rsid w:val="00311BD0"/>
    <w:rsid w:val="00311D9B"/>
    <w:rsid w:val="00311EC5"/>
    <w:rsid w:val="003122D7"/>
    <w:rsid w:val="003124D9"/>
    <w:rsid w:val="00312594"/>
    <w:rsid w:val="0031311A"/>
    <w:rsid w:val="0031313A"/>
    <w:rsid w:val="003133B1"/>
    <w:rsid w:val="003133E1"/>
    <w:rsid w:val="00314136"/>
    <w:rsid w:val="003143CD"/>
    <w:rsid w:val="00314644"/>
    <w:rsid w:val="003147E5"/>
    <w:rsid w:val="00314ED0"/>
    <w:rsid w:val="0031511A"/>
    <w:rsid w:val="003152D5"/>
    <w:rsid w:val="00315498"/>
    <w:rsid w:val="00315674"/>
    <w:rsid w:val="00316474"/>
    <w:rsid w:val="00316567"/>
    <w:rsid w:val="00316610"/>
    <w:rsid w:val="00316D20"/>
    <w:rsid w:val="0031736D"/>
    <w:rsid w:val="0032148E"/>
    <w:rsid w:val="0032199D"/>
    <w:rsid w:val="00321A73"/>
    <w:rsid w:val="00321B5D"/>
    <w:rsid w:val="00322107"/>
    <w:rsid w:val="00322355"/>
    <w:rsid w:val="00322846"/>
    <w:rsid w:val="003229E5"/>
    <w:rsid w:val="00324370"/>
    <w:rsid w:val="00324846"/>
    <w:rsid w:val="0032592C"/>
    <w:rsid w:val="0032680A"/>
    <w:rsid w:val="00326A8A"/>
    <w:rsid w:val="00326B1E"/>
    <w:rsid w:val="00326DA7"/>
    <w:rsid w:val="003270E4"/>
    <w:rsid w:val="0032716F"/>
    <w:rsid w:val="003300A7"/>
    <w:rsid w:val="00330281"/>
    <w:rsid w:val="0033032A"/>
    <w:rsid w:val="00330DAA"/>
    <w:rsid w:val="00330E96"/>
    <w:rsid w:val="00330F5C"/>
    <w:rsid w:val="00331954"/>
    <w:rsid w:val="00331A6A"/>
    <w:rsid w:val="003324AA"/>
    <w:rsid w:val="003330CB"/>
    <w:rsid w:val="0033384E"/>
    <w:rsid w:val="0033391B"/>
    <w:rsid w:val="00333F60"/>
    <w:rsid w:val="003343E0"/>
    <w:rsid w:val="00334CAE"/>
    <w:rsid w:val="00334CEA"/>
    <w:rsid w:val="00335D12"/>
    <w:rsid w:val="00335E3D"/>
    <w:rsid w:val="00335FBE"/>
    <w:rsid w:val="00335FD8"/>
    <w:rsid w:val="0033629A"/>
    <w:rsid w:val="003366C9"/>
    <w:rsid w:val="00336927"/>
    <w:rsid w:val="00336B56"/>
    <w:rsid w:val="003371B0"/>
    <w:rsid w:val="003373C8"/>
    <w:rsid w:val="00340DF1"/>
    <w:rsid w:val="00341DFF"/>
    <w:rsid w:val="00342169"/>
    <w:rsid w:val="003423C2"/>
    <w:rsid w:val="0034301E"/>
    <w:rsid w:val="00343045"/>
    <w:rsid w:val="0034343B"/>
    <w:rsid w:val="0034399F"/>
    <w:rsid w:val="00343CCA"/>
    <w:rsid w:val="00343F5B"/>
    <w:rsid w:val="00344128"/>
    <w:rsid w:val="0034460D"/>
    <w:rsid w:val="003447E2"/>
    <w:rsid w:val="00344C18"/>
    <w:rsid w:val="003456F7"/>
    <w:rsid w:val="00345815"/>
    <w:rsid w:val="00346F86"/>
    <w:rsid w:val="00350969"/>
    <w:rsid w:val="00350DCD"/>
    <w:rsid w:val="003510A1"/>
    <w:rsid w:val="00351669"/>
    <w:rsid w:val="003517F9"/>
    <w:rsid w:val="00351BA9"/>
    <w:rsid w:val="00352CF2"/>
    <w:rsid w:val="00352F11"/>
    <w:rsid w:val="00353A37"/>
    <w:rsid w:val="00353AE6"/>
    <w:rsid w:val="00354993"/>
    <w:rsid w:val="00354D79"/>
    <w:rsid w:val="00354F64"/>
    <w:rsid w:val="00355089"/>
    <w:rsid w:val="003555B0"/>
    <w:rsid w:val="0035567A"/>
    <w:rsid w:val="0035578F"/>
    <w:rsid w:val="00355EB0"/>
    <w:rsid w:val="00355EE3"/>
    <w:rsid w:val="0035620E"/>
    <w:rsid w:val="0035662C"/>
    <w:rsid w:val="003570FA"/>
    <w:rsid w:val="003575BE"/>
    <w:rsid w:val="00357B9C"/>
    <w:rsid w:val="00360345"/>
    <w:rsid w:val="0036064D"/>
    <w:rsid w:val="00360FB9"/>
    <w:rsid w:val="003617AF"/>
    <w:rsid w:val="00361A05"/>
    <w:rsid w:val="003624C4"/>
    <w:rsid w:val="003625AD"/>
    <w:rsid w:val="00363398"/>
    <w:rsid w:val="00363A33"/>
    <w:rsid w:val="00363B00"/>
    <w:rsid w:val="00363F61"/>
    <w:rsid w:val="00364E3D"/>
    <w:rsid w:val="00365262"/>
    <w:rsid w:val="00365462"/>
    <w:rsid w:val="003654AC"/>
    <w:rsid w:val="003658F5"/>
    <w:rsid w:val="00366774"/>
    <w:rsid w:val="00366CE1"/>
    <w:rsid w:val="0036773B"/>
    <w:rsid w:val="00367C48"/>
    <w:rsid w:val="00370495"/>
    <w:rsid w:val="00370C9C"/>
    <w:rsid w:val="003710CF"/>
    <w:rsid w:val="003716A5"/>
    <w:rsid w:val="00371A4E"/>
    <w:rsid w:val="00371CF9"/>
    <w:rsid w:val="00372435"/>
    <w:rsid w:val="00372590"/>
    <w:rsid w:val="00372DC5"/>
    <w:rsid w:val="00373128"/>
    <w:rsid w:val="0037325D"/>
    <w:rsid w:val="0037358A"/>
    <w:rsid w:val="003737B2"/>
    <w:rsid w:val="003750F6"/>
    <w:rsid w:val="00375708"/>
    <w:rsid w:val="00375709"/>
    <w:rsid w:val="00375EEE"/>
    <w:rsid w:val="003760FC"/>
    <w:rsid w:val="0037636F"/>
    <w:rsid w:val="00376790"/>
    <w:rsid w:val="0037682A"/>
    <w:rsid w:val="00376A8E"/>
    <w:rsid w:val="0037777F"/>
    <w:rsid w:val="003777B4"/>
    <w:rsid w:val="00380F00"/>
    <w:rsid w:val="00382BC5"/>
    <w:rsid w:val="003831C8"/>
    <w:rsid w:val="0038365C"/>
    <w:rsid w:val="0038369B"/>
    <w:rsid w:val="00383B78"/>
    <w:rsid w:val="00383D72"/>
    <w:rsid w:val="0038418E"/>
    <w:rsid w:val="003844AB"/>
    <w:rsid w:val="00384E7B"/>
    <w:rsid w:val="00385A9D"/>
    <w:rsid w:val="00385D23"/>
    <w:rsid w:val="003866A3"/>
    <w:rsid w:val="00386915"/>
    <w:rsid w:val="00386DB8"/>
    <w:rsid w:val="00387121"/>
    <w:rsid w:val="00387750"/>
    <w:rsid w:val="003902B1"/>
    <w:rsid w:val="00390546"/>
    <w:rsid w:val="00390670"/>
    <w:rsid w:val="00390809"/>
    <w:rsid w:val="00390E2A"/>
    <w:rsid w:val="0039179C"/>
    <w:rsid w:val="00391E4E"/>
    <w:rsid w:val="00392092"/>
    <w:rsid w:val="00392D87"/>
    <w:rsid w:val="003935E2"/>
    <w:rsid w:val="0039458A"/>
    <w:rsid w:val="00395060"/>
    <w:rsid w:val="00395204"/>
    <w:rsid w:val="003957F9"/>
    <w:rsid w:val="00395BC4"/>
    <w:rsid w:val="00395DD3"/>
    <w:rsid w:val="00396062"/>
    <w:rsid w:val="00396429"/>
    <w:rsid w:val="00396896"/>
    <w:rsid w:val="00396F26"/>
    <w:rsid w:val="00396FD0"/>
    <w:rsid w:val="003977BA"/>
    <w:rsid w:val="00397946"/>
    <w:rsid w:val="003979C4"/>
    <w:rsid w:val="003A0061"/>
    <w:rsid w:val="003A0D72"/>
    <w:rsid w:val="003A1664"/>
    <w:rsid w:val="003A16EC"/>
    <w:rsid w:val="003A1A7A"/>
    <w:rsid w:val="003A2392"/>
    <w:rsid w:val="003A2831"/>
    <w:rsid w:val="003A293C"/>
    <w:rsid w:val="003A2E93"/>
    <w:rsid w:val="003A3A4C"/>
    <w:rsid w:val="003A3CB6"/>
    <w:rsid w:val="003A3ED1"/>
    <w:rsid w:val="003A44DB"/>
    <w:rsid w:val="003A4C14"/>
    <w:rsid w:val="003A4F85"/>
    <w:rsid w:val="003A59FD"/>
    <w:rsid w:val="003A5C44"/>
    <w:rsid w:val="003A5D5B"/>
    <w:rsid w:val="003A5E15"/>
    <w:rsid w:val="003A7D28"/>
    <w:rsid w:val="003B0507"/>
    <w:rsid w:val="003B0BAD"/>
    <w:rsid w:val="003B0E0C"/>
    <w:rsid w:val="003B1B13"/>
    <w:rsid w:val="003B1F4D"/>
    <w:rsid w:val="003B2812"/>
    <w:rsid w:val="003B2DCD"/>
    <w:rsid w:val="003B2F6E"/>
    <w:rsid w:val="003B3971"/>
    <w:rsid w:val="003B4E48"/>
    <w:rsid w:val="003B55D1"/>
    <w:rsid w:val="003B5B61"/>
    <w:rsid w:val="003B5CDE"/>
    <w:rsid w:val="003B6315"/>
    <w:rsid w:val="003B6E0E"/>
    <w:rsid w:val="003C1019"/>
    <w:rsid w:val="003C1166"/>
    <w:rsid w:val="003C1265"/>
    <w:rsid w:val="003C14E5"/>
    <w:rsid w:val="003C1654"/>
    <w:rsid w:val="003C34D4"/>
    <w:rsid w:val="003C36EA"/>
    <w:rsid w:val="003C3864"/>
    <w:rsid w:val="003C50E8"/>
    <w:rsid w:val="003C5542"/>
    <w:rsid w:val="003C5CCB"/>
    <w:rsid w:val="003C67D4"/>
    <w:rsid w:val="003C68F3"/>
    <w:rsid w:val="003C7387"/>
    <w:rsid w:val="003C73BC"/>
    <w:rsid w:val="003C7854"/>
    <w:rsid w:val="003C7C15"/>
    <w:rsid w:val="003C7D19"/>
    <w:rsid w:val="003C7D2F"/>
    <w:rsid w:val="003C7D69"/>
    <w:rsid w:val="003D0102"/>
    <w:rsid w:val="003D08B6"/>
    <w:rsid w:val="003D0C5A"/>
    <w:rsid w:val="003D0D2C"/>
    <w:rsid w:val="003D1828"/>
    <w:rsid w:val="003D1DE4"/>
    <w:rsid w:val="003D1E9A"/>
    <w:rsid w:val="003D2422"/>
    <w:rsid w:val="003D2D29"/>
    <w:rsid w:val="003D39A1"/>
    <w:rsid w:val="003D3FBF"/>
    <w:rsid w:val="003D42E7"/>
    <w:rsid w:val="003D4A30"/>
    <w:rsid w:val="003D4E5B"/>
    <w:rsid w:val="003D566C"/>
    <w:rsid w:val="003D5FD1"/>
    <w:rsid w:val="003D60BC"/>
    <w:rsid w:val="003D640F"/>
    <w:rsid w:val="003D71AA"/>
    <w:rsid w:val="003D7452"/>
    <w:rsid w:val="003D79BB"/>
    <w:rsid w:val="003D7A1D"/>
    <w:rsid w:val="003D7C98"/>
    <w:rsid w:val="003D7D9D"/>
    <w:rsid w:val="003D7DFC"/>
    <w:rsid w:val="003E0543"/>
    <w:rsid w:val="003E0C73"/>
    <w:rsid w:val="003E14B5"/>
    <w:rsid w:val="003E14F8"/>
    <w:rsid w:val="003E2069"/>
    <w:rsid w:val="003E2087"/>
    <w:rsid w:val="003E2590"/>
    <w:rsid w:val="003E3BAD"/>
    <w:rsid w:val="003E3E71"/>
    <w:rsid w:val="003E4C3E"/>
    <w:rsid w:val="003E5188"/>
    <w:rsid w:val="003E51DD"/>
    <w:rsid w:val="003E5603"/>
    <w:rsid w:val="003E5761"/>
    <w:rsid w:val="003E5D09"/>
    <w:rsid w:val="003E603F"/>
    <w:rsid w:val="003E64E4"/>
    <w:rsid w:val="003E723F"/>
    <w:rsid w:val="003E749E"/>
    <w:rsid w:val="003E790B"/>
    <w:rsid w:val="003E7FC0"/>
    <w:rsid w:val="003F0C84"/>
    <w:rsid w:val="003F0DC1"/>
    <w:rsid w:val="003F13AB"/>
    <w:rsid w:val="003F1430"/>
    <w:rsid w:val="003F18CE"/>
    <w:rsid w:val="003F1C88"/>
    <w:rsid w:val="003F1F76"/>
    <w:rsid w:val="003F3F6A"/>
    <w:rsid w:val="003F4156"/>
    <w:rsid w:val="003F452C"/>
    <w:rsid w:val="003F4544"/>
    <w:rsid w:val="003F47FF"/>
    <w:rsid w:val="003F4AB2"/>
    <w:rsid w:val="003F4E6A"/>
    <w:rsid w:val="003F582D"/>
    <w:rsid w:val="003F5ADF"/>
    <w:rsid w:val="003F6162"/>
    <w:rsid w:val="003F7BC6"/>
    <w:rsid w:val="00400094"/>
    <w:rsid w:val="004004E1"/>
    <w:rsid w:val="004006BD"/>
    <w:rsid w:val="00400910"/>
    <w:rsid w:val="00400B29"/>
    <w:rsid w:val="00400B8B"/>
    <w:rsid w:val="00401847"/>
    <w:rsid w:val="00401A90"/>
    <w:rsid w:val="00401B76"/>
    <w:rsid w:val="00401D31"/>
    <w:rsid w:val="00402812"/>
    <w:rsid w:val="00402AA1"/>
    <w:rsid w:val="00403276"/>
    <w:rsid w:val="00404134"/>
    <w:rsid w:val="00404A55"/>
    <w:rsid w:val="0040504B"/>
    <w:rsid w:val="004056A9"/>
    <w:rsid w:val="004059F4"/>
    <w:rsid w:val="00405AAA"/>
    <w:rsid w:val="00405AD0"/>
    <w:rsid w:val="0040734E"/>
    <w:rsid w:val="004073CA"/>
    <w:rsid w:val="00407DFD"/>
    <w:rsid w:val="00407FE5"/>
    <w:rsid w:val="004101B0"/>
    <w:rsid w:val="00410326"/>
    <w:rsid w:val="004104AB"/>
    <w:rsid w:val="00410708"/>
    <w:rsid w:val="00410EC7"/>
    <w:rsid w:val="00410EFA"/>
    <w:rsid w:val="004117E6"/>
    <w:rsid w:val="00411AB2"/>
    <w:rsid w:val="00411B39"/>
    <w:rsid w:val="004127A7"/>
    <w:rsid w:val="00412907"/>
    <w:rsid w:val="00413156"/>
    <w:rsid w:val="0041317C"/>
    <w:rsid w:val="00413880"/>
    <w:rsid w:val="004138B1"/>
    <w:rsid w:val="00413A1E"/>
    <w:rsid w:val="00414476"/>
    <w:rsid w:val="00414732"/>
    <w:rsid w:val="00414C2E"/>
    <w:rsid w:val="004151CF"/>
    <w:rsid w:val="004158A8"/>
    <w:rsid w:val="00415CF9"/>
    <w:rsid w:val="0041627A"/>
    <w:rsid w:val="00416364"/>
    <w:rsid w:val="00417011"/>
    <w:rsid w:val="00417C6B"/>
    <w:rsid w:val="0042047F"/>
    <w:rsid w:val="0042063D"/>
    <w:rsid w:val="00420AA6"/>
    <w:rsid w:val="00420B9F"/>
    <w:rsid w:val="0042192C"/>
    <w:rsid w:val="00422260"/>
    <w:rsid w:val="0042233F"/>
    <w:rsid w:val="00422C75"/>
    <w:rsid w:val="00422F09"/>
    <w:rsid w:val="0042413F"/>
    <w:rsid w:val="004244DC"/>
    <w:rsid w:val="00425735"/>
    <w:rsid w:val="00426820"/>
    <w:rsid w:val="00426A6D"/>
    <w:rsid w:val="00426CDE"/>
    <w:rsid w:val="00430972"/>
    <w:rsid w:val="00431685"/>
    <w:rsid w:val="004319F8"/>
    <w:rsid w:val="00431C97"/>
    <w:rsid w:val="00431E55"/>
    <w:rsid w:val="0043205E"/>
    <w:rsid w:val="004321F6"/>
    <w:rsid w:val="00432BAA"/>
    <w:rsid w:val="00433044"/>
    <w:rsid w:val="00433273"/>
    <w:rsid w:val="00433578"/>
    <w:rsid w:val="00433764"/>
    <w:rsid w:val="00433A5D"/>
    <w:rsid w:val="00433AEA"/>
    <w:rsid w:val="00433B86"/>
    <w:rsid w:val="00434088"/>
    <w:rsid w:val="00434837"/>
    <w:rsid w:val="004348F5"/>
    <w:rsid w:val="00434C77"/>
    <w:rsid w:val="004355E1"/>
    <w:rsid w:val="00435C5E"/>
    <w:rsid w:val="00436044"/>
    <w:rsid w:val="0043635B"/>
    <w:rsid w:val="00436BBD"/>
    <w:rsid w:val="0043749D"/>
    <w:rsid w:val="004375B9"/>
    <w:rsid w:val="00437F2D"/>
    <w:rsid w:val="00440172"/>
    <w:rsid w:val="00441477"/>
    <w:rsid w:val="004414DE"/>
    <w:rsid w:val="004419B1"/>
    <w:rsid w:val="00441ABF"/>
    <w:rsid w:val="00441C5B"/>
    <w:rsid w:val="00441E7A"/>
    <w:rsid w:val="004426FC"/>
    <w:rsid w:val="004428D0"/>
    <w:rsid w:val="004436E6"/>
    <w:rsid w:val="00444185"/>
    <w:rsid w:val="004441BB"/>
    <w:rsid w:val="004443A7"/>
    <w:rsid w:val="0044442C"/>
    <w:rsid w:val="00444FD2"/>
    <w:rsid w:val="00445941"/>
    <w:rsid w:val="00445DA8"/>
    <w:rsid w:val="00445DB2"/>
    <w:rsid w:val="00445FB7"/>
    <w:rsid w:val="004464EB"/>
    <w:rsid w:val="0044664E"/>
    <w:rsid w:val="004468BC"/>
    <w:rsid w:val="00446C19"/>
    <w:rsid w:val="00447377"/>
    <w:rsid w:val="00447957"/>
    <w:rsid w:val="00447D26"/>
    <w:rsid w:val="00447DFC"/>
    <w:rsid w:val="004519D3"/>
    <w:rsid w:val="00451BA0"/>
    <w:rsid w:val="00451FE4"/>
    <w:rsid w:val="00452F60"/>
    <w:rsid w:val="004533E8"/>
    <w:rsid w:val="0045392B"/>
    <w:rsid w:val="0045405E"/>
    <w:rsid w:val="00455D45"/>
    <w:rsid w:val="004563C4"/>
    <w:rsid w:val="00456792"/>
    <w:rsid w:val="00456AA0"/>
    <w:rsid w:val="0045716D"/>
    <w:rsid w:val="00460051"/>
    <w:rsid w:val="00460316"/>
    <w:rsid w:val="00460C2E"/>
    <w:rsid w:val="00461A5D"/>
    <w:rsid w:val="00461D56"/>
    <w:rsid w:val="00462807"/>
    <w:rsid w:val="00462924"/>
    <w:rsid w:val="00462E21"/>
    <w:rsid w:val="00463CB6"/>
    <w:rsid w:val="00464595"/>
    <w:rsid w:val="004650A6"/>
    <w:rsid w:val="004658B5"/>
    <w:rsid w:val="00465B88"/>
    <w:rsid w:val="00465E35"/>
    <w:rsid w:val="0046686A"/>
    <w:rsid w:val="00467019"/>
    <w:rsid w:val="004679F4"/>
    <w:rsid w:val="00467B96"/>
    <w:rsid w:val="00470559"/>
    <w:rsid w:val="004708EB"/>
    <w:rsid w:val="00471075"/>
    <w:rsid w:val="0047150E"/>
    <w:rsid w:val="0047156B"/>
    <w:rsid w:val="00471EA5"/>
    <w:rsid w:val="004724EC"/>
    <w:rsid w:val="00472934"/>
    <w:rsid w:val="00472A79"/>
    <w:rsid w:val="00473F19"/>
    <w:rsid w:val="004747C6"/>
    <w:rsid w:val="004756DB"/>
    <w:rsid w:val="00475E22"/>
    <w:rsid w:val="00476F19"/>
    <w:rsid w:val="00477751"/>
    <w:rsid w:val="00477C15"/>
    <w:rsid w:val="00477CBE"/>
    <w:rsid w:val="00477E88"/>
    <w:rsid w:val="0048088E"/>
    <w:rsid w:val="00480F2B"/>
    <w:rsid w:val="0048110F"/>
    <w:rsid w:val="0048123E"/>
    <w:rsid w:val="00481A66"/>
    <w:rsid w:val="00481C0A"/>
    <w:rsid w:val="00481FAF"/>
    <w:rsid w:val="00482122"/>
    <w:rsid w:val="00482720"/>
    <w:rsid w:val="00483151"/>
    <w:rsid w:val="00483303"/>
    <w:rsid w:val="0048357A"/>
    <w:rsid w:val="004835E7"/>
    <w:rsid w:val="00483EC9"/>
    <w:rsid w:val="0048427B"/>
    <w:rsid w:val="00484D7E"/>
    <w:rsid w:val="00484DAA"/>
    <w:rsid w:val="0048531A"/>
    <w:rsid w:val="004855D3"/>
    <w:rsid w:val="004859E1"/>
    <w:rsid w:val="00485B45"/>
    <w:rsid w:val="00485D0A"/>
    <w:rsid w:val="004867E2"/>
    <w:rsid w:val="00486FAB"/>
    <w:rsid w:val="00490B17"/>
    <w:rsid w:val="004913B0"/>
    <w:rsid w:val="00491B3A"/>
    <w:rsid w:val="00491C23"/>
    <w:rsid w:val="004927CD"/>
    <w:rsid w:val="00492882"/>
    <w:rsid w:val="00492CFD"/>
    <w:rsid w:val="004932DE"/>
    <w:rsid w:val="00493391"/>
    <w:rsid w:val="004935F8"/>
    <w:rsid w:val="00494207"/>
    <w:rsid w:val="00494DD5"/>
    <w:rsid w:val="00494EFE"/>
    <w:rsid w:val="00495521"/>
    <w:rsid w:val="00495C2A"/>
    <w:rsid w:val="004962D2"/>
    <w:rsid w:val="00496599"/>
    <w:rsid w:val="00497148"/>
    <w:rsid w:val="004A00AC"/>
    <w:rsid w:val="004A02D2"/>
    <w:rsid w:val="004A0541"/>
    <w:rsid w:val="004A06E7"/>
    <w:rsid w:val="004A0DA1"/>
    <w:rsid w:val="004A1306"/>
    <w:rsid w:val="004A13D6"/>
    <w:rsid w:val="004A1638"/>
    <w:rsid w:val="004A1CBB"/>
    <w:rsid w:val="004A2064"/>
    <w:rsid w:val="004A32B0"/>
    <w:rsid w:val="004A4D63"/>
    <w:rsid w:val="004A52E9"/>
    <w:rsid w:val="004A6040"/>
    <w:rsid w:val="004A6597"/>
    <w:rsid w:val="004A6EDE"/>
    <w:rsid w:val="004A73B7"/>
    <w:rsid w:val="004A7848"/>
    <w:rsid w:val="004A793B"/>
    <w:rsid w:val="004A7AF9"/>
    <w:rsid w:val="004A7EE9"/>
    <w:rsid w:val="004B0105"/>
    <w:rsid w:val="004B0832"/>
    <w:rsid w:val="004B1CB4"/>
    <w:rsid w:val="004B248D"/>
    <w:rsid w:val="004B2902"/>
    <w:rsid w:val="004B29BF"/>
    <w:rsid w:val="004B2F18"/>
    <w:rsid w:val="004B31E1"/>
    <w:rsid w:val="004B3A82"/>
    <w:rsid w:val="004B3DDB"/>
    <w:rsid w:val="004B44FD"/>
    <w:rsid w:val="004B48B6"/>
    <w:rsid w:val="004B4BBC"/>
    <w:rsid w:val="004B57A1"/>
    <w:rsid w:val="004B57FA"/>
    <w:rsid w:val="004B5CFC"/>
    <w:rsid w:val="004B6D09"/>
    <w:rsid w:val="004B6DFC"/>
    <w:rsid w:val="004B6F79"/>
    <w:rsid w:val="004B6F8C"/>
    <w:rsid w:val="004B7300"/>
    <w:rsid w:val="004B750A"/>
    <w:rsid w:val="004B774D"/>
    <w:rsid w:val="004B79B2"/>
    <w:rsid w:val="004B7BBB"/>
    <w:rsid w:val="004C0F66"/>
    <w:rsid w:val="004C1637"/>
    <w:rsid w:val="004C16D0"/>
    <w:rsid w:val="004C1C77"/>
    <w:rsid w:val="004C23B6"/>
    <w:rsid w:val="004C25AC"/>
    <w:rsid w:val="004C27B2"/>
    <w:rsid w:val="004C2921"/>
    <w:rsid w:val="004C2974"/>
    <w:rsid w:val="004C2AC2"/>
    <w:rsid w:val="004C30B7"/>
    <w:rsid w:val="004C31ED"/>
    <w:rsid w:val="004C33DF"/>
    <w:rsid w:val="004C3476"/>
    <w:rsid w:val="004C3A51"/>
    <w:rsid w:val="004C3B02"/>
    <w:rsid w:val="004C3F61"/>
    <w:rsid w:val="004C406E"/>
    <w:rsid w:val="004C4362"/>
    <w:rsid w:val="004C4480"/>
    <w:rsid w:val="004C4AED"/>
    <w:rsid w:val="004C4BAB"/>
    <w:rsid w:val="004C4E35"/>
    <w:rsid w:val="004C59EE"/>
    <w:rsid w:val="004C5E5B"/>
    <w:rsid w:val="004C7206"/>
    <w:rsid w:val="004C7597"/>
    <w:rsid w:val="004C7C56"/>
    <w:rsid w:val="004D0951"/>
    <w:rsid w:val="004D0BAA"/>
    <w:rsid w:val="004D0DDD"/>
    <w:rsid w:val="004D15DB"/>
    <w:rsid w:val="004D1A26"/>
    <w:rsid w:val="004D1E81"/>
    <w:rsid w:val="004D2483"/>
    <w:rsid w:val="004D2535"/>
    <w:rsid w:val="004D28B0"/>
    <w:rsid w:val="004D2C2D"/>
    <w:rsid w:val="004D2EA5"/>
    <w:rsid w:val="004D3002"/>
    <w:rsid w:val="004D3A9E"/>
    <w:rsid w:val="004D3C6C"/>
    <w:rsid w:val="004D3CD9"/>
    <w:rsid w:val="004D44B6"/>
    <w:rsid w:val="004D5C03"/>
    <w:rsid w:val="004D6088"/>
    <w:rsid w:val="004D65FD"/>
    <w:rsid w:val="004D69B5"/>
    <w:rsid w:val="004D720C"/>
    <w:rsid w:val="004D7227"/>
    <w:rsid w:val="004D72A0"/>
    <w:rsid w:val="004D75C1"/>
    <w:rsid w:val="004D7B5E"/>
    <w:rsid w:val="004D7F16"/>
    <w:rsid w:val="004E045D"/>
    <w:rsid w:val="004E08C5"/>
    <w:rsid w:val="004E0E7F"/>
    <w:rsid w:val="004E0EB8"/>
    <w:rsid w:val="004E18A7"/>
    <w:rsid w:val="004E18E9"/>
    <w:rsid w:val="004E1B0D"/>
    <w:rsid w:val="004E1F8A"/>
    <w:rsid w:val="004E21AB"/>
    <w:rsid w:val="004E2585"/>
    <w:rsid w:val="004E285F"/>
    <w:rsid w:val="004E2ADC"/>
    <w:rsid w:val="004E2DBC"/>
    <w:rsid w:val="004E3C88"/>
    <w:rsid w:val="004E3F57"/>
    <w:rsid w:val="004E4279"/>
    <w:rsid w:val="004E43B2"/>
    <w:rsid w:val="004E4F68"/>
    <w:rsid w:val="004E586E"/>
    <w:rsid w:val="004E5A21"/>
    <w:rsid w:val="004E5A84"/>
    <w:rsid w:val="004E5B56"/>
    <w:rsid w:val="004E7FFA"/>
    <w:rsid w:val="004F0012"/>
    <w:rsid w:val="004F015B"/>
    <w:rsid w:val="004F05B9"/>
    <w:rsid w:val="004F08BF"/>
    <w:rsid w:val="004F0BFE"/>
    <w:rsid w:val="004F1487"/>
    <w:rsid w:val="004F153B"/>
    <w:rsid w:val="004F15BF"/>
    <w:rsid w:val="004F1CAF"/>
    <w:rsid w:val="004F1D02"/>
    <w:rsid w:val="004F2679"/>
    <w:rsid w:val="004F2C7E"/>
    <w:rsid w:val="004F2F21"/>
    <w:rsid w:val="004F3750"/>
    <w:rsid w:val="004F3DE5"/>
    <w:rsid w:val="004F3EF0"/>
    <w:rsid w:val="004F4D92"/>
    <w:rsid w:val="004F4E0E"/>
    <w:rsid w:val="004F5FB0"/>
    <w:rsid w:val="004F654F"/>
    <w:rsid w:val="004F6550"/>
    <w:rsid w:val="004F66D9"/>
    <w:rsid w:val="004F6913"/>
    <w:rsid w:val="004F6B34"/>
    <w:rsid w:val="004F73E8"/>
    <w:rsid w:val="004F7865"/>
    <w:rsid w:val="004F7A69"/>
    <w:rsid w:val="005000D5"/>
    <w:rsid w:val="005000DE"/>
    <w:rsid w:val="00500347"/>
    <w:rsid w:val="005003E6"/>
    <w:rsid w:val="0050041C"/>
    <w:rsid w:val="0050092F"/>
    <w:rsid w:val="005016F7"/>
    <w:rsid w:val="0050174E"/>
    <w:rsid w:val="00501854"/>
    <w:rsid w:val="0050219B"/>
    <w:rsid w:val="00503F17"/>
    <w:rsid w:val="00503F3A"/>
    <w:rsid w:val="0050466D"/>
    <w:rsid w:val="00504835"/>
    <w:rsid w:val="00504E89"/>
    <w:rsid w:val="00505025"/>
    <w:rsid w:val="005050E0"/>
    <w:rsid w:val="005054AF"/>
    <w:rsid w:val="00505AF6"/>
    <w:rsid w:val="00505B70"/>
    <w:rsid w:val="00505E6E"/>
    <w:rsid w:val="00506269"/>
    <w:rsid w:val="005068F5"/>
    <w:rsid w:val="00506928"/>
    <w:rsid w:val="00506D37"/>
    <w:rsid w:val="005077EF"/>
    <w:rsid w:val="0050794B"/>
    <w:rsid w:val="00507980"/>
    <w:rsid w:val="00507F34"/>
    <w:rsid w:val="005106AB"/>
    <w:rsid w:val="00511AD5"/>
    <w:rsid w:val="00511C17"/>
    <w:rsid w:val="00511DC7"/>
    <w:rsid w:val="00512A7D"/>
    <w:rsid w:val="005130FF"/>
    <w:rsid w:val="00513E4F"/>
    <w:rsid w:val="0051413D"/>
    <w:rsid w:val="005142C5"/>
    <w:rsid w:val="005145B4"/>
    <w:rsid w:val="0051501B"/>
    <w:rsid w:val="005152B5"/>
    <w:rsid w:val="00515886"/>
    <w:rsid w:val="00516499"/>
    <w:rsid w:val="00516935"/>
    <w:rsid w:val="0051790F"/>
    <w:rsid w:val="00520062"/>
    <w:rsid w:val="005211FD"/>
    <w:rsid w:val="0052123C"/>
    <w:rsid w:val="00521319"/>
    <w:rsid w:val="005221D4"/>
    <w:rsid w:val="005226F5"/>
    <w:rsid w:val="00522BC8"/>
    <w:rsid w:val="00522E35"/>
    <w:rsid w:val="00523C28"/>
    <w:rsid w:val="00524598"/>
    <w:rsid w:val="00524C9B"/>
    <w:rsid w:val="00524FF2"/>
    <w:rsid w:val="0052708E"/>
    <w:rsid w:val="00527F66"/>
    <w:rsid w:val="0053049F"/>
    <w:rsid w:val="005309E8"/>
    <w:rsid w:val="00530E61"/>
    <w:rsid w:val="0053107A"/>
    <w:rsid w:val="0053176B"/>
    <w:rsid w:val="00531D56"/>
    <w:rsid w:val="0053206F"/>
    <w:rsid w:val="005324B0"/>
    <w:rsid w:val="00532710"/>
    <w:rsid w:val="005329E4"/>
    <w:rsid w:val="0053318C"/>
    <w:rsid w:val="00533C60"/>
    <w:rsid w:val="005341B3"/>
    <w:rsid w:val="00534BE2"/>
    <w:rsid w:val="00534C2E"/>
    <w:rsid w:val="005354CA"/>
    <w:rsid w:val="005355BF"/>
    <w:rsid w:val="0053566E"/>
    <w:rsid w:val="00535FD5"/>
    <w:rsid w:val="0053650C"/>
    <w:rsid w:val="00536F42"/>
    <w:rsid w:val="00537182"/>
    <w:rsid w:val="00537FF5"/>
    <w:rsid w:val="005400F8"/>
    <w:rsid w:val="0054061D"/>
    <w:rsid w:val="00540E36"/>
    <w:rsid w:val="00541237"/>
    <w:rsid w:val="0054128A"/>
    <w:rsid w:val="00541E74"/>
    <w:rsid w:val="00541EDD"/>
    <w:rsid w:val="00542056"/>
    <w:rsid w:val="00542743"/>
    <w:rsid w:val="00542C2D"/>
    <w:rsid w:val="0054327A"/>
    <w:rsid w:val="005433AB"/>
    <w:rsid w:val="00545258"/>
    <w:rsid w:val="00545875"/>
    <w:rsid w:val="00546955"/>
    <w:rsid w:val="005469AC"/>
    <w:rsid w:val="00547423"/>
    <w:rsid w:val="005477C3"/>
    <w:rsid w:val="005478BD"/>
    <w:rsid w:val="005479E3"/>
    <w:rsid w:val="005504CF"/>
    <w:rsid w:val="00550C6C"/>
    <w:rsid w:val="00550CD8"/>
    <w:rsid w:val="00551235"/>
    <w:rsid w:val="00551714"/>
    <w:rsid w:val="00551985"/>
    <w:rsid w:val="005524C4"/>
    <w:rsid w:val="00552BD3"/>
    <w:rsid w:val="00552CA8"/>
    <w:rsid w:val="005532A0"/>
    <w:rsid w:val="0055348F"/>
    <w:rsid w:val="00553712"/>
    <w:rsid w:val="00553935"/>
    <w:rsid w:val="0055494E"/>
    <w:rsid w:val="00554C02"/>
    <w:rsid w:val="00554C89"/>
    <w:rsid w:val="00555109"/>
    <w:rsid w:val="0055629D"/>
    <w:rsid w:val="005568BB"/>
    <w:rsid w:val="005569AB"/>
    <w:rsid w:val="00556B35"/>
    <w:rsid w:val="00557016"/>
    <w:rsid w:val="0055741A"/>
    <w:rsid w:val="00557959"/>
    <w:rsid w:val="005579DB"/>
    <w:rsid w:val="00557D93"/>
    <w:rsid w:val="005601CF"/>
    <w:rsid w:val="00560E04"/>
    <w:rsid w:val="005611B7"/>
    <w:rsid w:val="005618D4"/>
    <w:rsid w:val="00561D8C"/>
    <w:rsid w:val="00561FEA"/>
    <w:rsid w:val="00562E78"/>
    <w:rsid w:val="005645BF"/>
    <w:rsid w:val="005646E0"/>
    <w:rsid w:val="00564867"/>
    <w:rsid w:val="00565C79"/>
    <w:rsid w:val="00565DF0"/>
    <w:rsid w:val="0056604D"/>
    <w:rsid w:val="00566351"/>
    <w:rsid w:val="0056672A"/>
    <w:rsid w:val="0056694B"/>
    <w:rsid w:val="0056696F"/>
    <w:rsid w:val="00566B49"/>
    <w:rsid w:val="00567566"/>
    <w:rsid w:val="005676AF"/>
    <w:rsid w:val="005678AB"/>
    <w:rsid w:val="00567CE3"/>
    <w:rsid w:val="005707D1"/>
    <w:rsid w:val="00570C4A"/>
    <w:rsid w:val="0057111E"/>
    <w:rsid w:val="00571124"/>
    <w:rsid w:val="005712A7"/>
    <w:rsid w:val="00571454"/>
    <w:rsid w:val="00572269"/>
    <w:rsid w:val="0057244A"/>
    <w:rsid w:val="00572CA4"/>
    <w:rsid w:val="00572F26"/>
    <w:rsid w:val="00573A4A"/>
    <w:rsid w:val="00574159"/>
    <w:rsid w:val="00574A8A"/>
    <w:rsid w:val="00574DF9"/>
    <w:rsid w:val="005750C5"/>
    <w:rsid w:val="005752DE"/>
    <w:rsid w:val="00575D60"/>
    <w:rsid w:val="00575D8D"/>
    <w:rsid w:val="00576972"/>
    <w:rsid w:val="00576CDE"/>
    <w:rsid w:val="00577248"/>
    <w:rsid w:val="00577801"/>
    <w:rsid w:val="00577F38"/>
    <w:rsid w:val="00580C2F"/>
    <w:rsid w:val="00581126"/>
    <w:rsid w:val="00581B94"/>
    <w:rsid w:val="00581D2B"/>
    <w:rsid w:val="00581F12"/>
    <w:rsid w:val="00582539"/>
    <w:rsid w:val="00582874"/>
    <w:rsid w:val="00583383"/>
    <w:rsid w:val="00583699"/>
    <w:rsid w:val="00583B5B"/>
    <w:rsid w:val="00584034"/>
    <w:rsid w:val="005842B0"/>
    <w:rsid w:val="0058431C"/>
    <w:rsid w:val="005845CF"/>
    <w:rsid w:val="00584C90"/>
    <w:rsid w:val="00584CDA"/>
    <w:rsid w:val="00585564"/>
    <w:rsid w:val="0058591B"/>
    <w:rsid w:val="00585CDD"/>
    <w:rsid w:val="005863D1"/>
    <w:rsid w:val="00586477"/>
    <w:rsid w:val="00587058"/>
    <w:rsid w:val="005877F8"/>
    <w:rsid w:val="00587BBB"/>
    <w:rsid w:val="005900A8"/>
    <w:rsid w:val="00590838"/>
    <w:rsid w:val="0059086F"/>
    <w:rsid w:val="00591059"/>
    <w:rsid w:val="0059149A"/>
    <w:rsid w:val="00591957"/>
    <w:rsid w:val="0059211C"/>
    <w:rsid w:val="005924B6"/>
    <w:rsid w:val="005929D0"/>
    <w:rsid w:val="00593132"/>
    <w:rsid w:val="00593279"/>
    <w:rsid w:val="00593B58"/>
    <w:rsid w:val="00594680"/>
    <w:rsid w:val="0059484E"/>
    <w:rsid w:val="00594AF8"/>
    <w:rsid w:val="00595391"/>
    <w:rsid w:val="00595497"/>
    <w:rsid w:val="0059690A"/>
    <w:rsid w:val="005978DE"/>
    <w:rsid w:val="00597BF9"/>
    <w:rsid w:val="005A055E"/>
    <w:rsid w:val="005A0C11"/>
    <w:rsid w:val="005A10A9"/>
    <w:rsid w:val="005A1968"/>
    <w:rsid w:val="005A2175"/>
    <w:rsid w:val="005A2821"/>
    <w:rsid w:val="005A2829"/>
    <w:rsid w:val="005A309A"/>
    <w:rsid w:val="005A334D"/>
    <w:rsid w:val="005A3351"/>
    <w:rsid w:val="005A3662"/>
    <w:rsid w:val="005A3719"/>
    <w:rsid w:val="005A373D"/>
    <w:rsid w:val="005A4157"/>
    <w:rsid w:val="005A4198"/>
    <w:rsid w:val="005A4498"/>
    <w:rsid w:val="005A44D3"/>
    <w:rsid w:val="005A46BC"/>
    <w:rsid w:val="005A4A15"/>
    <w:rsid w:val="005A4FE5"/>
    <w:rsid w:val="005A5035"/>
    <w:rsid w:val="005A53E6"/>
    <w:rsid w:val="005A5E4C"/>
    <w:rsid w:val="005A64FF"/>
    <w:rsid w:val="005A69EF"/>
    <w:rsid w:val="005A6CA4"/>
    <w:rsid w:val="005A711D"/>
    <w:rsid w:val="005A7B36"/>
    <w:rsid w:val="005B0108"/>
    <w:rsid w:val="005B02B7"/>
    <w:rsid w:val="005B048C"/>
    <w:rsid w:val="005B0B22"/>
    <w:rsid w:val="005B0B58"/>
    <w:rsid w:val="005B15CE"/>
    <w:rsid w:val="005B1609"/>
    <w:rsid w:val="005B1804"/>
    <w:rsid w:val="005B1EAE"/>
    <w:rsid w:val="005B27B4"/>
    <w:rsid w:val="005B35EA"/>
    <w:rsid w:val="005B3BCF"/>
    <w:rsid w:val="005B4AAC"/>
    <w:rsid w:val="005B4C42"/>
    <w:rsid w:val="005B4E53"/>
    <w:rsid w:val="005B5392"/>
    <w:rsid w:val="005B5857"/>
    <w:rsid w:val="005B6061"/>
    <w:rsid w:val="005B61A8"/>
    <w:rsid w:val="005B6799"/>
    <w:rsid w:val="005B7F6B"/>
    <w:rsid w:val="005C02C3"/>
    <w:rsid w:val="005C0B3B"/>
    <w:rsid w:val="005C0CF9"/>
    <w:rsid w:val="005C135B"/>
    <w:rsid w:val="005C1784"/>
    <w:rsid w:val="005C19C4"/>
    <w:rsid w:val="005C1B83"/>
    <w:rsid w:val="005C1E86"/>
    <w:rsid w:val="005C22DB"/>
    <w:rsid w:val="005C25FF"/>
    <w:rsid w:val="005C28CF"/>
    <w:rsid w:val="005C2D55"/>
    <w:rsid w:val="005C3188"/>
    <w:rsid w:val="005C346B"/>
    <w:rsid w:val="005C3F1C"/>
    <w:rsid w:val="005C3FA8"/>
    <w:rsid w:val="005C489D"/>
    <w:rsid w:val="005C4C1E"/>
    <w:rsid w:val="005C4DBC"/>
    <w:rsid w:val="005C4E71"/>
    <w:rsid w:val="005C5ABC"/>
    <w:rsid w:val="005C61A7"/>
    <w:rsid w:val="005C6B95"/>
    <w:rsid w:val="005C763D"/>
    <w:rsid w:val="005D0071"/>
    <w:rsid w:val="005D014F"/>
    <w:rsid w:val="005D044D"/>
    <w:rsid w:val="005D0799"/>
    <w:rsid w:val="005D0ABD"/>
    <w:rsid w:val="005D123D"/>
    <w:rsid w:val="005D18AD"/>
    <w:rsid w:val="005D1DDA"/>
    <w:rsid w:val="005D26B4"/>
    <w:rsid w:val="005D2C02"/>
    <w:rsid w:val="005D33D8"/>
    <w:rsid w:val="005D3448"/>
    <w:rsid w:val="005D39BF"/>
    <w:rsid w:val="005D4EAE"/>
    <w:rsid w:val="005D5082"/>
    <w:rsid w:val="005D5526"/>
    <w:rsid w:val="005D585E"/>
    <w:rsid w:val="005D5B50"/>
    <w:rsid w:val="005D5B5D"/>
    <w:rsid w:val="005D5B9A"/>
    <w:rsid w:val="005D6D9F"/>
    <w:rsid w:val="005D70E0"/>
    <w:rsid w:val="005D71FA"/>
    <w:rsid w:val="005D7841"/>
    <w:rsid w:val="005D7B58"/>
    <w:rsid w:val="005E02C1"/>
    <w:rsid w:val="005E0446"/>
    <w:rsid w:val="005E092A"/>
    <w:rsid w:val="005E0C76"/>
    <w:rsid w:val="005E1995"/>
    <w:rsid w:val="005E286E"/>
    <w:rsid w:val="005E3839"/>
    <w:rsid w:val="005E384E"/>
    <w:rsid w:val="005E45EC"/>
    <w:rsid w:val="005E498F"/>
    <w:rsid w:val="005E4B30"/>
    <w:rsid w:val="005E4CC7"/>
    <w:rsid w:val="005E55F7"/>
    <w:rsid w:val="005E561B"/>
    <w:rsid w:val="005E6CBC"/>
    <w:rsid w:val="005E718B"/>
    <w:rsid w:val="005E72FF"/>
    <w:rsid w:val="005E73C0"/>
    <w:rsid w:val="005F0019"/>
    <w:rsid w:val="005F01CF"/>
    <w:rsid w:val="005F063B"/>
    <w:rsid w:val="005F07ED"/>
    <w:rsid w:val="005F0B65"/>
    <w:rsid w:val="005F1904"/>
    <w:rsid w:val="005F1BED"/>
    <w:rsid w:val="005F203A"/>
    <w:rsid w:val="005F2706"/>
    <w:rsid w:val="005F2F31"/>
    <w:rsid w:val="005F3C63"/>
    <w:rsid w:val="005F3FDF"/>
    <w:rsid w:val="005F4B39"/>
    <w:rsid w:val="005F5AEB"/>
    <w:rsid w:val="005F6342"/>
    <w:rsid w:val="005F69BD"/>
    <w:rsid w:val="005F6A63"/>
    <w:rsid w:val="005F6A8F"/>
    <w:rsid w:val="005F6BB7"/>
    <w:rsid w:val="005F7588"/>
    <w:rsid w:val="006004E3"/>
    <w:rsid w:val="006004F3"/>
    <w:rsid w:val="006006C1"/>
    <w:rsid w:val="00601299"/>
    <w:rsid w:val="00601498"/>
    <w:rsid w:val="00601797"/>
    <w:rsid w:val="006017D2"/>
    <w:rsid w:val="00601DA2"/>
    <w:rsid w:val="0060236D"/>
    <w:rsid w:val="006028D3"/>
    <w:rsid w:val="00603250"/>
    <w:rsid w:val="00603C82"/>
    <w:rsid w:val="00603DB9"/>
    <w:rsid w:val="0060405C"/>
    <w:rsid w:val="006046D0"/>
    <w:rsid w:val="006048BA"/>
    <w:rsid w:val="00604A7A"/>
    <w:rsid w:val="00604A8B"/>
    <w:rsid w:val="00604ADA"/>
    <w:rsid w:val="00606707"/>
    <w:rsid w:val="00606D5C"/>
    <w:rsid w:val="00606FBA"/>
    <w:rsid w:val="006072A4"/>
    <w:rsid w:val="006073CD"/>
    <w:rsid w:val="00607614"/>
    <w:rsid w:val="00607669"/>
    <w:rsid w:val="006076F4"/>
    <w:rsid w:val="0060785D"/>
    <w:rsid w:val="00607AFD"/>
    <w:rsid w:val="006106A1"/>
    <w:rsid w:val="0061097C"/>
    <w:rsid w:val="006109AF"/>
    <w:rsid w:val="00610C11"/>
    <w:rsid w:val="0061131B"/>
    <w:rsid w:val="00611B12"/>
    <w:rsid w:val="00611B65"/>
    <w:rsid w:val="00611E07"/>
    <w:rsid w:val="0061257C"/>
    <w:rsid w:val="00612793"/>
    <w:rsid w:val="00612F97"/>
    <w:rsid w:val="006133D1"/>
    <w:rsid w:val="0061345D"/>
    <w:rsid w:val="00614C11"/>
    <w:rsid w:val="0061549B"/>
    <w:rsid w:val="00615772"/>
    <w:rsid w:val="00615F98"/>
    <w:rsid w:val="00616802"/>
    <w:rsid w:val="00616D0F"/>
    <w:rsid w:val="00617098"/>
    <w:rsid w:val="006175F1"/>
    <w:rsid w:val="006177FF"/>
    <w:rsid w:val="006178BD"/>
    <w:rsid w:val="00617E12"/>
    <w:rsid w:val="006200F2"/>
    <w:rsid w:val="0062064F"/>
    <w:rsid w:val="00620A59"/>
    <w:rsid w:val="00620C25"/>
    <w:rsid w:val="0062145C"/>
    <w:rsid w:val="00621477"/>
    <w:rsid w:val="00621684"/>
    <w:rsid w:val="006216D5"/>
    <w:rsid w:val="00621ADA"/>
    <w:rsid w:val="00621ED6"/>
    <w:rsid w:val="00622077"/>
    <w:rsid w:val="006220C8"/>
    <w:rsid w:val="00622B20"/>
    <w:rsid w:val="00622D40"/>
    <w:rsid w:val="00622F24"/>
    <w:rsid w:val="00623E93"/>
    <w:rsid w:val="00623F7B"/>
    <w:rsid w:val="00624063"/>
    <w:rsid w:val="006244DD"/>
    <w:rsid w:val="006248CA"/>
    <w:rsid w:val="00624BD4"/>
    <w:rsid w:val="00625215"/>
    <w:rsid w:val="00625D51"/>
    <w:rsid w:val="00626765"/>
    <w:rsid w:val="00626E02"/>
    <w:rsid w:val="0062715C"/>
    <w:rsid w:val="00631521"/>
    <w:rsid w:val="0063158F"/>
    <w:rsid w:val="0063171D"/>
    <w:rsid w:val="00631BF0"/>
    <w:rsid w:val="00631D6B"/>
    <w:rsid w:val="00632183"/>
    <w:rsid w:val="0063263D"/>
    <w:rsid w:val="00632E4C"/>
    <w:rsid w:val="00632FF4"/>
    <w:rsid w:val="006330A1"/>
    <w:rsid w:val="00634691"/>
    <w:rsid w:val="0063479F"/>
    <w:rsid w:val="00634B7C"/>
    <w:rsid w:val="006353EB"/>
    <w:rsid w:val="006353F0"/>
    <w:rsid w:val="006357B5"/>
    <w:rsid w:val="006364A1"/>
    <w:rsid w:val="0063678E"/>
    <w:rsid w:val="00636B4C"/>
    <w:rsid w:val="00637BFD"/>
    <w:rsid w:val="00637C5C"/>
    <w:rsid w:val="00637E37"/>
    <w:rsid w:val="00640961"/>
    <w:rsid w:val="006409B7"/>
    <w:rsid w:val="00640AD4"/>
    <w:rsid w:val="00640CA6"/>
    <w:rsid w:val="006418C6"/>
    <w:rsid w:val="006419C5"/>
    <w:rsid w:val="00641C4E"/>
    <w:rsid w:val="00641FB3"/>
    <w:rsid w:val="006420D8"/>
    <w:rsid w:val="00642CCE"/>
    <w:rsid w:val="006431E2"/>
    <w:rsid w:val="00643851"/>
    <w:rsid w:val="0064434C"/>
    <w:rsid w:val="00644DA9"/>
    <w:rsid w:val="00645731"/>
    <w:rsid w:val="00645C08"/>
    <w:rsid w:val="00645D92"/>
    <w:rsid w:val="00645E51"/>
    <w:rsid w:val="00645F0D"/>
    <w:rsid w:val="006471CC"/>
    <w:rsid w:val="006472FE"/>
    <w:rsid w:val="00647A29"/>
    <w:rsid w:val="00650450"/>
    <w:rsid w:val="0065079F"/>
    <w:rsid w:val="00650DA2"/>
    <w:rsid w:val="00650E69"/>
    <w:rsid w:val="00650EE1"/>
    <w:rsid w:val="006516CD"/>
    <w:rsid w:val="006518D7"/>
    <w:rsid w:val="00652095"/>
    <w:rsid w:val="00652596"/>
    <w:rsid w:val="00652A28"/>
    <w:rsid w:val="0065356F"/>
    <w:rsid w:val="0065379F"/>
    <w:rsid w:val="006537D7"/>
    <w:rsid w:val="00653B74"/>
    <w:rsid w:val="00653C51"/>
    <w:rsid w:val="0065434F"/>
    <w:rsid w:val="006546FB"/>
    <w:rsid w:val="00654969"/>
    <w:rsid w:val="00654A68"/>
    <w:rsid w:val="00654F31"/>
    <w:rsid w:val="0065514A"/>
    <w:rsid w:val="00656188"/>
    <w:rsid w:val="0065654F"/>
    <w:rsid w:val="00656824"/>
    <w:rsid w:val="00656D3B"/>
    <w:rsid w:val="0065715A"/>
    <w:rsid w:val="00657FCC"/>
    <w:rsid w:val="00660B57"/>
    <w:rsid w:val="00660C0C"/>
    <w:rsid w:val="006610F1"/>
    <w:rsid w:val="00661598"/>
    <w:rsid w:val="00661681"/>
    <w:rsid w:val="00661C62"/>
    <w:rsid w:val="00661C6B"/>
    <w:rsid w:val="00662481"/>
    <w:rsid w:val="00662C72"/>
    <w:rsid w:val="00662D3E"/>
    <w:rsid w:val="0066336B"/>
    <w:rsid w:val="00663649"/>
    <w:rsid w:val="00663D12"/>
    <w:rsid w:val="0066500E"/>
    <w:rsid w:val="006660F8"/>
    <w:rsid w:val="00666E01"/>
    <w:rsid w:val="0066731E"/>
    <w:rsid w:val="00667BE3"/>
    <w:rsid w:val="00670C74"/>
    <w:rsid w:val="00671004"/>
    <w:rsid w:val="00671188"/>
    <w:rsid w:val="0067158F"/>
    <w:rsid w:val="00672646"/>
    <w:rsid w:val="00672CC9"/>
    <w:rsid w:val="00672D0D"/>
    <w:rsid w:val="00673007"/>
    <w:rsid w:val="00673116"/>
    <w:rsid w:val="00674A83"/>
    <w:rsid w:val="00674E42"/>
    <w:rsid w:val="00675290"/>
    <w:rsid w:val="00675A48"/>
    <w:rsid w:val="00675E1D"/>
    <w:rsid w:val="00676563"/>
    <w:rsid w:val="006768A6"/>
    <w:rsid w:val="00676B5A"/>
    <w:rsid w:val="0067719C"/>
    <w:rsid w:val="00677331"/>
    <w:rsid w:val="00680A96"/>
    <w:rsid w:val="00680C20"/>
    <w:rsid w:val="00680FB5"/>
    <w:rsid w:val="006813F8"/>
    <w:rsid w:val="00681780"/>
    <w:rsid w:val="00681B5F"/>
    <w:rsid w:val="00682112"/>
    <w:rsid w:val="00682A6B"/>
    <w:rsid w:val="00682BA6"/>
    <w:rsid w:val="00682EC8"/>
    <w:rsid w:val="00683592"/>
    <w:rsid w:val="0068497D"/>
    <w:rsid w:val="006849BB"/>
    <w:rsid w:val="00684F58"/>
    <w:rsid w:val="0068560A"/>
    <w:rsid w:val="00685AE5"/>
    <w:rsid w:val="00686957"/>
    <w:rsid w:val="00686BA0"/>
    <w:rsid w:val="006872BA"/>
    <w:rsid w:val="00690795"/>
    <w:rsid w:val="00690B04"/>
    <w:rsid w:val="00690B2E"/>
    <w:rsid w:val="00691648"/>
    <w:rsid w:val="006917D7"/>
    <w:rsid w:val="0069357A"/>
    <w:rsid w:val="0069434C"/>
    <w:rsid w:val="00694D7F"/>
    <w:rsid w:val="00694F44"/>
    <w:rsid w:val="00695588"/>
    <w:rsid w:val="006961DA"/>
    <w:rsid w:val="0069622A"/>
    <w:rsid w:val="00696D2F"/>
    <w:rsid w:val="00696EF9"/>
    <w:rsid w:val="00696F51"/>
    <w:rsid w:val="00697195"/>
    <w:rsid w:val="0069797F"/>
    <w:rsid w:val="006979A5"/>
    <w:rsid w:val="006A016F"/>
    <w:rsid w:val="006A0192"/>
    <w:rsid w:val="006A052D"/>
    <w:rsid w:val="006A0DF7"/>
    <w:rsid w:val="006A2524"/>
    <w:rsid w:val="006A2673"/>
    <w:rsid w:val="006A2FEC"/>
    <w:rsid w:val="006A32E8"/>
    <w:rsid w:val="006A4321"/>
    <w:rsid w:val="006A43D9"/>
    <w:rsid w:val="006A5668"/>
    <w:rsid w:val="006A58C1"/>
    <w:rsid w:val="006A6B99"/>
    <w:rsid w:val="006A72C0"/>
    <w:rsid w:val="006A7E5F"/>
    <w:rsid w:val="006B1018"/>
    <w:rsid w:val="006B1770"/>
    <w:rsid w:val="006B261B"/>
    <w:rsid w:val="006B2948"/>
    <w:rsid w:val="006B2C90"/>
    <w:rsid w:val="006B306F"/>
    <w:rsid w:val="006B32CB"/>
    <w:rsid w:val="006B35E6"/>
    <w:rsid w:val="006B3F5A"/>
    <w:rsid w:val="006B45A6"/>
    <w:rsid w:val="006B465A"/>
    <w:rsid w:val="006B50EE"/>
    <w:rsid w:val="006B5275"/>
    <w:rsid w:val="006B5AB2"/>
    <w:rsid w:val="006B5CEE"/>
    <w:rsid w:val="006B6DB3"/>
    <w:rsid w:val="006B6DD0"/>
    <w:rsid w:val="006B6F28"/>
    <w:rsid w:val="006B6F86"/>
    <w:rsid w:val="006C0399"/>
    <w:rsid w:val="006C05DB"/>
    <w:rsid w:val="006C06B1"/>
    <w:rsid w:val="006C0C59"/>
    <w:rsid w:val="006C118D"/>
    <w:rsid w:val="006C1743"/>
    <w:rsid w:val="006C17DE"/>
    <w:rsid w:val="006C1A1A"/>
    <w:rsid w:val="006C2A8E"/>
    <w:rsid w:val="006C3255"/>
    <w:rsid w:val="006C39F3"/>
    <w:rsid w:val="006C3F26"/>
    <w:rsid w:val="006C413F"/>
    <w:rsid w:val="006C494F"/>
    <w:rsid w:val="006C6D4C"/>
    <w:rsid w:val="006C703C"/>
    <w:rsid w:val="006C707B"/>
    <w:rsid w:val="006D08D3"/>
    <w:rsid w:val="006D0D17"/>
    <w:rsid w:val="006D1EC3"/>
    <w:rsid w:val="006D1F94"/>
    <w:rsid w:val="006D203C"/>
    <w:rsid w:val="006D22F9"/>
    <w:rsid w:val="006D3A5B"/>
    <w:rsid w:val="006D3C7D"/>
    <w:rsid w:val="006D4659"/>
    <w:rsid w:val="006D47DD"/>
    <w:rsid w:val="006D4989"/>
    <w:rsid w:val="006D4F93"/>
    <w:rsid w:val="006D5D5F"/>
    <w:rsid w:val="006D645F"/>
    <w:rsid w:val="006D6707"/>
    <w:rsid w:val="006D68FB"/>
    <w:rsid w:val="006E01DC"/>
    <w:rsid w:val="006E09A6"/>
    <w:rsid w:val="006E0B47"/>
    <w:rsid w:val="006E11D0"/>
    <w:rsid w:val="006E1535"/>
    <w:rsid w:val="006E1A23"/>
    <w:rsid w:val="006E2466"/>
    <w:rsid w:val="006E2868"/>
    <w:rsid w:val="006E2925"/>
    <w:rsid w:val="006E29A6"/>
    <w:rsid w:val="006E352F"/>
    <w:rsid w:val="006E3DA2"/>
    <w:rsid w:val="006E4A22"/>
    <w:rsid w:val="006E4F22"/>
    <w:rsid w:val="006E5295"/>
    <w:rsid w:val="006E531F"/>
    <w:rsid w:val="006E5E80"/>
    <w:rsid w:val="006E6B0E"/>
    <w:rsid w:val="006E6CFF"/>
    <w:rsid w:val="006E6EC9"/>
    <w:rsid w:val="006F133D"/>
    <w:rsid w:val="006F1A44"/>
    <w:rsid w:val="006F1EEE"/>
    <w:rsid w:val="006F23DE"/>
    <w:rsid w:val="006F306C"/>
    <w:rsid w:val="006F30E8"/>
    <w:rsid w:val="006F3F69"/>
    <w:rsid w:val="006F4EBA"/>
    <w:rsid w:val="006F5101"/>
    <w:rsid w:val="006F5252"/>
    <w:rsid w:val="006F57DE"/>
    <w:rsid w:val="006F593E"/>
    <w:rsid w:val="006F6133"/>
    <w:rsid w:val="006F62D2"/>
    <w:rsid w:val="006F63A5"/>
    <w:rsid w:val="006F678C"/>
    <w:rsid w:val="006F6C80"/>
    <w:rsid w:val="006F72E2"/>
    <w:rsid w:val="006F74C2"/>
    <w:rsid w:val="006F7A9F"/>
    <w:rsid w:val="006F7C3B"/>
    <w:rsid w:val="007000AE"/>
    <w:rsid w:val="00700CE6"/>
    <w:rsid w:val="007010D5"/>
    <w:rsid w:val="00701296"/>
    <w:rsid w:val="0070142B"/>
    <w:rsid w:val="00701D60"/>
    <w:rsid w:val="007020CA"/>
    <w:rsid w:val="0070237F"/>
    <w:rsid w:val="0070276E"/>
    <w:rsid w:val="00702F8F"/>
    <w:rsid w:val="007032F5"/>
    <w:rsid w:val="007045AD"/>
    <w:rsid w:val="00704A33"/>
    <w:rsid w:val="00704D87"/>
    <w:rsid w:val="00705069"/>
    <w:rsid w:val="00705F02"/>
    <w:rsid w:val="0070692B"/>
    <w:rsid w:val="007079FC"/>
    <w:rsid w:val="00707ED5"/>
    <w:rsid w:val="00707FFA"/>
    <w:rsid w:val="00710360"/>
    <w:rsid w:val="00710819"/>
    <w:rsid w:val="007116D1"/>
    <w:rsid w:val="0071187A"/>
    <w:rsid w:val="00711A36"/>
    <w:rsid w:val="00711BEC"/>
    <w:rsid w:val="0071215C"/>
    <w:rsid w:val="007121C8"/>
    <w:rsid w:val="007125A5"/>
    <w:rsid w:val="007125D3"/>
    <w:rsid w:val="0071296F"/>
    <w:rsid w:val="0071353F"/>
    <w:rsid w:val="007139C9"/>
    <w:rsid w:val="00714C26"/>
    <w:rsid w:val="0071529C"/>
    <w:rsid w:val="00716528"/>
    <w:rsid w:val="00716CFD"/>
    <w:rsid w:val="007170DA"/>
    <w:rsid w:val="007172AD"/>
    <w:rsid w:val="00717546"/>
    <w:rsid w:val="0072064B"/>
    <w:rsid w:val="00720801"/>
    <w:rsid w:val="00720E23"/>
    <w:rsid w:val="007216B1"/>
    <w:rsid w:val="00721A50"/>
    <w:rsid w:val="00721E23"/>
    <w:rsid w:val="00722B1B"/>
    <w:rsid w:val="00722BF1"/>
    <w:rsid w:val="00722C1E"/>
    <w:rsid w:val="007230CD"/>
    <w:rsid w:val="00724062"/>
    <w:rsid w:val="007240C7"/>
    <w:rsid w:val="0072416F"/>
    <w:rsid w:val="007241F8"/>
    <w:rsid w:val="00724E03"/>
    <w:rsid w:val="00725527"/>
    <w:rsid w:val="007255BA"/>
    <w:rsid w:val="007259E0"/>
    <w:rsid w:val="00725EF0"/>
    <w:rsid w:val="00725FC4"/>
    <w:rsid w:val="00726977"/>
    <w:rsid w:val="00726A2B"/>
    <w:rsid w:val="00727838"/>
    <w:rsid w:val="00727C1D"/>
    <w:rsid w:val="00727C94"/>
    <w:rsid w:val="00730607"/>
    <w:rsid w:val="00731670"/>
    <w:rsid w:val="00731B0A"/>
    <w:rsid w:val="00731E76"/>
    <w:rsid w:val="00731EAE"/>
    <w:rsid w:val="00732AE0"/>
    <w:rsid w:val="00733073"/>
    <w:rsid w:val="0073349E"/>
    <w:rsid w:val="0073370D"/>
    <w:rsid w:val="007339A8"/>
    <w:rsid w:val="00734564"/>
    <w:rsid w:val="00735033"/>
    <w:rsid w:val="00735205"/>
    <w:rsid w:val="00735328"/>
    <w:rsid w:val="0073685B"/>
    <w:rsid w:val="00736A97"/>
    <w:rsid w:val="00736BD7"/>
    <w:rsid w:val="00736FA0"/>
    <w:rsid w:val="007374A7"/>
    <w:rsid w:val="00737558"/>
    <w:rsid w:val="0073780A"/>
    <w:rsid w:val="00737826"/>
    <w:rsid w:val="0074024C"/>
    <w:rsid w:val="00741408"/>
    <w:rsid w:val="00741834"/>
    <w:rsid w:val="0074325C"/>
    <w:rsid w:val="00743A55"/>
    <w:rsid w:val="007449BF"/>
    <w:rsid w:val="00744AAE"/>
    <w:rsid w:val="00744B58"/>
    <w:rsid w:val="007454F5"/>
    <w:rsid w:val="007455B9"/>
    <w:rsid w:val="00745837"/>
    <w:rsid w:val="007463FE"/>
    <w:rsid w:val="0074671D"/>
    <w:rsid w:val="00746AB6"/>
    <w:rsid w:val="00746BC0"/>
    <w:rsid w:val="00746D42"/>
    <w:rsid w:val="00747879"/>
    <w:rsid w:val="0075043D"/>
    <w:rsid w:val="007510B4"/>
    <w:rsid w:val="00752142"/>
    <w:rsid w:val="007522F6"/>
    <w:rsid w:val="007523F9"/>
    <w:rsid w:val="007525F9"/>
    <w:rsid w:val="00752618"/>
    <w:rsid w:val="00752905"/>
    <w:rsid w:val="00752B42"/>
    <w:rsid w:val="00752F74"/>
    <w:rsid w:val="0075357E"/>
    <w:rsid w:val="00753B29"/>
    <w:rsid w:val="00753DFC"/>
    <w:rsid w:val="00754538"/>
    <w:rsid w:val="00754F66"/>
    <w:rsid w:val="00754F6C"/>
    <w:rsid w:val="007558FF"/>
    <w:rsid w:val="00755D60"/>
    <w:rsid w:val="00756443"/>
    <w:rsid w:val="00756AD8"/>
    <w:rsid w:val="00756AEB"/>
    <w:rsid w:val="007573E8"/>
    <w:rsid w:val="007601AD"/>
    <w:rsid w:val="00760C4E"/>
    <w:rsid w:val="00760F9E"/>
    <w:rsid w:val="00761237"/>
    <w:rsid w:val="007616E6"/>
    <w:rsid w:val="00761837"/>
    <w:rsid w:val="00761FCA"/>
    <w:rsid w:val="00762375"/>
    <w:rsid w:val="007627BE"/>
    <w:rsid w:val="00762AE1"/>
    <w:rsid w:val="00762C5B"/>
    <w:rsid w:val="00763A75"/>
    <w:rsid w:val="007641CD"/>
    <w:rsid w:val="0076477B"/>
    <w:rsid w:val="00764BE7"/>
    <w:rsid w:val="00764F03"/>
    <w:rsid w:val="007657F7"/>
    <w:rsid w:val="00765B1A"/>
    <w:rsid w:val="00765DC1"/>
    <w:rsid w:val="00766709"/>
    <w:rsid w:val="007667E4"/>
    <w:rsid w:val="00766C07"/>
    <w:rsid w:val="007670A7"/>
    <w:rsid w:val="00767604"/>
    <w:rsid w:val="0076761C"/>
    <w:rsid w:val="00767A15"/>
    <w:rsid w:val="00767FB0"/>
    <w:rsid w:val="00770D27"/>
    <w:rsid w:val="00771CA8"/>
    <w:rsid w:val="007720B1"/>
    <w:rsid w:val="007722DA"/>
    <w:rsid w:val="0077230E"/>
    <w:rsid w:val="00772D1F"/>
    <w:rsid w:val="007735DF"/>
    <w:rsid w:val="0077471D"/>
    <w:rsid w:val="00774E43"/>
    <w:rsid w:val="0077501A"/>
    <w:rsid w:val="007755D6"/>
    <w:rsid w:val="0077565F"/>
    <w:rsid w:val="00776289"/>
    <w:rsid w:val="007765BB"/>
    <w:rsid w:val="007766D8"/>
    <w:rsid w:val="00776A29"/>
    <w:rsid w:val="00777335"/>
    <w:rsid w:val="007774A3"/>
    <w:rsid w:val="007774DA"/>
    <w:rsid w:val="007779AF"/>
    <w:rsid w:val="00777FC9"/>
    <w:rsid w:val="007808DC"/>
    <w:rsid w:val="007813D4"/>
    <w:rsid w:val="0078183F"/>
    <w:rsid w:val="007818E2"/>
    <w:rsid w:val="00782155"/>
    <w:rsid w:val="007821EB"/>
    <w:rsid w:val="00782268"/>
    <w:rsid w:val="00782701"/>
    <w:rsid w:val="00782968"/>
    <w:rsid w:val="00782B21"/>
    <w:rsid w:val="00784305"/>
    <w:rsid w:val="007843F2"/>
    <w:rsid w:val="007846FA"/>
    <w:rsid w:val="00784D17"/>
    <w:rsid w:val="00784F29"/>
    <w:rsid w:val="00785A9F"/>
    <w:rsid w:val="00785DD3"/>
    <w:rsid w:val="00785E25"/>
    <w:rsid w:val="0078659D"/>
    <w:rsid w:val="00786BC7"/>
    <w:rsid w:val="00786E18"/>
    <w:rsid w:val="00787E37"/>
    <w:rsid w:val="007901A6"/>
    <w:rsid w:val="00790449"/>
    <w:rsid w:val="007906BF"/>
    <w:rsid w:val="00791CE0"/>
    <w:rsid w:val="007925DF"/>
    <w:rsid w:val="0079293C"/>
    <w:rsid w:val="00793B10"/>
    <w:rsid w:val="0079427D"/>
    <w:rsid w:val="0079441B"/>
    <w:rsid w:val="007947F4"/>
    <w:rsid w:val="0079696C"/>
    <w:rsid w:val="00796B44"/>
    <w:rsid w:val="00796C5D"/>
    <w:rsid w:val="007979E0"/>
    <w:rsid w:val="007A00B1"/>
    <w:rsid w:val="007A0712"/>
    <w:rsid w:val="007A08AA"/>
    <w:rsid w:val="007A0A12"/>
    <w:rsid w:val="007A0CA9"/>
    <w:rsid w:val="007A132D"/>
    <w:rsid w:val="007A1345"/>
    <w:rsid w:val="007A14C5"/>
    <w:rsid w:val="007A23DF"/>
    <w:rsid w:val="007A27C8"/>
    <w:rsid w:val="007A2DDB"/>
    <w:rsid w:val="007A3D86"/>
    <w:rsid w:val="007A49D7"/>
    <w:rsid w:val="007A4E20"/>
    <w:rsid w:val="007A55CA"/>
    <w:rsid w:val="007A63A9"/>
    <w:rsid w:val="007A6444"/>
    <w:rsid w:val="007A6D23"/>
    <w:rsid w:val="007A70BA"/>
    <w:rsid w:val="007B0D68"/>
    <w:rsid w:val="007B251D"/>
    <w:rsid w:val="007B2765"/>
    <w:rsid w:val="007B31E0"/>
    <w:rsid w:val="007B326A"/>
    <w:rsid w:val="007B3533"/>
    <w:rsid w:val="007B3948"/>
    <w:rsid w:val="007B4614"/>
    <w:rsid w:val="007B4D28"/>
    <w:rsid w:val="007B4F58"/>
    <w:rsid w:val="007B528D"/>
    <w:rsid w:val="007B5633"/>
    <w:rsid w:val="007B583B"/>
    <w:rsid w:val="007B5F8F"/>
    <w:rsid w:val="007B6027"/>
    <w:rsid w:val="007B63CA"/>
    <w:rsid w:val="007B65A9"/>
    <w:rsid w:val="007B6763"/>
    <w:rsid w:val="007B77D1"/>
    <w:rsid w:val="007B786D"/>
    <w:rsid w:val="007B796B"/>
    <w:rsid w:val="007B7AD7"/>
    <w:rsid w:val="007C0255"/>
    <w:rsid w:val="007C0759"/>
    <w:rsid w:val="007C07C7"/>
    <w:rsid w:val="007C0EB8"/>
    <w:rsid w:val="007C1336"/>
    <w:rsid w:val="007C1B31"/>
    <w:rsid w:val="007C1CD9"/>
    <w:rsid w:val="007C2565"/>
    <w:rsid w:val="007C267B"/>
    <w:rsid w:val="007C28C1"/>
    <w:rsid w:val="007C2B44"/>
    <w:rsid w:val="007C300B"/>
    <w:rsid w:val="007C32EF"/>
    <w:rsid w:val="007C361D"/>
    <w:rsid w:val="007C3A64"/>
    <w:rsid w:val="007C3CA2"/>
    <w:rsid w:val="007C4189"/>
    <w:rsid w:val="007C4B84"/>
    <w:rsid w:val="007C50D0"/>
    <w:rsid w:val="007C65B2"/>
    <w:rsid w:val="007C69F2"/>
    <w:rsid w:val="007C6ACF"/>
    <w:rsid w:val="007C6BFD"/>
    <w:rsid w:val="007C6DB9"/>
    <w:rsid w:val="007C70FF"/>
    <w:rsid w:val="007C7671"/>
    <w:rsid w:val="007C7777"/>
    <w:rsid w:val="007C7C25"/>
    <w:rsid w:val="007D004F"/>
    <w:rsid w:val="007D035F"/>
    <w:rsid w:val="007D06B2"/>
    <w:rsid w:val="007D0B38"/>
    <w:rsid w:val="007D1492"/>
    <w:rsid w:val="007D1D98"/>
    <w:rsid w:val="007D2378"/>
    <w:rsid w:val="007D3455"/>
    <w:rsid w:val="007D34DF"/>
    <w:rsid w:val="007D3A9F"/>
    <w:rsid w:val="007D3AC1"/>
    <w:rsid w:val="007D416F"/>
    <w:rsid w:val="007D42D2"/>
    <w:rsid w:val="007D48C4"/>
    <w:rsid w:val="007D4F68"/>
    <w:rsid w:val="007D4FCB"/>
    <w:rsid w:val="007D4FFB"/>
    <w:rsid w:val="007D5440"/>
    <w:rsid w:val="007D649B"/>
    <w:rsid w:val="007D69EB"/>
    <w:rsid w:val="007D6DC1"/>
    <w:rsid w:val="007D72E0"/>
    <w:rsid w:val="007E0664"/>
    <w:rsid w:val="007E0CDC"/>
    <w:rsid w:val="007E128F"/>
    <w:rsid w:val="007E161A"/>
    <w:rsid w:val="007E2139"/>
    <w:rsid w:val="007E2842"/>
    <w:rsid w:val="007E2E57"/>
    <w:rsid w:val="007E36AF"/>
    <w:rsid w:val="007E40E5"/>
    <w:rsid w:val="007E4794"/>
    <w:rsid w:val="007E4807"/>
    <w:rsid w:val="007E4A3A"/>
    <w:rsid w:val="007E52B1"/>
    <w:rsid w:val="007E5E18"/>
    <w:rsid w:val="007E620D"/>
    <w:rsid w:val="007E6E09"/>
    <w:rsid w:val="007E70F0"/>
    <w:rsid w:val="007E7D28"/>
    <w:rsid w:val="007F01E7"/>
    <w:rsid w:val="007F0DBD"/>
    <w:rsid w:val="007F1017"/>
    <w:rsid w:val="007F1D1A"/>
    <w:rsid w:val="007F27B1"/>
    <w:rsid w:val="007F2A86"/>
    <w:rsid w:val="007F2D90"/>
    <w:rsid w:val="007F3E6D"/>
    <w:rsid w:val="007F458C"/>
    <w:rsid w:val="007F49D2"/>
    <w:rsid w:val="007F4A3F"/>
    <w:rsid w:val="007F4A61"/>
    <w:rsid w:val="007F4DFB"/>
    <w:rsid w:val="007F5255"/>
    <w:rsid w:val="007F53CD"/>
    <w:rsid w:val="007F5605"/>
    <w:rsid w:val="007F56CC"/>
    <w:rsid w:val="007F5BD8"/>
    <w:rsid w:val="007F61C2"/>
    <w:rsid w:val="007F6B24"/>
    <w:rsid w:val="00800AB1"/>
    <w:rsid w:val="00800ED8"/>
    <w:rsid w:val="00801578"/>
    <w:rsid w:val="00801766"/>
    <w:rsid w:val="0080190E"/>
    <w:rsid w:val="00801E1C"/>
    <w:rsid w:val="008026FB"/>
    <w:rsid w:val="00802B62"/>
    <w:rsid w:val="00803502"/>
    <w:rsid w:val="00804255"/>
    <w:rsid w:val="008042F3"/>
    <w:rsid w:val="0080435C"/>
    <w:rsid w:val="00805142"/>
    <w:rsid w:val="0080566B"/>
    <w:rsid w:val="00805DDA"/>
    <w:rsid w:val="00805FCE"/>
    <w:rsid w:val="00806011"/>
    <w:rsid w:val="00806B6D"/>
    <w:rsid w:val="0080708E"/>
    <w:rsid w:val="008070CD"/>
    <w:rsid w:val="00807A8B"/>
    <w:rsid w:val="00810BC8"/>
    <w:rsid w:val="00811383"/>
    <w:rsid w:val="008119A3"/>
    <w:rsid w:val="00812149"/>
    <w:rsid w:val="00812B69"/>
    <w:rsid w:val="00812CAC"/>
    <w:rsid w:val="00812D4A"/>
    <w:rsid w:val="0081405A"/>
    <w:rsid w:val="00814DD8"/>
    <w:rsid w:val="0081571C"/>
    <w:rsid w:val="00816234"/>
    <w:rsid w:val="00816361"/>
    <w:rsid w:val="0081643D"/>
    <w:rsid w:val="008164A7"/>
    <w:rsid w:val="00816509"/>
    <w:rsid w:val="008165AC"/>
    <w:rsid w:val="008166EF"/>
    <w:rsid w:val="00816922"/>
    <w:rsid w:val="00816FEF"/>
    <w:rsid w:val="0081789E"/>
    <w:rsid w:val="00817C2B"/>
    <w:rsid w:val="0082059E"/>
    <w:rsid w:val="008207F7"/>
    <w:rsid w:val="00820A8C"/>
    <w:rsid w:val="008211BF"/>
    <w:rsid w:val="0082122E"/>
    <w:rsid w:val="008214FC"/>
    <w:rsid w:val="008215FB"/>
    <w:rsid w:val="0082184D"/>
    <w:rsid w:val="0082189B"/>
    <w:rsid w:val="00821CD3"/>
    <w:rsid w:val="00821ED6"/>
    <w:rsid w:val="008220CC"/>
    <w:rsid w:val="0082273E"/>
    <w:rsid w:val="00822C02"/>
    <w:rsid w:val="00823174"/>
    <w:rsid w:val="0082346F"/>
    <w:rsid w:val="008234AE"/>
    <w:rsid w:val="0082354D"/>
    <w:rsid w:val="00823789"/>
    <w:rsid w:val="00823C53"/>
    <w:rsid w:val="00823E4C"/>
    <w:rsid w:val="00824320"/>
    <w:rsid w:val="008243AA"/>
    <w:rsid w:val="008245FF"/>
    <w:rsid w:val="00825751"/>
    <w:rsid w:val="00825C58"/>
    <w:rsid w:val="008264EB"/>
    <w:rsid w:val="008268CE"/>
    <w:rsid w:val="008268F6"/>
    <w:rsid w:val="0082741D"/>
    <w:rsid w:val="00827C23"/>
    <w:rsid w:val="00830D81"/>
    <w:rsid w:val="00830F4A"/>
    <w:rsid w:val="00831459"/>
    <w:rsid w:val="00831FEC"/>
    <w:rsid w:val="00832630"/>
    <w:rsid w:val="00832BB5"/>
    <w:rsid w:val="00832C65"/>
    <w:rsid w:val="00833976"/>
    <w:rsid w:val="00833A39"/>
    <w:rsid w:val="00833B05"/>
    <w:rsid w:val="00833B10"/>
    <w:rsid w:val="00833E0D"/>
    <w:rsid w:val="008349FF"/>
    <w:rsid w:val="00834B3B"/>
    <w:rsid w:val="00834CA2"/>
    <w:rsid w:val="008351F7"/>
    <w:rsid w:val="00835392"/>
    <w:rsid w:val="008355F6"/>
    <w:rsid w:val="00835AB5"/>
    <w:rsid w:val="008362B4"/>
    <w:rsid w:val="00836921"/>
    <w:rsid w:val="00840073"/>
    <w:rsid w:val="00840386"/>
    <w:rsid w:val="00840CA2"/>
    <w:rsid w:val="0084182C"/>
    <w:rsid w:val="008420ED"/>
    <w:rsid w:val="00842335"/>
    <w:rsid w:val="0084297E"/>
    <w:rsid w:val="00842E0C"/>
    <w:rsid w:val="00842E23"/>
    <w:rsid w:val="0084374F"/>
    <w:rsid w:val="00843C93"/>
    <w:rsid w:val="0084401F"/>
    <w:rsid w:val="00844A22"/>
    <w:rsid w:val="00845146"/>
    <w:rsid w:val="00845521"/>
    <w:rsid w:val="008465FF"/>
    <w:rsid w:val="00847703"/>
    <w:rsid w:val="00847904"/>
    <w:rsid w:val="00847DF5"/>
    <w:rsid w:val="0085002D"/>
    <w:rsid w:val="00850FBF"/>
    <w:rsid w:val="00851699"/>
    <w:rsid w:val="008525BD"/>
    <w:rsid w:val="008528CC"/>
    <w:rsid w:val="0085309D"/>
    <w:rsid w:val="00853102"/>
    <w:rsid w:val="0085384B"/>
    <w:rsid w:val="00853CF4"/>
    <w:rsid w:val="00853DEE"/>
    <w:rsid w:val="00853F33"/>
    <w:rsid w:val="00854E04"/>
    <w:rsid w:val="008565B3"/>
    <w:rsid w:val="00856897"/>
    <w:rsid w:val="00856BC7"/>
    <w:rsid w:val="00856DAF"/>
    <w:rsid w:val="00856DD9"/>
    <w:rsid w:val="00856E9A"/>
    <w:rsid w:val="00856F2A"/>
    <w:rsid w:val="00856FBD"/>
    <w:rsid w:val="00857256"/>
    <w:rsid w:val="008578FB"/>
    <w:rsid w:val="00857961"/>
    <w:rsid w:val="00857974"/>
    <w:rsid w:val="00857E8E"/>
    <w:rsid w:val="0086075D"/>
    <w:rsid w:val="008612F7"/>
    <w:rsid w:val="00862502"/>
    <w:rsid w:val="008629F4"/>
    <w:rsid w:val="00862B47"/>
    <w:rsid w:val="00862C61"/>
    <w:rsid w:val="00862CC1"/>
    <w:rsid w:val="00862E4E"/>
    <w:rsid w:val="0086321F"/>
    <w:rsid w:val="00863DB0"/>
    <w:rsid w:val="00863FE8"/>
    <w:rsid w:val="008642A7"/>
    <w:rsid w:val="00864AEF"/>
    <w:rsid w:val="008653AC"/>
    <w:rsid w:val="0086571F"/>
    <w:rsid w:val="008660D4"/>
    <w:rsid w:val="0086644D"/>
    <w:rsid w:val="00867318"/>
    <w:rsid w:val="00867719"/>
    <w:rsid w:val="008709B6"/>
    <w:rsid w:val="00870ADC"/>
    <w:rsid w:val="008714C5"/>
    <w:rsid w:val="00871D15"/>
    <w:rsid w:val="00871FA9"/>
    <w:rsid w:val="008728E9"/>
    <w:rsid w:val="00872999"/>
    <w:rsid w:val="00872A3E"/>
    <w:rsid w:val="00873331"/>
    <w:rsid w:val="00873464"/>
    <w:rsid w:val="008737F9"/>
    <w:rsid w:val="0087422B"/>
    <w:rsid w:val="0087442F"/>
    <w:rsid w:val="00874745"/>
    <w:rsid w:val="00874EFB"/>
    <w:rsid w:val="00876001"/>
    <w:rsid w:val="0087612A"/>
    <w:rsid w:val="00876933"/>
    <w:rsid w:val="00876B13"/>
    <w:rsid w:val="00876B8E"/>
    <w:rsid w:val="00880B7D"/>
    <w:rsid w:val="00880F43"/>
    <w:rsid w:val="00881EAC"/>
    <w:rsid w:val="008821F6"/>
    <w:rsid w:val="00882874"/>
    <w:rsid w:val="00882E3C"/>
    <w:rsid w:val="0088308A"/>
    <w:rsid w:val="008831D1"/>
    <w:rsid w:val="00883231"/>
    <w:rsid w:val="008833DB"/>
    <w:rsid w:val="00883787"/>
    <w:rsid w:val="00884DA0"/>
    <w:rsid w:val="00884F26"/>
    <w:rsid w:val="008855E4"/>
    <w:rsid w:val="00885A56"/>
    <w:rsid w:val="00885D99"/>
    <w:rsid w:val="008869EF"/>
    <w:rsid w:val="00886A06"/>
    <w:rsid w:val="00886A80"/>
    <w:rsid w:val="00886CD2"/>
    <w:rsid w:val="008871AC"/>
    <w:rsid w:val="008872BB"/>
    <w:rsid w:val="00887742"/>
    <w:rsid w:val="00887D35"/>
    <w:rsid w:val="00887D72"/>
    <w:rsid w:val="00890391"/>
    <w:rsid w:val="008910F7"/>
    <w:rsid w:val="008917B8"/>
    <w:rsid w:val="00891926"/>
    <w:rsid w:val="00891C42"/>
    <w:rsid w:val="00891E6F"/>
    <w:rsid w:val="00891F79"/>
    <w:rsid w:val="00892298"/>
    <w:rsid w:val="00892448"/>
    <w:rsid w:val="008924F2"/>
    <w:rsid w:val="0089275D"/>
    <w:rsid w:val="00892A36"/>
    <w:rsid w:val="00892A6A"/>
    <w:rsid w:val="00892FC5"/>
    <w:rsid w:val="00893134"/>
    <w:rsid w:val="00893239"/>
    <w:rsid w:val="0089348B"/>
    <w:rsid w:val="00893934"/>
    <w:rsid w:val="00893A9F"/>
    <w:rsid w:val="00893F7D"/>
    <w:rsid w:val="0089420E"/>
    <w:rsid w:val="00894489"/>
    <w:rsid w:val="00894CD6"/>
    <w:rsid w:val="00896307"/>
    <w:rsid w:val="008963A5"/>
    <w:rsid w:val="00896D5D"/>
    <w:rsid w:val="00896F56"/>
    <w:rsid w:val="00897169"/>
    <w:rsid w:val="008975B0"/>
    <w:rsid w:val="008976FC"/>
    <w:rsid w:val="008978FD"/>
    <w:rsid w:val="008A01E1"/>
    <w:rsid w:val="008A07C5"/>
    <w:rsid w:val="008A09A4"/>
    <w:rsid w:val="008A0A84"/>
    <w:rsid w:val="008A1143"/>
    <w:rsid w:val="008A12CE"/>
    <w:rsid w:val="008A141D"/>
    <w:rsid w:val="008A1855"/>
    <w:rsid w:val="008A309C"/>
    <w:rsid w:val="008A3158"/>
    <w:rsid w:val="008A3363"/>
    <w:rsid w:val="008A3371"/>
    <w:rsid w:val="008A3854"/>
    <w:rsid w:val="008A3C3E"/>
    <w:rsid w:val="008A4347"/>
    <w:rsid w:val="008A463C"/>
    <w:rsid w:val="008A4EF6"/>
    <w:rsid w:val="008A51E5"/>
    <w:rsid w:val="008A5641"/>
    <w:rsid w:val="008A616C"/>
    <w:rsid w:val="008A6484"/>
    <w:rsid w:val="008A6AB7"/>
    <w:rsid w:val="008A70F9"/>
    <w:rsid w:val="008A79DE"/>
    <w:rsid w:val="008B088F"/>
    <w:rsid w:val="008B0983"/>
    <w:rsid w:val="008B141C"/>
    <w:rsid w:val="008B145B"/>
    <w:rsid w:val="008B1757"/>
    <w:rsid w:val="008B1C33"/>
    <w:rsid w:val="008B1ECF"/>
    <w:rsid w:val="008B25EA"/>
    <w:rsid w:val="008B4399"/>
    <w:rsid w:val="008B4798"/>
    <w:rsid w:val="008B4B6F"/>
    <w:rsid w:val="008B4C7F"/>
    <w:rsid w:val="008B6220"/>
    <w:rsid w:val="008B6738"/>
    <w:rsid w:val="008B6E2D"/>
    <w:rsid w:val="008B6F8C"/>
    <w:rsid w:val="008B7050"/>
    <w:rsid w:val="008B7523"/>
    <w:rsid w:val="008B7723"/>
    <w:rsid w:val="008B7992"/>
    <w:rsid w:val="008B7D7E"/>
    <w:rsid w:val="008C01D4"/>
    <w:rsid w:val="008C0BC7"/>
    <w:rsid w:val="008C0D21"/>
    <w:rsid w:val="008C0D6C"/>
    <w:rsid w:val="008C0F43"/>
    <w:rsid w:val="008C1270"/>
    <w:rsid w:val="008C15DA"/>
    <w:rsid w:val="008C2F62"/>
    <w:rsid w:val="008C38FE"/>
    <w:rsid w:val="008C394F"/>
    <w:rsid w:val="008C43B3"/>
    <w:rsid w:val="008C4D56"/>
    <w:rsid w:val="008C5569"/>
    <w:rsid w:val="008C5610"/>
    <w:rsid w:val="008C56DE"/>
    <w:rsid w:val="008C5739"/>
    <w:rsid w:val="008C60B7"/>
    <w:rsid w:val="008C7282"/>
    <w:rsid w:val="008C7ECB"/>
    <w:rsid w:val="008D049C"/>
    <w:rsid w:val="008D1AA4"/>
    <w:rsid w:val="008D1F06"/>
    <w:rsid w:val="008D273E"/>
    <w:rsid w:val="008D3B3D"/>
    <w:rsid w:val="008D3B86"/>
    <w:rsid w:val="008D3DAE"/>
    <w:rsid w:val="008D43FD"/>
    <w:rsid w:val="008D443B"/>
    <w:rsid w:val="008D4755"/>
    <w:rsid w:val="008D4813"/>
    <w:rsid w:val="008D4826"/>
    <w:rsid w:val="008D4C3D"/>
    <w:rsid w:val="008D6425"/>
    <w:rsid w:val="008D6909"/>
    <w:rsid w:val="008D6F51"/>
    <w:rsid w:val="008D743C"/>
    <w:rsid w:val="008D77BB"/>
    <w:rsid w:val="008D78FF"/>
    <w:rsid w:val="008E02D3"/>
    <w:rsid w:val="008E0677"/>
    <w:rsid w:val="008E0C53"/>
    <w:rsid w:val="008E0CBC"/>
    <w:rsid w:val="008E0D3C"/>
    <w:rsid w:val="008E1180"/>
    <w:rsid w:val="008E1356"/>
    <w:rsid w:val="008E1B9E"/>
    <w:rsid w:val="008E1F1C"/>
    <w:rsid w:val="008E2306"/>
    <w:rsid w:val="008E2BD6"/>
    <w:rsid w:val="008E3D95"/>
    <w:rsid w:val="008E4B6C"/>
    <w:rsid w:val="008E4D8A"/>
    <w:rsid w:val="008E55AB"/>
    <w:rsid w:val="008E57BE"/>
    <w:rsid w:val="008E5942"/>
    <w:rsid w:val="008E5EFB"/>
    <w:rsid w:val="008E64A6"/>
    <w:rsid w:val="008E6512"/>
    <w:rsid w:val="008E6B70"/>
    <w:rsid w:val="008E6C1B"/>
    <w:rsid w:val="008E7190"/>
    <w:rsid w:val="008E76C0"/>
    <w:rsid w:val="008E7B33"/>
    <w:rsid w:val="008E7B86"/>
    <w:rsid w:val="008F1035"/>
    <w:rsid w:val="008F120A"/>
    <w:rsid w:val="008F14A4"/>
    <w:rsid w:val="008F14B8"/>
    <w:rsid w:val="008F199E"/>
    <w:rsid w:val="008F2739"/>
    <w:rsid w:val="008F27E0"/>
    <w:rsid w:val="008F2AD8"/>
    <w:rsid w:val="008F3C91"/>
    <w:rsid w:val="008F4053"/>
    <w:rsid w:val="008F48EB"/>
    <w:rsid w:val="008F4F0B"/>
    <w:rsid w:val="008F56D4"/>
    <w:rsid w:val="008F5DA9"/>
    <w:rsid w:val="008F5FE9"/>
    <w:rsid w:val="008F6E4C"/>
    <w:rsid w:val="008F7E32"/>
    <w:rsid w:val="00900C37"/>
    <w:rsid w:val="009010DC"/>
    <w:rsid w:val="009015A1"/>
    <w:rsid w:val="009022E5"/>
    <w:rsid w:val="00902639"/>
    <w:rsid w:val="00902A91"/>
    <w:rsid w:val="009034A4"/>
    <w:rsid w:val="00903EE9"/>
    <w:rsid w:val="009046C4"/>
    <w:rsid w:val="0090487C"/>
    <w:rsid w:val="009060A2"/>
    <w:rsid w:val="009062A5"/>
    <w:rsid w:val="009066D7"/>
    <w:rsid w:val="00906D6F"/>
    <w:rsid w:val="00907699"/>
    <w:rsid w:val="00910EEF"/>
    <w:rsid w:val="00910FA7"/>
    <w:rsid w:val="00911005"/>
    <w:rsid w:val="009110AA"/>
    <w:rsid w:val="0091113D"/>
    <w:rsid w:val="009111E8"/>
    <w:rsid w:val="00911272"/>
    <w:rsid w:val="00911339"/>
    <w:rsid w:val="00911B22"/>
    <w:rsid w:val="00912376"/>
    <w:rsid w:val="009128C2"/>
    <w:rsid w:val="00912BAB"/>
    <w:rsid w:val="00912F8D"/>
    <w:rsid w:val="009135D6"/>
    <w:rsid w:val="0091371D"/>
    <w:rsid w:val="00914BED"/>
    <w:rsid w:val="00914C77"/>
    <w:rsid w:val="0091627E"/>
    <w:rsid w:val="00916657"/>
    <w:rsid w:val="00916D33"/>
    <w:rsid w:val="00917DA9"/>
    <w:rsid w:val="00920064"/>
    <w:rsid w:val="00921727"/>
    <w:rsid w:val="00921ACB"/>
    <w:rsid w:val="00921E31"/>
    <w:rsid w:val="009227F1"/>
    <w:rsid w:val="00922992"/>
    <w:rsid w:val="00922EAA"/>
    <w:rsid w:val="0092325E"/>
    <w:rsid w:val="0092369B"/>
    <w:rsid w:val="00923A28"/>
    <w:rsid w:val="00923F63"/>
    <w:rsid w:val="00924292"/>
    <w:rsid w:val="0092442C"/>
    <w:rsid w:val="00924863"/>
    <w:rsid w:val="009249E2"/>
    <w:rsid w:val="00926C86"/>
    <w:rsid w:val="00927430"/>
    <w:rsid w:val="00927713"/>
    <w:rsid w:val="00927CC8"/>
    <w:rsid w:val="00927EA1"/>
    <w:rsid w:val="00930F9E"/>
    <w:rsid w:val="0093101E"/>
    <w:rsid w:val="00931307"/>
    <w:rsid w:val="00931480"/>
    <w:rsid w:val="00931B5B"/>
    <w:rsid w:val="009327AB"/>
    <w:rsid w:val="00932ACD"/>
    <w:rsid w:val="00932C7B"/>
    <w:rsid w:val="00932E19"/>
    <w:rsid w:val="009333A3"/>
    <w:rsid w:val="00933654"/>
    <w:rsid w:val="00933918"/>
    <w:rsid w:val="00933FAE"/>
    <w:rsid w:val="00934587"/>
    <w:rsid w:val="009346C7"/>
    <w:rsid w:val="00934988"/>
    <w:rsid w:val="00935CB1"/>
    <w:rsid w:val="00936135"/>
    <w:rsid w:val="009367F1"/>
    <w:rsid w:val="00936A34"/>
    <w:rsid w:val="00936A6F"/>
    <w:rsid w:val="00937089"/>
    <w:rsid w:val="00937207"/>
    <w:rsid w:val="00937514"/>
    <w:rsid w:val="009377C3"/>
    <w:rsid w:val="0093780A"/>
    <w:rsid w:val="0093786F"/>
    <w:rsid w:val="00940100"/>
    <w:rsid w:val="009405C7"/>
    <w:rsid w:val="00940920"/>
    <w:rsid w:val="00940995"/>
    <w:rsid w:val="00940A7D"/>
    <w:rsid w:val="00941772"/>
    <w:rsid w:val="009417AE"/>
    <w:rsid w:val="00941A3F"/>
    <w:rsid w:val="00941C8D"/>
    <w:rsid w:val="00942500"/>
    <w:rsid w:val="00942793"/>
    <w:rsid w:val="00942A90"/>
    <w:rsid w:val="00942AE4"/>
    <w:rsid w:val="00944582"/>
    <w:rsid w:val="00944F8A"/>
    <w:rsid w:val="00945138"/>
    <w:rsid w:val="00945DC7"/>
    <w:rsid w:val="00945F57"/>
    <w:rsid w:val="00946967"/>
    <w:rsid w:val="00946A17"/>
    <w:rsid w:val="00946BA8"/>
    <w:rsid w:val="00946CEB"/>
    <w:rsid w:val="00946DF5"/>
    <w:rsid w:val="00946E30"/>
    <w:rsid w:val="0094747B"/>
    <w:rsid w:val="009503FF"/>
    <w:rsid w:val="00950467"/>
    <w:rsid w:val="00950C53"/>
    <w:rsid w:val="009510A2"/>
    <w:rsid w:val="009511A6"/>
    <w:rsid w:val="00951E0F"/>
    <w:rsid w:val="00953257"/>
    <w:rsid w:val="0095347E"/>
    <w:rsid w:val="00953DB1"/>
    <w:rsid w:val="0095474C"/>
    <w:rsid w:val="00954E96"/>
    <w:rsid w:val="00955FBE"/>
    <w:rsid w:val="00956403"/>
    <w:rsid w:val="00956417"/>
    <w:rsid w:val="00956704"/>
    <w:rsid w:val="0095793B"/>
    <w:rsid w:val="009579D3"/>
    <w:rsid w:val="00957D92"/>
    <w:rsid w:val="009600C5"/>
    <w:rsid w:val="00960633"/>
    <w:rsid w:val="00960718"/>
    <w:rsid w:val="00960C36"/>
    <w:rsid w:val="009611D7"/>
    <w:rsid w:val="00962CB9"/>
    <w:rsid w:val="00963075"/>
    <w:rsid w:val="00963E99"/>
    <w:rsid w:val="00964124"/>
    <w:rsid w:val="00964312"/>
    <w:rsid w:val="00964DB4"/>
    <w:rsid w:val="00965B8A"/>
    <w:rsid w:val="00965C20"/>
    <w:rsid w:val="009660EC"/>
    <w:rsid w:val="009663E6"/>
    <w:rsid w:val="0096649C"/>
    <w:rsid w:val="00966C6B"/>
    <w:rsid w:val="00966CBE"/>
    <w:rsid w:val="0096710F"/>
    <w:rsid w:val="00967595"/>
    <w:rsid w:val="0097017D"/>
    <w:rsid w:val="0097071F"/>
    <w:rsid w:val="00970FD8"/>
    <w:rsid w:val="00971720"/>
    <w:rsid w:val="00971754"/>
    <w:rsid w:val="009717AC"/>
    <w:rsid w:val="00971FE5"/>
    <w:rsid w:val="00972E2F"/>
    <w:rsid w:val="00973896"/>
    <w:rsid w:val="00973D00"/>
    <w:rsid w:val="00973EA2"/>
    <w:rsid w:val="009741DF"/>
    <w:rsid w:val="00974949"/>
    <w:rsid w:val="00974FB0"/>
    <w:rsid w:val="009751C1"/>
    <w:rsid w:val="009753B4"/>
    <w:rsid w:val="0097643D"/>
    <w:rsid w:val="0097653A"/>
    <w:rsid w:val="00976ADF"/>
    <w:rsid w:val="00976D86"/>
    <w:rsid w:val="00977129"/>
    <w:rsid w:val="009774F3"/>
    <w:rsid w:val="009775C2"/>
    <w:rsid w:val="00977B52"/>
    <w:rsid w:val="0098004D"/>
    <w:rsid w:val="00980D79"/>
    <w:rsid w:val="009811B1"/>
    <w:rsid w:val="009811F1"/>
    <w:rsid w:val="00981972"/>
    <w:rsid w:val="00981B71"/>
    <w:rsid w:val="00981E1B"/>
    <w:rsid w:val="0098259D"/>
    <w:rsid w:val="0098262F"/>
    <w:rsid w:val="00982BCD"/>
    <w:rsid w:val="00983167"/>
    <w:rsid w:val="00983422"/>
    <w:rsid w:val="009836EA"/>
    <w:rsid w:val="00983B47"/>
    <w:rsid w:val="00983E57"/>
    <w:rsid w:val="00984257"/>
    <w:rsid w:val="0098444E"/>
    <w:rsid w:val="00985486"/>
    <w:rsid w:val="0098555D"/>
    <w:rsid w:val="00985CDD"/>
    <w:rsid w:val="00985DE2"/>
    <w:rsid w:val="009860A8"/>
    <w:rsid w:val="00986188"/>
    <w:rsid w:val="0098623A"/>
    <w:rsid w:val="0098675D"/>
    <w:rsid w:val="00987A9F"/>
    <w:rsid w:val="00987BA4"/>
    <w:rsid w:val="00990CDB"/>
    <w:rsid w:val="00990DB1"/>
    <w:rsid w:val="00991173"/>
    <w:rsid w:val="0099159A"/>
    <w:rsid w:val="009926E0"/>
    <w:rsid w:val="00993697"/>
    <w:rsid w:val="00993C73"/>
    <w:rsid w:val="0099451E"/>
    <w:rsid w:val="009946A5"/>
    <w:rsid w:val="009954E8"/>
    <w:rsid w:val="00995BB3"/>
    <w:rsid w:val="009969FA"/>
    <w:rsid w:val="00996B1A"/>
    <w:rsid w:val="00996B1F"/>
    <w:rsid w:val="0099771E"/>
    <w:rsid w:val="009978EE"/>
    <w:rsid w:val="00997AF3"/>
    <w:rsid w:val="00997BF4"/>
    <w:rsid w:val="009A0CD7"/>
    <w:rsid w:val="009A11F1"/>
    <w:rsid w:val="009A1464"/>
    <w:rsid w:val="009A18F6"/>
    <w:rsid w:val="009A2B9D"/>
    <w:rsid w:val="009A2DCC"/>
    <w:rsid w:val="009A2E68"/>
    <w:rsid w:val="009A4C1C"/>
    <w:rsid w:val="009A5320"/>
    <w:rsid w:val="009A5ABC"/>
    <w:rsid w:val="009A67AC"/>
    <w:rsid w:val="009A69A1"/>
    <w:rsid w:val="009A6F57"/>
    <w:rsid w:val="009A7180"/>
    <w:rsid w:val="009A769D"/>
    <w:rsid w:val="009A7F10"/>
    <w:rsid w:val="009B037F"/>
    <w:rsid w:val="009B0958"/>
    <w:rsid w:val="009B109F"/>
    <w:rsid w:val="009B14F7"/>
    <w:rsid w:val="009B1FFE"/>
    <w:rsid w:val="009B2902"/>
    <w:rsid w:val="009B2973"/>
    <w:rsid w:val="009B33AA"/>
    <w:rsid w:val="009B3476"/>
    <w:rsid w:val="009B38FB"/>
    <w:rsid w:val="009B3E26"/>
    <w:rsid w:val="009B3F99"/>
    <w:rsid w:val="009B45E2"/>
    <w:rsid w:val="009B5724"/>
    <w:rsid w:val="009B5884"/>
    <w:rsid w:val="009B608C"/>
    <w:rsid w:val="009B65F8"/>
    <w:rsid w:val="009B6645"/>
    <w:rsid w:val="009B66A2"/>
    <w:rsid w:val="009B6D7B"/>
    <w:rsid w:val="009B6F6A"/>
    <w:rsid w:val="009B741E"/>
    <w:rsid w:val="009B79B4"/>
    <w:rsid w:val="009C08ED"/>
    <w:rsid w:val="009C0CD3"/>
    <w:rsid w:val="009C1271"/>
    <w:rsid w:val="009C1631"/>
    <w:rsid w:val="009C32FB"/>
    <w:rsid w:val="009C3706"/>
    <w:rsid w:val="009C3A3A"/>
    <w:rsid w:val="009C426B"/>
    <w:rsid w:val="009C4EF9"/>
    <w:rsid w:val="009C5136"/>
    <w:rsid w:val="009C515D"/>
    <w:rsid w:val="009C5653"/>
    <w:rsid w:val="009C68F6"/>
    <w:rsid w:val="009C6BD6"/>
    <w:rsid w:val="009C6CEA"/>
    <w:rsid w:val="009C750D"/>
    <w:rsid w:val="009C7925"/>
    <w:rsid w:val="009C7B85"/>
    <w:rsid w:val="009D0254"/>
    <w:rsid w:val="009D12DD"/>
    <w:rsid w:val="009D140D"/>
    <w:rsid w:val="009D1A64"/>
    <w:rsid w:val="009D1ADE"/>
    <w:rsid w:val="009D21B4"/>
    <w:rsid w:val="009D21FA"/>
    <w:rsid w:val="009D2E19"/>
    <w:rsid w:val="009D2FE7"/>
    <w:rsid w:val="009D32E5"/>
    <w:rsid w:val="009D38B4"/>
    <w:rsid w:val="009D3A51"/>
    <w:rsid w:val="009D3B2D"/>
    <w:rsid w:val="009D49BB"/>
    <w:rsid w:val="009D4DD9"/>
    <w:rsid w:val="009D598C"/>
    <w:rsid w:val="009D5B91"/>
    <w:rsid w:val="009D60C8"/>
    <w:rsid w:val="009D6D9C"/>
    <w:rsid w:val="009D6E99"/>
    <w:rsid w:val="009D701C"/>
    <w:rsid w:val="009D78E5"/>
    <w:rsid w:val="009D792E"/>
    <w:rsid w:val="009E0289"/>
    <w:rsid w:val="009E085A"/>
    <w:rsid w:val="009E0D8F"/>
    <w:rsid w:val="009E0DFE"/>
    <w:rsid w:val="009E1BB0"/>
    <w:rsid w:val="009E1C22"/>
    <w:rsid w:val="009E238E"/>
    <w:rsid w:val="009E279C"/>
    <w:rsid w:val="009E29C1"/>
    <w:rsid w:val="009E31F6"/>
    <w:rsid w:val="009E3707"/>
    <w:rsid w:val="009E3967"/>
    <w:rsid w:val="009E3B73"/>
    <w:rsid w:val="009E42C6"/>
    <w:rsid w:val="009E485A"/>
    <w:rsid w:val="009E4C07"/>
    <w:rsid w:val="009E4C5D"/>
    <w:rsid w:val="009E54B0"/>
    <w:rsid w:val="009E65FC"/>
    <w:rsid w:val="009E710D"/>
    <w:rsid w:val="009E7121"/>
    <w:rsid w:val="009E777F"/>
    <w:rsid w:val="009F00F5"/>
    <w:rsid w:val="009F014D"/>
    <w:rsid w:val="009F1CED"/>
    <w:rsid w:val="009F2CF4"/>
    <w:rsid w:val="009F35B3"/>
    <w:rsid w:val="009F3E49"/>
    <w:rsid w:val="009F4110"/>
    <w:rsid w:val="009F41B2"/>
    <w:rsid w:val="009F4D3D"/>
    <w:rsid w:val="009F4E0E"/>
    <w:rsid w:val="009F6065"/>
    <w:rsid w:val="009F6120"/>
    <w:rsid w:val="009F74D2"/>
    <w:rsid w:val="009F752D"/>
    <w:rsid w:val="009F7A07"/>
    <w:rsid w:val="00A00D76"/>
    <w:rsid w:val="00A01058"/>
    <w:rsid w:val="00A01184"/>
    <w:rsid w:val="00A01449"/>
    <w:rsid w:val="00A017DE"/>
    <w:rsid w:val="00A01A3A"/>
    <w:rsid w:val="00A02696"/>
    <w:rsid w:val="00A02AB5"/>
    <w:rsid w:val="00A037C2"/>
    <w:rsid w:val="00A03C22"/>
    <w:rsid w:val="00A03D43"/>
    <w:rsid w:val="00A04380"/>
    <w:rsid w:val="00A04629"/>
    <w:rsid w:val="00A04747"/>
    <w:rsid w:val="00A04786"/>
    <w:rsid w:val="00A049DA"/>
    <w:rsid w:val="00A04BBE"/>
    <w:rsid w:val="00A05472"/>
    <w:rsid w:val="00A05A3C"/>
    <w:rsid w:val="00A05C32"/>
    <w:rsid w:val="00A05E42"/>
    <w:rsid w:val="00A0653F"/>
    <w:rsid w:val="00A067B0"/>
    <w:rsid w:val="00A07B87"/>
    <w:rsid w:val="00A07D60"/>
    <w:rsid w:val="00A112A7"/>
    <w:rsid w:val="00A119D9"/>
    <w:rsid w:val="00A11CD0"/>
    <w:rsid w:val="00A12F75"/>
    <w:rsid w:val="00A13574"/>
    <w:rsid w:val="00A13948"/>
    <w:rsid w:val="00A14144"/>
    <w:rsid w:val="00A1478F"/>
    <w:rsid w:val="00A14C31"/>
    <w:rsid w:val="00A14F94"/>
    <w:rsid w:val="00A1555B"/>
    <w:rsid w:val="00A155C5"/>
    <w:rsid w:val="00A15EA9"/>
    <w:rsid w:val="00A161F6"/>
    <w:rsid w:val="00A168C9"/>
    <w:rsid w:val="00A16A91"/>
    <w:rsid w:val="00A16AD8"/>
    <w:rsid w:val="00A16C14"/>
    <w:rsid w:val="00A1701F"/>
    <w:rsid w:val="00A17109"/>
    <w:rsid w:val="00A1786B"/>
    <w:rsid w:val="00A2021E"/>
    <w:rsid w:val="00A212F4"/>
    <w:rsid w:val="00A21A6E"/>
    <w:rsid w:val="00A21C95"/>
    <w:rsid w:val="00A21CF3"/>
    <w:rsid w:val="00A2287A"/>
    <w:rsid w:val="00A2304A"/>
    <w:rsid w:val="00A2306E"/>
    <w:rsid w:val="00A24813"/>
    <w:rsid w:val="00A2494B"/>
    <w:rsid w:val="00A24C4C"/>
    <w:rsid w:val="00A25083"/>
    <w:rsid w:val="00A25631"/>
    <w:rsid w:val="00A25976"/>
    <w:rsid w:val="00A25A96"/>
    <w:rsid w:val="00A25D01"/>
    <w:rsid w:val="00A25DB2"/>
    <w:rsid w:val="00A26490"/>
    <w:rsid w:val="00A266C3"/>
    <w:rsid w:val="00A26874"/>
    <w:rsid w:val="00A27207"/>
    <w:rsid w:val="00A2748F"/>
    <w:rsid w:val="00A27A54"/>
    <w:rsid w:val="00A27AEC"/>
    <w:rsid w:val="00A308B9"/>
    <w:rsid w:val="00A3100C"/>
    <w:rsid w:val="00A320DB"/>
    <w:rsid w:val="00A32108"/>
    <w:rsid w:val="00A3211B"/>
    <w:rsid w:val="00A32D2D"/>
    <w:rsid w:val="00A33173"/>
    <w:rsid w:val="00A33D66"/>
    <w:rsid w:val="00A345BE"/>
    <w:rsid w:val="00A3531E"/>
    <w:rsid w:val="00A354C6"/>
    <w:rsid w:val="00A357F5"/>
    <w:rsid w:val="00A3588B"/>
    <w:rsid w:val="00A358C2"/>
    <w:rsid w:val="00A3599C"/>
    <w:rsid w:val="00A35C2F"/>
    <w:rsid w:val="00A35D16"/>
    <w:rsid w:val="00A363FB"/>
    <w:rsid w:val="00A36EDA"/>
    <w:rsid w:val="00A371F1"/>
    <w:rsid w:val="00A3758F"/>
    <w:rsid w:val="00A378E6"/>
    <w:rsid w:val="00A37BCD"/>
    <w:rsid w:val="00A37E88"/>
    <w:rsid w:val="00A37F82"/>
    <w:rsid w:val="00A400FE"/>
    <w:rsid w:val="00A4104C"/>
    <w:rsid w:val="00A4119A"/>
    <w:rsid w:val="00A41689"/>
    <w:rsid w:val="00A42592"/>
    <w:rsid w:val="00A429D2"/>
    <w:rsid w:val="00A42D02"/>
    <w:rsid w:val="00A43141"/>
    <w:rsid w:val="00A433D2"/>
    <w:rsid w:val="00A43C59"/>
    <w:rsid w:val="00A44719"/>
    <w:rsid w:val="00A454ED"/>
    <w:rsid w:val="00A455C6"/>
    <w:rsid w:val="00A469E0"/>
    <w:rsid w:val="00A47CA5"/>
    <w:rsid w:val="00A5095F"/>
    <w:rsid w:val="00A50B0C"/>
    <w:rsid w:val="00A50C30"/>
    <w:rsid w:val="00A50ECD"/>
    <w:rsid w:val="00A511C6"/>
    <w:rsid w:val="00A5155F"/>
    <w:rsid w:val="00A518F3"/>
    <w:rsid w:val="00A526EB"/>
    <w:rsid w:val="00A52729"/>
    <w:rsid w:val="00A52BAE"/>
    <w:rsid w:val="00A52CD6"/>
    <w:rsid w:val="00A52FEE"/>
    <w:rsid w:val="00A53675"/>
    <w:rsid w:val="00A561FB"/>
    <w:rsid w:val="00A564D7"/>
    <w:rsid w:val="00A56B6A"/>
    <w:rsid w:val="00A56CA3"/>
    <w:rsid w:val="00A56E13"/>
    <w:rsid w:val="00A575F1"/>
    <w:rsid w:val="00A577FD"/>
    <w:rsid w:val="00A578DC"/>
    <w:rsid w:val="00A57ADB"/>
    <w:rsid w:val="00A600CA"/>
    <w:rsid w:val="00A600F7"/>
    <w:rsid w:val="00A61366"/>
    <w:rsid w:val="00A61694"/>
    <w:rsid w:val="00A61BB8"/>
    <w:rsid w:val="00A61E4A"/>
    <w:rsid w:val="00A620D1"/>
    <w:rsid w:val="00A620E2"/>
    <w:rsid w:val="00A62297"/>
    <w:rsid w:val="00A62546"/>
    <w:rsid w:val="00A626DD"/>
    <w:rsid w:val="00A62F01"/>
    <w:rsid w:val="00A63144"/>
    <w:rsid w:val="00A6331A"/>
    <w:rsid w:val="00A6340D"/>
    <w:rsid w:val="00A63968"/>
    <w:rsid w:val="00A640E2"/>
    <w:rsid w:val="00A64D65"/>
    <w:rsid w:val="00A64D9B"/>
    <w:rsid w:val="00A650FE"/>
    <w:rsid w:val="00A65437"/>
    <w:rsid w:val="00A65F71"/>
    <w:rsid w:val="00A661A2"/>
    <w:rsid w:val="00A66731"/>
    <w:rsid w:val="00A6725B"/>
    <w:rsid w:val="00A6762D"/>
    <w:rsid w:val="00A67858"/>
    <w:rsid w:val="00A67931"/>
    <w:rsid w:val="00A704A3"/>
    <w:rsid w:val="00A70584"/>
    <w:rsid w:val="00A70605"/>
    <w:rsid w:val="00A70BEB"/>
    <w:rsid w:val="00A71406"/>
    <w:rsid w:val="00A714C2"/>
    <w:rsid w:val="00A71E3D"/>
    <w:rsid w:val="00A7223A"/>
    <w:rsid w:val="00A73134"/>
    <w:rsid w:val="00A7337F"/>
    <w:rsid w:val="00A73596"/>
    <w:rsid w:val="00A7365A"/>
    <w:rsid w:val="00A736AB"/>
    <w:rsid w:val="00A739AD"/>
    <w:rsid w:val="00A73B98"/>
    <w:rsid w:val="00A73E3F"/>
    <w:rsid w:val="00A7440D"/>
    <w:rsid w:val="00A75B17"/>
    <w:rsid w:val="00A76001"/>
    <w:rsid w:val="00A76848"/>
    <w:rsid w:val="00A76B67"/>
    <w:rsid w:val="00A776A3"/>
    <w:rsid w:val="00A777B2"/>
    <w:rsid w:val="00A77A08"/>
    <w:rsid w:val="00A80008"/>
    <w:rsid w:val="00A80307"/>
    <w:rsid w:val="00A825D4"/>
    <w:rsid w:val="00A82722"/>
    <w:rsid w:val="00A82867"/>
    <w:rsid w:val="00A828F6"/>
    <w:rsid w:val="00A82AEE"/>
    <w:rsid w:val="00A82B73"/>
    <w:rsid w:val="00A831D4"/>
    <w:rsid w:val="00A8356B"/>
    <w:rsid w:val="00A843BE"/>
    <w:rsid w:val="00A847EC"/>
    <w:rsid w:val="00A84B58"/>
    <w:rsid w:val="00A84D3D"/>
    <w:rsid w:val="00A853DD"/>
    <w:rsid w:val="00A868F7"/>
    <w:rsid w:val="00A86A1F"/>
    <w:rsid w:val="00A86B62"/>
    <w:rsid w:val="00A86E8B"/>
    <w:rsid w:val="00A87164"/>
    <w:rsid w:val="00A871A9"/>
    <w:rsid w:val="00A87D65"/>
    <w:rsid w:val="00A914AF"/>
    <w:rsid w:val="00A9231D"/>
    <w:rsid w:val="00A92D6F"/>
    <w:rsid w:val="00A93072"/>
    <w:rsid w:val="00A93295"/>
    <w:rsid w:val="00A938BD"/>
    <w:rsid w:val="00A93953"/>
    <w:rsid w:val="00A93A43"/>
    <w:rsid w:val="00A94CAA"/>
    <w:rsid w:val="00A959D8"/>
    <w:rsid w:val="00A95A16"/>
    <w:rsid w:val="00A9685B"/>
    <w:rsid w:val="00AA0F89"/>
    <w:rsid w:val="00AA113D"/>
    <w:rsid w:val="00AA1A8F"/>
    <w:rsid w:val="00AA1ADC"/>
    <w:rsid w:val="00AA2677"/>
    <w:rsid w:val="00AA27F0"/>
    <w:rsid w:val="00AA3680"/>
    <w:rsid w:val="00AA378B"/>
    <w:rsid w:val="00AA4831"/>
    <w:rsid w:val="00AA4B73"/>
    <w:rsid w:val="00AA4BB4"/>
    <w:rsid w:val="00AA5298"/>
    <w:rsid w:val="00AA566D"/>
    <w:rsid w:val="00AA612C"/>
    <w:rsid w:val="00AA6BD5"/>
    <w:rsid w:val="00AA6BD8"/>
    <w:rsid w:val="00AA6C7D"/>
    <w:rsid w:val="00AA7EA9"/>
    <w:rsid w:val="00AA7FD6"/>
    <w:rsid w:val="00AB00E7"/>
    <w:rsid w:val="00AB0389"/>
    <w:rsid w:val="00AB042A"/>
    <w:rsid w:val="00AB0EC0"/>
    <w:rsid w:val="00AB1099"/>
    <w:rsid w:val="00AB11AD"/>
    <w:rsid w:val="00AB19EF"/>
    <w:rsid w:val="00AB1E68"/>
    <w:rsid w:val="00AB2495"/>
    <w:rsid w:val="00AB27AE"/>
    <w:rsid w:val="00AB2D34"/>
    <w:rsid w:val="00AB3430"/>
    <w:rsid w:val="00AB37B9"/>
    <w:rsid w:val="00AB4AD1"/>
    <w:rsid w:val="00AB5105"/>
    <w:rsid w:val="00AB565C"/>
    <w:rsid w:val="00AB5E07"/>
    <w:rsid w:val="00AB6100"/>
    <w:rsid w:val="00AB71BB"/>
    <w:rsid w:val="00AB7A0A"/>
    <w:rsid w:val="00AB7CFA"/>
    <w:rsid w:val="00AC02EC"/>
    <w:rsid w:val="00AC094E"/>
    <w:rsid w:val="00AC12A2"/>
    <w:rsid w:val="00AC1B8C"/>
    <w:rsid w:val="00AC1BEF"/>
    <w:rsid w:val="00AC2904"/>
    <w:rsid w:val="00AC2D00"/>
    <w:rsid w:val="00AC3131"/>
    <w:rsid w:val="00AC33E9"/>
    <w:rsid w:val="00AC45BE"/>
    <w:rsid w:val="00AC5252"/>
    <w:rsid w:val="00AC5B42"/>
    <w:rsid w:val="00AC5B48"/>
    <w:rsid w:val="00AC5C65"/>
    <w:rsid w:val="00AC6B7D"/>
    <w:rsid w:val="00AC6C8D"/>
    <w:rsid w:val="00AC6F3D"/>
    <w:rsid w:val="00AC705F"/>
    <w:rsid w:val="00AD1450"/>
    <w:rsid w:val="00AD15E8"/>
    <w:rsid w:val="00AD1F4B"/>
    <w:rsid w:val="00AD2543"/>
    <w:rsid w:val="00AD2EB0"/>
    <w:rsid w:val="00AD32CC"/>
    <w:rsid w:val="00AD356D"/>
    <w:rsid w:val="00AD372C"/>
    <w:rsid w:val="00AD3B05"/>
    <w:rsid w:val="00AD4506"/>
    <w:rsid w:val="00AD5949"/>
    <w:rsid w:val="00AD64EE"/>
    <w:rsid w:val="00AD6502"/>
    <w:rsid w:val="00AD6B68"/>
    <w:rsid w:val="00AD700D"/>
    <w:rsid w:val="00AE002F"/>
    <w:rsid w:val="00AE02B9"/>
    <w:rsid w:val="00AE0695"/>
    <w:rsid w:val="00AE0FC8"/>
    <w:rsid w:val="00AE1C19"/>
    <w:rsid w:val="00AE2275"/>
    <w:rsid w:val="00AE3E7E"/>
    <w:rsid w:val="00AE65BD"/>
    <w:rsid w:val="00AE6664"/>
    <w:rsid w:val="00AE6A36"/>
    <w:rsid w:val="00AE6AE1"/>
    <w:rsid w:val="00AE6B96"/>
    <w:rsid w:val="00AE7E53"/>
    <w:rsid w:val="00AF1315"/>
    <w:rsid w:val="00AF14BD"/>
    <w:rsid w:val="00AF19BF"/>
    <w:rsid w:val="00AF22C0"/>
    <w:rsid w:val="00AF2DC3"/>
    <w:rsid w:val="00AF3A36"/>
    <w:rsid w:val="00AF3E62"/>
    <w:rsid w:val="00AF3F82"/>
    <w:rsid w:val="00AF3FD7"/>
    <w:rsid w:val="00AF3FE1"/>
    <w:rsid w:val="00AF4C2C"/>
    <w:rsid w:val="00AF4D94"/>
    <w:rsid w:val="00AF4F06"/>
    <w:rsid w:val="00AF5ACB"/>
    <w:rsid w:val="00AF5B6E"/>
    <w:rsid w:val="00AF661A"/>
    <w:rsid w:val="00AF6FB2"/>
    <w:rsid w:val="00AF7F1B"/>
    <w:rsid w:val="00B00E88"/>
    <w:rsid w:val="00B01042"/>
    <w:rsid w:val="00B02E6A"/>
    <w:rsid w:val="00B033E5"/>
    <w:rsid w:val="00B03A63"/>
    <w:rsid w:val="00B03E59"/>
    <w:rsid w:val="00B042B1"/>
    <w:rsid w:val="00B04494"/>
    <w:rsid w:val="00B05073"/>
    <w:rsid w:val="00B05610"/>
    <w:rsid w:val="00B057F4"/>
    <w:rsid w:val="00B061F0"/>
    <w:rsid w:val="00B062DC"/>
    <w:rsid w:val="00B06B20"/>
    <w:rsid w:val="00B07363"/>
    <w:rsid w:val="00B07B7A"/>
    <w:rsid w:val="00B10A86"/>
    <w:rsid w:val="00B10B2B"/>
    <w:rsid w:val="00B11152"/>
    <w:rsid w:val="00B112D2"/>
    <w:rsid w:val="00B1169A"/>
    <w:rsid w:val="00B11BAF"/>
    <w:rsid w:val="00B129A4"/>
    <w:rsid w:val="00B12C8C"/>
    <w:rsid w:val="00B12D9B"/>
    <w:rsid w:val="00B12E54"/>
    <w:rsid w:val="00B13040"/>
    <w:rsid w:val="00B13585"/>
    <w:rsid w:val="00B13932"/>
    <w:rsid w:val="00B13A3B"/>
    <w:rsid w:val="00B13A47"/>
    <w:rsid w:val="00B13C29"/>
    <w:rsid w:val="00B14EA8"/>
    <w:rsid w:val="00B15141"/>
    <w:rsid w:val="00B201A4"/>
    <w:rsid w:val="00B201D1"/>
    <w:rsid w:val="00B213A6"/>
    <w:rsid w:val="00B22881"/>
    <w:rsid w:val="00B22892"/>
    <w:rsid w:val="00B22A45"/>
    <w:rsid w:val="00B22DEE"/>
    <w:rsid w:val="00B23380"/>
    <w:rsid w:val="00B233C1"/>
    <w:rsid w:val="00B235B0"/>
    <w:rsid w:val="00B23605"/>
    <w:rsid w:val="00B248A4"/>
    <w:rsid w:val="00B24900"/>
    <w:rsid w:val="00B24DF6"/>
    <w:rsid w:val="00B25F58"/>
    <w:rsid w:val="00B25F60"/>
    <w:rsid w:val="00B26421"/>
    <w:rsid w:val="00B2699F"/>
    <w:rsid w:val="00B270BA"/>
    <w:rsid w:val="00B276C7"/>
    <w:rsid w:val="00B27A61"/>
    <w:rsid w:val="00B30ADA"/>
    <w:rsid w:val="00B33BD1"/>
    <w:rsid w:val="00B348AD"/>
    <w:rsid w:val="00B34CCC"/>
    <w:rsid w:val="00B34FE2"/>
    <w:rsid w:val="00B35166"/>
    <w:rsid w:val="00B35646"/>
    <w:rsid w:val="00B357D8"/>
    <w:rsid w:val="00B3583E"/>
    <w:rsid w:val="00B35E5F"/>
    <w:rsid w:val="00B35ECA"/>
    <w:rsid w:val="00B360CE"/>
    <w:rsid w:val="00B360F4"/>
    <w:rsid w:val="00B36A00"/>
    <w:rsid w:val="00B36A66"/>
    <w:rsid w:val="00B373AD"/>
    <w:rsid w:val="00B3792B"/>
    <w:rsid w:val="00B37BFC"/>
    <w:rsid w:val="00B37D50"/>
    <w:rsid w:val="00B40358"/>
    <w:rsid w:val="00B406BB"/>
    <w:rsid w:val="00B4096F"/>
    <w:rsid w:val="00B41614"/>
    <w:rsid w:val="00B41BF7"/>
    <w:rsid w:val="00B41C02"/>
    <w:rsid w:val="00B4205F"/>
    <w:rsid w:val="00B42729"/>
    <w:rsid w:val="00B42851"/>
    <w:rsid w:val="00B42F80"/>
    <w:rsid w:val="00B435CB"/>
    <w:rsid w:val="00B43FF1"/>
    <w:rsid w:val="00B446F3"/>
    <w:rsid w:val="00B44731"/>
    <w:rsid w:val="00B45383"/>
    <w:rsid w:val="00B45D6F"/>
    <w:rsid w:val="00B45E91"/>
    <w:rsid w:val="00B464FB"/>
    <w:rsid w:val="00B465EC"/>
    <w:rsid w:val="00B468E1"/>
    <w:rsid w:val="00B46990"/>
    <w:rsid w:val="00B46ABB"/>
    <w:rsid w:val="00B4725F"/>
    <w:rsid w:val="00B472AF"/>
    <w:rsid w:val="00B474BC"/>
    <w:rsid w:val="00B475BE"/>
    <w:rsid w:val="00B4797E"/>
    <w:rsid w:val="00B47BD3"/>
    <w:rsid w:val="00B47E8F"/>
    <w:rsid w:val="00B505A6"/>
    <w:rsid w:val="00B505C8"/>
    <w:rsid w:val="00B50DB8"/>
    <w:rsid w:val="00B51333"/>
    <w:rsid w:val="00B517D7"/>
    <w:rsid w:val="00B51A19"/>
    <w:rsid w:val="00B51C60"/>
    <w:rsid w:val="00B51FC9"/>
    <w:rsid w:val="00B53654"/>
    <w:rsid w:val="00B53905"/>
    <w:rsid w:val="00B53D24"/>
    <w:rsid w:val="00B53F62"/>
    <w:rsid w:val="00B546DB"/>
    <w:rsid w:val="00B546F9"/>
    <w:rsid w:val="00B54B5B"/>
    <w:rsid w:val="00B54E17"/>
    <w:rsid w:val="00B5562E"/>
    <w:rsid w:val="00B55862"/>
    <w:rsid w:val="00B55D65"/>
    <w:rsid w:val="00B56305"/>
    <w:rsid w:val="00B56839"/>
    <w:rsid w:val="00B57000"/>
    <w:rsid w:val="00B60939"/>
    <w:rsid w:val="00B60AFD"/>
    <w:rsid w:val="00B610D1"/>
    <w:rsid w:val="00B61266"/>
    <w:rsid w:val="00B61523"/>
    <w:rsid w:val="00B62715"/>
    <w:rsid w:val="00B62AC4"/>
    <w:rsid w:val="00B62D0F"/>
    <w:rsid w:val="00B634D5"/>
    <w:rsid w:val="00B63B88"/>
    <w:rsid w:val="00B64B1A"/>
    <w:rsid w:val="00B64CCB"/>
    <w:rsid w:val="00B6525F"/>
    <w:rsid w:val="00B65611"/>
    <w:rsid w:val="00B65C41"/>
    <w:rsid w:val="00B65E47"/>
    <w:rsid w:val="00B65EE5"/>
    <w:rsid w:val="00B660D5"/>
    <w:rsid w:val="00B66BC8"/>
    <w:rsid w:val="00B66EFA"/>
    <w:rsid w:val="00B6727E"/>
    <w:rsid w:val="00B67B4C"/>
    <w:rsid w:val="00B7042F"/>
    <w:rsid w:val="00B70E8E"/>
    <w:rsid w:val="00B7102C"/>
    <w:rsid w:val="00B71209"/>
    <w:rsid w:val="00B71430"/>
    <w:rsid w:val="00B71C62"/>
    <w:rsid w:val="00B72002"/>
    <w:rsid w:val="00B7383E"/>
    <w:rsid w:val="00B73910"/>
    <w:rsid w:val="00B73B82"/>
    <w:rsid w:val="00B73BD9"/>
    <w:rsid w:val="00B74000"/>
    <w:rsid w:val="00B742D6"/>
    <w:rsid w:val="00B74BA8"/>
    <w:rsid w:val="00B7632E"/>
    <w:rsid w:val="00B76C02"/>
    <w:rsid w:val="00B76C92"/>
    <w:rsid w:val="00B77197"/>
    <w:rsid w:val="00B7796C"/>
    <w:rsid w:val="00B77C89"/>
    <w:rsid w:val="00B77F06"/>
    <w:rsid w:val="00B8066B"/>
    <w:rsid w:val="00B80860"/>
    <w:rsid w:val="00B80ABF"/>
    <w:rsid w:val="00B80B9B"/>
    <w:rsid w:val="00B80EFD"/>
    <w:rsid w:val="00B80FD4"/>
    <w:rsid w:val="00B810BA"/>
    <w:rsid w:val="00B810CE"/>
    <w:rsid w:val="00B813D2"/>
    <w:rsid w:val="00B818A4"/>
    <w:rsid w:val="00B81CFB"/>
    <w:rsid w:val="00B81F87"/>
    <w:rsid w:val="00B834DD"/>
    <w:rsid w:val="00B83739"/>
    <w:rsid w:val="00B83C47"/>
    <w:rsid w:val="00B84117"/>
    <w:rsid w:val="00B843F7"/>
    <w:rsid w:val="00B846CE"/>
    <w:rsid w:val="00B84FAA"/>
    <w:rsid w:val="00B850D8"/>
    <w:rsid w:val="00B853F0"/>
    <w:rsid w:val="00B85750"/>
    <w:rsid w:val="00B857AC"/>
    <w:rsid w:val="00B858F0"/>
    <w:rsid w:val="00B85AA2"/>
    <w:rsid w:val="00B8649C"/>
    <w:rsid w:val="00B8695D"/>
    <w:rsid w:val="00B87D0B"/>
    <w:rsid w:val="00B87F0A"/>
    <w:rsid w:val="00B90455"/>
    <w:rsid w:val="00B90C44"/>
    <w:rsid w:val="00B90C54"/>
    <w:rsid w:val="00B91515"/>
    <w:rsid w:val="00B91E61"/>
    <w:rsid w:val="00B92B1C"/>
    <w:rsid w:val="00B92D0B"/>
    <w:rsid w:val="00B94002"/>
    <w:rsid w:val="00B94025"/>
    <w:rsid w:val="00B94945"/>
    <w:rsid w:val="00B94DD6"/>
    <w:rsid w:val="00B9501C"/>
    <w:rsid w:val="00B952B5"/>
    <w:rsid w:val="00B95F6F"/>
    <w:rsid w:val="00B96947"/>
    <w:rsid w:val="00B974CC"/>
    <w:rsid w:val="00BA016D"/>
    <w:rsid w:val="00BA0394"/>
    <w:rsid w:val="00BA0742"/>
    <w:rsid w:val="00BA0E4B"/>
    <w:rsid w:val="00BA1B8C"/>
    <w:rsid w:val="00BA27D8"/>
    <w:rsid w:val="00BA322D"/>
    <w:rsid w:val="00BA4EBB"/>
    <w:rsid w:val="00BA58FF"/>
    <w:rsid w:val="00BA63FA"/>
    <w:rsid w:val="00BA640E"/>
    <w:rsid w:val="00BA6E41"/>
    <w:rsid w:val="00BB00B3"/>
    <w:rsid w:val="00BB03A9"/>
    <w:rsid w:val="00BB080A"/>
    <w:rsid w:val="00BB0B54"/>
    <w:rsid w:val="00BB0BD3"/>
    <w:rsid w:val="00BB0BDD"/>
    <w:rsid w:val="00BB176C"/>
    <w:rsid w:val="00BB1A30"/>
    <w:rsid w:val="00BB1AD4"/>
    <w:rsid w:val="00BB2042"/>
    <w:rsid w:val="00BB2A73"/>
    <w:rsid w:val="00BB3A45"/>
    <w:rsid w:val="00BB3E5A"/>
    <w:rsid w:val="00BB40F5"/>
    <w:rsid w:val="00BB4391"/>
    <w:rsid w:val="00BB4ACC"/>
    <w:rsid w:val="00BB4BDC"/>
    <w:rsid w:val="00BB4D64"/>
    <w:rsid w:val="00BB56CD"/>
    <w:rsid w:val="00BB5CB0"/>
    <w:rsid w:val="00BB60DF"/>
    <w:rsid w:val="00BB61B9"/>
    <w:rsid w:val="00BB6563"/>
    <w:rsid w:val="00BB6D52"/>
    <w:rsid w:val="00BB6DF3"/>
    <w:rsid w:val="00BB703E"/>
    <w:rsid w:val="00BB732D"/>
    <w:rsid w:val="00BB7405"/>
    <w:rsid w:val="00BC098A"/>
    <w:rsid w:val="00BC0A69"/>
    <w:rsid w:val="00BC0C1A"/>
    <w:rsid w:val="00BC0F18"/>
    <w:rsid w:val="00BC1308"/>
    <w:rsid w:val="00BC21A1"/>
    <w:rsid w:val="00BC271C"/>
    <w:rsid w:val="00BC2B15"/>
    <w:rsid w:val="00BC3443"/>
    <w:rsid w:val="00BC3631"/>
    <w:rsid w:val="00BC3EF4"/>
    <w:rsid w:val="00BC4222"/>
    <w:rsid w:val="00BC4B35"/>
    <w:rsid w:val="00BC4C79"/>
    <w:rsid w:val="00BC4D47"/>
    <w:rsid w:val="00BC4D74"/>
    <w:rsid w:val="00BC4E5B"/>
    <w:rsid w:val="00BC591F"/>
    <w:rsid w:val="00BC5CDE"/>
    <w:rsid w:val="00BC5E3C"/>
    <w:rsid w:val="00BC5E61"/>
    <w:rsid w:val="00BC64A7"/>
    <w:rsid w:val="00BC6E19"/>
    <w:rsid w:val="00BC7A7F"/>
    <w:rsid w:val="00BC7D4A"/>
    <w:rsid w:val="00BC7D6D"/>
    <w:rsid w:val="00BD0222"/>
    <w:rsid w:val="00BD0545"/>
    <w:rsid w:val="00BD13D8"/>
    <w:rsid w:val="00BD2108"/>
    <w:rsid w:val="00BD2D1A"/>
    <w:rsid w:val="00BD3204"/>
    <w:rsid w:val="00BD3A9E"/>
    <w:rsid w:val="00BD4DCA"/>
    <w:rsid w:val="00BD4E7F"/>
    <w:rsid w:val="00BD5411"/>
    <w:rsid w:val="00BD59FA"/>
    <w:rsid w:val="00BD68A3"/>
    <w:rsid w:val="00BD6938"/>
    <w:rsid w:val="00BD6CF3"/>
    <w:rsid w:val="00BD6DC5"/>
    <w:rsid w:val="00BD79D4"/>
    <w:rsid w:val="00BD7F72"/>
    <w:rsid w:val="00BE0197"/>
    <w:rsid w:val="00BE078B"/>
    <w:rsid w:val="00BE07E2"/>
    <w:rsid w:val="00BE0B8D"/>
    <w:rsid w:val="00BE0CBD"/>
    <w:rsid w:val="00BE0ECA"/>
    <w:rsid w:val="00BE175E"/>
    <w:rsid w:val="00BE1FBE"/>
    <w:rsid w:val="00BE2180"/>
    <w:rsid w:val="00BE21F2"/>
    <w:rsid w:val="00BE28A8"/>
    <w:rsid w:val="00BE2AD3"/>
    <w:rsid w:val="00BE3250"/>
    <w:rsid w:val="00BE39B6"/>
    <w:rsid w:val="00BE4111"/>
    <w:rsid w:val="00BE4275"/>
    <w:rsid w:val="00BE4A3A"/>
    <w:rsid w:val="00BE5C68"/>
    <w:rsid w:val="00BE6B85"/>
    <w:rsid w:val="00BE75CB"/>
    <w:rsid w:val="00BE76C8"/>
    <w:rsid w:val="00BE7A18"/>
    <w:rsid w:val="00BE7AED"/>
    <w:rsid w:val="00BE7D39"/>
    <w:rsid w:val="00BE7E73"/>
    <w:rsid w:val="00BF04CC"/>
    <w:rsid w:val="00BF06AE"/>
    <w:rsid w:val="00BF080A"/>
    <w:rsid w:val="00BF0F95"/>
    <w:rsid w:val="00BF1236"/>
    <w:rsid w:val="00BF1668"/>
    <w:rsid w:val="00BF170A"/>
    <w:rsid w:val="00BF198E"/>
    <w:rsid w:val="00BF2433"/>
    <w:rsid w:val="00BF2CDE"/>
    <w:rsid w:val="00BF2E6E"/>
    <w:rsid w:val="00BF2F2C"/>
    <w:rsid w:val="00BF2F81"/>
    <w:rsid w:val="00BF2FC9"/>
    <w:rsid w:val="00BF3AB1"/>
    <w:rsid w:val="00BF3B57"/>
    <w:rsid w:val="00BF4BCF"/>
    <w:rsid w:val="00BF4C19"/>
    <w:rsid w:val="00BF4F95"/>
    <w:rsid w:val="00BF5B6D"/>
    <w:rsid w:val="00BF5ED5"/>
    <w:rsid w:val="00BF61C9"/>
    <w:rsid w:val="00BF625C"/>
    <w:rsid w:val="00BF6822"/>
    <w:rsid w:val="00BF6A6D"/>
    <w:rsid w:val="00BF6C12"/>
    <w:rsid w:val="00BF6C94"/>
    <w:rsid w:val="00BF7CB5"/>
    <w:rsid w:val="00C00134"/>
    <w:rsid w:val="00C00424"/>
    <w:rsid w:val="00C00BB0"/>
    <w:rsid w:val="00C01477"/>
    <w:rsid w:val="00C0195B"/>
    <w:rsid w:val="00C0206E"/>
    <w:rsid w:val="00C02C09"/>
    <w:rsid w:val="00C030EE"/>
    <w:rsid w:val="00C034A5"/>
    <w:rsid w:val="00C03DEE"/>
    <w:rsid w:val="00C03F14"/>
    <w:rsid w:val="00C04089"/>
    <w:rsid w:val="00C04725"/>
    <w:rsid w:val="00C04C31"/>
    <w:rsid w:val="00C04FC5"/>
    <w:rsid w:val="00C0690D"/>
    <w:rsid w:val="00C07166"/>
    <w:rsid w:val="00C0741B"/>
    <w:rsid w:val="00C07542"/>
    <w:rsid w:val="00C07CF1"/>
    <w:rsid w:val="00C07E2D"/>
    <w:rsid w:val="00C1015E"/>
    <w:rsid w:val="00C108A4"/>
    <w:rsid w:val="00C10EC6"/>
    <w:rsid w:val="00C114B3"/>
    <w:rsid w:val="00C1179F"/>
    <w:rsid w:val="00C127B9"/>
    <w:rsid w:val="00C12869"/>
    <w:rsid w:val="00C12881"/>
    <w:rsid w:val="00C128FA"/>
    <w:rsid w:val="00C12C14"/>
    <w:rsid w:val="00C1348B"/>
    <w:rsid w:val="00C13650"/>
    <w:rsid w:val="00C13BF6"/>
    <w:rsid w:val="00C156C0"/>
    <w:rsid w:val="00C15A49"/>
    <w:rsid w:val="00C15AF5"/>
    <w:rsid w:val="00C15B31"/>
    <w:rsid w:val="00C15B4B"/>
    <w:rsid w:val="00C15D1B"/>
    <w:rsid w:val="00C15F04"/>
    <w:rsid w:val="00C162F2"/>
    <w:rsid w:val="00C166DE"/>
    <w:rsid w:val="00C169BB"/>
    <w:rsid w:val="00C179B3"/>
    <w:rsid w:val="00C17E3F"/>
    <w:rsid w:val="00C200AA"/>
    <w:rsid w:val="00C201E0"/>
    <w:rsid w:val="00C212F0"/>
    <w:rsid w:val="00C2180B"/>
    <w:rsid w:val="00C21BB7"/>
    <w:rsid w:val="00C21CA6"/>
    <w:rsid w:val="00C228C7"/>
    <w:rsid w:val="00C237ED"/>
    <w:rsid w:val="00C238D4"/>
    <w:rsid w:val="00C24632"/>
    <w:rsid w:val="00C24A50"/>
    <w:rsid w:val="00C24EC5"/>
    <w:rsid w:val="00C25418"/>
    <w:rsid w:val="00C25534"/>
    <w:rsid w:val="00C25D9C"/>
    <w:rsid w:val="00C266A3"/>
    <w:rsid w:val="00C26806"/>
    <w:rsid w:val="00C268DC"/>
    <w:rsid w:val="00C26C28"/>
    <w:rsid w:val="00C273AF"/>
    <w:rsid w:val="00C2778B"/>
    <w:rsid w:val="00C30E40"/>
    <w:rsid w:val="00C31059"/>
    <w:rsid w:val="00C31649"/>
    <w:rsid w:val="00C3184E"/>
    <w:rsid w:val="00C325E0"/>
    <w:rsid w:val="00C32687"/>
    <w:rsid w:val="00C3276B"/>
    <w:rsid w:val="00C327B3"/>
    <w:rsid w:val="00C339C4"/>
    <w:rsid w:val="00C33AB5"/>
    <w:rsid w:val="00C33BBE"/>
    <w:rsid w:val="00C33C2C"/>
    <w:rsid w:val="00C33D76"/>
    <w:rsid w:val="00C33E6B"/>
    <w:rsid w:val="00C3434C"/>
    <w:rsid w:val="00C34893"/>
    <w:rsid w:val="00C34C14"/>
    <w:rsid w:val="00C34D31"/>
    <w:rsid w:val="00C34EB1"/>
    <w:rsid w:val="00C35078"/>
    <w:rsid w:val="00C364A8"/>
    <w:rsid w:val="00C36EBE"/>
    <w:rsid w:val="00C3728B"/>
    <w:rsid w:val="00C37CBB"/>
    <w:rsid w:val="00C40049"/>
    <w:rsid w:val="00C401FC"/>
    <w:rsid w:val="00C40385"/>
    <w:rsid w:val="00C4056D"/>
    <w:rsid w:val="00C40D96"/>
    <w:rsid w:val="00C4130D"/>
    <w:rsid w:val="00C4134F"/>
    <w:rsid w:val="00C41768"/>
    <w:rsid w:val="00C42909"/>
    <w:rsid w:val="00C43A71"/>
    <w:rsid w:val="00C43F24"/>
    <w:rsid w:val="00C44467"/>
    <w:rsid w:val="00C447F1"/>
    <w:rsid w:val="00C44A5F"/>
    <w:rsid w:val="00C45ECE"/>
    <w:rsid w:val="00C46060"/>
    <w:rsid w:val="00C4652C"/>
    <w:rsid w:val="00C46DE0"/>
    <w:rsid w:val="00C475AA"/>
    <w:rsid w:val="00C47F46"/>
    <w:rsid w:val="00C5006C"/>
    <w:rsid w:val="00C5034A"/>
    <w:rsid w:val="00C50BE6"/>
    <w:rsid w:val="00C52359"/>
    <w:rsid w:val="00C527C7"/>
    <w:rsid w:val="00C52CD9"/>
    <w:rsid w:val="00C53271"/>
    <w:rsid w:val="00C53C98"/>
    <w:rsid w:val="00C54652"/>
    <w:rsid w:val="00C54841"/>
    <w:rsid w:val="00C549C0"/>
    <w:rsid w:val="00C54D1D"/>
    <w:rsid w:val="00C566A0"/>
    <w:rsid w:val="00C56A52"/>
    <w:rsid w:val="00C56FCF"/>
    <w:rsid w:val="00C5726E"/>
    <w:rsid w:val="00C572F6"/>
    <w:rsid w:val="00C57B6C"/>
    <w:rsid w:val="00C57F76"/>
    <w:rsid w:val="00C57F80"/>
    <w:rsid w:val="00C6012F"/>
    <w:rsid w:val="00C609E6"/>
    <w:rsid w:val="00C612CB"/>
    <w:rsid w:val="00C61831"/>
    <w:rsid w:val="00C61A59"/>
    <w:rsid w:val="00C61D08"/>
    <w:rsid w:val="00C623AB"/>
    <w:rsid w:val="00C62518"/>
    <w:rsid w:val="00C628A6"/>
    <w:rsid w:val="00C63CDC"/>
    <w:rsid w:val="00C63E5A"/>
    <w:rsid w:val="00C64344"/>
    <w:rsid w:val="00C64E87"/>
    <w:rsid w:val="00C65108"/>
    <w:rsid w:val="00C654A8"/>
    <w:rsid w:val="00C65576"/>
    <w:rsid w:val="00C659AF"/>
    <w:rsid w:val="00C65DAA"/>
    <w:rsid w:val="00C66165"/>
    <w:rsid w:val="00C66839"/>
    <w:rsid w:val="00C66AA8"/>
    <w:rsid w:val="00C6794E"/>
    <w:rsid w:val="00C67A2E"/>
    <w:rsid w:val="00C70047"/>
    <w:rsid w:val="00C7060A"/>
    <w:rsid w:val="00C70DCB"/>
    <w:rsid w:val="00C713CB"/>
    <w:rsid w:val="00C71407"/>
    <w:rsid w:val="00C7151A"/>
    <w:rsid w:val="00C717E3"/>
    <w:rsid w:val="00C71F60"/>
    <w:rsid w:val="00C72121"/>
    <w:rsid w:val="00C72241"/>
    <w:rsid w:val="00C7243B"/>
    <w:rsid w:val="00C724D9"/>
    <w:rsid w:val="00C726E6"/>
    <w:rsid w:val="00C72BD5"/>
    <w:rsid w:val="00C72F55"/>
    <w:rsid w:val="00C7391B"/>
    <w:rsid w:val="00C73E29"/>
    <w:rsid w:val="00C750C8"/>
    <w:rsid w:val="00C7560F"/>
    <w:rsid w:val="00C75714"/>
    <w:rsid w:val="00C75935"/>
    <w:rsid w:val="00C75A8C"/>
    <w:rsid w:val="00C75D3A"/>
    <w:rsid w:val="00C75F0A"/>
    <w:rsid w:val="00C75F7E"/>
    <w:rsid w:val="00C76804"/>
    <w:rsid w:val="00C76E59"/>
    <w:rsid w:val="00C773AD"/>
    <w:rsid w:val="00C7743D"/>
    <w:rsid w:val="00C779F6"/>
    <w:rsid w:val="00C77D0D"/>
    <w:rsid w:val="00C80257"/>
    <w:rsid w:val="00C80309"/>
    <w:rsid w:val="00C805C4"/>
    <w:rsid w:val="00C80930"/>
    <w:rsid w:val="00C80A0E"/>
    <w:rsid w:val="00C80CBC"/>
    <w:rsid w:val="00C815B2"/>
    <w:rsid w:val="00C8213F"/>
    <w:rsid w:val="00C8303F"/>
    <w:rsid w:val="00C838E4"/>
    <w:rsid w:val="00C83B84"/>
    <w:rsid w:val="00C849AC"/>
    <w:rsid w:val="00C85154"/>
    <w:rsid w:val="00C85355"/>
    <w:rsid w:val="00C85A70"/>
    <w:rsid w:val="00C86C84"/>
    <w:rsid w:val="00C87057"/>
    <w:rsid w:val="00C8797A"/>
    <w:rsid w:val="00C900B8"/>
    <w:rsid w:val="00C90197"/>
    <w:rsid w:val="00C90C71"/>
    <w:rsid w:val="00C90D84"/>
    <w:rsid w:val="00C91FD1"/>
    <w:rsid w:val="00C931CF"/>
    <w:rsid w:val="00C93539"/>
    <w:rsid w:val="00C935F3"/>
    <w:rsid w:val="00C938CF"/>
    <w:rsid w:val="00C93EA5"/>
    <w:rsid w:val="00C94053"/>
    <w:rsid w:val="00C94130"/>
    <w:rsid w:val="00C9455D"/>
    <w:rsid w:val="00C952CC"/>
    <w:rsid w:val="00C95358"/>
    <w:rsid w:val="00C955F3"/>
    <w:rsid w:val="00C9563B"/>
    <w:rsid w:val="00C95B68"/>
    <w:rsid w:val="00C9624D"/>
    <w:rsid w:val="00C96392"/>
    <w:rsid w:val="00C964C2"/>
    <w:rsid w:val="00C9665E"/>
    <w:rsid w:val="00C969DA"/>
    <w:rsid w:val="00CA09A6"/>
    <w:rsid w:val="00CA0CEB"/>
    <w:rsid w:val="00CA0DBA"/>
    <w:rsid w:val="00CA1CFA"/>
    <w:rsid w:val="00CA2990"/>
    <w:rsid w:val="00CA29A0"/>
    <w:rsid w:val="00CA2C77"/>
    <w:rsid w:val="00CA2D50"/>
    <w:rsid w:val="00CA2DE7"/>
    <w:rsid w:val="00CA444F"/>
    <w:rsid w:val="00CA4CB3"/>
    <w:rsid w:val="00CA5245"/>
    <w:rsid w:val="00CA52AF"/>
    <w:rsid w:val="00CA52B4"/>
    <w:rsid w:val="00CA55C4"/>
    <w:rsid w:val="00CA5BC4"/>
    <w:rsid w:val="00CA5F19"/>
    <w:rsid w:val="00CA60BE"/>
    <w:rsid w:val="00CA6A9B"/>
    <w:rsid w:val="00CA71F4"/>
    <w:rsid w:val="00CA73D4"/>
    <w:rsid w:val="00CA778D"/>
    <w:rsid w:val="00CA7A71"/>
    <w:rsid w:val="00CA7B09"/>
    <w:rsid w:val="00CA7E2C"/>
    <w:rsid w:val="00CB0071"/>
    <w:rsid w:val="00CB08D3"/>
    <w:rsid w:val="00CB0B18"/>
    <w:rsid w:val="00CB12A5"/>
    <w:rsid w:val="00CB1CAC"/>
    <w:rsid w:val="00CB2F2A"/>
    <w:rsid w:val="00CB3141"/>
    <w:rsid w:val="00CB31A1"/>
    <w:rsid w:val="00CB39F6"/>
    <w:rsid w:val="00CB40D8"/>
    <w:rsid w:val="00CB41E4"/>
    <w:rsid w:val="00CB42C8"/>
    <w:rsid w:val="00CB4674"/>
    <w:rsid w:val="00CB476A"/>
    <w:rsid w:val="00CB4C97"/>
    <w:rsid w:val="00CB5B1A"/>
    <w:rsid w:val="00CB6161"/>
    <w:rsid w:val="00CB673A"/>
    <w:rsid w:val="00CB6867"/>
    <w:rsid w:val="00CB6ABD"/>
    <w:rsid w:val="00CB6B22"/>
    <w:rsid w:val="00CB7E62"/>
    <w:rsid w:val="00CB7F5F"/>
    <w:rsid w:val="00CC0D8A"/>
    <w:rsid w:val="00CC1161"/>
    <w:rsid w:val="00CC18C0"/>
    <w:rsid w:val="00CC193F"/>
    <w:rsid w:val="00CC1B39"/>
    <w:rsid w:val="00CC1BFA"/>
    <w:rsid w:val="00CC20C3"/>
    <w:rsid w:val="00CC2107"/>
    <w:rsid w:val="00CC255E"/>
    <w:rsid w:val="00CC2AD3"/>
    <w:rsid w:val="00CC2E9F"/>
    <w:rsid w:val="00CC3083"/>
    <w:rsid w:val="00CC3129"/>
    <w:rsid w:val="00CC35EA"/>
    <w:rsid w:val="00CC3848"/>
    <w:rsid w:val="00CC3F5E"/>
    <w:rsid w:val="00CC439F"/>
    <w:rsid w:val="00CC44FB"/>
    <w:rsid w:val="00CC4656"/>
    <w:rsid w:val="00CC55F3"/>
    <w:rsid w:val="00CC58B7"/>
    <w:rsid w:val="00CC5990"/>
    <w:rsid w:val="00CC5A8A"/>
    <w:rsid w:val="00CC60B6"/>
    <w:rsid w:val="00CC6D5E"/>
    <w:rsid w:val="00CC6E74"/>
    <w:rsid w:val="00CC70A1"/>
    <w:rsid w:val="00CC7746"/>
    <w:rsid w:val="00CD001B"/>
    <w:rsid w:val="00CD0109"/>
    <w:rsid w:val="00CD0200"/>
    <w:rsid w:val="00CD0E1B"/>
    <w:rsid w:val="00CD1531"/>
    <w:rsid w:val="00CD2D16"/>
    <w:rsid w:val="00CD3495"/>
    <w:rsid w:val="00CD3F77"/>
    <w:rsid w:val="00CD51F7"/>
    <w:rsid w:val="00CD53FB"/>
    <w:rsid w:val="00CD581A"/>
    <w:rsid w:val="00CD6049"/>
    <w:rsid w:val="00CD679D"/>
    <w:rsid w:val="00CD6ADC"/>
    <w:rsid w:val="00CD6EAC"/>
    <w:rsid w:val="00CD6EBA"/>
    <w:rsid w:val="00CD7116"/>
    <w:rsid w:val="00CD7193"/>
    <w:rsid w:val="00CD7396"/>
    <w:rsid w:val="00CD76BB"/>
    <w:rsid w:val="00CE02EA"/>
    <w:rsid w:val="00CE2143"/>
    <w:rsid w:val="00CE2DD1"/>
    <w:rsid w:val="00CE38C8"/>
    <w:rsid w:val="00CE3EC7"/>
    <w:rsid w:val="00CE3FB9"/>
    <w:rsid w:val="00CE415E"/>
    <w:rsid w:val="00CE4605"/>
    <w:rsid w:val="00CE4A61"/>
    <w:rsid w:val="00CE4BE6"/>
    <w:rsid w:val="00CE524F"/>
    <w:rsid w:val="00CE54D1"/>
    <w:rsid w:val="00CE58CC"/>
    <w:rsid w:val="00CE5B31"/>
    <w:rsid w:val="00CE5C4D"/>
    <w:rsid w:val="00CE6274"/>
    <w:rsid w:val="00CE66BC"/>
    <w:rsid w:val="00CE6703"/>
    <w:rsid w:val="00CE6F69"/>
    <w:rsid w:val="00CE7131"/>
    <w:rsid w:val="00CE77B6"/>
    <w:rsid w:val="00CE7F8B"/>
    <w:rsid w:val="00CF036C"/>
    <w:rsid w:val="00CF05BA"/>
    <w:rsid w:val="00CF05ED"/>
    <w:rsid w:val="00CF0F07"/>
    <w:rsid w:val="00CF179C"/>
    <w:rsid w:val="00CF1AFD"/>
    <w:rsid w:val="00CF1B29"/>
    <w:rsid w:val="00CF1C17"/>
    <w:rsid w:val="00CF1F4D"/>
    <w:rsid w:val="00CF1FAC"/>
    <w:rsid w:val="00CF2596"/>
    <w:rsid w:val="00CF2755"/>
    <w:rsid w:val="00CF283B"/>
    <w:rsid w:val="00CF2B8D"/>
    <w:rsid w:val="00CF3819"/>
    <w:rsid w:val="00CF3947"/>
    <w:rsid w:val="00CF3A1B"/>
    <w:rsid w:val="00CF456B"/>
    <w:rsid w:val="00CF4DA0"/>
    <w:rsid w:val="00CF4F2A"/>
    <w:rsid w:val="00CF505E"/>
    <w:rsid w:val="00CF5064"/>
    <w:rsid w:val="00CF50C2"/>
    <w:rsid w:val="00CF5A22"/>
    <w:rsid w:val="00CF6045"/>
    <w:rsid w:val="00CF6C54"/>
    <w:rsid w:val="00CF6F7E"/>
    <w:rsid w:val="00CF750D"/>
    <w:rsid w:val="00CF76A7"/>
    <w:rsid w:val="00D006C7"/>
    <w:rsid w:val="00D0088B"/>
    <w:rsid w:val="00D01192"/>
    <w:rsid w:val="00D0262E"/>
    <w:rsid w:val="00D02AFD"/>
    <w:rsid w:val="00D03104"/>
    <w:rsid w:val="00D03612"/>
    <w:rsid w:val="00D03679"/>
    <w:rsid w:val="00D03DD1"/>
    <w:rsid w:val="00D04091"/>
    <w:rsid w:val="00D04331"/>
    <w:rsid w:val="00D045F6"/>
    <w:rsid w:val="00D047D0"/>
    <w:rsid w:val="00D04D98"/>
    <w:rsid w:val="00D04E9C"/>
    <w:rsid w:val="00D04F99"/>
    <w:rsid w:val="00D05102"/>
    <w:rsid w:val="00D05E3D"/>
    <w:rsid w:val="00D06139"/>
    <w:rsid w:val="00D068CF"/>
    <w:rsid w:val="00D06DD6"/>
    <w:rsid w:val="00D073A0"/>
    <w:rsid w:val="00D079F2"/>
    <w:rsid w:val="00D106E1"/>
    <w:rsid w:val="00D110BD"/>
    <w:rsid w:val="00D114DF"/>
    <w:rsid w:val="00D1186B"/>
    <w:rsid w:val="00D11910"/>
    <w:rsid w:val="00D11C83"/>
    <w:rsid w:val="00D11CDB"/>
    <w:rsid w:val="00D12F9E"/>
    <w:rsid w:val="00D12FCC"/>
    <w:rsid w:val="00D13675"/>
    <w:rsid w:val="00D13A54"/>
    <w:rsid w:val="00D13BBA"/>
    <w:rsid w:val="00D13DD2"/>
    <w:rsid w:val="00D141E1"/>
    <w:rsid w:val="00D14AFD"/>
    <w:rsid w:val="00D14B17"/>
    <w:rsid w:val="00D150F0"/>
    <w:rsid w:val="00D15314"/>
    <w:rsid w:val="00D15B48"/>
    <w:rsid w:val="00D15B80"/>
    <w:rsid w:val="00D15E74"/>
    <w:rsid w:val="00D1637D"/>
    <w:rsid w:val="00D167AE"/>
    <w:rsid w:val="00D16EB9"/>
    <w:rsid w:val="00D17D6C"/>
    <w:rsid w:val="00D17FA1"/>
    <w:rsid w:val="00D206A7"/>
    <w:rsid w:val="00D2155B"/>
    <w:rsid w:val="00D21DBE"/>
    <w:rsid w:val="00D22323"/>
    <w:rsid w:val="00D225F1"/>
    <w:rsid w:val="00D230BE"/>
    <w:rsid w:val="00D23155"/>
    <w:rsid w:val="00D239BC"/>
    <w:rsid w:val="00D23D11"/>
    <w:rsid w:val="00D244B6"/>
    <w:rsid w:val="00D24675"/>
    <w:rsid w:val="00D24B8C"/>
    <w:rsid w:val="00D24DC8"/>
    <w:rsid w:val="00D24EF5"/>
    <w:rsid w:val="00D25A6E"/>
    <w:rsid w:val="00D26457"/>
    <w:rsid w:val="00D27511"/>
    <w:rsid w:val="00D2754D"/>
    <w:rsid w:val="00D27B27"/>
    <w:rsid w:val="00D27E33"/>
    <w:rsid w:val="00D307F0"/>
    <w:rsid w:val="00D30BB6"/>
    <w:rsid w:val="00D30D5B"/>
    <w:rsid w:val="00D30EFC"/>
    <w:rsid w:val="00D32436"/>
    <w:rsid w:val="00D33B23"/>
    <w:rsid w:val="00D33BE9"/>
    <w:rsid w:val="00D33D08"/>
    <w:rsid w:val="00D33F93"/>
    <w:rsid w:val="00D345B7"/>
    <w:rsid w:val="00D34797"/>
    <w:rsid w:val="00D3483B"/>
    <w:rsid w:val="00D34BC0"/>
    <w:rsid w:val="00D34D99"/>
    <w:rsid w:val="00D355A6"/>
    <w:rsid w:val="00D357FF"/>
    <w:rsid w:val="00D36592"/>
    <w:rsid w:val="00D366B7"/>
    <w:rsid w:val="00D36957"/>
    <w:rsid w:val="00D36A8B"/>
    <w:rsid w:val="00D36B17"/>
    <w:rsid w:val="00D40FAF"/>
    <w:rsid w:val="00D424C7"/>
    <w:rsid w:val="00D42D9D"/>
    <w:rsid w:val="00D43141"/>
    <w:rsid w:val="00D43B2A"/>
    <w:rsid w:val="00D43CF1"/>
    <w:rsid w:val="00D43D83"/>
    <w:rsid w:val="00D43E9E"/>
    <w:rsid w:val="00D44441"/>
    <w:rsid w:val="00D44B53"/>
    <w:rsid w:val="00D45000"/>
    <w:rsid w:val="00D45ACE"/>
    <w:rsid w:val="00D45F75"/>
    <w:rsid w:val="00D4689D"/>
    <w:rsid w:val="00D46982"/>
    <w:rsid w:val="00D46DE5"/>
    <w:rsid w:val="00D47482"/>
    <w:rsid w:val="00D47575"/>
    <w:rsid w:val="00D50B53"/>
    <w:rsid w:val="00D5243B"/>
    <w:rsid w:val="00D52683"/>
    <w:rsid w:val="00D5313E"/>
    <w:rsid w:val="00D533EC"/>
    <w:rsid w:val="00D53682"/>
    <w:rsid w:val="00D537C8"/>
    <w:rsid w:val="00D53C61"/>
    <w:rsid w:val="00D54CAC"/>
    <w:rsid w:val="00D55404"/>
    <w:rsid w:val="00D5570F"/>
    <w:rsid w:val="00D5604B"/>
    <w:rsid w:val="00D56A95"/>
    <w:rsid w:val="00D56CB6"/>
    <w:rsid w:val="00D57080"/>
    <w:rsid w:val="00D57D74"/>
    <w:rsid w:val="00D6076E"/>
    <w:rsid w:val="00D6125C"/>
    <w:rsid w:val="00D616BA"/>
    <w:rsid w:val="00D61708"/>
    <w:rsid w:val="00D61848"/>
    <w:rsid w:val="00D619B5"/>
    <w:rsid w:val="00D61AF9"/>
    <w:rsid w:val="00D621AC"/>
    <w:rsid w:val="00D62558"/>
    <w:rsid w:val="00D6469B"/>
    <w:rsid w:val="00D65542"/>
    <w:rsid w:val="00D656A8"/>
    <w:rsid w:val="00D65801"/>
    <w:rsid w:val="00D679B4"/>
    <w:rsid w:val="00D67D23"/>
    <w:rsid w:val="00D67E45"/>
    <w:rsid w:val="00D700D8"/>
    <w:rsid w:val="00D709F8"/>
    <w:rsid w:val="00D70F16"/>
    <w:rsid w:val="00D7173F"/>
    <w:rsid w:val="00D71B5A"/>
    <w:rsid w:val="00D72189"/>
    <w:rsid w:val="00D72617"/>
    <w:rsid w:val="00D726A9"/>
    <w:rsid w:val="00D72F57"/>
    <w:rsid w:val="00D7309D"/>
    <w:rsid w:val="00D732FD"/>
    <w:rsid w:val="00D73A27"/>
    <w:rsid w:val="00D740F6"/>
    <w:rsid w:val="00D744E5"/>
    <w:rsid w:val="00D749F8"/>
    <w:rsid w:val="00D75A46"/>
    <w:rsid w:val="00D76613"/>
    <w:rsid w:val="00D7699C"/>
    <w:rsid w:val="00D76A44"/>
    <w:rsid w:val="00D76B3C"/>
    <w:rsid w:val="00D76CA5"/>
    <w:rsid w:val="00D77541"/>
    <w:rsid w:val="00D80367"/>
    <w:rsid w:val="00D80689"/>
    <w:rsid w:val="00D81325"/>
    <w:rsid w:val="00D815EF"/>
    <w:rsid w:val="00D816E7"/>
    <w:rsid w:val="00D8190A"/>
    <w:rsid w:val="00D81949"/>
    <w:rsid w:val="00D81F26"/>
    <w:rsid w:val="00D822E2"/>
    <w:rsid w:val="00D826EE"/>
    <w:rsid w:val="00D82859"/>
    <w:rsid w:val="00D82F06"/>
    <w:rsid w:val="00D835AE"/>
    <w:rsid w:val="00D836BE"/>
    <w:rsid w:val="00D843F2"/>
    <w:rsid w:val="00D85387"/>
    <w:rsid w:val="00D85489"/>
    <w:rsid w:val="00D85865"/>
    <w:rsid w:val="00D85A11"/>
    <w:rsid w:val="00D8615A"/>
    <w:rsid w:val="00D86231"/>
    <w:rsid w:val="00D8771B"/>
    <w:rsid w:val="00D878CA"/>
    <w:rsid w:val="00D87BDA"/>
    <w:rsid w:val="00D87EEA"/>
    <w:rsid w:val="00D903B1"/>
    <w:rsid w:val="00D9082B"/>
    <w:rsid w:val="00D90864"/>
    <w:rsid w:val="00D908B2"/>
    <w:rsid w:val="00D912AB"/>
    <w:rsid w:val="00D91923"/>
    <w:rsid w:val="00D91C3C"/>
    <w:rsid w:val="00D91D0C"/>
    <w:rsid w:val="00D92260"/>
    <w:rsid w:val="00D92C2C"/>
    <w:rsid w:val="00D92D9D"/>
    <w:rsid w:val="00D93753"/>
    <w:rsid w:val="00D939FE"/>
    <w:rsid w:val="00D9461E"/>
    <w:rsid w:val="00D947B1"/>
    <w:rsid w:val="00D948CB"/>
    <w:rsid w:val="00D94C4C"/>
    <w:rsid w:val="00D94FED"/>
    <w:rsid w:val="00D96099"/>
    <w:rsid w:val="00D96591"/>
    <w:rsid w:val="00D966B8"/>
    <w:rsid w:val="00D97A3F"/>
    <w:rsid w:val="00DA01DE"/>
    <w:rsid w:val="00DA02CB"/>
    <w:rsid w:val="00DA10B6"/>
    <w:rsid w:val="00DA19E7"/>
    <w:rsid w:val="00DA1B06"/>
    <w:rsid w:val="00DA3167"/>
    <w:rsid w:val="00DA3ED9"/>
    <w:rsid w:val="00DA4BE1"/>
    <w:rsid w:val="00DA4DC3"/>
    <w:rsid w:val="00DA52AB"/>
    <w:rsid w:val="00DA5988"/>
    <w:rsid w:val="00DA5C7D"/>
    <w:rsid w:val="00DA6028"/>
    <w:rsid w:val="00DA6BDF"/>
    <w:rsid w:val="00DA6D2F"/>
    <w:rsid w:val="00DA7706"/>
    <w:rsid w:val="00DA77A5"/>
    <w:rsid w:val="00DA7ABB"/>
    <w:rsid w:val="00DA7D21"/>
    <w:rsid w:val="00DB037F"/>
    <w:rsid w:val="00DB0A09"/>
    <w:rsid w:val="00DB0DF9"/>
    <w:rsid w:val="00DB0E36"/>
    <w:rsid w:val="00DB10EF"/>
    <w:rsid w:val="00DB131D"/>
    <w:rsid w:val="00DB1C2D"/>
    <w:rsid w:val="00DB224C"/>
    <w:rsid w:val="00DB2723"/>
    <w:rsid w:val="00DB29D2"/>
    <w:rsid w:val="00DB3391"/>
    <w:rsid w:val="00DB33BE"/>
    <w:rsid w:val="00DB33D0"/>
    <w:rsid w:val="00DB376B"/>
    <w:rsid w:val="00DB3B8B"/>
    <w:rsid w:val="00DB3DBF"/>
    <w:rsid w:val="00DB484F"/>
    <w:rsid w:val="00DB48E4"/>
    <w:rsid w:val="00DB48F1"/>
    <w:rsid w:val="00DB51E0"/>
    <w:rsid w:val="00DB54D8"/>
    <w:rsid w:val="00DB5724"/>
    <w:rsid w:val="00DB598E"/>
    <w:rsid w:val="00DB6409"/>
    <w:rsid w:val="00DB68FB"/>
    <w:rsid w:val="00DB69AB"/>
    <w:rsid w:val="00DB7F80"/>
    <w:rsid w:val="00DC00AD"/>
    <w:rsid w:val="00DC04F6"/>
    <w:rsid w:val="00DC0690"/>
    <w:rsid w:val="00DC0897"/>
    <w:rsid w:val="00DC09DF"/>
    <w:rsid w:val="00DC0E8D"/>
    <w:rsid w:val="00DC1D65"/>
    <w:rsid w:val="00DC2007"/>
    <w:rsid w:val="00DC3AD5"/>
    <w:rsid w:val="00DC3BD4"/>
    <w:rsid w:val="00DC3C57"/>
    <w:rsid w:val="00DC3D2E"/>
    <w:rsid w:val="00DC4251"/>
    <w:rsid w:val="00DC450E"/>
    <w:rsid w:val="00DC54BE"/>
    <w:rsid w:val="00DC5501"/>
    <w:rsid w:val="00DC5548"/>
    <w:rsid w:val="00DC5DE4"/>
    <w:rsid w:val="00DC6EB4"/>
    <w:rsid w:val="00DC6F6E"/>
    <w:rsid w:val="00DC7154"/>
    <w:rsid w:val="00DC7BE3"/>
    <w:rsid w:val="00DC7E8A"/>
    <w:rsid w:val="00DC7FB5"/>
    <w:rsid w:val="00DD0466"/>
    <w:rsid w:val="00DD0778"/>
    <w:rsid w:val="00DD09EC"/>
    <w:rsid w:val="00DD0A1B"/>
    <w:rsid w:val="00DD0F4A"/>
    <w:rsid w:val="00DD0F78"/>
    <w:rsid w:val="00DD170E"/>
    <w:rsid w:val="00DD273C"/>
    <w:rsid w:val="00DD2F23"/>
    <w:rsid w:val="00DD35A2"/>
    <w:rsid w:val="00DD3954"/>
    <w:rsid w:val="00DD3F28"/>
    <w:rsid w:val="00DD4446"/>
    <w:rsid w:val="00DD4537"/>
    <w:rsid w:val="00DD4868"/>
    <w:rsid w:val="00DD4BBF"/>
    <w:rsid w:val="00DD4E15"/>
    <w:rsid w:val="00DD68D1"/>
    <w:rsid w:val="00DD74DC"/>
    <w:rsid w:val="00DD779A"/>
    <w:rsid w:val="00DE0117"/>
    <w:rsid w:val="00DE08A5"/>
    <w:rsid w:val="00DE1C25"/>
    <w:rsid w:val="00DE1E33"/>
    <w:rsid w:val="00DE2304"/>
    <w:rsid w:val="00DE263E"/>
    <w:rsid w:val="00DE2EE4"/>
    <w:rsid w:val="00DE3138"/>
    <w:rsid w:val="00DE37F8"/>
    <w:rsid w:val="00DE3C58"/>
    <w:rsid w:val="00DE400A"/>
    <w:rsid w:val="00DE4273"/>
    <w:rsid w:val="00DE438D"/>
    <w:rsid w:val="00DE48EC"/>
    <w:rsid w:val="00DE4FCB"/>
    <w:rsid w:val="00DE50BD"/>
    <w:rsid w:val="00DE5915"/>
    <w:rsid w:val="00DE5D07"/>
    <w:rsid w:val="00DE5D18"/>
    <w:rsid w:val="00DE692F"/>
    <w:rsid w:val="00DE72A7"/>
    <w:rsid w:val="00DE77BD"/>
    <w:rsid w:val="00DE7812"/>
    <w:rsid w:val="00DE7832"/>
    <w:rsid w:val="00DF014C"/>
    <w:rsid w:val="00DF09BF"/>
    <w:rsid w:val="00DF11C5"/>
    <w:rsid w:val="00DF11F2"/>
    <w:rsid w:val="00DF1435"/>
    <w:rsid w:val="00DF176E"/>
    <w:rsid w:val="00DF18FC"/>
    <w:rsid w:val="00DF1CCE"/>
    <w:rsid w:val="00DF1F99"/>
    <w:rsid w:val="00DF2732"/>
    <w:rsid w:val="00DF2AE5"/>
    <w:rsid w:val="00DF2E30"/>
    <w:rsid w:val="00DF3569"/>
    <w:rsid w:val="00DF41B8"/>
    <w:rsid w:val="00DF43A2"/>
    <w:rsid w:val="00DF4B48"/>
    <w:rsid w:val="00DF560E"/>
    <w:rsid w:val="00DF5B41"/>
    <w:rsid w:val="00DF5D2B"/>
    <w:rsid w:val="00DF6341"/>
    <w:rsid w:val="00DF7059"/>
    <w:rsid w:val="00DF722B"/>
    <w:rsid w:val="00DF78C8"/>
    <w:rsid w:val="00E00738"/>
    <w:rsid w:val="00E00BCD"/>
    <w:rsid w:val="00E00E8E"/>
    <w:rsid w:val="00E01381"/>
    <w:rsid w:val="00E0149D"/>
    <w:rsid w:val="00E028FA"/>
    <w:rsid w:val="00E05630"/>
    <w:rsid w:val="00E05A6B"/>
    <w:rsid w:val="00E06016"/>
    <w:rsid w:val="00E060F5"/>
    <w:rsid w:val="00E06DBB"/>
    <w:rsid w:val="00E06E59"/>
    <w:rsid w:val="00E076CD"/>
    <w:rsid w:val="00E077F4"/>
    <w:rsid w:val="00E07899"/>
    <w:rsid w:val="00E07A54"/>
    <w:rsid w:val="00E07B5D"/>
    <w:rsid w:val="00E07DCA"/>
    <w:rsid w:val="00E10149"/>
    <w:rsid w:val="00E10290"/>
    <w:rsid w:val="00E10642"/>
    <w:rsid w:val="00E111F6"/>
    <w:rsid w:val="00E11340"/>
    <w:rsid w:val="00E12180"/>
    <w:rsid w:val="00E122A1"/>
    <w:rsid w:val="00E131E7"/>
    <w:rsid w:val="00E133E0"/>
    <w:rsid w:val="00E137ED"/>
    <w:rsid w:val="00E14B70"/>
    <w:rsid w:val="00E1505A"/>
    <w:rsid w:val="00E162C9"/>
    <w:rsid w:val="00E16372"/>
    <w:rsid w:val="00E16AD8"/>
    <w:rsid w:val="00E170EC"/>
    <w:rsid w:val="00E173B9"/>
    <w:rsid w:val="00E17FE9"/>
    <w:rsid w:val="00E17FFA"/>
    <w:rsid w:val="00E20CC9"/>
    <w:rsid w:val="00E20E4D"/>
    <w:rsid w:val="00E20ED6"/>
    <w:rsid w:val="00E21358"/>
    <w:rsid w:val="00E21C45"/>
    <w:rsid w:val="00E21DF4"/>
    <w:rsid w:val="00E2249B"/>
    <w:rsid w:val="00E2269C"/>
    <w:rsid w:val="00E2279C"/>
    <w:rsid w:val="00E22A0D"/>
    <w:rsid w:val="00E22BE5"/>
    <w:rsid w:val="00E22C71"/>
    <w:rsid w:val="00E23683"/>
    <w:rsid w:val="00E2370E"/>
    <w:rsid w:val="00E240E4"/>
    <w:rsid w:val="00E244F6"/>
    <w:rsid w:val="00E24672"/>
    <w:rsid w:val="00E2482F"/>
    <w:rsid w:val="00E248AB"/>
    <w:rsid w:val="00E258DB"/>
    <w:rsid w:val="00E261E0"/>
    <w:rsid w:val="00E2638E"/>
    <w:rsid w:val="00E26516"/>
    <w:rsid w:val="00E26731"/>
    <w:rsid w:val="00E26FA8"/>
    <w:rsid w:val="00E2771E"/>
    <w:rsid w:val="00E27F15"/>
    <w:rsid w:val="00E302CB"/>
    <w:rsid w:val="00E30F9A"/>
    <w:rsid w:val="00E311EF"/>
    <w:rsid w:val="00E318CD"/>
    <w:rsid w:val="00E32180"/>
    <w:rsid w:val="00E321BC"/>
    <w:rsid w:val="00E322DE"/>
    <w:rsid w:val="00E324F9"/>
    <w:rsid w:val="00E32851"/>
    <w:rsid w:val="00E32946"/>
    <w:rsid w:val="00E33237"/>
    <w:rsid w:val="00E334F3"/>
    <w:rsid w:val="00E33613"/>
    <w:rsid w:val="00E33A0B"/>
    <w:rsid w:val="00E33C4B"/>
    <w:rsid w:val="00E33F24"/>
    <w:rsid w:val="00E3474A"/>
    <w:rsid w:val="00E34948"/>
    <w:rsid w:val="00E34E93"/>
    <w:rsid w:val="00E37225"/>
    <w:rsid w:val="00E37364"/>
    <w:rsid w:val="00E37569"/>
    <w:rsid w:val="00E401B2"/>
    <w:rsid w:val="00E40773"/>
    <w:rsid w:val="00E4079D"/>
    <w:rsid w:val="00E40987"/>
    <w:rsid w:val="00E40AEE"/>
    <w:rsid w:val="00E41E30"/>
    <w:rsid w:val="00E42713"/>
    <w:rsid w:val="00E42E8E"/>
    <w:rsid w:val="00E42F73"/>
    <w:rsid w:val="00E43D70"/>
    <w:rsid w:val="00E43F67"/>
    <w:rsid w:val="00E4458C"/>
    <w:rsid w:val="00E4461D"/>
    <w:rsid w:val="00E4485E"/>
    <w:rsid w:val="00E4488D"/>
    <w:rsid w:val="00E44BF1"/>
    <w:rsid w:val="00E44C54"/>
    <w:rsid w:val="00E44EA8"/>
    <w:rsid w:val="00E46608"/>
    <w:rsid w:val="00E466F3"/>
    <w:rsid w:val="00E46A69"/>
    <w:rsid w:val="00E46DD1"/>
    <w:rsid w:val="00E46F70"/>
    <w:rsid w:val="00E47584"/>
    <w:rsid w:val="00E47789"/>
    <w:rsid w:val="00E47B2C"/>
    <w:rsid w:val="00E500EF"/>
    <w:rsid w:val="00E51560"/>
    <w:rsid w:val="00E51734"/>
    <w:rsid w:val="00E51821"/>
    <w:rsid w:val="00E51991"/>
    <w:rsid w:val="00E52241"/>
    <w:rsid w:val="00E524A9"/>
    <w:rsid w:val="00E53A0F"/>
    <w:rsid w:val="00E53FC8"/>
    <w:rsid w:val="00E542D9"/>
    <w:rsid w:val="00E54347"/>
    <w:rsid w:val="00E5434B"/>
    <w:rsid w:val="00E54FD0"/>
    <w:rsid w:val="00E55424"/>
    <w:rsid w:val="00E5587E"/>
    <w:rsid w:val="00E55915"/>
    <w:rsid w:val="00E55BB5"/>
    <w:rsid w:val="00E5607B"/>
    <w:rsid w:val="00E560E1"/>
    <w:rsid w:val="00E561F8"/>
    <w:rsid w:val="00E56BBF"/>
    <w:rsid w:val="00E57F83"/>
    <w:rsid w:val="00E60546"/>
    <w:rsid w:val="00E60765"/>
    <w:rsid w:val="00E6098D"/>
    <w:rsid w:val="00E611DF"/>
    <w:rsid w:val="00E619B6"/>
    <w:rsid w:val="00E61E61"/>
    <w:rsid w:val="00E631C1"/>
    <w:rsid w:val="00E6460E"/>
    <w:rsid w:val="00E65D84"/>
    <w:rsid w:val="00E65E79"/>
    <w:rsid w:val="00E661D4"/>
    <w:rsid w:val="00E66BA2"/>
    <w:rsid w:val="00E66FE4"/>
    <w:rsid w:val="00E67416"/>
    <w:rsid w:val="00E67B2B"/>
    <w:rsid w:val="00E67E47"/>
    <w:rsid w:val="00E7010E"/>
    <w:rsid w:val="00E718B6"/>
    <w:rsid w:val="00E720DE"/>
    <w:rsid w:val="00E722D3"/>
    <w:rsid w:val="00E723BA"/>
    <w:rsid w:val="00E7267F"/>
    <w:rsid w:val="00E72D7B"/>
    <w:rsid w:val="00E7306D"/>
    <w:rsid w:val="00E73581"/>
    <w:rsid w:val="00E7360A"/>
    <w:rsid w:val="00E74579"/>
    <w:rsid w:val="00E7466C"/>
    <w:rsid w:val="00E74825"/>
    <w:rsid w:val="00E74BAD"/>
    <w:rsid w:val="00E74D0B"/>
    <w:rsid w:val="00E75E51"/>
    <w:rsid w:val="00E75FBF"/>
    <w:rsid w:val="00E771D5"/>
    <w:rsid w:val="00E77F0A"/>
    <w:rsid w:val="00E80038"/>
    <w:rsid w:val="00E80A46"/>
    <w:rsid w:val="00E81014"/>
    <w:rsid w:val="00E813C4"/>
    <w:rsid w:val="00E81667"/>
    <w:rsid w:val="00E8178D"/>
    <w:rsid w:val="00E81C87"/>
    <w:rsid w:val="00E81DBB"/>
    <w:rsid w:val="00E825AD"/>
    <w:rsid w:val="00E833F7"/>
    <w:rsid w:val="00E83587"/>
    <w:rsid w:val="00E83BDF"/>
    <w:rsid w:val="00E84068"/>
    <w:rsid w:val="00E849FB"/>
    <w:rsid w:val="00E85BDD"/>
    <w:rsid w:val="00E85F37"/>
    <w:rsid w:val="00E86FCC"/>
    <w:rsid w:val="00E877AF"/>
    <w:rsid w:val="00E87A1D"/>
    <w:rsid w:val="00E87B12"/>
    <w:rsid w:val="00E90152"/>
    <w:rsid w:val="00E901B5"/>
    <w:rsid w:val="00E9094A"/>
    <w:rsid w:val="00E91911"/>
    <w:rsid w:val="00E91CCF"/>
    <w:rsid w:val="00E91D35"/>
    <w:rsid w:val="00E926A5"/>
    <w:rsid w:val="00E92B34"/>
    <w:rsid w:val="00E92B8D"/>
    <w:rsid w:val="00E92C0A"/>
    <w:rsid w:val="00E9373B"/>
    <w:rsid w:val="00E93847"/>
    <w:rsid w:val="00E93868"/>
    <w:rsid w:val="00E93876"/>
    <w:rsid w:val="00E93E9F"/>
    <w:rsid w:val="00E940B5"/>
    <w:rsid w:val="00E95409"/>
    <w:rsid w:val="00E95EF3"/>
    <w:rsid w:val="00E96189"/>
    <w:rsid w:val="00E962CC"/>
    <w:rsid w:val="00E962D4"/>
    <w:rsid w:val="00E9683A"/>
    <w:rsid w:val="00E96BCE"/>
    <w:rsid w:val="00E97629"/>
    <w:rsid w:val="00E976BE"/>
    <w:rsid w:val="00EA029A"/>
    <w:rsid w:val="00EA0909"/>
    <w:rsid w:val="00EA106B"/>
    <w:rsid w:val="00EA17C3"/>
    <w:rsid w:val="00EA1BB1"/>
    <w:rsid w:val="00EA2580"/>
    <w:rsid w:val="00EA29B8"/>
    <w:rsid w:val="00EA2CAA"/>
    <w:rsid w:val="00EA3864"/>
    <w:rsid w:val="00EA3E20"/>
    <w:rsid w:val="00EA400C"/>
    <w:rsid w:val="00EA50C1"/>
    <w:rsid w:val="00EA584C"/>
    <w:rsid w:val="00EA5A5F"/>
    <w:rsid w:val="00EA5CF9"/>
    <w:rsid w:val="00EA62FF"/>
    <w:rsid w:val="00EA67DC"/>
    <w:rsid w:val="00EA69E5"/>
    <w:rsid w:val="00EA6B62"/>
    <w:rsid w:val="00EA77E8"/>
    <w:rsid w:val="00EA78BF"/>
    <w:rsid w:val="00EA78C3"/>
    <w:rsid w:val="00EA7F1C"/>
    <w:rsid w:val="00EB0604"/>
    <w:rsid w:val="00EB09B4"/>
    <w:rsid w:val="00EB0E9A"/>
    <w:rsid w:val="00EB15B6"/>
    <w:rsid w:val="00EB1825"/>
    <w:rsid w:val="00EB1B35"/>
    <w:rsid w:val="00EB1FA1"/>
    <w:rsid w:val="00EB2794"/>
    <w:rsid w:val="00EB3942"/>
    <w:rsid w:val="00EB3D06"/>
    <w:rsid w:val="00EB3FB8"/>
    <w:rsid w:val="00EB4654"/>
    <w:rsid w:val="00EB4916"/>
    <w:rsid w:val="00EB4BFE"/>
    <w:rsid w:val="00EB5B73"/>
    <w:rsid w:val="00EB5BF4"/>
    <w:rsid w:val="00EB6AE0"/>
    <w:rsid w:val="00EB7127"/>
    <w:rsid w:val="00EB721F"/>
    <w:rsid w:val="00EB7AA4"/>
    <w:rsid w:val="00EB7B03"/>
    <w:rsid w:val="00EB7B54"/>
    <w:rsid w:val="00EB7E20"/>
    <w:rsid w:val="00EC00C9"/>
    <w:rsid w:val="00EC08BE"/>
    <w:rsid w:val="00EC0DD9"/>
    <w:rsid w:val="00EC1267"/>
    <w:rsid w:val="00EC1F12"/>
    <w:rsid w:val="00EC2649"/>
    <w:rsid w:val="00EC31A8"/>
    <w:rsid w:val="00EC31ED"/>
    <w:rsid w:val="00EC3416"/>
    <w:rsid w:val="00EC3613"/>
    <w:rsid w:val="00EC3743"/>
    <w:rsid w:val="00EC4A30"/>
    <w:rsid w:val="00EC526B"/>
    <w:rsid w:val="00EC5836"/>
    <w:rsid w:val="00EC6172"/>
    <w:rsid w:val="00EC688C"/>
    <w:rsid w:val="00EC7F54"/>
    <w:rsid w:val="00ED0CBB"/>
    <w:rsid w:val="00ED0D2B"/>
    <w:rsid w:val="00ED12E3"/>
    <w:rsid w:val="00ED17D1"/>
    <w:rsid w:val="00ED1ED7"/>
    <w:rsid w:val="00ED3203"/>
    <w:rsid w:val="00ED387F"/>
    <w:rsid w:val="00ED4B04"/>
    <w:rsid w:val="00ED4B2D"/>
    <w:rsid w:val="00ED55EA"/>
    <w:rsid w:val="00ED57EA"/>
    <w:rsid w:val="00ED5813"/>
    <w:rsid w:val="00ED5BD4"/>
    <w:rsid w:val="00ED5F92"/>
    <w:rsid w:val="00ED613C"/>
    <w:rsid w:val="00ED6700"/>
    <w:rsid w:val="00ED693C"/>
    <w:rsid w:val="00ED7136"/>
    <w:rsid w:val="00ED72E7"/>
    <w:rsid w:val="00ED755A"/>
    <w:rsid w:val="00ED75E4"/>
    <w:rsid w:val="00EE0369"/>
    <w:rsid w:val="00EE07D3"/>
    <w:rsid w:val="00EE15DA"/>
    <w:rsid w:val="00EE1996"/>
    <w:rsid w:val="00EE1C01"/>
    <w:rsid w:val="00EE2154"/>
    <w:rsid w:val="00EE22AF"/>
    <w:rsid w:val="00EE2D65"/>
    <w:rsid w:val="00EE3711"/>
    <w:rsid w:val="00EE4019"/>
    <w:rsid w:val="00EE5C05"/>
    <w:rsid w:val="00EE6054"/>
    <w:rsid w:val="00EE60FC"/>
    <w:rsid w:val="00EE6330"/>
    <w:rsid w:val="00EE6409"/>
    <w:rsid w:val="00EE6984"/>
    <w:rsid w:val="00EE6D76"/>
    <w:rsid w:val="00EE7434"/>
    <w:rsid w:val="00EF0171"/>
    <w:rsid w:val="00EF0181"/>
    <w:rsid w:val="00EF1955"/>
    <w:rsid w:val="00EF1B25"/>
    <w:rsid w:val="00EF1DA0"/>
    <w:rsid w:val="00EF33E7"/>
    <w:rsid w:val="00EF445C"/>
    <w:rsid w:val="00EF4747"/>
    <w:rsid w:val="00EF4A57"/>
    <w:rsid w:val="00EF4B7C"/>
    <w:rsid w:val="00EF4BF8"/>
    <w:rsid w:val="00EF4F22"/>
    <w:rsid w:val="00EF50DB"/>
    <w:rsid w:val="00EF57A6"/>
    <w:rsid w:val="00EF59A0"/>
    <w:rsid w:val="00EF5C34"/>
    <w:rsid w:val="00EF6298"/>
    <w:rsid w:val="00EF6596"/>
    <w:rsid w:val="00EF681A"/>
    <w:rsid w:val="00EF76EB"/>
    <w:rsid w:val="00EF7E4E"/>
    <w:rsid w:val="00F006C8"/>
    <w:rsid w:val="00F0076D"/>
    <w:rsid w:val="00F00C07"/>
    <w:rsid w:val="00F0103C"/>
    <w:rsid w:val="00F011E6"/>
    <w:rsid w:val="00F0223F"/>
    <w:rsid w:val="00F02253"/>
    <w:rsid w:val="00F026B5"/>
    <w:rsid w:val="00F0302F"/>
    <w:rsid w:val="00F03262"/>
    <w:rsid w:val="00F03C2E"/>
    <w:rsid w:val="00F03F4B"/>
    <w:rsid w:val="00F04456"/>
    <w:rsid w:val="00F04A66"/>
    <w:rsid w:val="00F04B4B"/>
    <w:rsid w:val="00F0516C"/>
    <w:rsid w:val="00F051DA"/>
    <w:rsid w:val="00F0524D"/>
    <w:rsid w:val="00F067A2"/>
    <w:rsid w:val="00F0697C"/>
    <w:rsid w:val="00F06C49"/>
    <w:rsid w:val="00F075FB"/>
    <w:rsid w:val="00F076A2"/>
    <w:rsid w:val="00F07B9E"/>
    <w:rsid w:val="00F07E35"/>
    <w:rsid w:val="00F101D2"/>
    <w:rsid w:val="00F1028A"/>
    <w:rsid w:val="00F103D5"/>
    <w:rsid w:val="00F1080A"/>
    <w:rsid w:val="00F10E26"/>
    <w:rsid w:val="00F1116F"/>
    <w:rsid w:val="00F1191C"/>
    <w:rsid w:val="00F11DA8"/>
    <w:rsid w:val="00F1263A"/>
    <w:rsid w:val="00F13559"/>
    <w:rsid w:val="00F139C5"/>
    <w:rsid w:val="00F1597F"/>
    <w:rsid w:val="00F15B77"/>
    <w:rsid w:val="00F15B80"/>
    <w:rsid w:val="00F17D68"/>
    <w:rsid w:val="00F17FDA"/>
    <w:rsid w:val="00F207F9"/>
    <w:rsid w:val="00F21236"/>
    <w:rsid w:val="00F2166D"/>
    <w:rsid w:val="00F228A7"/>
    <w:rsid w:val="00F22F18"/>
    <w:rsid w:val="00F239DF"/>
    <w:rsid w:val="00F23BDF"/>
    <w:rsid w:val="00F23ED2"/>
    <w:rsid w:val="00F23FB5"/>
    <w:rsid w:val="00F24837"/>
    <w:rsid w:val="00F2522A"/>
    <w:rsid w:val="00F25749"/>
    <w:rsid w:val="00F2575F"/>
    <w:rsid w:val="00F25A18"/>
    <w:rsid w:val="00F262F7"/>
    <w:rsid w:val="00F26B61"/>
    <w:rsid w:val="00F27565"/>
    <w:rsid w:val="00F30515"/>
    <w:rsid w:val="00F30A46"/>
    <w:rsid w:val="00F30F0A"/>
    <w:rsid w:val="00F310D4"/>
    <w:rsid w:val="00F316BB"/>
    <w:rsid w:val="00F31A3C"/>
    <w:rsid w:val="00F31C31"/>
    <w:rsid w:val="00F31D5A"/>
    <w:rsid w:val="00F330EB"/>
    <w:rsid w:val="00F33119"/>
    <w:rsid w:val="00F3333D"/>
    <w:rsid w:val="00F334FB"/>
    <w:rsid w:val="00F33702"/>
    <w:rsid w:val="00F33975"/>
    <w:rsid w:val="00F33B6D"/>
    <w:rsid w:val="00F33DE9"/>
    <w:rsid w:val="00F33F84"/>
    <w:rsid w:val="00F34232"/>
    <w:rsid w:val="00F347DA"/>
    <w:rsid w:val="00F349F3"/>
    <w:rsid w:val="00F35E6D"/>
    <w:rsid w:val="00F3619A"/>
    <w:rsid w:val="00F361E4"/>
    <w:rsid w:val="00F36DE0"/>
    <w:rsid w:val="00F36E77"/>
    <w:rsid w:val="00F37656"/>
    <w:rsid w:val="00F4007F"/>
    <w:rsid w:val="00F4015E"/>
    <w:rsid w:val="00F40521"/>
    <w:rsid w:val="00F40AAA"/>
    <w:rsid w:val="00F40AC6"/>
    <w:rsid w:val="00F40BA7"/>
    <w:rsid w:val="00F40F9D"/>
    <w:rsid w:val="00F41328"/>
    <w:rsid w:val="00F413E6"/>
    <w:rsid w:val="00F416B2"/>
    <w:rsid w:val="00F416BE"/>
    <w:rsid w:val="00F41ACD"/>
    <w:rsid w:val="00F41D04"/>
    <w:rsid w:val="00F42727"/>
    <w:rsid w:val="00F43168"/>
    <w:rsid w:val="00F444A6"/>
    <w:rsid w:val="00F44982"/>
    <w:rsid w:val="00F45D6F"/>
    <w:rsid w:val="00F45E9B"/>
    <w:rsid w:val="00F4600D"/>
    <w:rsid w:val="00F46775"/>
    <w:rsid w:val="00F46CB6"/>
    <w:rsid w:val="00F46D0A"/>
    <w:rsid w:val="00F46E12"/>
    <w:rsid w:val="00F4756D"/>
    <w:rsid w:val="00F47DE8"/>
    <w:rsid w:val="00F505DA"/>
    <w:rsid w:val="00F51DCA"/>
    <w:rsid w:val="00F52230"/>
    <w:rsid w:val="00F539E2"/>
    <w:rsid w:val="00F542C1"/>
    <w:rsid w:val="00F550E3"/>
    <w:rsid w:val="00F5517E"/>
    <w:rsid w:val="00F557EE"/>
    <w:rsid w:val="00F55DB0"/>
    <w:rsid w:val="00F55E73"/>
    <w:rsid w:val="00F55EDA"/>
    <w:rsid w:val="00F56185"/>
    <w:rsid w:val="00F56300"/>
    <w:rsid w:val="00F563D8"/>
    <w:rsid w:val="00F5670E"/>
    <w:rsid w:val="00F56C80"/>
    <w:rsid w:val="00F577BD"/>
    <w:rsid w:val="00F60092"/>
    <w:rsid w:val="00F60ED9"/>
    <w:rsid w:val="00F61240"/>
    <w:rsid w:val="00F61768"/>
    <w:rsid w:val="00F61C18"/>
    <w:rsid w:val="00F61E05"/>
    <w:rsid w:val="00F62DA2"/>
    <w:rsid w:val="00F63B8F"/>
    <w:rsid w:val="00F63D23"/>
    <w:rsid w:val="00F64020"/>
    <w:rsid w:val="00F649B0"/>
    <w:rsid w:val="00F650C7"/>
    <w:rsid w:val="00F65CAF"/>
    <w:rsid w:val="00F65F4B"/>
    <w:rsid w:val="00F66505"/>
    <w:rsid w:val="00F66C3E"/>
    <w:rsid w:val="00F66D82"/>
    <w:rsid w:val="00F66F75"/>
    <w:rsid w:val="00F67080"/>
    <w:rsid w:val="00F67190"/>
    <w:rsid w:val="00F6725B"/>
    <w:rsid w:val="00F672E2"/>
    <w:rsid w:val="00F67360"/>
    <w:rsid w:val="00F6796D"/>
    <w:rsid w:val="00F67A69"/>
    <w:rsid w:val="00F70437"/>
    <w:rsid w:val="00F705D0"/>
    <w:rsid w:val="00F70715"/>
    <w:rsid w:val="00F70921"/>
    <w:rsid w:val="00F70BFF"/>
    <w:rsid w:val="00F70C9D"/>
    <w:rsid w:val="00F70F19"/>
    <w:rsid w:val="00F71E69"/>
    <w:rsid w:val="00F7266F"/>
    <w:rsid w:val="00F72B0D"/>
    <w:rsid w:val="00F738E6"/>
    <w:rsid w:val="00F73E08"/>
    <w:rsid w:val="00F74CD9"/>
    <w:rsid w:val="00F752AC"/>
    <w:rsid w:val="00F756C7"/>
    <w:rsid w:val="00F7627B"/>
    <w:rsid w:val="00F76323"/>
    <w:rsid w:val="00F7640F"/>
    <w:rsid w:val="00F7658C"/>
    <w:rsid w:val="00F7792F"/>
    <w:rsid w:val="00F80A7B"/>
    <w:rsid w:val="00F80E5D"/>
    <w:rsid w:val="00F81687"/>
    <w:rsid w:val="00F81E78"/>
    <w:rsid w:val="00F8215E"/>
    <w:rsid w:val="00F8227E"/>
    <w:rsid w:val="00F82378"/>
    <w:rsid w:val="00F82B0D"/>
    <w:rsid w:val="00F82E16"/>
    <w:rsid w:val="00F82F47"/>
    <w:rsid w:val="00F83117"/>
    <w:rsid w:val="00F8330C"/>
    <w:rsid w:val="00F83916"/>
    <w:rsid w:val="00F843F7"/>
    <w:rsid w:val="00F84D63"/>
    <w:rsid w:val="00F84F73"/>
    <w:rsid w:val="00F851CE"/>
    <w:rsid w:val="00F8523D"/>
    <w:rsid w:val="00F854B4"/>
    <w:rsid w:val="00F8611C"/>
    <w:rsid w:val="00F86453"/>
    <w:rsid w:val="00F86508"/>
    <w:rsid w:val="00F9110F"/>
    <w:rsid w:val="00F91219"/>
    <w:rsid w:val="00F913B6"/>
    <w:rsid w:val="00F918F3"/>
    <w:rsid w:val="00F92444"/>
    <w:rsid w:val="00F92EA2"/>
    <w:rsid w:val="00F93467"/>
    <w:rsid w:val="00F9393E"/>
    <w:rsid w:val="00F93C26"/>
    <w:rsid w:val="00F9476B"/>
    <w:rsid w:val="00F954C3"/>
    <w:rsid w:val="00F955B1"/>
    <w:rsid w:val="00F95CE3"/>
    <w:rsid w:val="00F96FD0"/>
    <w:rsid w:val="00F97793"/>
    <w:rsid w:val="00F97A78"/>
    <w:rsid w:val="00FA0022"/>
    <w:rsid w:val="00FA0648"/>
    <w:rsid w:val="00FA0B20"/>
    <w:rsid w:val="00FA166B"/>
    <w:rsid w:val="00FA24E7"/>
    <w:rsid w:val="00FA2740"/>
    <w:rsid w:val="00FA2AB8"/>
    <w:rsid w:val="00FA2AFF"/>
    <w:rsid w:val="00FA2F99"/>
    <w:rsid w:val="00FA348B"/>
    <w:rsid w:val="00FA3B07"/>
    <w:rsid w:val="00FA4B75"/>
    <w:rsid w:val="00FA55C1"/>
    <w:rsid w:val="00FA568C"/>
    <w:rsid w:val="00FA5B8A"/>
    <w:rsid w:val="00FA5E19"/>
    <w:rsid w:val="00FA5EE6"/>
    <w:rsid w:val="00FA6B31"/>
    <w:rsid w:val="00FA7470"/>
    <w:rsid w:val="00FA7956"/>
    <w:rsid w:val="00FA797C"/>
    <w:rsid w:val="00FA7EDC"/>
    <w:rsid w:val="00FB0824"/>
    <w:rsid w:val="00FB0918"/>
    <w:rsid w:val="00FB0EBA"/>
    <w:rsid w:val="00FB1654"/>
    <w:rsid w:val="00FB1B7F"/>
    <w:rsid w:val="00FB1C00"/>
    <w:rsid w:val="00FB2B37"/>
    <w:rsid w:val="00FB2CB4"/>
    <w:rsid w:val="00FB2FCB"/>
    <w:rsid w:val="00FB311A"/>
    <w:rsid w:val="00FB330D"/>
    <w:rsid w:val="00FB38BD"/>
    <w:rsid w:val="00FB3A3D"/>
    <w:rsid w:val="00FB46E9"/>
    <w:rsid w:val="00FB4950"/>
    <w:rsid w:val="00FB4C9C"/>
    <w:rsid w:val="00FB4D38"/>
    <w:rsid w:val="00FB508B"/>
    <w:rsid w:val="00FB5D12"/>
    <w:rsid w:val="00FB5F33"/>
    <w:rsid w:val="00FB6BE7"/>
    <w:rsid w:val="00FB6FEA"/>
    <w:rsid w:val="00FB7C55"/>
    <w:rsid w:val="00FC0059"/>
    <w:rsid w:val="00FC07FF"/>
    <w:rsid w:val="00FC0D6A"/>
    <w:rsid w:val="00FC1074"/>
    <w:rsid w:val="00FC12D4"/>
    <w:rsid w:val="00FC1465"/>
    <w:rsid w:val="00FC147E"/>
    <w:rsid w:val="00FC1664"/>
    <w:rsid w:val="00FC1884"/>
    <w:rsid w:val="00FC2E3D"/>
    <w:rsid w:val="00FC336D"/>
    <w:rsid w:val="00FC3395"/>
    <w:rsid w:val="00FC371D"/>
    <w:rsid w:val="00FC3EF3"/>
    <w:rsid w:val="00FC3F51"/>
    <w:rsid w:val="00FC4296"/>
    <w:rsid w:val="00FC5F0B"/>
    <w:rsid w:val="00FC636B"/>
    <w:rsid w:val="00FC732B"/>
    <w:rsid w:val="00FC746D"/>
    <w:rsid w:val="00FC797B"/>
    <w:rsid w:val="00FC7B66"/>
    <w:rsid w:val="00FD082A"/>
    <w:rsid w:val="00FD0D92"/>
    <w:rsid w:val="00FD0EF7"/>
    <w:rsid w:val="00FD1249"/>
    <w:rsid w:val="00FD17CF"/>
    <w:rsid w:val="00FD18E4"/>
    <w:rsid w:val="00FD1BC9"/>
    <w:rsid w:val="00FD2036"/>
    <w:rsid w:val="00FD2100"/>
    <w:rsid w:val="00FD30C0"/>
    <w:rsid w:val="00FD3578"/>
    <w:rsid w:val="00FD3C98"/>
    <w:rsid w:val="00FD436C"/>
    <w:rsid w:val="00FD446D"/>
    <w:rsid w:val="00FD4F2C"/>
    <w:rsid w:val="00FD51C0"/>
    <w:rsid w:val="00FD60E2"/>
    <w:rsid w:val="00FD6394"/>
    <w:rsid w:val="00FD63AB"/>
    <w:rsid w:val="00FD674D"/>
    <w:rsid w:val="00FD74E4"/>
    <w:rsid w:val="00FD7846"/>
    <w:rsid w:val="00FE0A7F"/>
    <w:rsid w:val="00FE0E6C"/>
    <w:rsid w:val="00FE1CDC"/>
    <w:rsid w:val="00FE2111"/>
    <w:rsid w:val="00FE24B2"/>
    <w:rsid w:val="00FE2EC4"/>
    <w:rsid w:val="00FE3A23"/>
    <w:rsid w:val="00FE4749"/>
    <w:rsid w:val="00FE4A15"/>
    <w:rsid w:val="00FE592C"/>
    <w:rsid w:val="00FE5E9D"/>
    <w:rsid w:val="00FE6004"/>
    <w:rsid w:val="00FE6796"/>
    <w:rsid w:val="00FE6896"/>
    <w:rsid w:val="00FE70C3"/>
    <w:rsid w:val="00FE7949"/>
    <w:rsid w:val="00FF052B"/>
    <w:rsid w:val="00FF167B"/>
    <w:rsid w:val="00FF1988"/>
    <w:rsid w:val="00FF1A8B"/>
    <w:rsid w:val="00FF2A88"/>
    <w:rsid w:val="00FF2AD9"/>
    <w:rsid w:val="00FF359F"/>
    <w:rsid w:val="00FF3678"/>
    <w:rsid w:val="00FF3772"/>
    <w:rsid w:val="00FF3774"/>
    <w:rsid w:val="00FF3D61"/>
    <w:rsid w:val="00FF3D77"/>
    <w:rsid w:val="00FF3DCF"/>
    <w:rsid w:val="00FF4421"/>
    <w:rsid w:val="00FF492C"/>
    <w:rsid w:val="00FF4A21"/>
    <w:rsid w:val="00FF4C16"/>
    <w:rsid w:val="00FF5AA3"/>
    <w:rsid w:val="00FF5AD8"/>
    <w:rsid w:val="00FF5BB0"/>
    <w:rsid w:val="00FF676B"/>
    <w:rsid w:val="00FF70CF"/>
    <w:rsid w:val="02147226"/>
    <w:rsid w:val="043057D2"/>
    <w:rsid w:val="07F3F981"/>
    <w:rsid w:val="0C63C453"/>
    <w:rsid w:val="0D03DDBD"/>
    <w:rsid w:val="0F0F5B25"/>
    <w:rsid w:val="1AD8B83A"/>
    <w:rsid w:val="1C903144"/>
    <w:rsid w:val="27E47ACD"/>
    <w:rsid w:val="2BEF2DDC"/>
    <w:rsid w:val="3486B436"/>
    <w:rsid w:val="36065BD7"/>
    <w:rsid w:val="3662E7C2"/>
    <w:rsid w:val="373DAC39"/>
    <w:rsid w:val="389B21B9"/>
    <w:rsid w:val="3D17F041"/>
    <w:rsid w:val="3E3E0243"/>
    <w:rsid w:val="40A7F9A0"/>
    <w:rsid w:val="43034EDB"/>
    <w:rsid w:val="452DB55B"/>
    <w:rsid w:val="46333E0C"/>
    <w:rsid w:val="49707B3A"/>
    <w:rsid w:val="4F1F26BC"/>
    <w:rsid w:val="5BE0EF30"/>
    <w:rsid w:val="61ED92A5"/>
    <w:rsid w:val="65138562"/>
    <w:rsid w:val="653CE2D1"/>
    <w:rsid w:val="6BA4A88F"/>
    <w:rsid w:val="6FA69D47"/>
    <w:rsid w:val="705FF46E"/>
    <w:rsid w:val="78C2D23F"/>
    <w:rsid w:val="7EEC66C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39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L,Bullet Point,Bulletr List Paragraph,Content descriptions,FooterText,List Bullet 1,List Paragraph2"/>
    <w:link w:val="ListParagraphChar"/>
    <w:uiPriority w:val="34"/>
    <w:qFormat/>
    <w:rsid w:val="00F6796D"/>
    <w:pPr>
      <w:numPr>
        <w:numId w:val="7"/>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L Char,Bullet Point Char,Content descriptions Char"/>
    <w:basedOn w:val="DefaultParagraphFont"/>
    <w:link w:val="ListParagraph"/>
    <w:uiPriority w:val="34"/>
    <w:qFormat/>
    <w:locked/>
    <w:rsid w:val="00F6796D"/>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Source table_,NICE instructions,PHE Table Grid,Lash Style Table,HTAtableplain,Section 3- footnotes"/>
    <w:basedOn w:val="TableNormal"/>
    <w:rsid w:val="004B3DDB"/>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uiPriority w:val="99"/>
    <w:qFormat/>
    <w:rsid w:val="004C3B02"/>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uiPriority w:val="99"/>
    <w:qFormat/>
    <w:rsid w:val="00766C07"/>
    <w:pPr>
      <w:numPr>
        <w:ilvl w:val="1"/>
        <w:numId w:val="8"/>
      </w:numPr>
      <w:spacing w:before="60" w:after="6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uiPriority w:val="99"/>
    <w:rsid w:val="00766C07"/>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E46F70"/>
    <w:pPr>
      <w:keepLines/>
      <w:spacing w:after="120"/>
      <w:contextualSpacing/>
      <w:jc w:val="left"/>
    </w:pPr>
    <w:rPr>
      <w:rFonts w:ascii="Arial Narrow" w:hAnsi="Arial Narrow"/>
      <w:bCs/>
      <w:snapToGrid w:val="0"/>
      <w:sz w:val="18"/>
      <w:szCs w:val="18"/>
    </w:rPr>
  </w:style>
  <w:style w:type="character" w:customStyle="1" w:styleId="TableFigureFooterChar">
    <w:name w:val="Table/Figure Footer Char"/>
    <w:link w:val="TableFigureFooter"/>
    <w:rsid w:val="00E46F70"/>
    <w:rPr>
      <w:rFonts w:ascii="Arial Narrow" w:hAnsi="Arial Narrow" w:cs="Arial"/>
      <w:bCs/>
      <w:snapToGrid w:val="0"/>
      <w:sz w:val="18"/>
      <w:szCs w:val="18"/>
    </w:rPr>
  </w:style>
  <w:style w:type="table" w:customStyle="1" w:styleId="PBACtable">
    <w:name w:val="PBAC_table"/>
    <w:basedOn w:val="TableNormal"/>
    <w:uiPriority w:val="99"/>
    <w:rsid w:val="009B0958"/>
    <w:rPr>
      <w:rFonts w:ascii="Arial Narrow" w:hAnsi="Arial Narrow"/>
    </w:rPr>
    <w:tblPr/>
  </w:style>
  <w:style w:type="table" w:customStyle="1" w:styleId="PBAClayout">
    <w:name w:val="PBAC_layout"/>
    <w:basedOn w:val="TableNormal"/>
    <w:uiPriority w:val="99"/>
    <w:rsid w:val="00A01058"/>
    <w:rPr>
      <w:rFonts w:ascii="Arial Narrow" w:hAnsi="Arial Narrow"/>
    </w:rPr>
    <w:tblPr/>
  </w:style>
  <w:style w:type="paragraph" w:styleId="FootnoteText">
    <w:name w:val="footnote text"/>
    <w:aliases w:val="Footnote Text Char1,Footnote Text Char Char,Footnote Text Char2,Footnote Text Char Char1"/>
    <w:basedOn w:val="Normal"/>
    <w:link w:val="FootnoteTextChar"/>
    <w:uiPriority w:val="99"/>
    <w:unhideWhenUsed/>
    <w:rsid w:val="00495C2A"/>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495C2A"/>
    <w:rPr>
      <w:rFonts w:ascii="Calibri" w:hAnsi="Calibri" w:cs="Arial"/>
    </w:rPr>
  </w:style>
  <w:style w:type="character" w:styleId="FootnoteReference">
    <w:name w:val="footnote reference"/>
    <w:basedOn w:val="DefaultParagraphFont"/>
    <w:uiPriority w:val="99"/>
    <w:unhideWhenUsed/>
    <w:rsid w:val="00495C2A"/>
    <w:rPr>
      <w:vertAlign w:val="superscript"/>
    </w:rPr>
  </w:style>
  <w:style w:type="character" w:styleId="UnresolvedMention">
    <w:name w:val="Unresolved Mention"/>
    <w:basedOn w:val="DefaultParagraphFont"/>
    <w:uiPriority w:val="99"/>
    <w:semiHidden/>
    <w:unhideWhenUsed/>
    <w:rsid w:val="00495C2A"/>
    <w:rPr>
      <w:color w:val="605E5C"/>
      <w:shd w:val="clear" w:color="auto" w:fill="E1DFDD"/>
    </w:rPr>
  </w:style>
  <w:style w:type="paragraph" w:customStyle="1" w:styleId="TableText1">
    <w:name w:val="TableText"/>
    <w:basedOn w:val="Normal"/>
    <w:link w:val="TableTextChar1"/>
    <w:uiPriority w:val="3"/>
    <w:qFormat/>
    <w:rsid w:val="005F69BD"/>
    <w:pPr>
      <w:spacing w:before="20" w:after="20"/>
      <w:jc w:val="left"/>
    </w:pPr>
    <w:rPr>
      <w:rFonts w:ascii="Arial Narrow" w:hAnsi="Arial Narrow" w:cs="Calibri"/>
      <w:bCs/>
      <w:sz w:val="20"/>
      <w:szCs w:val="20"/>
      <w:lang w:eastAsia="zh-CN"/>
    </w:rPr>
  </w:style>
  <w:style w:type="character" w:customStyle="1" w:styleId="TableTextChar1">
    <w:name w:val="TableText Char"/>
    <w:basedOn w:val="DefaultParagraphFont"/>
    <w:link w:val="TableText1"/>
    <w:uiPriority w:val="3"/>
    <w:rsid w:val="005F69BD"/>
    <w:rPr>
      <w:rFonts w:ascii="Arial Narrow" w:hAnsi="Arial Narrow" w:cs="Calibri"/>
      <w:bCs/>
      <w:lang w:eastAsia="zh-CN"/>
    </w:rPr>
  </w:style>
  <w:style w:type="paragraph" w:customStyle="1" w:styleId="EndNoteBibliography">
    <w:name w:val="EndNote Bibliography"/>
    <w:basedOn w:val="Normal"/>
    <w:link w:val="EndNoteBibliographyChar"/>
    <w:rsid w:val="005F69BD"/>
    <w:pPr>
      <w:numPr>
        <w:numId w:val="11"/>
      </w:numPr>
      <w:ind w:left="720"/>
    </w:pPr>
    <w:rPr>
      <w:rFonts w:cs="Calibri"/>
      <w:noProof/>
    </w:rPr>
  </w:style>
  <w:style w:type="character" w:customStyle="1" w:styleId="author">
    <w:name w:val="author"/>
    <w:basedOn w:val="DefaultParagraphFont"/>
    <w:rsid w:val="005F69BD"/>
  </w:style>
  <w:style w:type="character" w:customStyle="1" w:styleId="articletitle">
    <w:name w:val="articletitle"/>
    <w:basedOn w:val="DefaultParagraphFont"/>
    <w:rsid w:val="005F69BD"/>
  </w:style>
  <w:style w:type="character" w:customStyle="1" w:styleId="pubyear">
    <w:name w:val="pubyear"/>
    <w:basedOn w:val="DefaultParagraphFont"/>
    <w:rsid w:val="005F69BD"/>
  </w:style>
  <w:style w:type="character" w:customStyle="1" w:styleId="vol">
    <w:name w:val="vol"/>
    <w:basedOn w:val="DefaultParagraphFont"/>
    <w:rsid w:val="005F69BD"/>
  </w:style>
  <w:style w:type="character" w:customStyle="1" w:styleId="citedissue">
    <w:name w:val="citedissue"/>
    <w:basedOn w:val="DefaultParagraphFont"/>
    <w:rsid w:val="005F69BD"/>
  </w:style>
  <w:style w:type="character" w:customStyle="1" w:styleId="pagefirst">
    <w:name w:val="pagefirst"/>
    <w:basedOn w:val="DefaultParagraphFont"/>
    <w:rsid w:val="005F69BD"/>
  </w:style>
  <w:style w:type="character" w:customStyle="1" w:styleId="pagelast">
    <w:name w:val="pagelast"/>
    <w:basedOn w:val="DefaultParagraphFont"/>
    <w:rsid w:val="005F69BD"/>
  </w:style>
  <w:style w:type="paragraph" w:styleId="TableofFigures">
    <w:name w:val="table of figures"/>
    <w:basedOn w:val="Normal"/>
    <w:next w:val="Normal"/>
    <w:uiPriority w:val="99"/>
    <w:unhideWhenUsed/>
    <w:rsid w:val="005F69BD"/>
  </w:style>
  <w:style w:type="character" w:customStyle="1" w:styleId="EndNoteBibliographyChar">
    <w:name w:val="EndNote Bibliography Char"/>
    <w:basedOn w:val="DefaultParagraphFont"/>
    <w:link w:val="EndNoteBibliography"/>
    <w:rsid w:val="005F69BD"/>
    <w:rPr>
      <w:rFonts w:ascii="Calibri" w:hAnsi="Calibri" w:cs="Calibri"/>
      <w:noProof/>
      <w:sz w:val="24"/>
      <w:szCs w:val="24"/>
    </w:rPr>
  </w:style>
  <w:style w:type="table" w:customStyle="1" w:styleId="TableGrid2">
    <w:name w:val="Table Grid2"/>
    <w:basedOn w:val="TableNormal"/>
    <w:rsid w:val="005F69BD"/>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5F69BD"/>
    <w:rPr>
      <w:rFonts w:ascii="Calibri" w:hAnsi="Calibri" w:cs="Arial"/>
      <w:b/>
      <w:caps/>
      <w:sz w:val="32"/>
      <w:szCs w:val="24"/>
    </w:rPr>
  </w:style>
  <w:style w:type="character" w:customStyle="1" w:styleId="Heading3Char">
    <w:name w:val="Heading 3 Char"/>
    <w:basedOn w:val="DefaultParagraphFont"/>
    <w:link w:val="Heading3"/>
    <w:rsid w:val="005F69BD"/>
    <w:rPr>
      <w:rFonts w:ascii="Calibri" w:hAnsi="Calibri" w:cs="Arial"/>
      <w:sz w:val="24"/>
      <w:szCs w:val="24"/>
      <w:u w:val="single"/>
    </w:rPr>
  </w:style>
  <w:style w:type="character" w:customStyle="1" w:styleId="Heading4Char">
    <w:name w:val="Heading 4 Char"/>
    <w:basedOn w:val="DefaultParagraphFont"/>
    <w:link w:val="Heading4"/>
    <w:rsid w:val="005F69BD"/>
    <w:rPr>
      <w:rFonts w:ascii="Calibri" w:hAnsi="Calibri" w:cs="Arial"/>
      <w:b/>
      <w:bCs/>
      <w:i/>
      <w:sz w:val="26"/>
      <w:szCs w:val="28"/>
    </w:rPr>
  </w:style>
  <w:style w:type="character" w:customStyle="1" w:styleId="Heading5Char">
    <w:name w:val="Heading 5 Char"/>
    <w:basedOn w:val="DefaultParagraphFont"/>
    <w:link w:val="Heading5"/>
    <w:uiPriority w:val="9"/>
    <w:rsid w:val="005F69BD"/>
    <w:rPr>
      <w:rFonts w:ascii="Calibri" w:hAnsi="Calibri" w:cs="Arial"/>
      <w:b/>
      <w:bCs/>
      <w:iCs/>
      <w:sz w:val="26"/>
      <w:szCs w:val="26"/>
    </w:rPr>
  </w:style>
  <w:style w:type="character" w:customStyle="1" w:styleId="Heading6Char">
    <w:name w:val="Heading 6 Char"/>
    <w:basedOn w:val="DefaultParagraphFont"/>
    <w:link w:val="Heading6"/>
    <w:uiPriority w:val="9"/>
    <w:rsid w:val="005F69BD"/>
    <w:rPr>
      <w:rFonts w:ascii="Calibri" w:hAnsi="Calibri" w:cs="Arial"/>
      <w:b/>
      <w:bCs/>
      <w:i/>
      <w:sz w:val="24"/>
      <w:szCs w:val="24"/>
    </w:rPr>
  </w:style>
  <w:style w:type="paragraph" w:customStyle="1" w:styleId="msonormal0">
    <w:name w:val="msonormal"/>
    <w:basedOn w:val="Normal"/>
    <w:uiPriority w:val="99"/>
    <w:rsid w:val="005F69BD"/>
    <w:pPr>
      <w:snapToGrid w:val="0"/>
      <w:spacing w:before="100" w:after="100"/>
      <w:jc w:val="left"/>
    </w:pPr>
    <w:rPr>
      <w:rFonts w:ascii="Times New Roman" w:hAnsi="Times New Roman" w:cs="Times New Roman"/>
      <w:lang w:val="en-GB"/>
    </w:rPr>
  </w:style>
  <w:style w:type="character" w:customStyle="1" w:styleId="FootnoteTextChar3">
    <w:name w:val="Footnote Text Char3"/>
    <w:aliases w:val="Footnote Text Char1 Char1,Footnote Text Char Char Char1,Footnote Text Char2 Char1,Footnote Text Char Char1 Char1"/>
    <w:basedOn w:val="DefaultParagraphFont"/>
    <w:uiPriority w:val="99"/>
    <w:semiHidden/>
    <w:rsid w:val="005F69BD"/>
    <w:rPr>
      <w:rFonts w:ascii="Calibri" w:hAnsi="Calibri" w:cs="Arial"/>
    </w:rPr>
  </w:style>
  <w:style w:type="character" w:customStyle="1" w:styleId="HeaderChar1">
    <w:name w:val="Header Char1"/>
    <w:aliases w:val="Page Header Char1,Header title Char1,he=header Char1,cntr/bld Char1"/>
    <w:basedOn w:val="DefaultParagraphFont"/>
    <w:semiHidden/>
    <w:rsid w:val="005F69BD"/>
    <w:rPr>
      <w:rFonts w:ascii="Calibri" w:hAnsi="Calibri" w:cs="Arial"/>
      <w:sz w:val="24"/>
      <w:szCs w:val="24"/>
    </w:rPr>
  </w:style>
  <w:style w:type="character" w:customStyle="1" w:styleId="TableTextCentredChar">
    <w:name w:val="Table Text (Centred) Char"/>
    <w:basedOn w:val="DefaultParagraphFont"/>
    <w:link w:val="TableTextCentred"/>
    <w:locked/>
    <w:rsid w:val="005F69BD"/>
    <w:rPr>
      <w:rFonts w:ascii="Arial" w:eastAsia="SimSun" w:hAnsi="Arial" w:cs="Arial"/>
      <w:color w:val="1F497D"/>
      <w:lang w:val="en-GB" w:eastAsia="en-GB"/>
    </w:rPr>
  </w:style>
  <w:style w:type="paragraph" w:customStyle="1" w:styleId="TableTextCentred">
    <w:name w:val="Table Text (Centred)"/>
    <w:basedOn w:val="Normal"/>
    <w:link w:val="TableTextCentredChar"/>
    <w:qFormat/>
    <w:rsid w:val="005F69BD"/>
    <w:pPr>
      <w:spacing w:before="40" w:after="40"/>
      <w:jc w:val="center"/>
    </w:pPr>
    <w:rPr>
      <w:rFonts w:ascii="Arial" w:eastAsia="SimSun" w:hAnsi="Arial"/>
      <w:color w:val="1F497D"/>
      <w:sz w:val="20"/>
      <w:szCs w:val="20"/>
      <w:lang w:val="en-GB" w:eastAsia="en-GB"/>
    </w:rPr>
  </w:style>
  <w:style w:type="character" w:customStyle="1" w:styleId="TableTextLeftChar">
    <w:name w:val="Table Text (Left) Char"/>
    <w:basedOn w:val="DefaultParagraphFont"/>
    <w:link w:val="TableTextLeft"/>
    <w:locked/>
    <w:rsid w:val="005F69BD"/>
    <w:rPr>
      <w:rFonts w:ascii="Arial" w:eastAsia="SimSun" w:hAnsi="Arial" w:cs="Arial"/>
      <w:bCs/>
      <w:color w:val="1F497D"/>
      <w:lang w:val="en-GB" w:eastAsia="en-GB"/>
    </w:rPr>
  </w:style>
  <w:style w:type="paragraph" w:customStyle="1" w:styleId="TableTextLeft">
    <w:name w:val="Table Text (Left)"/>
    <w:basedOn w:val="Normal"/>
    <w:link w:val="TableTextLeftChar"/>
    <w:qFormat/>
    <w:rsid w:val="005F69BD"/>
    <w:pPr>
      <w:spacing w:before="40" w:after="40"/>
      <w:jc w:val="left"/>
    </w:pPr>
    <w:rPr>
      <w:rFonts w:ascii="Arial" w:eastAsia="SimSun" w:hAnsi="Arial"/>
      <w:bCs/>
      <w:color w:val="1F497D"/>
      <w:sz w:val="20"/>
      <w:szCs w:val="20"/>
      <w:lang w:val="en-GB" w:eastAsia="en-GB"/>
    </w:rPr>
  </w:style>
  <w:style w:type="character" w:customStyle="1" w:styleId="TableHeadingCentredChar">
    <w:name w:val="Table Heading (Centred) Char"/>
    <w:basedOn w:val="DefaultParagraphFont"/>
    <w:link w:val="TableHeadingCentred"/>
    <w:locked/>
    <w:rsid w:val="005F69BD"/>
    <w:rPr>
      <w:rFonts w:ascii="Arial" w:eastAsia="SimSun" w:hAnsi="Arial" w:cs="Arial"/>
      <w:b/>
      <w:bCs/>
      <w:color w:val="1F497D"/>
      <w:sz w:val="21"/>
      <w:szCs w:val="21"/>
      <w:lang w:val="en-GB" w:eastAsia="en-GB"/>
    </w:rPr>
  </w:style>
  <w:style w:type="paragraph" w:customStyle="1" w:styleId="TableHeadingCentred">
    <w:name w:val="Table Heading (Centred)"/>
    <w:basedOn w:val="Normal"/>
    <w:link w:val="TableHeadingCentredChar"/>
    <w:qFormat/>
    <w:rsid w:val="005F69BD"/>
    <w:pPr>
      <w:spacing w:before="40" w:after="40"/>
      <w:jc w:val="center"/>
    </w:pPr>
    <w:rPr>
      <w:rFonts w:ascii="Arial" w:eastAsia="SimSun" w:hAnsi="Arial"/>
      <w:b/>
      <w:bCs/>
      <w:color w:val="1F497D"/>
      <w:sz w:val="21"/>
      <w:szCs w:val="21"/>
      <w:lang w:val="en-GB" w:eastAsia="en-GB"/>
    </w:rPr>
  </w:style>
  <w:style w:type="character" w:customStyle="1" w:styleId="TableHeadingLeftChar">
    <w:name w:val="Table Heading (Left) Char"/>
    <w:link w:val="TableHeadingLeft"/>
    <w:locked/>
    <w:rsid w:val="005F69BD"/>
    <w:rPr>
      <w:rFonts w:ascii="Arial" w:eastAsia="SimSun" w:hAnsi="Arial" w:cs="Arial"/>
      <w:b/>
      <w:color w:val="1F497D"/>
      <w:sz w:val="21"/>
      <w:szCs w:val="21"/>
      <w:lang w:val="en-GB" w:eastAsia="en-GB"/>
    </w:rPr>
  </w:style>
  <w:style w:type="paragraph" w:customStyle="1" w:styleId="TableHeadingLeft">
    <w:name w:val="Table Heading (Left)"/>
    <w:basedOn w:val="Normal"/>
    <w:link w:val="TableHeadingLeftChar"/>
    <w:qFormat/>
    <w:rsid w:val="005F69BD"/>
    <w:pPr>
      <w:spacing w:before="40" w:after="40"/>
      <w:jc w:val="left"/>
    </w:pPr>
    <w:rPr>
      <w:rFonts w:ascii="Arial" w:eastAsia="SimSun" w:hAnsi="Arial"/>
      <w:b/>
      <w:color w:val="1F497D"/>
      <w:sz w:val="21"/>
      <w:szCs w:val="21"/>
      <w:lang w:val="en-GB" w:eastAsia="en-GB"/>
    </w:rPr>
  </w:style>
  <w:style w:type="character" w:customStyle="1" w:styleId="FootnotesChar">
    <w:name w:val="Footnotes Char"/>
    <w:basedOn w:val="DefaultParagraphFont"/>
    <w:link w:val="Footnotes"/>
    <w:locked/>
    <w:rsid w:val="005F69BD"/>
    <w:rPr>
      <w:rFonts w:ascii="Arial" w:hAnsi="Arial" w:cs="Arial"/>
      <w:color w:val="1F497D"/>
      <w:sz w:val="18"/>
      <w:lang w:val="en-GB" w:eastAsia="en-US"/>
    </w:rPr>
  </w:style>
  <w:style w:type="paragraph" w:customStyle="1" w:styleId="Footnotes">
    <w:name w:val="Footnotes"/>
    <w:basedOn w:val="Normal"/>
    <w:link w:val="FootnotesChar"/>
    <w:qFormat/>
    <w:rsid w:val="005F69BD"/>
    <w:pPr>
      <w:keepLines/>
      <w:spacing w:before="40" w:after="240"/>
      <w:contextualSpacing/>
    </w:pPr>
    <w:rPr>
      <w:rFonts w:ascii="Arial" w:hAnsi="Arial"/>
      <w:color w:val="1F497D"/>
      <w:sz w:val="18"/>
      <w:szCs w:val="20"/>
      <w:lang w:val="en-GB" w:eastAsia="en-US"/>
    </w:rPr>
  </w:style>
  <w:style w:type="paragraph" w:customStyle="1" w:styleId="Secondbullit">
    <w:name w:val="Second bullit"/>
    <w:basedOn w:val="Normal"/>
    <w:uiPriority w:val="99"/>
    <w:rsid w:val="005F69BD"/>
    <w:pPr>
      <w:numPr>
        <w:numId w:val="13"/>
      </w:numPr>
      <w:tabs>
        <w:tab w:val="left" w:pos="720"/>
        <w:tab w:val="left" w:pos="2160"/>
      </w:tabs>
      <w:spacing w:after="120"/>
      <w:jc w:val="left"/>
    </w:pPr>
    <w:rPr>
      <w:rFonts w:ascii="Times New Roman" w:hAnsi="Times New Roman" w:cs="Times New Roman"/>
      <w:spacing w:val="-3"/>
      <w:szCs w:val="20"/>
      <w:lang w:val="en-GB" w:eastAsia="en-US"/>
    </w:rPr>
  </w:style>
  <w:style w:type="table" w:styleId="TableGrid1">
    <w:name w:val="Table Grid 1"/>
    <w:basedOn w:val="TableNormal"/>
    <w:semiHidden/>
    <w:unhideWhenUsed/>
    <w:rsid w:val="005F69BD"/>
    <w:pPr>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NICEinstructions1">
    <w:name w:val="NICE instructions1"/>
    <w:basedOn w:val="TableNormal"/>
    <w:uiPriority w:val="39"/>
    <w:rsid w:val="005F69BD"/>
    <w:rPr>
      <w:rFonts w:ascii="Calibri" w:eastAsia="Calibri" w:hAnsi="Calibri" w:cs="Arial"/>
      <w:sz w:val="22"/>
      <w:szCs w:val="22"/>
      <w:lang w:val="en-US"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Style">
    <w:name w:val="PBAC Table Style"/>
    <w:basedOn w:val="TableGrid1"/>
    <w:uiPriority w:val="99"/>
    <w:rsid w:val="005F69BD"/>
    <w:pPr>
      <w:widowControl w:val="0"/>
      <w:spacing w:before="120"/>
      <w:contextualSpacing/>
      <w:jc w:val="center"/>
    </w:pPr>
    <w:rPr>
      <w:rFonts w:ascii="Arial Narrow" w:eastAsia="Calibri" w:hAnsi="Arial Narrow"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Segoe UI Semilight" w:hAnsi="Segoe UI Semilight"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Segoe UI Semilight" w:hAnsi="Segoe UI Semilight"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Segoe UI Semilight" w:hAnsi="Segoe UI Semilight"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ELILILLYTABLE">
    <w:name w:val="ELI_LILLY TABLE"/>
    <w:basedOn w:val="TableNormal"/>
    <w:uiPriority w:val="99"/>
    <w:rsid w:val="005F69BD"/>
    <w:pPr>
      <w:spacing w:before="20" w:after="20"/>
      <w:ind w:left="113" w:right="113"/>
    </w:pPr>
    <w:rPr>
      <w:rFonts w:ascii="Calibri" w:eastAsia="Calibri" w:hAnsi="Calibri" w:cs="Arial"/>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i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cPr>
    </w:tblStylePr>
  </w:style>
  <w:style w:type="character" w:styleId="PlaceholderText">
    <w:name w:val="Placeholder Text"/>
    <w:basedOn w:val="DefaultParagraphFont"/>
    <w:uiPriority w:val="99"/>
    <w:semiHidden/>
    <w:rsid w:val="00023593"/>
    <w:rPr>
      <w:color w:val="808080"/>
    </w:rPr>
  </w:style>
  <w:style w:type="character" w:styleId="Mention">
    <w:name w:val="Mention"/>
    <w:basedOn w:val="DefaultParagraphFont"/>
    <w:uiPriority w:val="99"/>
    <w:unhideWhenUsed/>
    <w:rsid w:val="0036064D"/>
    <w:rPr>
      <w:color w:val="2B579A"/>
      <w:shd w:val="clear" w:color="auto" w:fill="E1DFDD"/>
    </w:rPr>
  </w:style>
  <w:style w:type="paragraph" w:customStyle="1" w:styleId="pf0">
    <w:name w:val="pf0"/>
    <w:basedOn w:val="Normal"/>
    <w:rsid w:val="00C43A71"/>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EC374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C3743"/>
    <w:rPr>
      <w:rFonts w:asciiTheme="minorHAnsi" w:eastAsiaTheme="majorEastAsia" w:hAnsiTheme="minorHAnsi" w:cstheme="majorBidi"/>
      <w:b/>
      <w:i/>
      <w:snapToGrid/>
      <w:spacing w:val="5"/>
      <w:kern w:val="28"/>
      <w:sz w:val="28"/>
      <w:szCs w:val="36"/>
      <w:lang w:eastAsia="en-US"/>
    </w:rPr>
  </w:style>
  <w:style w:type="character" w:customStyle="1" w:styleId="cf01">
    <w:name w:val="cf01"/>
    <w:basedOn w:val="DefaultParagraphFont"/>
    <w:rsid w:val="002065E1"/>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425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8824079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69247072">
      <w:bodyDiv w:val="1"/>
      <w:marLeft w:val="0"/>
      <w:marRight w:val="0"/>
      <w:marTop w:val="0"/>
      <w:marBottom w:val="0"/>
      <w:divBdr>
        <w:top w:val="none" w:sz="0" w:space="0" w:color="auto"/>
        <w:left w:val="none" w:sz="0" w:space="0" w:color="auto"/>
        <w:bottom w:val="none" w:sz="0" w:space="0" w:color="auto"/>
        <w:right w:val="none" w:sz="0" w:space="0" w:color="auto"/>
      </w:divBdr>
    </w:div>
    <w:div w:id="473571579">
      <w:bodyDiv w:val="1"/>
      <w:marLeft w:val="0"/>
      <w:marRight w:val="0"/>
      <w:marTop w:val="0"/>
      <w:marBottom w:val="0"/>
      <w:divBdr>
        <w:top w:val="none" w:sz="0" w:space="0" w:color="auto"/>
        <w:left w:val="none" w:sz="0" w:space="0" w:color="auto"/>
        <w:bottom w:val="none" w:sz="0" w:space="0" w:color="auto"/>
        <w:right w:val="none" w:sz="0" w:space="0" w:color="auto"/>
      </w:divBdr>
    </w:div>
    <w:div w:id="62608852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9738230">
      <w:bodyDiv w:val="1"/>
      <w:marLeft w:val="0"/>
      <w:marRight w:val="0"/>
      <w:marTop w:val="0"/>
      <w:marBottom w:val="0"/>
      <w:divBdr>
        <w:top w:val="none" w:sz="0" w:space="0" w:color="auto"/>
        <w:left w:val="none" w:sz="0" w:space="0" w:color="auto"/>
        <w:bottom w:val="none" w:sz="0" w:space="0" w:color="auto"/>
        <w:right w:val="none" w:sz="0" w:space="0" w:color="auto"/>
      </w:divBdr>
    </w:div>
    <w:div w:id="913121911">
      <w:bodyDiv w:val="1"/>
      <w:marLeft w:val="0"/>
      <w:marRight w:val="0"/>
      <w:marTop w:val="0"/>
      <w:marBottom w:val="0"/>
      <w:divBdr>
        <w:top w:val="none" w:sz="0" w:space="0" w:color="auto"/>
        <w:left w:val="none" w:sz="0" w:space="0" w:color="auto"/>
        <w:bottom w:val="none" w:sz="0" w:space="0" w:color="auto"/>
        <w:right w:val="none" w:sz="0" w:space="0" w:color="auto"/>
      </w:divBdr>
    </w:div>
    <w:div w:id="1041320616">
      <w:bodyDiv w:val="1"/>
      <w:marLeft w:val="0"/>
      <w:marRight w:val="0"/>
      <w:marTop w:val="0"/>
      <w:marBottom w:val="0"/>
      <w:divBdr>
        <w:top w:val="none" w:sz="0" w:space="0" w:color="auto"/>
        <w:left w:val="none" w:sz="0" w:space="0" w:color="auto"/>
        <w:bottom w:val="none" w:sz="0" w:space="0" w:color="auto"/>
        <w:right w:val="none" w:sz="0" w:space="0" w:color="auto"/>
      </w:divBdr>
    </w:div>
    <w:div w:id="1042095350">
      <w:bodyDiv w:val="1"/>
      <w:marLeft w:val="0"/>
      <w:marRight w:val="0"/>
      <w:marTop w:val="0"/>
      <w:marBottom w:val="0"/>
      <w:divBdr>
        <w:top w:val="none" w:sz="0" w:space="0" w:color="auto"/>
        <w:left w:val="none" w:sz="0" w:space="0" w:color="auto"/>
        <w:bottom w:val="none" w:sz="0" w:space="0" w:color="auto"/>
        <w:right w:val="none" w:sz="0" w:space="0" w:color="auto"/>
      </w:divBdr>
    </w:div>
    <w:div w:id="1062606197">
      <w:bodyDiv w:val="1"/>
      <w:marLeft w:val="0"/>
      <w:marRight w:val="0"/>
      <w:marTop w:val="0"/>
      <w:marBottom w:val="0"/>
      <w:divBdr>
        <w:top w:val="none" w:sz="0" w:space="0" w:color="auto"/>
        <w:left w:val="none" w:sz="0" w:space="0" w:color="auto"/>
        <w:bottom w:val="none" w:sz="0" w:space="0" w:color="auto"/>
        <w:right w:val="none" w:sz="0" w:space="0" w:color="auto"/>
      </w:divBdr>
    </w:div>
    <w:div w:id="112435254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752860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0571962">
      <w:bodyDiv w:val="1"/>
      <w:marLeft w:val="0"/>
      <w:marRight w:val="0"/>
      <w:marTop w:val="0"/>
      <w:marBottom w:val="0"/>
      <w:divBdr>
        <w:top w:val="none" w:sz="0" w:space="0" w:color="auto"/>
        <w:left w:val="none" w:sz="0" w:space="0" w:color="auto"/>
        <w:bottom w:val="none" w:sz="0" w:space="0" w:color="auto"/>
        <w:right w:val="none" w:sz="0" w:space="0" w:color="auto"/>
      </w:divBdr>
    </w:div>
    <w:div w:id="1470975376">
      <w:bodyDiv w:val="1"/>
      <w:marLeft w:val="0"/>
      <w:marRight w:val="0"/>
      <w:marTop w:val="0"/>
      <w:marBottom w:val="0"/>
      <w:divBdr>
        <w:top w:val="none" w:sz="0" w:space="0" w:color="auto"/>
        <w:left w:val="none" w:sz="0" w:space="0" w:color="auto"/>
        <w:bottom w:val="none" w:sz="0" w:space="0" w:color="auto"/>
        <w:right w:val="none" w:sz="0" w:space="0" w:color="auto"/>
      </w:divBdr>
    </w:div>
    <w:div w:id="1511023784">
      <w:bodyDiv w:val="1"/>
      <w:marLeft w:val="0"/>
      <w:marRight w:val="0"/>
      <w:marTop w:val="0"/>
      <w:marBottom w:val="0"/>
      <w:divBdr>
        <w:top w:val="none" w:sz="0" w:space="0" w:color="auto"/>
        <w:left w:val="none" w:sz="0" w:space="0" w:color="auto"/>
        <w:bottom w:val="none" w:sz="0" w:space="0" w:color="auto"/>
        <w:right w:val="none" w:sz="0" w:space="0" w:color="auto"/>
      </w:divBdr>
    </w:div>
    <w:div w:id="1615864635">
      <w:bodyDiv w:val="1"/>
      <w:marLeft w:val="0"/>
      <w:marRight w:val="0"/>
      <w:marTop w:val="0"/>
      <w:marBottom w:val="0"/>
      <w:divBdr>
        <w:top w:val="none" w:sz="0" w:space="0" w:color="auto"/>
        <w:left w:val="none" w:sz="0" w:space="0" w:color="auto"/>
        <w:bottom w:val="none" w:sz="0" w:space="0" w:color="auto"/>
        <w:right w:val="none" w:sz="0" w:space="0" w:color="auto"/>
      </w:divBdr>
      <w:divsChild>
        <w:div w:id="91898466">
          <w:marLeft w:val="360"/>
          <w:marRight w:val="0"/>
          <w:marTop w:val="200"/>
          <w:marBottom w:val="0"/>
          <w:divBdr>
            <w:top w:val="none" w:sz="0" w:space="0" w:color="auto"/>
            <w:left w:val="none" w:sz="0" w:space="0" w:color="auto"/>
            <w:bottom w:val="none" w:sz="0" w:space="0" w:color="auto"/>
            <w:right w:val="none" w:sz="0" w:space="0" w:color="auto"/>
          </w:divBdr>
        </w:div>
        <w:div w:id="161969057">
          <w:marLeft w:val="360"/>
          <w:marRight w:val="0"/>
          <w:marTop w:val="200"/>
          <w:marBottom w:val="0"/>
          <w:divBdr>
            <w:top w:val="none" w:sz="0" w:space="0" w:color="auto"/>
            <w:left w:val="none" w:sz="0" w:space="0" w:color="auto"/>
            <w:bottom w:val="none" w:sz="0" w:space="0" w:color="auto"/>
            <w:right w:val="none" w:sz="0" w:space="0" w:color="auto"/>
          </w:divBdr>
        </w:div>
        <w:div w:id="501511115">
          <w:marLeft w:val="1080"/>
          <w:marRight w:val="0"/>
          <w:marTop w:val="100"/>
          <w:marBottom w:val="0"/>
          <w:divBdr>
            <w:top w:val="none" w:sz="0" w:space="0" w:color="auto"/>
            <w:left w:val="none" w:sz="0" w:space="0" w:color="auto"/>
            <w:bottom w:val="none" w:sz="0" w:space="0" w:color="auto"/>
            <w:right w:val="none" w:sz="0" w:space="0" w:color="auto"/>
          </w:divBdr>
        </w:div>
        <w:div w:id="522283934">
          <w:marLeft w:val="1080"/>
          <w:marRight w:val="0"/>
          <w:marTop w:val="100"/>
          <w:marBottom w:val="0"/>
          <w:divBdr>
            <w:top w:val="none" w:sz="0" w:space="0" w:color="auto"/>
            <w:left w:val="none" w:sz="0" w:space="0" w:color="auto"/>
            <w:bottom w:val="none" w:sz="0" w:space="0" w:color="auto"/>
            <w:right w:val="none" w:sz="0" w:space="0" w:color="auto"/>
          </w:divBdr>
        </w:div>
        <w:div w:id="788402002">
          <w:marLeft w:val="1080"/>
          <w:marRight w:val="0"/>
          <w:marTop w:val="100"/>
          <w:marBottom w:val="0"/>
          <w:divBdr>
            <w:top w:val="none" w:sz="0" w:space="0" w:color="auto"/>
            <w:left w:val="none" w:sz="0" w:space="0" w:color="auto"/>
            <w:bottom w:val="none" w:sz="0" w:space="0" w:color="auto"/>
            <w:right w:val="none" w:sz="0" w:space="0" w:color="auto"/>
          </w:divBdr>
        </w:div>
        <w:div w:id="1173303759">
          <w:marLeft w:val="1080"/>
          <w:marRight w:val="0"/>
          <w:marTop w:val="100"/>
          <w:marBottom w:val="0"/>
          <w:divBdr>
            <w:top w:val="none" w:sz="0" w:space="0" w:color="auto"/>
            <w:left w:val="none" w:sz="0" w:space="0" w:color="auto"/>
            <w:bottom w:val="none" w:sz="0" w:space="0" w:color="auto"/>
            <w:right w:val="none" w:sz="0" w:space="0" w:color="auto"/>
          </w:divBdr>
        </w:div>
        <w:div w:id="1422532020">
          <w:marLeft w:val="360"/>
          <w:marRight w:val="0"/>
          <w:marTop w:val="200"/>
          <w:marBottom w:val="0"/>
          <w:divBdr>
            <w:top w:val="none" w:sz="0" w:space="0" w:color="auto"/>
            <w:left w:val="none" w:sz="0" w:space="0" w:color="auto"/>
            <w:bottom w:val="none" w:sz="0" w:space="0" w:color="auto"/>
            <w:right w:val="none" w:sz="0" w:space="0" w:color="auto"/>
          </w:divBdr>
        </w:div>
        <w:div w:id="1717271306">
          <w:marLeft w:val="1080"/>
          <w:marRight w:val="0"/>
          <w:marTop w:val="100"/>
          <w:marBottom w:val="0"/>
          <w:divBdr>
            <w:top w:val="none" w:sz="0" w:space="0" w:color="auto"/>
            <w:left w:val="none" w:sz="0" w:space="0" w:color="auto"/>
            <w:bottom w:val="none" w:sz="0" w:space="0" w:color="auto"/>
            <w:right w:val="none" w:sz="0" w:space="0" w:color="auto"/>
          </w:divBdr>
        </w:div>
        <w:div w:id="1863590784">
          <w:marLeft w:val="1080"/>
          <w:marRight w:val="0"/>
          <w:marTop w:val="100"/>
          <w:marBottom w:val="0"/>
          <w:divBdr>
            <w:top w:val="none" w:sz="0" w:space="0" w:color="auto"/>
            <w:left w:val="none" w:sz="0" w:space="0" w:color="auto"/>
            <w:bottom w:val="none" w:sz="0" w:space="0" w:color="auto"/>
            <w:right w:val="none" w:sz="0" w:space="0" w:color="auto"/>
          </w:divBdr>
        </w:div>
      </w:divsChild>
    </w:div>
    <w:div w:id="172918364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3188448">
      <w:bodyDiv w:val="1"/>
      <w:marLeft w:val="0"/>
      <w:marRight w:val="0"/>
      <w:marTop w:val="0"/>
      <w:marBottom w:val="0"/>
      <w:divBdr>
        <w:top w:val="none" w:sz="0" w:space="0" w:color="auto"/>
        <w:left w:val="none" w:sz="0" w:space="0" w:color="auto"/>
        <w:bottom w:val="none" w:sz="0" w:space="0" w:color="auto"/>
        <w:right w:val="none" w:sz="0" w:space="0" w:color="auto"/>
      </w:divBdr>
    </w:div>
    <w:div w:id="212284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tga.gov.au/resources/prescription-medicines-under-evaluation/tbc-bayer-australia-ltd" TargetMode="External"/><Relationship Id="rId2" Type="http://schemas.openxmlformats.org/officeDocument/2006/relationships/hyperlink" Target="http://www.tg.org.au/" TargetMode="External"/><Relationship Id="rId1" Type="http://schemas.openxmlformats.org/officeDocument/2006/relationships/hyperlink" Target="https://www.nice.org.uk/guidance/gid-ta11058/documents/html-content-7" TargetMode="External"/><Relationship Id="rId4" Type="http://schemas.openxmlformats.org/officeDocument/2006/relationships/hyperlink" Target="https://www.nice.org.uk/consultations/2918/1/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CC426-7879-431C-911C-3972FB368162}">
  <ds:schemaRefs>
    <ds:schemaRef ds:uri="72f95629-adac-4ec1-8738-e1cec852b92b"/>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elements/1.1/"/>
    <ds:schemaRef ds:uri="7f856f8d-13b3-495a-9a4b-41f8182eda4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211AA9C-6EF4-4081-B60A-68BA3068B177}">
  <ds:schemaRefs>
    <ds:schemaRef ds:uri="http://schemas.microsoft.com/sharepoint/v3/contenttype/forms"/>
  </ds:schemaRefs>
</ds:datastoreItem>
</file>

<file path=customXml/itemProps3.xml><?xml version="1.0" encoding="utf-8"?>
<ds:datastoreItem xmlns:ds="http://schemas.openxmlformats.org/officeDocument/2006/customXml" ds:itemID="{73CD5B9F-AC7D-44B4-A740-07E52A1E0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889B18-1CD3-4E7D-8015-CEFE4AEFF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24255</Words>
  <Characters>134618</Characters>
  <Application>Microsoft Office Word</Application>
  <DocSecurity>0</DocSecurity>
  <Lines>4079</Lines>
  <Paragraphs>2604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156269</CharactersWithSpaces>
  <SharedDoc>false</SharedDoc>
  <HLinks>
    <vt:vector size="30" baseType="variant">
      <vt:variant>
        <vt:i4>6619194</vt:i4>
      </vt:variant>
      <vt:variant>
        <vt:i4>9</vt:i4>
      </vt:variant>
      <vt:variant>
        <vt:i4>0</vt:i4>
      </vt:variant>
      <vt:variant>
        <vt:i4>5</vt:i4>
      </vt:variant>
      <vt:variant>
        <vt:lpwstr>https://www.nice.org.uk/consultations/2918/1/recommendations</vt:lpwstr>
      </vt:variant>
      <vt:variant>
        <vt:lpwstr>recommendations</vt:lpwstr>
      </vt:variant>
      <vt:variant>
        <vt:i4>7798880</vt:i4>
      </vt:variant>
      <vt:variant>
        <vt:i4>6</vt:i4>
      </vt:variant>
      <vt:variant>
        <vt:i4>0</vt:i4>
      </vt:variant>
      <vt:variant>
        <vt:i4>5</vt:i4>
      </vt:variant>
      <vt:variant>
        <vt:lpwstr>https://www.tga.gov.au/resources/prescription-medicines-under-evaluation/tbc-bayer-australia-ltd</vt:lpwstr>
      </vt:variant>
      <vt:variant>
        <vt:lpwstr>:~:text=You%20are%20here,Sep%2D2024</vt:lpwstr>
      </vt:variant>
      <vt:variant>
        <vt:i4>5767262</vt:i4>
      </vt:variant>
      <vt:variant>
        <vt:i4>3</vt:i4>
      </vt:variant>
      <vt:variant>
        <vt:i4>0</vt:i4>
      </vt:variant>
      <vt:variant>
        <vt:i4>5</vt:i4>
      </vt:variant>
      <vt:variant>
        <vt:lpwstr>http://www.tg.org.au/</vt:lpwstr>
      </vt:variant>
      <vt:variant>
        <vt:lpwstr/>
      </vt:variant>
      <vt:variant>
        <vt:i4>4522073</vt:i4>
      </vt:variant>
      <vt:variant>
        <vt:i4>0</vt:i4>
      </vt:variant>
      <vt:variant>
        <vt:i4>0</vt:i4>
      </vt:variant>
      <vt:variant>
        <vt:i4>5</vt:i4>
      </vt:variant>
      <vt:variant>
        <vt:lpwstr>https://www.nice.org.uk/guidance/gid-ta11058/documents/html-content-7</vt:lpwstr>
      </vt:variant>
      <vt:variant>
        <vt:lpwstr/>
      </vt:variant>
      <vt:variant>
        <vt:i4>4128780</vt:i4>
      </vt:variant>
      <vt:variant>
        <vt:i4>0</vt:i4>
      </vt:variant>
      <vt:variant>
        <vt:i4>0</vt:i4>
      </vt:variant>
      <vt:variant>
        <vt:i4>5</vt:i4>
      </vt:variant>
      <vt:variant>
        <vt:lpwstr>mailto:Jennifer.Houltram@health.gov.au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2026-01-28T00:19:00Z</dcterms:created>
  <dcterms:modified xsi:type="dcterms:W3CDTF">2026-02-25T09:59:00Z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MSIP_Label_7cd3e8b9-ffed-43a8-b7f4-cc2fa0382d36_Removed">
    <vt:lpwstr>False</vt:lpwstr>
  </property>
  <property fmtid="{D5CDD505-2E9C-101B-9397-08002B2CF9AE}" pid="4" name="MSIP_Label_7cd3e8b9-ffed-43a8-b7f4-cc2fa0382d36_ActionId">
    <vt:lpwstr>9bd357be-d010-40fa-a2fe-121bce44c36c</vt:lpwstr>
  </property>
  <property fmtid="{D5CDD505-2E9C-101B-9397-08002B2CF9AE}" pid="5" name="MediaServiceImageTags">
    <vt:lpwstr/>
  </property>
  <property fmtid="{D5CDD505-2E9C-101B-9397-08002B2CF9AE}" pid="6" name="ContentTypeId">
    <vt:lpwstr>0x0101007FED174C5281F747A8037A05221D6DBD</vt:lpwstr>
  </property>
  <property fmtid="{D5CDD505-2E9C-101B-9397-08002B2CF9AE}" pid="7" name="docLang">
    <vt:lpwstr>en</vt:lpwstr>
  </property>
  <property fmtid="{D5CDD505-2E9C-101B-9397-08002B2CF9AE}" pid="8" name="MSIP_Label_7cd3e8b9-ffed-43a8-b7f4-cc2fa0382d36_Name">
    <vt:lpwstr>OFFICIAL</vt:lpwstr>
  </property>
  <property fmtid="{D5CDD505-2E9C-101B-9397-08002B2CF9AE}" pid="9" name="MSIP_Label_7cd3e8b9-ffed-43a8-b7f4-cc2fa0382d36_Extended_MSFT_Method">
    <vt:lpwstr>Standard</vt:lpwstr>
  </property>
  <property fmtid="{D5CDD505-2E9C-101B-9397-08002B2CF9AE}" pid="10" name="MSIP_Label_7cd3e8b9-ffed-43a8-b7f4-cc2fa0382d36_Enabled">
    <vt:lpwstr>True</vt:lpwstr>
  </property>
  <property fmtid="{D5CDD505-2E9C-101B-9397-08002B2CF9AE}" pid="11" name="Sensitivity">
    <vt:lpwstr>OFFICIAL</vt:lpwstr>
  </property>
  <property fmtid="{D5CDD505-2E9C-101B-9397-08002B2CF9AE}" pid="12" name="GrammarlyDocumentId">
    <vt:lpwstr>f6f318eb-7ed7-4e2a-82a1-b9214037d212</vt:lpwstr>
  </property>
  <property fmtid="{D5CDD505-2E9C-101B-9397-08002B2CF9AE}" pid="13" name="MSIP_Label_7cd3e8b9-ffed-43a8-b7f4-cc2fa0382d36_SetDate">
    <vt:lpwstr>2025-09-16T12:21:47Z</vt:lpwstr>
  </property>
</Properties>
</file>